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p>
      <w:pPr>
        <w:spacing w:line="621" w:lineRule="exact" w:before="0"/>
        <w:ind w:left="177" w:right="178" w:firstLine="0"/>
        <w:jc w:val="center"/>
        <w:rPr>
          <w:rFonts w:ascii="宋体" w:hAnsi="宋体" w:cs="宋体" w:eastAsia="宋体" w:hint="default"/>
          <w:sz w:val="52"/>
          <w:szCs w:val="52"/>
        </w:rPr>
      </w:pPr>
      <w:r>
        <w:rPr/>
        <w:pict>
          <v:group style="position:absolute;margin-left:56.700001pt;margin-top:-72.333298pt;width:481.9pt;height:.1pt;mso-position-horizontal-relative:page;mso-position-vertical-relative:paragraph;z-index:0" coordorigin="1134,-1447" coordsize="9638,2">
            <v:shape style="position:absolute;left:1134;top:-1447;width:9638;height:2" coordorigin="1134,-1447" coordsize="9638,0" path="m1134,-1447l10772,-1447e" filled="false" stroked="true" strokeweight=".719971pt" strokecolor="#000000">
              <v:path arrowok="t"/>
            </v:shape>
            <w10:wrap type="none"/>
          </v:group>
        </w:pict>
      </w:r>
      <w:r>
        <w:rPr>
          <w:rFonts w:ascii="宋体" w:hAnsi="宋体" w:cs="宋体" w:eastAsia="宋体" w:hint="default"/>
          <w:b/>
          <w:bCs/>
          <w:sz w:val="52"/>
          <w:szCs w:val="52"/>
        </w:rPr>
        <w:t>安徽皖通科技股份有限公司</w:t>
      </w:r>
      <w:r>
        <w:rPr>
          <w:rFonts w:ascii="宋体" w:hAnsi="宋体" w:cs="宋体" w:eastAsia="宋体" w:hint="default"/>
          <w:sz w:val="52"/>
          <w:szCs w:val="52"/>
        </w:rPr>
      </w:r>
    </w:p>
    <w:p>
      <w:pPr>
        <w:spacing w:before="414"/>
        <w:ind w:left="197" w:right="178" w:firstLine="0"/>
        <w:jc w:val="center"/>
        <w:rPr>
          <w:rFonts w:ascii="Arial" w:hAnsi="Arial" w:cs="Arial" w:eastAsia="Arial" w:hint="default"/>
          <w:sz w:val="32"/>
          <w:szCs w:val="32"/>
        </w:rPr>
      </w:pPr>
      <w:r>
        <w:rPr>
          <w:rFonts w:ascii="Arial"/>
          <w:b/>
          <w:sz w:val="32"/>
        </w:rPr>
        <w:t>Anhui Wantong Technology</w:t>
      </w:r>
      <w:r>
        <w:rPr>
          <w:rFonts w:ascii="Arial"/>
          <w:b/>
          <w:spacing w:val="-15"/>
          <w:sz w:val="32"/>
        </w:rPr>
        <w:t> </w:t>
      </w:r>
      <w:r>
        <w:rPr>
          <w:rFonts w:ascii="Arial"/>
          <w:b/>
          <w:sz w:val="32"/>
        </w:rPr>
        <w:t>Co.,Ltd.</w:t>
      </w:r>
      <w:r>
        <w:rPr>
          <w:rFonts w:ascii="Arial"/>
          <w:sz w:val="32"/>
        </w:rPr>
      </w:r>
    </w:p>
    <w:p>
      <w:pPr>
        <w:spacing w:before="258"/>
        <w:ind w:left="177" w:right="178" w:firstLine="0"/>
        <w:jc w:val="center"/>
        <w:rPr>
          <w:rFonts w:ascii="宋体" w:hAnsi="宋体" w:cs="宋体" w:eastAsia="宋体" w:hint="default"/>
          <w:sz w:val="30"/>
          <w:szCs w:val="30"/>
        </w:rPr>
      </w:pPr>
      <w:r>
        <w:rPr>
          <w:rFonts w:ascii="宋体" w:hAnsi="宋体" w:cs="宋体" w:eastAsia="宋体" w:hint="default"/>
          <w:b/>
          <w:bCs/>
          <w:sz w:val="30"/>
          <w:szCs w:val="30"/>
        </w:rPr>
        <w:t>（安徽省合肥市高新区皖水路589号）</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spacing w:line="1320" w:lineRule="exact"/>
        <w:ind w:left="3996" w:right="0" w:firstLine="0"/>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1190244" cy="8382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190244" cy="838200"/>
                    </a:xfrm>
                    <a:prstGeom prst="rect">
                      <a:avLst/>
                    </a:prstGeom>
                  </pic:spPr>
                </pic:pic>
              </a:graphicData>
            </a:graphic>
          </wp:inline>
        </w:drawing>
      </w:r>
      <w:r>
        <w:rPr>
          <w:rFonts w:ascii="宋体" w:hAnsi="宋体" w:cs="宋体" w:eastAsia="宋体" w:hint="default"/>
          <w:position w:val="-2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1081" w:lineRule="exact" w:before="0"/>
        <w:ind w:left="1992" w:right="0" w:firstLine="0"/>
        <w:jc w:val="left"/>
        <w:rPr>
          <w:rFonts w:ascii="黑体" w:hAnsi="黑体" w:cs="黑体" w:eastAsia="黑体" w:hint="default"/>
          <w:sz w:val="84"/>
          <w:szCs w:val="84"/>
        </w:rPr>
      </w:pPr>
      <w:r>
        <w:rPr>
          <w:rFonts w:ascii="黑体" w:hAnsi="黑体" w:cs="黑体" w:eastAsia="黑体" w:hint="default"/>
          <w:sz w:val="84"/>
          <w:szCs w:val="84"/>
        </w:rPr>
        <w:t>2015年年度报告</w:t>
      </w:r>
    </w:p>
    <w:p>
      <w:pPr>
        <w:spacing w:line="240" w:lineRule="auto" w:before="0"/>
        <w:rPr>
          <w:rFonts w:ascii="黑体" w:hAnsi="黑体" w:cs="黑体" w:eastAsia="黑体" w:hint="default"/>
          <w:sz w:val="84"/>
          <w:szCs w:val="84"/>
        </w:rPr>
      </w:pPr>
    </w:p>
    <w:p>
      <w:pPr>
        <w:spacing w:line="240" w:lineRule="auto" w:before="0"/>
        <w:rPr>
          <w:rFonts w:ascii="黑体" w:hAnsi="黑体" w:cs="黑体" w:eastAsia="黑体" w:hint="default"/>
          <w:sz w:val="84"/>
          <w:szCs w:val="84"/>
        </w:rPr>
      </w:pPr>
    </w:p>
    <w:p>
      <w:pPr>
        <w:spacing w:line="240" w:lineRule="auto" w:before="3"/>
        <w:rPr>
          <w:rFonts w:ascii="黑体" w:hAnsi="黑体" w:cs="黑体" w:eastAsia="黑体" w:hint="default"/>
          <w:sz w:val="110"/>
          <w:szCs w:val="110"/>
        </w:rPr>
      </w:pPr>
    </w:p>
    <w:p>
      <w:pPr>
        <w:spacing w:line="379" w:lineRule="auto" w:before="0"/>
        <w:ind w:left="3004" w:right="2753" w:hanging="12"/>
        <w:jc w:val="left"/>
        <w:rPr>
          <w:rFonts w:ascii="宋体" w:hAnsi="宋体" w:cs="宋体" w:eastAsia="宋体" w:hint="default"/>
          <w:sz w:val="32"/>
          <w:szCs w:val="32"/>
        </w:rPr>
      </w:pPr>
      <w:r>
        <w:rPr>
          <w:rFonts w:ascii="宋体" w:hAnsi="宋体" w:cs="宋体" w:eastAsia="宋体" w:hint="default"/>
          <w:b/>
          <w:bCs/>
          <w:sz w:val="32"/>
          <w:szCs w:val="32"/>
        </w:rPr>
        <w:t>股票代码：002331</w:t>
      </w:r>
      <w:r>
        <w:rPr>
          <w:rFonts w:ascii="宋体" w:hAnsi="宋体" w:cs="宋体" w:eastAsia="宋体" w:hint="default"/>
          <w:b/>
          <w:bCs/>
          <w:w w:val="98"/>
          <w:sz w:val="32"/>
          <w:szCs w:val="32"/>
        </w:rPr>
        <w:t> </w:t>
      </w:r>
      <w:r>
        <w:rPr>
          <w:rFonts w:ascii="宋体" w:hAnsi="宋体" w:cs="宋体" w:eastAsia="宋体" w:hint="default"/>
          <w:b/>
          <w:bCs/>
          <w:sz w:val="32"/>
          <w:szCs w:val="32"/>
        </w:rPr>
        <w:t>股票简称：皖通科技</w:t>
      </w:r>
      <w:r>
        <w:rPr>
          <w:rFonts w:ascii="宋体" w:hAnsi="宋体" w:cs="宋体" w:eastAsia="宋体" w:hint="default"/>
          <w:b/>
          <w:bCs/>
          <w:w w:val="99"/>
          <w:sz w:val="32"/>
          <w:szCs w:val="32"/>
        </w:rPr>
        <w:t> </w:t>
      </w:r>
      <w:r>
        <w:rPr>
          <w:rFonts w:ascii="宋体" w:hAnsi="宋体" w:cs="宋体" w:eastAsia="宋体" w:hint="default"/>
          <w:b/>
          <w:bCs/>
          <w:sz w:val="32"/>
          <w:szCs w:val="32"/>
        </w:rPr>
        <w:t>披露日期：2016</w:t>
      </w:r>
      <w:r>
        <w:rPr>
          <w:rFonts w:ascii="宋体" w:hAnsi="宋体" w:cs="宋体" w:eastAsia="宋体" w:hint="default"/>
          <w:b/>
          <w:bCs/>
          <w:spacing w:val="-84"/>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3</w:t>
      </w:r>
      <w:r>
        <w:rPr>
          <w:rFonts w:ascii="宋体" w:hAnsi="宋体" w:cs="宋体" w:eastAsia="宋体" w:hint="default"/>
          <w:b/>
          <w:bCs/>
          <w:spacing w:val="-82"/>
          <w:sz w:val="32"/>
          <w:szCs w:val="32"/>
        </w:rPr>
        <w:t> </w:t>
      </w:r>
      <w:r>
        <w:rPr>
          <w:rFonts w:ascii="宋体" w:hAnsi="宋体" w:cs="宋体" w:eastAsia="宋体" w:hint="default"/>
          <w:b/>
          <w:bCs/>
          <w:sz w:val="32"/>
          <w:szCs w:val="32"/>
        </w:rPr>
        <w:t>月</w:t>
      </w:r>
      <w:r>
        <w:rPr>
          <w:rFonts w:ascii="宋体" w:hAnsi="宋体" w:cs="宋体" w:eastAsia="宋体" w:hint="default"/>
          <w:b/>
          <w:bCs/>
          <w:spacing w:val="-83"/>
          <w:sz w:val="32"/>
          <w:szCs w:val="32"/>
        </w:rPr>
        <w:t> </w:t>
      </w:r>
      <w:r>
        <w:rPr>
          <w:rFonts w:ascii="宋体" w:hAnsi="宋体" w:cs="宋体" w:eastAsia="宋体" w:hint="default"/>
          <w:b/>
          <w:bCs/>
          <w:sz w:val="32"/>
          <w:szCs w:val="32"/>
        </w:rPr>
        <w:t>22</w:t>
      </w:r>
      <w:r>
        <w:rPr>
          <w:rFonts w:ascii="宋体" w:hAnsi="宋体" w:cs="宋体" w:eastAsia="宋体" w:hint="default"/>
          <w:b/>
          <w:bCs/>
          <w:spacing w:val="-84"/>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line="379" w:lineRule="auto"/>
        <w:jc w:val="left"/>
        <w:rPr>
          <w:rFonts w:ascii="宋体" w:hAnsi="宋体" w:cs="宋体" w:eastAsia="宋体" w:hint="default"/>
          <w:sz w:val="32"/>
          <w:szCs w:val="32"/>
        </w:rPr>
        <w:sectPr>
          <w:headerReference w:type="default" r:id="rId5"/>
          <w:footerReference w:type="default" r:id="rId6"/>
          <w:type w:val="continuous"/>
          <w:pgSz w:w="11910" w:h="16840"/>
          <w:pgMar w:header="746" w:footer="978" w:top="1040" w:bottom="1160" w:left="1020" w:right="1020"/>
        </w:sectPr>
      </w:pPr>
    </w:p>
    <w:p>
      <w:pPr>
        <w:spacing w:line="240" w:lineRule="auto" w:before="6"/>
        <w:rPr>
          <w:rFonts w:ascii="宋体" w:hAnsi="宋体" w:cs="宋体" w:eastAsia="宋体" w:hint="default"/>
          <w:b/>
          <w:bCs/>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8"/>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2"/>
        <w:ind w:right="248" w:firstLine="561"/>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spacing w:val="-135"/>
        </w:rPr>
        <w:t> </w:t>
      </w:r>
      <w:r>
        <w:rPr>
          <w:spacing w:val="-135"/>
        </w:rPr>
      </w:r>
      <w:r>
        <w:rPr/>
        <w:t>连带的法律责任。</w:t>
      </w:r>
      <w:r>
        <w:rPr>
          <w:b w:val="0"/>
          <w:bCs w:val="0"/>
        </w:rPr>
      </w:r>
    </w:p>
    <w:p>
      <w:pPr>
        <w:pStyle w:val="Heading2"/>
        <w:spacing w:line="408" w:lineRule="auto" w:before="160"/>
        <w:ind w:right="250" w:firstLine="561"/>
        <w:jc w:val="both"/>
        <w:rPr>
          <w:b w:val="0"/>
          <w:bCs w:val="0"/>
        </w:rPr>
      </w:pPr>
      <w:r>
        <w:rPr>
          <w:spacing w:val="2"/>
        </w:rPr>
        <w:t>公司负责人王中胜、主管会计工作负责人卢玉平及会计机构负责人（会计</w:t>
      </w:r>
      <w:r>
        <w:rPr>
          <w:w w:val="99"/>
        </w:rPr>
        <w:t> </w:t>
      </w:r>
      <w:r>
        <w:rPr/>
        <w:t>主管人员）诸黎明声明：保证年度报告中财务报告的真实、准确、完整。</w:t>
      </w:r>
      <w:r>
        <w:rPr>
          <w:b w:val="0"/>
          <w:bCs w:val="0"/>
        </w:rPr>
      </w:r>
    </w:p>
    <w:p>
      <w:pPr>
        <w:pStyle w:val="Heading2"/>
        <w:spacing w:line="475" w:lineRule="auto" w:before="162"/>
        <w:ind w:left="674" w:right="0"/>
        <w:jc w:val="left"/>
        <w:rPr>
          <w:b w:val="0"/>
          <w:bCs w:val="0"/>
        </w:rPr>
      </w:pPr>
      <w:r>
        <w:rPr/>
        <w:t>所有董事均已出席了审议本报告的董事会会议。</w:t>
      </w:r>
      <w:r>
        <w:rPr>
          <w:w w:val="99"/>
        </w:rPr>
        <w:t> </w:t>
      </w:r>
      <w:r>
        <w:rPr>
          <w:spacing w:val="-3"/>
        </w:rPr>
        <w:t>公司在本报告第四节“管理层分析与讨论”中“九、公司未来发展的展望”</w:t>
      </w:r>
      <w:r>
        <w:rPr>
          <w:b w:val="0"/>
          <w:bCs w:val="0"/>
          <w:spacing w:val="-3"/>
        </w:rPr>
      </w:r>
    </w:p>
    <w:p>
      <w:pPr>
        <w:pStyle w:val="Heading2"/>
        <w:spacing w:line="350" w:lineRule="exact"/>
        <w:ind w:right="0"/>
        <w:jc w:val="left"/>
        <w:rPr>
          <w:b w:val="0"/>
          <w:bCs w:val="0"/>
        </w:rPr>
      </w:pPr>
      <w:r>
        <w:rPr>
          <w:spacing w:val="2"/>
          <w:w w:val="99"/>
        </w:rPr>
        <w:t>之</w:t>
      </w:r>
      <w:r>
        <w:rPr>
          <w:spacing w:val="-137"/>
          <w:w w:val="99"/>
        </w:rPr>
        <w:t>“</w:t>
      </w:r>
      <w:r>
        <w:rPr>
          <w:spacing w:val="2"/>
          <w:w w:val="99"/>
        </w:rPr>
        <w:t>（四）企</w:t>
      </w:r>
      <w:r>
        <w:rPr>
          <w:spacing w:val="4"/>
          <w:w w:val="99"/>
        </w:rPr>
        <w:t>业</w:t>
      </w:r>
      <w:r>
        <w:rPr>
          <w:spacing w:val="2"/>
          <w:w w:val="99"/>
        </w:rPr>
        <w:t>面临的风险</w:t>
      </w:r>
      <w:r>
        <w:rPr>
          <w:spacing w:val="4"/>
          <w:w w:val="99"/>
        </w:rPr>
        <w:t>及</w:t>
      </w:r>
      <w:r>
        <w:rPr>
          <w:spacing w:val="2"/>
          <w:w w:val="99"/>
        </w:rPr>
        <w:t>应对措施</w:t>
      </w:r>
      <w:r>
        <w:rPr>
          <w:spacing w:val="-137"/>
          <w:w w:val="99"/>
        </w:rPr>
        <w:t>”</w:t>
      </w:r>
      <w:r>
        <w:rPr>
          <w:spacing w:val="2"/>
          <w:w w:val="99"/>
        </w:rPr>
        <w:t>，详细</w:t>
      </w:r>
      <w:r>
        <w:rPr>
          <w:spacing w:val="4"/>
          <w:w w:val="99"/>
        </w:rPr>
        <w:t>描</w:t>
      </w:r>
      <w:r>
        <w:rPr>
          <w:spacing w:val="2"/>
          <w:w w:val="99"/>
        </w:rPr>
        <w:t>述了公司经</w:t>
      </w:r>
      <w:r>
        <w:rPr>
          <w:spacing w:val="4"/>
          <w:w w:val="99"/>
        </w:rPr>
        <w:t>营</w:t>
      </w:r>
      <w:r>
        <w:rPr>
          <w:spacing w:val="2"/>
          <w:w w:val="99"/>
        </w:rPr>
        <w:t>中可能存在</w:t>
      </w:r>
      <w:r>
        <w:rPr>
          <w:spacing w:val="4"/>
          <w:w w:val="99"/>
        </w:rPr>
        <w:t>的</w:t>
      </w:r>
      <w:r>
        <w:rPr>
          <w:w w:val="99"/>
        </w:rPr>
        <w:t>风</w:t>
      </w:r>
      <w:r>
        <w:rPr>
          <w:b w:val="0"/>
          <w:bCs w:val="0"/>
        </w:rPr>
      </w:r>
    </w:p>
    <w:p>
      <w:pPr>
        <w:spacing w:line="240" w:lineRule="auto" w:before="9"/>
        <w:rPr>
          <w:rFonts w:ascii="宋体" w:hAnsi="宋体" w:cs="宋体" w:eastAsia="宋体" w:hint="default"/>
          <w:b/>
          <w:bCs/>
          <w:sz w:val="19"/>
          <w:szCs w:val="19"/>
        </w:rPr>
      </w:pPr>
    </w:p>
    <w:p>
      <w:pPr>
        <w:pStyle w:val="Heading2"/>
        <w:spacing w:line="472" w:lineRule="auto"/>
        <w:ind w:left="674" w:right="0" w:hanging="562"/>
        <w:jc w:val="left"/>
        <w:rPr>
          <w:b w:val="0"/>
          <w:bCs w:val="0"/>
        </w:rPr>
      </w:pPr>
      <w:r>
        <w:rPr/>
        <w:t>险及应对措施，敬请投资者关注相关内容。</w:t>
      </w:r>
      <w:r>
        <w:rPr>
          <w:w w:val="99"/>
        </w:rPr>
        <w:t> </w:t>
      </w:r>
      <w:r>
        <w:rPr>
          <w:spacing w:val="-4"/>
        </w:rPr>
        <w:t>公司经本次董事会审议通过的利润分配预案为：以</w:t>
      </w:r>
      <w:r>
        <w:rPr>
          <w:spacing w:val="-71"/>
        </w:rPr>
        <w:t> </w:t>
      </w:r>
      <w:r>
        <w:rPr/>
        <w:t>2015</w:t>
      </w:r>
      <w:r>
        <w:rPr>
          <w:spacing w:val="-70"/>
        </w:rPr>
        <w:t> </w:t>
      </w:r>
      <w:r>
        <w:rPr/>
        <w:t>年</w:t>
      </w:r>
      <w:r>
        <w:rPr>
          <w:spacing w:val="-71"/>
        </w:rPr>
        <w:t> </w:t>
      </w:r>
      <w:r>
        <w:rPr/>
        <w:t>12</w:t>
      </w:r>
      <w:r>
        <w:rPr>
          <w:spacing w:val="-70"/>
        </w:rPr>
        <w:t> </w:t>
      </w:r>
      <w:r>
        <w:rPr/>
        <w:t>月</w:t>
      </w:r>
      <w:r>
        <w:rPr>
          <w:spacing w:val="-68"/>
        </w:rPr>
        <w:t> </w:t>
      </w:r>
      <w:r>
        <w:rPr/>
        <w:t>31</w:t>
      </w:r>
      <w:r>
        <w:rPr>
          <w:spacing w:val="-72"/>
        </w:rPr>
        <w:t> </w:t>
      </w:r>
      <w:r>
        <w:rPr/>
        <w:t>日的公</w:t>
      </w:r>
      <w:r>
        <w:rPr>
          <w:b w:val="0"/>
          <w:bCs w:val="0"/>
        </w:rPr>
      </w:r>
    </w:p>
    <w:p>
      <w:pPr>
        <w:pStyle w:val="Heading2"/>
        <w:spacing w:line="352" w:lineRule="exact"/>
        <w:ind w:right="0"/>
        <w:jc w:val="left"/>
        <w:rPr>
          <w:b w:val="0"/>
          <w:bCs w:val="0"/>
        </w:rPr>
      </w:pPr>
      <w:r>
        <w:rPr>
          <w:spacing w:val="-1"/>
          <w:w w:val="99"/>
        </w:rPr>
        <w:t>司</w:t>
      </w:r>
      <w:r>
        <w:rPr>
          <w:spacing w:val="2"/>
          <w:w w:val="99"/>
        </w:rPr>
        <w:t>总</w:t>
      </w:r>
      <w:r>
        <w:rPr>
          <w:spacing w:val="-1"/>
          <w:w w:val="99"/>
        </w:rPr>
        <w:t>股</w:t>
      </w:r>
      <w:r>
        <w:rPr>
          <w:w w:val="99"/>
        </w:rPr>
        <w:t>本</w:t>
      </w:r>
      <w:r>
        <w:rPr>
          <w:spacing w:val="-82"/>
        </w:rPr>
        <w:t> </w:t>
      </w:r>
      <w:r>
        <w:rPr>
          <w:spacing w:val="1"/>
          <w:w w:val="99"/>
        </w:rPr>
        <w:t>291,939,</w:t>
      </w:r>
      <w:r>
        <w:rPr>
          <w:spacing w:val="-2"/>
          <w:w w:val="99"/>
        </w:rPr>
        <w:t>21</w:t>
      </w:r>
      <w:r>
        <w:rPr>
          <w:w w:val="99"/>
        </w:rPr>
        <w:t>3</w:t>
      </w:r>
      <w:r>
        <w:rPr>
          <w:spacing w:val="-83"/>
        </w:rPr>
        <w:t> </w:t>
      </w:r>
      <w:r>
        <w:rPr>
          <w:spacing w:val="-1"/>
          <w:w w:val="99"/>
        </w:rPr>
        <w:t>为</w:t>
      </w:r>
      <w:r>
        <w:rPr>
          <w:spacing w:val="2"/>
          <w:w w:val="99"/>
        </w:rPr>
        <w:t>基</w:t>
      </w:r>
      <w:r>
        <w:rPr>
          <w:spacing w:val="-1"/>
          <w:w w:val="99"/>
        </w:rPr>
        <w:t>数</w:t>
      </w:r>
      <w:r>
        <w:rPr>
          <w:spacing w:val="-140"/>
          <w:w w:val="99"/>
        </w:rPr>
        <w:t>，</w:t>
      </w:r>
      <w:r>
        <w:rPr>
          <w:spacing w:val="-1"/>
          <w:w w:val="99"/>
        </w:rPr>
        <w:t>向</w:t>
      </w:r>
      <w:r>
        <w:rPr>
          <w:spacing w:val="2"/>
          <w:w w:val="99"/>
        </w:rPr>
        <w:t>全</w:t>
      </w:r>
      <w:r>
        <w:rPr>
          <w:spacing w:val="-1"/>
          <w:w w:val="99"/>
        </w:rPr>
        <w:t>体股东</w:t>
      </w:r>
      <w:r>
        <w:rPr>
          <w:w w:val="99"/>
        </w:rPr>
        <w:t>每</w:t>
      </w:r>
      <w:r>
        <w:rPr>
          <w:spacing w:val="-82"/>
        </w:rPr>
        <w:t> </w:t>
      </w:r>
      <w:r>
        <w:rPr>
          <w:spacing w:val="1"/>
          <w:w w:val="99"/>
        </w:rPr>
        <w:t>1</w:t>
      </w:r>
      <w:r>
        <w:rPr>
          <w:w w:val="99"/>
        </w:rPr>
        <w:t>0</w:t>
      </w:r>
      <w:r>
        <w:rPr>
          <w:spacing w:val="-83"/>
        </w:rPr>
        <w:t> </w:t>
      </w:r>
      <w:r>
        <w:rPr>
          <w:spacing w:val="-1"/>
          <w:w w:val="99"/>
        </w:rPr>
        <w:t>股</w:t>
      </w:r>
      <w:r>
        <w:rPr>
          <w:spacing w:val="2"/>
          <w:w w:val="99"/>
        </w:rPr>
        <w:t>派</w:t>
      </w:r>
      <w:r>
        <w:rPr>
          <w:spacing w:val="-1"/>
          <w:w w:val="99"/>
        </w:rPr>
        <w:t>发现金</w:t>
      </w:r>
      <w:r>
        <w:rPr>
          <w:spacing w:val="2"/>
          <w:w w:val="99"/>
        </w:rPr>
        <w:t>红</w:t>
      </w:r>
      <w:r>
        <w:rPr>
          <w:w w:val="99"/>
        </w:rPr>
        <w:t>利</w:t>
      </w:r>
      <w:r>
        <w:rPr>
          <w:spacing w:val="-82"/>
        </w:rPr>
        <w:t> </w:t>
      </w:r>
      <w:r>
        <w:rPr>
          <w:spacing w:val="1"/>
          <w:w w:val="99"/>
        </w:rPr>
        <w:t>0</w:t>
      </w:r>
      <w:r>
        <w:rPr>
          <w:spacing w:val="-2"/>
          <w:w w:val="99"/>
        </w:rPr>
        <w:t>.</w:t>
      </w:r>
      <w:r>
        <w:rPr>
          <w:w w:val="99"/>
        </w:rPr>
        <w:t>5</w:t>
      </w:r>
      <w:r>
        <w:rPr>
          <w:spacing w:val="-80"/>
        </w:rPr>
        <w:t> </w:t>
      </w:r>
      <w:r>
        <w:rPr>
          <w:spacing w:val="-140"/>
          <w:w w:val="99"/>
        </w:rPr>
        <w:t>元</w:t>
      </w:r>
      <w:r>
        <w:rPr>
          <w:spacing w:val="-1"/>
          <w:w w:val="99"/>
        </w:rPr>
        <w:t>（含税</w:t>
      </w:r>
      <w:r>
        <w:rPr>
          <w:spacing w:val="-140"/>
          <w:w w:val="99"/>
        </w:rPr>
        <w:t>）</w:t>
      </w:r>
      <w:r>
        <w:rPr>
          <w:w w:val="99"/>
        </w:rPr>
        <w:t>，</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right="0"/>
        <w:jc w:val="left"/>
        <w:rPr>
          <w:b w:val="0"/>
          <w:bCs w:val="0"/>
        </w:rPr>
      </w:pPr>
      <w:r>
        <w:rPr>
          <w:spacing w:val="-1"/>
          <w:w w:val="99"/>
        </w:rPr>
        <w:t>送红</w:t>
      </w:r>
      <w:r>
        <w:rPr>
          <w:w w:val="99"/>
        </w:rPr>
        <w:t>股</w:t>
      </w:r>
      <w:r>
        <w:rPr>
          <w:spacing w:val="-70"/>
        </w:rPr>
        <w:t> </w:t>
      </w:r>
      <w:r>
        <w:rPr>
          <w:w w:val="99"/>
        </w:rPr>
        <w:t>0</w:t>
      </w:r>
      <w:r>
        <w:rPr>
          <w:spacing w:val="-71"/>
        </w:rPr>
        <w:t> </w:t>
      </w:r>
      <w:r>
        <w:rPr>
          <w:spacing w:val="-1"/>
          <w:w w:val="99"/>
        </w:rPr>
        <w:t>股（含税</w:t>
      </w:r>
      <w:r>
        <w:rPr>
          <w:spacing w:val="-140"/>
          <w:w w:val="99"/>
        </w:rPr>
        <w:t>）</w:t>
      </w:r>
      <w:r>
        <w:rPr>
          <w:spacing w:val="-1"/>
          <w:w w:val="99"/>
        </w:rPr>
        <w:t>，以资本</w:t>
      </w:r>
      <w:r>
        <w:rPr>
          <w:spacing w:val="2"/>
          <w:w w:val="99"/>
        </w:rPr>
        <w:t>公</w:t>
      </w:r>
      <w:r>
        <w:rPr>
          <w:spacing w:val="-1"/>
          <w:w w:val="99"/>
        </w:rPr>
        <w:t>积金向全体股东</w:t>
      </w:r>
      <w:r>
        <w:rPr>
          <w:w w:val="99"/>
        </w:rPr>
        <w:t>每</w:t>
      </w:r>
      <w:r>
        <w:rPr>
          <w:spacing w:val="-70"/>
        </w:rPr>
        <w:t> </w:t>
      </w:r>
      <w:r>
        <w:rPr>
          <w:spacing w:val="1"/>
          <w:w w:val="99"/>
        </w:rPr>
        <w:t>1</w:t>
      </w:r>
      <w:r>
        <w:rPr>
          <w:w w:val="99"/>
        </w:rPr>
        <w:t>0</w:t>
      </w:r>
      <w:r>
        <w:rPr>
          <w:spacing w:val="-73"/>
        </w:rPr>
        <w:t> </w:t>
      </w:r>
      <w:r>
        <w:rPr>
          <w:spacing w:val="-1"/>
          <w:w w:val="99"/>
        </w:rPr>
        <w:t>股转</w:t>
      </w:r>
      <w:r>
        <w:rPr>
          <w:w w:val="99"/>
        </w:rPr>
        <w:t>增</w:t>
      </w:r>
      <w:r>
        <w:rPr>
          <w:spacing w:val="-70"/>
        </w:rPr>
        <w:t> </w:t>
      </w:r>
      <w:r>
        <w:rPr>
          <w:w w:val="99"/>
        </w:rPr>
        <w:t>2</w:t>
      </w:r>
      <w:r>
        <w:rPr>
          <w:spacing w:val="-71"/>
        </w:rPr>
        <w:t> </w:t>
      </w:r>
      <w:r>
        <w:rPr>
          <w:spacing w:val="-1"/>
          <w:w w:val="99"/>
        </w:rPr>
        <w:t>股</w:t>
      </w:r>
      <w:r>
        <w:rPr>
          <w:w w:val="99"/>
        </w:rPr>
        <w:t>。</w:t>
      </w:r>
      <w:r>
        <w:rPr>
          <w:b w:val="0"/>
          <w:bCs w:val="0"/>
        </w:rPr>
      </w:r>
    </w:p>
    <w:p>
      <w:pPr>
        <w:spacing w:after="0" w:line="240" w:lineRule="auto"/>
        <w:jc w:val="left"/>
        <w:sectPr>
          <w:footerReference w:type="default" r:id="rId8"/>
          <w:pgSz w:w="11910" w:h="16840"/>
          <w:pgMar w:footer="978" w:header="746" w:top="1040" w:bottom="1160" w:left="1020" w:right="880"/>
          <w:pgNumType w:start="2"/>
        </w:sectPr>
      </w:pPr>
    </w:p>
    <w:p>
      <w:pPr>
        <w:spacing w:line="240" w:lineRule="auto" w:before="6"/>
        <w:rPr>
          <w:rFonts w:ascii="宋体" w:hAnsi="宋体" w:cs="宋体" w:eastAsia="宋体" w:hint="default"/>
          <w:b/>
          <w:bCs/>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tabs>
          <w:tab w:pos="1087" w:val="left" w:leader="none"/>
        </w:tabs>
        <w:spacing w:line="460" w:lineRule="exact" w:before="0"/>
        <w:ind w:left="2"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6"/>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42" w:val="right" w:leader="dot"/>
            </w:tabs>
            <w:spacing w:line="240" w:lineRule="auto" w:before="0"/>
            <w:ind w:right="0"/>
            <w:jc w:val="left"/>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r>
            <w:r>
              <w:rPr/>
              <w:t>2</w:t>
            </w:r>
          </w:hyperlink>
        </w:p>
        <w:p>
          <w:pPr>
            <w:pStyle w:val="TOC1"/>
            <w:tabs>
              <w:tab w:pos="9742" w:val="right" w:leader="dot"/>
            </w:tabs>
            <w:spacing w:line="240" w:lineRule="auto"/>
            <w:ind w:right="0"/>
            <w:jc w:val="left"/>
          </w:pPr>
          <w:hyperlink w:history="true" w:anchor="_bookmark1">
            <w:r>
              <w:rPr/>
              <w:t>第二节 公司简介和主要财务指标</w:t>
            </w:r>
            <w:r>
              <w:rPr>
                <w:rFonts w:ascii="Times New Roman" w:hAnsi="Times New Roman" w:cs="Times New Roman" w:eastAsia="Times New Roman" w:hint="default"/>
              </w:rPr>
              <w:tab/>
            </w:r>
            <w:r>
              <w:rPr/>
              <w:t>5</w:t>
            </w:r>
          </w:hyperlink>
        </w:p>
        <w:p>
          <w:pPr>
            <w:pStyle w:val="TOC1"/>
            <w:tabs>
              <w:tab w:pos="9742" w:val="right" w:leader="dot"/>
            </w:tabs>
            <w:spacing w:line="240" w:lineRule="auto"/>
            <w:ind w:right="0"/>
            <w:jc w:val="left"/>
          </w:pPr>
          <w:hyperlink w:history="true" w:anchor="_bookmark2">
            <w:r>
              <w:rPr/>
              <w:t>第三节 公司业务概要</w:t>
            </w:r>
            <w:r>
              <w:rPr>
                <w:rFonts w:ascii="Times New Roman" w:hAnsi="Times New Roman" w:cs="Times New Roman" w:eastAsia="Times New Roman" w:hint="default"/>
              </w:rPr>
              <w:tab/>
            </w:r>
            <w:r>
              <w:rPr/>
              <w:t>9</w:t>
            </w:r>
          </w:hyperlink>
        </w:p>
        <w:p>
          <w:pPr>
            <w:pStyle w:val="TOC1"/>
            <w:tabs>
              <w:tab w:pos="9742" w:val="right" w:leader="dot"/>
            </w:tabs>
            <w:spacing w:line="240" w:lineRule="auto"/>
            <w:ind w:right="0"/>
            <w:jc w:val="left"/>
          </w:pPr>
          <w:hyperlink w:history="true" w:anchor="_bookmark3">
            <w:r>
              <w:rPr/>
              <w:t>第四节 管理层讨论与分析</w:t>
            </w:r>
            <w:r>
              <w:rPr>
                <w:rFonts w:ascii="Times New Roman" w:hAnsi="Times New Roman" w:cs="Times New Roman" w:eastAsia="Times New Roman" w:hint="default"/>
              </w:rPr>
              <w:tab/>
            </w:r>
            <w:r>
              <w:rPr/>
              <w:t>11</w:t>
            </w:r>
          </w:hyperlink>
        </w:p>
        <w:p>
          <w:pPr>
            <w:pStyle w:val="TOC1"/>
            <w:tabs>
              <w:tab w:pos="9742" w:val="right" w:leader="dot"/>
            </w:tabs>
            <w:spacing w:line="240" w:lineRule="auto"/>
            <w:ind w:right="0"/>
            <w:jc w:val="left"/>
          </w:pPr>
          <w:hyperlink w:history="true" w:anchor="_bookmark4">
            <w:r>
              <w:rPr/>
              <w:t>第五节</w:t>
            </w:r>
            <w:r>
              <w:rPr>
                <w:spacing w:val="1"/>
              </w:rPr>
              <w:t> </w:t>
            </w:r>
            <w:r>
              <w:rPr/>
              <w:t>重要事项</w:t>
            </w:r>
            <w:r>
              <w:rPr>
                <w:rFonts w:ascii="Times New Roman" w:hAnsi="Times New Roman" w:cs="Times New Roman" w:eastAsia="Times New Roman" w:hint="default"/>
              </w:rPr>
              <w:tab/>
            </w:r>
            <w:r>
              <w:rPr/>
              <w:t>28</w:t>
            </w:r>
          </w:hyperlink>
        </w:p>
        <w:p>
          <w:pPr>
            <w:pStyle w:val="TOC1"/>
            <w:tabs>
              <w:tab w:pos="9742" w:val="right" w:leader="dot"/>
            </w:tabs>
            <w:spacing w:line="240" w:lineRule="auto"/>
            <w:ind w:right="0"/>
            <w:jc w:val="left"/>
          </w:pPr>
          <w:hyperlink w:history="true" w:anchor="_bookmark5">
            <w:r>
              <w:rPr/>
              <w:t>第六节 股份变动及股东情况</w:t>
            </w:r>
            <w:r>
              <w:rPr>
                <w:rFonts w:ascii="Times New Roman" w:hAnsi="Times New Roman" w:cs="Times New Roman" w:eastAsia="Times New Roman" w:hint="default"/>
              </w:rPr>
              <w:tab/>
            </w:r>
            <w:r>
              <w:rPr/>
              <w:t>39</w:t>
            </w:r>
          </w:hyperlink>
        </w:p>
        <w:p>
          <w:pPr>
            <w:pStyle w:val="TOC1"/>
            <w:tabs>
              <w:tab w:pos="9742" w:val="right" w:leader="dot"/>
            </w:tabs>
            <w:spacing w:line="240" w:lineRule="auto"/>
            <w:ind w:right="0"/>
            <w:jc w:val="left"/>
          </w:pPr>
          <w:hyperlink w:history="true" w:anchor="_bookmark6">
            <w:r>
              <w:rPr/>
              <w:t>第七节 优先股相关情况</w:t>
            </w:r>
            <w:r>
              <w:rPr>
                <w:rFonts w:ascii="Times New Roman" w:hAnsi="Times New Roman" w:cs="Times New Roman" w:eastAsia="Times New Roman" w:hint="default"/>
              </w:rPr>
              <w:tab/>
            </w:r>
            <w:r>
              <w:rPr/>
              <w:t>44</w:t>
            </w:r>
          </w:hyperlink>
        </w:p>
        <w:p>
          <w:pPr>
            <w:pStyle w:val="TOC1"/>
            <w:tabs>
              <w:tab w:pos="9742" w:val="right" w:leader="dot"/>
            </w:tabs>
            <w:spacing w:line="240" w:lineRule="auto"/>
            <w:ind w:right="0"/>
            <w:jc w:val="left"/>
          </w:pPr>
          <w:hyperlink w:history="true" w:anchor="_bookmark7">
            <w:r>
              <w:rPr/>
              <w:t>第八节 董事、监事、高级管理人员和员工情况</w:t>
            </w:r>
            <w:r>
              <w:rPr>
                <w:rFonts w:ascii="Times New Roman" w:hAnsi="Times New Roman" w:cs="Times New Roman" w:eastAsia="Times New Roman" w:hint="default"/>
              </w:rPr>
              <w:tab/>
            </w:r>
            <w:r>
              <w:rPr/>
              <w:t>45</w:t>
            </w:r>
          </w:hyperlink>
        </w:p>
        <w:p>
          <w:pPr>
            <w:pStyle w:val="TOC1"/>
            <w:tabs>
              <w:tab w:pos="9742" w:val="right" w:leader="dot"/>
            </w:tabs>
            <w:spacing w:line="240" w:lineRule="auto"/>
            <w:ind w:right="0"/>
            <w:jc w:val="left"/>
          </w:pPr>
          <w:hyperlink w:history="true" w:anchor="_bookmark8">
            <w:r>
              <w:rPr/>
              <w:t>第九节</w:t>
            </w:r>
            <w:r>
              <w:rPr>
                <w:spacing w:val="1"/>
              </w:rPr>
              <w:t> </w:t>
            </w:r>
            <w:r>
              <w:rPr/>
              <w:t>公司治理</w:t>
            </w:r>
            <w:r>
              <w:rPr>
                <w:rFonts w:ascii="Times New Roman" w:hAnsi="Times New Roman" w:cs="Times New Roman" w:eastAsia="Times New Roman" w:hint="default"/>
              </w:rPr>
              <w:tab/>
            </w:r>
            <w:r>
              <w:rPr/>
              <w:t>52</w:t>
            </w:r>
          </w:hyperlink>
        </w:p>
        <w:p>
          <w:pPr>
            <w:pStyle w:val="TOC1"/>
            <w:tabs>
              <w:tab w:pos="9742" w:val="right" w:leader="dot"/>
            </w:tabs>
            <w:spacing w:line="240" w:lineRule="auto"/>
            <w:ind w:right="0"/>
            <w:jc w:val="left"/>
          </w:pPr>
          <w:hyperlink w:history="true" w:anchor="_bookmark9">
            <w:r>
              <w:rPr/>
              <w:t>第十节</w:t>
            </w:r>
            <w:r>
              <w:rPr>
                <w:spacing w:val="1"/>
              </w:rPr>
              <w:t> </w:t>
            </w:r>
            <w:r>
              <w:rPr/>
              <w:t>财务报告</w:t>
            </w:r>
            <w:r>
              <w:rPr>
                <w:rFonts w:ascii="Times New Roman" w:hAnsi="Times New Roman" w:cs="Times New Roman" w:eastAsia="Times New Roman" w:hint="default"/>
              </w:rPr>
              <w:tab/>
            </w:r>
            <w:r>
              <w:rPr/>
              <w:t>58</w:t>
            </w:r>
          </w:hyperlink>
        </w:p>
        <w:p>
          <w:pPr>
            <w:pStyle w:val="TOC1"/>
            <w:tabs>
              <w:tab w:pos="9742" w:val="right" w:leader="dot"/>
            </w:tabs>
            <w:spacing w:line="240" w:lineRule="auto"/>
            <w:ind w:right="0"/>
            <w:jc w:val="left"/>
          </w:pPr>
          <w:hyperlink w:history="true" w:anchor="_bookmark10">
            <w:r>
              <w:rPr/>
              <w:t>第十一节</w:t>
            </w:r>
            <w:r>
              <w:rPr>
                <w:spacing w:val="-2"/>
              </w:rPr>
              <w:t> </w:t>
            </w:r>
            <w:r>
              <w:rPr/>
              <w:t>备查文件目录</w:t>
            </w:r>
            <w:r>
              <w:rPr>
                <w:rFonts w:ascii="Times New Roman" w:hAnsi="Times New Roman" w:cs="Times New Roman" w:eastAsia="Times New Roman" w:hint="default"/>
              </w:rPr>
              <w:tab/>
            </w:r>
            <w:r>
              <w:rPr/>
              <w:t>166</w:t>
            </w:r>
          </w:hyperlink>
        </w:p>
        <w:p>
          <w:pPr/>
          <w:r>
            <w:fldChar w:fldCharType="end"/>
          </w:r>
        </w:p>
      </w:sdtContent>
    </w:sdt>
    <w:p>
      <w:pPr>
        <w:spacing w:after="0"/>
        <w:sectPr>
          <w:pgSz w:w="11910" w:h="16840"/>
          <w:pgMar w:header="746" w:footer="978" w:top="1040" w:bottom="1160" w:left="1020" w:right="1020"/>
        </w:sect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12"/>
        <w:rPr>
          <w:rFonts w:ascii="宋体" w:hAnsi="宋体" w:cs="宋体" w:eastAsia="宋体" w:hint="default"/>
          <w:sz w:val="22"/>
          <w:szCs w:val="22"/>
        </w:rPr>
      </w:pPr>
    </w:p>
    <w:p>
      <w:pPr>
        <w:tabs>
          <w:tab w:pos="964" w:val="left" w:leader="none"/>
        </w:tabs>
        <w:spacing w:before="0"/>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905"/>
        <w:gridCol w:w="5140"/>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本公司、公司、皖通科技</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王中胜、杨世宁、杨新子</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保荐人、国元证券</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会计师、大华会计师事务所</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华东电子</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华东科技</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华东数据</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拖柜宝</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汉高信息</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天安怡和</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金飞博</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天津市金飞博光通讯技术有限公司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甲子科技</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玺朗传媒</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天津玺朗文化传媒有限公司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重庆皖通</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皖通智能</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宏途科技</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武汉宏途科技有限公司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行云天下</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pStyle w:val="Heading1"/>
        <w:spacing w:line="240" w:lineRule="auto"/>
        <w:ind w:left="2606" w:right="0"/>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left="112"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4"/>
        <w:gridCol w:w="2925"/>
        <w:gridCol w:w="1284"/>
        <w:gridCol w:w="2176"/>
      </w:tblGrid>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皖通科技</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002331</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皖通科技</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3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皖通科技</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Anhui Wantong Technology</w:t>
            </w:r>
            <w:r>
              <w:rPr>
                <w:rFonts w:ascii="宋体"/>
                <w:spacing w:val="-13"/>
                <w:sz w:val="18"/>
              </w:rPr>
              <w:t> </w:t>
            </w:r>
            <w:r>
              <w:rPr>
                <w:rFonts w:ascii="宋体"/>
                <w:sz w:val="18"/>
              </w:rPr>
              <w:t>Co.,Ltd.</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WANTONG</w:t>
            </w:r>
            <w:r>
              <w:rPr>
                <w:rFonts w:ascii="宋体"/>
                <w:spacing w:val="83"/>
                <w:sz w:val="18"/>
              </w:rPr>
              <w:t> </w:t>
            </w:r>
            <w:r>
              <w:rPr>
                <w:rFonts w:ascii="宋体"/>
                <w:sz w:val="18"/>
              </w:rPr>
              <w:t>TECH.</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王中胜</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230088</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230088</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9">
              <w:r>
                <w:rPr>
                  <w:rFonts w:ascii="宋体"/>
                  <w:sz w:val="18"/>
                </w:rPr>
                <w:t>www.wantong-tech.net</w:t>
              </w:r>
            </w:hyperlink>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hyperlink r:id="rId10">
              <w:r>
                <w:rPr>
                  <w:rFonts w:ascii="宋体"/>
                  <w:sz w:val="18"/>
                </w:rPr>
                <w:t>wtkj@wantong-tech.net</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left="112" w:right="0"/>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潘大圣</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0551-62969206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0551-62969206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0551-62969207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0551-62969207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0">
              <w:r>
                <w:rPr>
                  <w:rFonts w:ascii="宋体"/>
                  <w:sz w:val="18"/>
                </w:rPr>
                <w:t>wtkj@wantong-tech.net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1">
              <w:r>
                <w:rPr>
                  <w:rFonts w:ascii="宋体"/>
                  <w:sz w:val="18"/>
                </w:rPr>
                <w:t>dspan@wantong-tech.net</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12"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4"/>
        <w:gridCol w:w="6384"/>
      </w:tblGrid>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p>
        </w:tc>
      </w:tr>
      <w:tr>
        <w:trPr>
          <w:trHeight w:val="714"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89"/>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 网址</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hyperlink r:id="rId12">
              <w:r>
                <w:rPr>
                  <w:rFonts w:ascii="宋体"/>
                  <w:sz w:val="18"/>
                </w:rPr>
                <w:t>www.cninfo.com.cn</w:t>
              </w:r>
            </w:hyperlink>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5"/>
        <w:rPr>
          <w:rFonts w:ascii="宋体" w:hAnsi="宋体" w:cs="宋体" w:eastAsia="宋体" w:hint="default"/>
          <w:b/>
          <w:bCs/>
          <w:sz w:val="24"/>
          <w:szCs w:val="24"/>
        </w:rPr>
      </w:pPr>
    </w:p>
    <w:p>
      <w:pPr>
        <w:pStyle w:val="Heading4"/>
        <w:spacing w:line="240" w:lineRule="auto" w:before="26"/>
        <w:ind w:left="112"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91340100711761244Q</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87"/>
              <w:jc w:val="right"/>
              <w:rPr>
                <w:rFonts w:ascii="宋体" w:hAnsi="宋体" w:cs="宋体" w:eastAsia="宋体" w:hint="default"/>
                <w:sz w:val="18"/>
                <w:szCs w:val="18"/>
              </w:rPr>
            </w:pPr>
            <w:r>
              <w:rPr>
                <w:rFonts w:ascii="宋体" w:hAnsi="宋体" w:cs="宋体" w:eastAsia="宋体" w:hint="default"/>
                <w:sz w:val="18"/>
                <w:szCs w:val="18"/>
              </w:rPr>
              <w:t>1、1999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日，安徽皖通高速公路股份有限公</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司为公司控股股东，持股比例</w:t>
            </w:r>
            <w:r>
              <w:rPr>
                <w:rFonts w:ascii="宋体" w:hAnsi="宋体" w:cs="宋体" w:eastAsia="宋体" w:hint="default"/>
                <w:spacing w:val="-45"/>
                <w:sz w:val="18"/>
                <w:szCs w:val="18"/>
              </w:rPr>
              <w:t> </w:t>
            </w:r>
            <w:r>
              <w:rPr>
                <w:rFonts w:ascii="宋体" w:hAnsi="宋体" w:cs="宋体" w:eastAsia="宋体" w:hint="default"/>
                <w:sz w:val="18"/>
                <w:szCs w:val="18"/>
              </w:rPr>
              <w:t>51%；</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87"/>
              <w:jc w:val="right"/>
              <w:rPr>
                <w:rFonts w:ascii="宋体" w:hAnsi="宋体" w:cs="宋体" w:eastAsia="宋体" w:hint="default"/>
                <w:sz w:val="18"/>
                <w:szCs w:val="18"/>
              </w:rPr>
            </w:pPr>
            <w:r>
              <w:rPr>
                <w:rFonts w:ascii="宋体" w:hAnsi="宋体" w:cs="宋体" w:eastAsia="宋体" w:hint="default"/>
                <w:sz w:val="18"/>
                <w:szCs w:val="18"/>
              </w:rPr>
              <w:t>2、2000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日，安徽皖通高速公路股份有限公</w:t>
            </w:r>
          </w:p>
        </w:tc>
      </w:tr>
      <w:tr>
        <w:trPr>
          <w:trHeight w:val="66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司为公司控股股东，持股比例</w:t>
            </w:r>
            <w:r>
              <w:rPr>
                <w:rFonts w:ascii="宋体" w:hAnsi="宋体" w:cs="宋体" w:eastAsia="宋体" w:hint="default"/>
                <w:spacing w:val="-46"/>
                <w:sz w:val="18"/>
                <w:szCs w:val="18"/>
              </w:rPr>
              <w:t> </w:t>
            </w:r>
            <w:r>
              <w:rPr>
                <w:rFonts w:ascii="宋体" w:hAnsi="宋体" w:cs="宋体" w:eastAsia="宋体" w:hint="default"/>
                <w:sz w:val="18"/>
                <w:szCs w:val="18"/>
              </w:rPr>
              <w:t>75.5%；</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3、2004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2005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日，安徽国元信托投资有限责任公司</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为公司控股股东，持股比例</w:t>
            </w:r>
            <w:r>
              <w:rPr>
                <w:rFonts w:ascii="宋体" w:hAnsi="宋体" w:cs="宋体" w:eastAsia="宋体" w:hint="default"/>
                <w:spacing w:val="-46"/>
                <w:sz w:val="18"/>
                <w:szCs w:val="18"/>
              </w:rPr>
              <w:t> </w:t>
            </w:r>
            <w:r>
              <w:rPr>
                <w:rFonts w:ascii="宋体" w:hAnsi="宋体" w:cs="宋体" w:eastAsia="宋体" w:hint="default"/>
                <w:sz w:val="18"/>
                <w:szCs w:val="18"/>
              </w:rPr>
              <w:t>75.5%；</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2"/>
              <w:jc w:val="right"/>
              <w:rPr>
                <w:rFonts w:ascii="宋体" w:hAnsi="宋体" w:cs="宋体" w:eastAsia="宋体" w:hint="default"/>
                <w:sz w:val="18"/>
                <w:szCs w:val="18"/>
              </w:rPr>
            </w:pPr>
            <w:r>
              <w:rPr>
                <w:rFonts w:ascii="宋体" w:hAnsi="宋体" w:cs="宋体" w:eastAsia="宋体" w:hint="default"/>
                <w:sz w:val="18"/>
                <w:szCs w:val="18"/>
              </w:rPr>
              <w:t>4、2005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9</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26</w:t>
            </w:r>
            <w:r>
              <w:rPr>
                <w:rFonts w:ascii="宋体" w:hAnsi="宋体" w:cs="宋体" w:eastAsia="宋体" w:hint="default"/>
                <w:spacing w:val="-52"/>
                <w:sz w:val="18"/>
                <w:szCs w:val="18"/>
              </w:rPr>
              <w:t> </w:t>
            </w:r>
            <w:r>
              <w:rPr>
                <w:rFonts w:ascii="宋体" w:hAnsi="宋体" w:cs="宋体" w:eastAsia="宋体" w:hint="default"/>
                <w:sz w:val="18"/>
                <w:szCs w:val="18"/>
              </w:rPr>
              <w:t>日至今，王中胜、杨世宁和杨新子为公司实际控制人；截</w:t>
            </w:r>
          </w:p>
        </w:tc>
      </w:tr>
      <w:tr>
        <w:trPr>
          <w:trHeight w:val="356"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日持股比例为</w:t>
            </w:r>
            <w:r>
              <w:rPr>
                <w:rFonts w:ascii="宋体" w:hAnsi="宋体" w:cs="宋体" w:eastAsia="宋体" w:hint="default"/>
                <w:spacing w:val="-46"/>
                <w:sz w:val="18"/>
                <w:szCs w:val="18"/>
              </w:rPr>
              <w:t> </w:t>
            </w:r>
            <w:r>
              <w:rPr>
                <w:rFonts w:ascii="宋体" w:hAnsi="宋体" w:cs="宋体" w:eastAsia="宋体" w:hint="default"/>
                <w:sz w:val="18"/>
                <w:szCs w:val="18"/>
              </w:rPr>
              <w:t>24.85%。</w:t>
            </w:r>
          </w:p>
        </w:tc>
      </w:tr>
    </w:tbl>
    <w:p>
      <w:pPr>
        <w:spacing w:line="240" w:lineRule="auto" w:before="2"/>
        <w:rPr>
          <w:rFonts w:ascii="宋体" w:hAnsi="宋体" w:cs="宋体" w:eastAsia="宋体" w:hint="default"/>
          <w:b/>
          <w:bCs/>
          <w:sz w:val="18"/>
          <w:szCs w:val="18"/>
        </w:rPr>
      </w:pPr>
    </w:p>
    <w:p>
      <w:pPr>
        <w:pStyle w:val="Heading4"/>
        <w:spacing w:line="240" w:lineRule="auto" w:before="26"/>
        <w:ind w:left="112"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4"/>
        <w:gridCol w:w="6384"/>
      </w:tblGrid>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8"/>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宋体" w:hAnsi="宋体" w:cs="宋体" w:eastAsia="宋体" w:hint="default"/>
                <w:sz w:val="18"/>
                <w:szCs w:val="18"/>
              </w:rPr>
              <w:t>1101</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384" w:type="dxa"/>
            <w:tcBorders>
              <w:top w:val="single" w:sz="4" w:space="0" w:color="000000"/>
              <w:left w:val="single" w:sz="4" w:space="0" w:color="000000"/>
              <w:bottom w:val="single" w:sz="4" w:space="0" w:color="000000"/>
              <w:right w:val="single" w:sz="4" w:space="0" w:color="000000"/>
            </w:tcBorders>
          </w:tcPr>
          <w:p>
            <w:pPr>
              <w:pStyle w:val="TableParagraph"/>
              <w:tabs>
                <w:tab w:pos="652" w:val="left" w:leader="none"/>
              </w:tabs>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李静</w:t>
              <w:tab/>
              <w:t>王原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3969"/>
        <w:gridCol w:w="1701"/>
        <w:gridCol w:w="1913"/>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安徽省合肥市梅山路</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8"/>
                <w:sz w:val="18"/>
                <w:szCs w:val="18"/>
              </w:rPr>
              <w:t> </w:t>
            </w:r>
            <w:r>
              <w:rPr>
                <w:rFonts w:ascii="宋体" w:hAnsi="宋体" w:cs="宋体" w:eastAsia="宋体" w:hint="default"/>
                <w:sz w:val="18"/>
                <w:szCs w:val="18"/>
              </w:rPr>
              <w:t>号安徽国际金融中心</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胡伟</w:t>
            </w:r>
            <w:r>
              <w:rPr>
                <w:rFonts w:ascii="宋体" w:hAnsi="宋体" w:cs="宋体" w:eastAsia="宋体" w:hint="default"/>
                <w:spacing w:val="90"/>
                <w:sz w:val="18"/>
                <w:szCs w:val="18"/>
              </w:rPr>
              <w:t> </w:t>
            </w:r>
            <w:r>
              <w:rPr>
                <w:rFonts w:ascii="宋体" w:hAnsi="宋体" w:cs="宋体" w:eastAsia="宋体" w:hint="default"/>
                <w:sz w:val="18"/>
                <w:szCs w:val="18"/>
              </w:rPr>
              <w:t>束学岭</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left="112"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34"/>
        <w:gridCol w:w="1695"/>
        <w:gridCol w:w="1530"/>
        <w:gridCol w:w="1740"/>
        <w:gridCol w:w="1570"/>
      </w:tblGrid>
      <w:tr>
        <w:trPr>
          <w:trHeight w:val="402" w:hRule="exact"/>
        </w:trPr>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882,037,006.51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781,300,863.63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12.89%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794,848,110.65</w:t>
            </w:r>
          </w:p>
        </w:tc>
      </w:tr>
      <w:tr>
        <w:trPr>
          <w:trHeight w:val="402" w:hRule="exact"/>
        </w:trPr>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69,494,426.63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57,132,485.37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21.64%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70,763,819.33</w:t>
            </w:r>
          </w:p>
        </w:tc>
      </w:tr>
      <w:tr>
        <w:trPr>
          <w:trHeight w:val="714" w:hRule="exact"/>
        </w:trPr>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50,094,551.55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45,167,852.06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10.91%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52,782,871.62</w:t>
            </w:r>
          </w:p>
        </w:tc>
      </w:tr>
      <w:tr>
        <w:trPr>
          <w:trHeight w:val="402" w:hRule="exact"/>
        </w:trPr>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123,928,174.44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-9,092,586.42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1,462.96%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54,869,611.66</w:t>
            </w:r>
          </w:p>
        </w:tc>
      </w:tr>
      <w:tr>
        <w:trPr>
          <w:trHeight w:val="402" w:hRule="exact"/>
        </w:trPr>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0.2380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0.2149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10.75%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0.2752</w:t>
            </w:r>
          </w:p>
        </w:tc>
      </w:tr>
      <w:tr>
        <w:trPr>
          <w:trHeight w:val="400" w:hRule="exact"/>
        </w:trPr>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0.2380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0.2149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10.75%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0.2752</w:t>
            </w:r>
          </w:p>
        </w:tc>
      </w:tr>
    </w:tbl>
    <w:p>
      <w:pPr>
        <w:spacing w:after="0" w:line="240" w:lineRule="auto"/>
        <w:jc w:val="righ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034"/>
        <w:gridCol w:w="1695"/>
        <w:gridCol w:w="1530"/>
        <w:gridCol w:w="1740"/>
        <w:gridCol w:w="1570"/>
      </w:tblGrid>
      <w:tr>
        <w:trPr>
          <w:trHeight w:val="402" w:hRule="exact"/>
        </w:trPr>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5.80%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-0.74%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9.72%</w:t>
            </w:r>
          </w:p>
        </w:tc>
      </w:tr>
      <w:tr>
        <w:trPr>
          <w:trHeight w:val="402" w:hRule="exact"/>
        </w:trPr>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1,787,636,742.90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1,568,372,663.06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13.98%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1,226,046,484.96</w:t>
            </w:r>
          </w:p>
        </w:tc>
      </w:tr>
      <w:tr>
        <w:trPr>
          <w:trHeight w:val="402" w:hRule="exact"/>
        </w:trPr>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1,229,675,148.37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1,172,344,855.64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757,547,514.15</w:t>
            </w:r>
          </w:p>
        </w:tc>
      </w:tr>
    </w:tbl>
    <w:p>
      <w:pPr>
        <w:spacing w:line="240" w:lineRule="auto" w:before="2"/>
        <w:rPr>
          <w:rFonts w:ascii="宋体" w:hAnsi="宋体" w:cs="宋体" w:eastAsia="宋体" w:hint="default"/>
          <w:sz w:val="18"/>
          <w:szCs w:val="18"/>
        </w:rPr>
      </w:pPr>
    </w:p>
    <w:p>
      <w:pPr>
        <w:pStyle w:val="Heading4"/>
        <w:spacing w:line="240" w:lineRule="auto" w:before="26"/>
        <w:ind w:left="112"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2" w:right="0"/>
        <w:jc w:val="left"/>
        <w:rPr>
          <w:b w:val="0"/>
          <w:bCs w:val="0"/>
        </w:rPr>
      </w:pPr>
      <w:r>
        <w:rPr/>
        <w:t>1、同时按照国际会计准则与按照中国会计准则披露的财务报告中净利润和净资产差异情况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14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0"/>
          <w:szCs w:val="20"/>
        </w:rPr>
      </w:pPr>
    </w:p>
    <w:p>
      <w:pPr>
        <w:pStyle w:val="Heading6"/>
        <w:spacing w:line="240" w:lineRule="auto"/>
        <w:ind w:left="112" w:right="0"/>
        <w:jc w:val="left"/>
        <w:rPr>
          <w:b w:val="0"/>
          <w:bCs w:val="0"/>
        </w:rPr>
      </w:pPr>
      <w:r>
        <w:rPr/>
        <w:t>2、同时按照境外会计准则与按照中国会计准则披露的财务报告中净利润和净资产差异情况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16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8"/>
          <w:szCs w:val="18"/>
        </w:rPr>
      </w:pPr>
    </w:p>
    <w:p>
      <w:pPr>
        <w:pStyle w:val="Heading4"/>
        <w:spacing w:line="240" w:lineRule="auto"/>
        <w:ind w:left="112" w:right="0"/>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96,584,651.87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192,365,434.66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260,187,304.90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332,899,615.08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9,864,902.58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13,536,112.59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26,321,433.42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19,771,978.04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1,434,855.80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14,767,934.49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24,962,656.37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8,929,104.89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14,754,819.43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-46,472,829.34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26,174,930.69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129,471,253.66</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25"/>
          <w:szCs w:val="25"/>
        </w:rPr>
      </w:pPr>
    </w:p>
    <w:p>
      <w:pPr>
        <w:pStyle w:val="Heading4"/>
        <w:spacing w:line="240" w:lineRule="auto"/>
        <w:ind w:left="112"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4,388,599.05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-149,000.00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16,099,286.63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11,858,583.95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10,327,966.05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5,587,792.00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6,954,174.68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4,329,434.70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1298"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-119,066.64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-17,345.20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14,857.19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3,467,858.94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2,172,661.70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3,255,314.12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214,557.02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353,760.54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465,673.99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19,399,875.08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11,964,633.31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17,980,947.71</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316" w:lineRule="auto" w:before="50"/>
        <w:ind w:left="112" w:right="112"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r>
        <w:rPr>
          <w:rFonts w:ascii="宋体" w:hAnsi="宋体" w:cs="宋体" w:eastAsia="宋体" w:hint="default"/>
          <w:sz w:val="18"/>
          <w:szCs w:val="18"/>
        </w:rPr>
        <w:t> 开发行证券的公司信息披露解释性公告第</w:t>
      </w:r>
      <w:r>
        <w:rPr>
          <w:rFonts w:ascii="宋体" w:hAnsi="宋体" w:cs="宋体" w:eastAsia="宋体" w:hint="default"/>
          <w:spacing w:val="-35"/>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59"/>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316" w:lineRule="auto" w:before="117"/>
        <w:ind w:left="112" w:right="112" w:firstLine="0"/>
        <w:jc w:val="both"/>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16" w:lineRule="auto"/>
        <w:jc w:val="both"/>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3511"/>
        <w:jc w:val="center"/>
        <w:rPr>
          <w:b w:val="0"/>
          <w:bCs w:val="0"/>
        </w:rPr>
      </w:pPr>
      <w:bookmarkStart w:name="_bookmark2" w:id="3"/>
      <w:bookmarkEnd w:id="3"/>
      <w:r>
        <w:rPr>
          <w:b w:val="0"/>
          <w:bCs w:val="0"/>
        </w:rPr>
      </w:r>
      <w:r>
        <w:rPr/>
        <w:t>第三节</w:t>
      </w:r>
      <w:r>
        <w:rPr>
          <w:spacing w:val="-10"/>
        </w:rPr>
        <w:t> </w:t>
      </w:r>
      <w:r>
        <w:rPr/>
        <w:t>公司业务概要</w:t>
      </w:r>
      <w:r>
        <w:rPr>
          <w:b w:val="0"/>
          <w:bCs w:val="0"/>
        </w:rPr>
      </w:r>
    </w:p>
    <w:p>
      <w:pPr>
        <w:spacing w:line="690" w:lineRule="atLeast" w:before="131"/>
        <w:ind w:left="595" w:right="96" w:hanging="483"/>
        <w:jc w:val="left"/>
        <w:rPr>
          <w:rFonts w:ascii="宋体" w:hAnsi="宋体" w:cs="宋体" w:eastAsia="宋体" w:hint="default"/>
          <w:sz w:val="24"/>
          <w:szCs w:val="24"/>
        </w:rPr>
      </w:pP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公司专业从事交通信息化领域应用软件开发、信息系统集成以及运行维护服务，通过为</w:t>
      </w:r>
    </w:p>
    <w:p>
      <w:pPr>
        <w:pStyle w:val="Heading5"/>
        <w:spacing w:line="357" w:lineRule="auto" w:before="154"/>
        <w:ind w:right="96"/>
        <w:jc w:val="left"/>
      </w:pPr>
      <w:r>
        <w:rPr/>
        <w:t>客户提供成熟稳定、优质高效的信息化产品和服务，已发展成为国内交通信息化行业的领军</w:t>
      </w:r>
      <w:r>
        <w:rPr>
          <w:spacing w:val="-89"/>
        </w:rPr>
        <w:t> </w:t>
      </w:r>
      <w:r>
        <w:rPr>
          <w:spacing w:val="-89"/>
        </w:rPr>
      </w:r>
      <w:r>
        <w:rPr/>
        <w:t>企业。</w:t>
      </w:r>
    </w:p>
    <w:p>
      <w:pPr>
        <w:pStyle w:val="Heading5"/>
        <w:spacing w:line="357" w:lineRule="auto"/>
        <w:ind w:right="230" w:firstLine="482"/>
        <w:jc w:val="both"/>
      </w:pPr>
      <w:r>
        <w:rPr/>
        <w:t>公司以软件研发为核心，以高速公路和港口航运信息化为龙头，深入践行“大交通信息 化”战略，围绕交通产业链精心布局业务结构，致力于打造国内一流的交通信息化系统方案</w:t>
      </w:r>
      <w:r>
        <w:rPr>
          <w:spacing w:val="-89"/>
        </w:rPr>
        <w:t> </w:t>
      </w:r>
      <w:r>
        <w:rPr>
          <w:spacing w:val="-89"/>
        </w:rPr>
      </w:r>
      <w:r>
        <w:rPr/>
        <w:t>提供商和运行维护商。公司秉承“立足安徽，走向全国，面向海外”的市场战略，遵循本地</w:t>
      </w:r>
      <w:r>
        <w:rPr>
          <w:spacing w:val="-87"/>
        </w:rPr>
        <w:t> </w:t>
      </w:r>
      <w:r>
        <w:rPr>
          <w:spacing w:val="-87"/>
        </w:rPr>
      </w:r>
      <w:r>
        <w:rPr/>
        <w:t>化、专业化、贴近化的服务理念，高速公路信息化业务以安徽、福建、山东、陕西、重庆等</w:t>
      </w:r>
      <w:r>
        <w:rPr>
          <w:spacing w:val="-89"/>
        </w:rPr>
        <w:t> </w:t>
      </w:r>
      <w:r>
        <w:rPr>
          <w:spacing w:val="-89"/>
        </w:rPr>
      </w:r>
      <w:r>
        <w:rPr/>
        <w:t>地为根据地，大幅拓展国内市场；港口航运信息化业务以非洲、拉丁美洲为重点区域，全面</w:t>
      </w:r>
      <w:r>
        <w:rPr>
          <w:spacing w:val="-89"/>
        </w:rPr>
        <w:t> </w:t>
      </w:r>
      <w:r>
        <w:rPr>
          <w:spacing w:val="-89"/>
        </w:rPr>
      </w:r>
      <w:r>
        <w:rPr/>
        <w:t>开拓海外市场。目前，公司的高速公路信息化业务已遍布全国20多个省份，港口航运信息化</w:t>
      </w:r>
      <w:r>
        <w:rPr>
          <w:spacing w:val="-89"/>
        </w:rPr>
        <w:t> </w:t>
      </w:r>
      <w:r>
        <w:rPr>
          <w:spacing w:val="-89"/>
        </w:rPr>
      </w:r>
      <w:r>
        <w:rPr/>
        <w:t>的产品覆盖了全国90%的港口，拥有高度的行业话语权和市场地位。</w:t>
      </w:r>
    </w:p>
    <w:p>
      <w:pPr>
        <w:pStyle w:val="Heading5"/>
        <w:spacing w:line="357" w:lineRule="auto"/>
        <w:ind w:right="96" w:firstLine="482"/>
        <w:jc w:val="left"/>
      </w:pPr>
      <w:r>
        <w:rPr>
          <w:spacing w:val="-3"/>
        </w:rPr>
        <w:t>报告期内，公司在巩固传统业务优势地位的基础上，整合行业优势资源，创新商业模式，</w:t>
      </w:r>
      <w:r>
        <w:rPr/>
        <w:t> 积极拓展“互联网+”业务。公司通过合资成立控股子公司安徽行云天下科技有限公司，探索 公众出行和汽车后市场新型服务模式；通过成立全资子公司烟台华东数据科技有限公司和宁</w:t>
      </w:r>
      <w:r>
        <w:rPr>
          <w:spacing w:val="-89"/>
        </w:rPr>
        <w:t> </w:t>
      </w:r>
      <w:r>
        <w:rPr>
          <w:spacing w:val="-89"/>
        </w:rPr>
      </w:r>
      <w:r>
        <w:rPr/>
        <w:t>波</w:t>
      </w:r>
      <w:r>
        <w:rPr>
          <w:spacing w:val="-24"/>
        </w:rPr>
        <w:t> </w:t>
      </w:r>
      <w:r>
        <w:rPr/>
        <w:t>拖</w:t>
      </w:r>
      <w:r>
        <w:rPr>
          <w:spacing w:val="-24"/>
        </w:rPr>
        <w:t> </w:t>
      </w:r>
      <w:r>
        <w:rPr/>
        <w:t>柜</w:t>
      </w:r>
      <w:r>
        <w:rPr>
          <w:spacing w:val="-24"/>
        </w:rPr>
        <w:t> </w:t>
      </w:r>
      <w:r>
        <w:rPr/>
        <w:t>宝</w:t>
      </w:r>
      <w:r>
        <w:rPr>
          <w:spacing w:val="-27"/>
        </w:rPr>
        <w:t> </w:t>
      </w:r>
      <w:r>
        <w:rPr/>
        <w:t>物</w:t>
      </w:r>
      <w:r>
        <w:rPr>
          <w:spacing w:val="-24"/>
        </w:rPr>
        <w:t> </w:t>
      </w:r>
      <w:r>
        <w:rPr/>
        <w:t>流</w:t>
      </w:r>
      <w:r>
        <w:rPr>
          <w:spacing w:val="-24"/>
        </w:rPr>
        <w:t> </w:t>
      </w:r>
      <w:r>
        <w:rPr/>
        <w:t>科</w:t>
      </w:r>
      <w:r>
        <w:rPr>
          <w:spacing w:val="-24"/>
        </w:rPr>
        <w:t> </w:t>
      </w:r>
      <w:r>
        <w:rPr/>
        <w:t>技</w:t>
      </w:r>
      <w:r>
        <w:rPr>
          <w:spacing w:val="-24"/>
        </w:rPr>
        <w:t> </w:t>
      </w:r>
      <w:r>
        <w:rPr/>
        <w:t>有</w:t>
      </w:r>
      <w:r>
        <w:rPr>
          <w:spacing w:val="-24"/>
        </w:rPr>
        <w:t> </w:t>
      </w:r>
      <w:r>
        <w:rPr/>
        <w:t>限</w:t>
      </w:r>
      <w:r>
        <w:rPr>
          <w:spacing w:val="-24"/>
        </w:rPr>
        <w:t> </w:t>
      </w:r>
      <w:r>
        <w:rPr/>
        <w:t>责</w:t>
      </w:r>
      <w:r>
        <w:rPr>
          <w:spacing w:val="-27"/>
        </w:rPr>
        <w:t> </w:t>
      </w:r>
      <w:r>
        <w:rPr/>
        <w:t>任</w:t>
      </w:r>
      <w:r>
        <w:rPr>
          <w:spacing w:val="-24"/>
        </w:rPr>
        <w:t> </w:t>
      </w:r>
      <w:r>
        <w:rPr/>
        <w:t>公</w:t>
      </w:r>
      <w:r>
        <w:rPr>
          <w:spacing w:val="-24"/>
        </w:rPr>
        <w:t> </w:t>
      </w:r>
      <w:r>
        <w:rPr/>
        <w:t>司</w:t>
      </w:r>
      <w:r>
        <w:rPr>
          <w:spacing w:val="-24"/>
        </w:rPr>
        <w:t> </w:t>
      </w:r>
      <w:r>
        <w:rPr/>
        <w:t>，</w:t>
      </w:r>
      <w:r>
        <w:rPr>
          <w:spacing w:val="-24"/>
        </w:rPr>
        <w:t> </w:t>
      </w:r>
      <w:r>
        <w:rPr/>
        <w:t>以</w:t>
      </w:r>
      <w:r>
        <w:rPr>
          <w:spacing w:val="-24"/>
        </w:rPr>
        <w:t> </w:t>
      </w:r>
      <w:r>
        <w:rPr/>
        <w:t>港</w:t>
      </w:r>
      <w:r>
        <w:rPr>
          <w:spacing w:val="-27"/>
        </w:rPr>
        <w:t> </w:t>
      </w:r>
      <w:r>
        <w:rPr/>
        <w:t>航</w:t>
      </w:r>
      <w:r>
        <w:rPr>
          <w:spacing w:val="-24"/>
        </w:rPr>
        <w:t> </w:t>
      </w:r>
      <w:r>
        <w:rPr/>
        <w:t>大</w:t>
      </w:r>
      <w:r>
        <w:rPr>
          <w:spacing w:val="-24"/>
        </w:rPr>
        <w:t> </w:t>
      </w:r>
      <w:r>
        <w:rPr/>
        <w:t>数</w:t>
      </w:r>
      <w:r>
        <w:rPr>
          <w:spacing w:val="-24"/>
        </w:rPr>
        <w:t> </w:t>
      </w:r>
      <w:r>
        <w:rPr/>
        <w:t>据</w:t>
      </w:r>
      <w:r>
        <w:rPr>
          <w:spacing w:val="-24"/>
        </w:rPr>
        <w:t> </w:t>
      </w:r>
      <w:r>
        <w:rPr/>
        <w:t>分</w:t>
      </w:r>
      <w:r>
        <w:rPr>
          <w:spacing w:val="-24"/>
        </w:rPr>
        <w:t> </w:t>
      </w:r>
      <w:r>
        <w:rPr/>
        <w:t>析</w:t>
      </w:r>
      <w:r>
        <w:rPr>
          <w:spacing w:val="-24"/>
        </w:rPr>
        <w:t> </w:t>
      </w:r>
      <w:r>
        <w:rPr/>
        <w:t>和</w:t>
      </w:r>
      <w:r>
        <w:rPr>
          <w:spacing w:val="-27"/>
        </w:rPr>
        <w:t> </w:t>
      </w:r>
      <w:r>
        <w:rPr/>
        <w:t>中</w:t>
      </w:r>
      <w:r>
        <w:rPr>
          <w:spacing w:val="-24"/>
        </w:rPr>
        <w:t> </w:t>
      </w:r>
      <w:r>
        <w:rPr/>
        <w:t>国</w:t>
      </w:r>
      <w:r>
        <w:rPr>
          <w:spacing w:val="-24"/>
        </w:rPr>
        <w:t> </w:t>
      </w:r>
      <w:r>
        <w:rPr/>
        <w:t>港</w:t>
      </w:r>
      <w:r>
        <w:rPr>
          <w:spacing w:val="-24"/>
        </w:rPr>
        <w:t> </w:t>
      </w:r>
      <w:r>
        <w:rPr/>
        <w:t>口</w:t>
      </w:r>
      <w:r>
        <w:rPr>
          <w:spacing w:val="-24"/>
        </w:rPr>
        <w:t> </w:t>
      </w:r>
      <w:r>
        <w:rPr/>
        <w:t>网</w:t>
      </w:r>
    </w:p>
    <w:p>
      <w:pPr>
        <w:pStyle w:val="Heading5"/>
        <w:spacing w:line="357" w:lineRule="auto"/>
        <w:ind w:right="96"/>
        <w:jc w:val="left"/>
      </w:pPr>
      <w:hyperlink r:id="rId13">
        <w:r>
          <w:rPr>
            <w:spacing w:val="-2"/>
          </w:rPr>
          <w:t>（http://www.chinaports.com</w:t>
        </w:r>
      </w:hyperlink>
      <w:r>
        <w:rPr>
          <w:spacing w:val="-2"/>
        </w:rPr>
        <w:t>）为支撑，发展第三方综合性物流和公共信息服务。未来，公</w:t>
      </w:r>
      <w:r>
        <w:rPr>
          <w:spacing w:val="-96"/>
        </w:rPr>
        <w:t> </w:t>
      </w:r>
      <w:r>
        <w:rPr>
          <w:spacing w:val="-96"/>
        </w:rPr>
      </w:r>
      <w:r>
        <w:rPr/>
        <w:t>司将继续整合集团大数据业务，在细分市场多元化、个性化、定制化服务领域持续发力。</w:t>
      </w:r>
    </w:p>
    <w:p>
      <w:pPr>
        <w:spacing w:line="240" w:lineRule="auto" w:before="11"/>
        <w:rPr>
          <w:rFonts w:ascii="宋体" w:hAnsi="宋体" w:cs="宋体" w:eastAsia="宋体" w:hint="default"/>
          <w:sz w:val="19"/>
          <w:szCs w:val="19"/>
        </w:rPr>
      </w:pPr>
    </w:p>
    <w:p>
      <w:pPr>
        <w:pStyle w:val="Heading4"/>
        <w:spacing w:line="240" w:lineRule="auto"/>
        <w:ind w:left="112" w:right="96"/>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2" w:right="96"/>
        <w:jc w:val="left"/>
        <w:rPr>
          <w:b w:val="0"/>
          <w:bCs w:val="0"/>
        </w:rPr>
      </w:pPr>
      <w:r>
        <w:rPr/>
        <w:t>1、主要资产重大变化情况</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209"/>
        <w:gridCol w:w="7359"/>
      </w:tblGrid>
      <w:tr>
        <w:trPr>
          <w:trHeight w:val="402" w:hRule="exact"/>
        </w:trPr>
        <w:tc>
          <w:tcPr>
            <w:tcW w:w="220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35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7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货币资金期末余额较期初增加</w:t>
            </w:r>
            <w:r>
              <w:rPr>
                <w:rFonts w:ascii="宋体" w:hAnsi="宋体" w:cs="宋体" w:eastAsia="宋体" w:hint="default"/>
                <w:spacing w:val="-50"/>
                <w:sz w:val="18"/>
                <w:szCs w:val="18"/>
              </w:rPr>
              <w:t> </w:t>
            </w:r>
            <w:r>
              <w:rPr>
                <w:rFonts w:ascii="宋体" w:hAnsi="宋体" w:cs="宋体" w:eastAsia="宋体" w:hint="default"/>
                <w:sz w:val="18"/>
                <w:szCs w:val="18"/>
              </w:rPr>
              <w:t>33.49%，主要是本期项目回款增加所致。</w:t>
            </w:r>
          </w:p>
        </w:tc>
      </w:tr>
      <w:tr>
        <w:trPr>
          <w:trHeight w:val="402"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7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应收账款期末余额较期初减少</w:t>
            </w:r>
            <w:r>
              <w:rPr>
                <w:rFonts w:ascii="宋体" w:hAnsi="宋体" w:cs="宋体" w:eastAsia="宋体" w:hint="default"/>
                <w:spacing w:val="-50"/>
                <w:sz w:val="18"/>
                <w:szCs w:val="18"/>
              </w:rPr>
              <w:t> </w:t>
            </w:r>
            <w:r>
              <w:rPr>
                <w:rFonts w:ascii="宋体" w:hAnsi="宋体" w:cs="宋体" w:eastAsia="宋体" w:hint="default"/>
                <w:sz w:val="18"/>
                <w:szCs w:val="18"/>
              </w:rPr>
              <w:t>29.44%，主要是本期项目回款及时所致。</w:t>
            </w:r>
          </w:p>
        </w:tc>
      </w:tr>
      <w:tr>
        <w:trPr>
          <w:trHeight w:val="402"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7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存货期末余额较期初增加</w:t>
            </w:r>
            <w:r>
              <w:rPr>
                <w:rFonts w:ascii="宋体" w:hAnsi="宋体" w:cs="宋体" w:eastAsia="宋体" w:hint="default"/>
                <w:spacing w:val="-50"/>
                <w:sz w:val="18"/>
                <w:szCs w:val="18"/>
              </w:rPr>
              <w:t> </w:t>
            </w:r>
            <w:r>
              <w:rPr>
                <w:rFonts w:ascii="宋体" w:hAnsi="宋体" w:cs="宋体" w:eastAsia="宋体" w:hint="default"/>
                <w:sz w:val="18"/>
                <w:szCs w:val="18"/>
              </w:rPr>
              <w:t>72.89%，主要是本期新开工项目增加但尚未达到结算时点所致。</w:t>
            </w:r>
          </w:p>
        </w:tc>
      </w:tr>
      <w:tr>
        <w:trPr>
          <w:trHeight w:val="402"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7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应收票据期末余额较期初增加</w:t>
            </w:r>
            <w:r>
              <w:rPr>
                <w:rFonts w:ascii="宋体" w:hAnsi="宋体" w:cs="宋体" w:eastAsia="宋体" w:hint="default"/>
                <w:spacing w:val="-49"/>
                <w:sz w:val="18"/>
                <w:szCs w:val="18"/>
              </w:rPr>
              <w:t> </w:t>
            </w:r>
            <w:r>
              <w:rPr>
                <w:rFonts w:ascii="宋体" w:hAnsi="宋体" w:cs="宋体" w:eastAsia="宋体" w:hint="default"/>
                <w:sz w:val="18"/>
                <w:szCs w:val="18"/>
              </w:rPr>
              <w:t>267.72%，主要是因为本期收到的银行承兑汇票增加所致。</w:t>
            </w:r>
          </w:p>
        </w:tc>
      </w:tr>
      <w:tr>
        <w:trPr>
          <w:trHeight w:val="402"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7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预付账款期末余额较期初增加</w:t>
            </w:r>
            <w:r>
              <w:rPr>
                <w:rFonts w:ascii="宋体" w:hAnsi="宋体" w:cs="宋体" w:eastAsia="宋体" w:hint="default"/>
                <w:spacing w:val="-50"/>
                <w:sz w:val="18"/>
                <w:szCs w:val="18"/>
              </w:rPr>
              <w:t> </w:t>
            </w:r>
            <w:r>
              <w:rPr>
                <w:rFonts w:ascii="宋体" w:hAnsi="宋体" w:cs="宋体" w:eastAsia="宋体" w:hint="default"/>
                <w:sz w:val="18"/>
                <w:szCs w:val="18"/>
              </w:rPr>
              <w:t>60.97%，主要是本期预支付新开工项目材料和工程款所致。</w:t>
            </w:r>
          </w:p>
        </w:tc>
      </w:tr>
      <w:tr>
        <w:trPr>
          <w:trHeight w:val="402"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开发支出</w:t>
            </w:r>
          </w:p>
        </w:tc>
        <w:tc>
          <w:tcPr>
            <w:tcW w:w="7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开发支出期末余额较期初增加</w:t>
            </w:r>
            <w:r>
              <w:rPr>
                <w:rFonts w:ascii="宋体" w:hAnsi="宋体" w:cs="宋体" w:eastAsia="宋体" w:hint="default"/>
                <w:spacing w:val="-48"/>
                <w:sz w:val="18"/>
                <w:szCs w:val="18"/>
              </w:rPr>
              <w:t> </w:t>
            </w:r>
            <w:r>
              <w:rPr>
                <w:rFonts w:ascii="宋体" w:hAnsi="宋体" w:cs="宋体" w:eastAsia="宋体" w:hint="default"/>
                <w:sz w:val="18"/>
                <w:szCs w:val="18"/>
              </w:rPr>
              <w:t>42.5%，主要是本期加大研发投入力度所致。</w:t>
            </w:r>
          </w:p>
        </w:tc>
      </w:tr>
    </w:tbl>
    <w:p>
      <w:pPr>
        <w:spacing w:after="0" w:line="240" w:lineRule="auto"/>
        <w:jc w:val="left"/>
        <w:rPr>
          <w:rFonts w:ascii="宋体" w:hAnsi="宋体" w:cs="宋体" w:eastAsia="宋体" w:hint="default"/>
          <w:sz w:val="18"/>
          <w:szCs w:val="18"/>
        </w:rPr>
        <w:sectPr>
          <w:pgSz w:w="11910" w:h="16840"/>
          <w:pgMar w:header="746" w:footer="978" w:top="1040" w:bottom="1160" w:left="1020" w:right="900"/>
        </w:sectPr>
      </w:pPr>
    </w:p>
    <w:p>
      <w:pPr>
        <w:spacing w:line="240" w:lineRule="auto" w:before="6"/>
        <w:rPr>
          <w:rFonts w:ascii="宋体" w:hAnsi="宋体" w:cs="宋体" w:eastAsia="宋体" w:hint="default"/>
          <w:b/>
          <w:bCs/>
          <w:sz w:val="25"/>
          <w:szCs w:val="25"/>
        </w:rPr>
      </w:pPr>
    </w:p>
    <w:p>
      <w:pPr>
        <w:pStyle w:val="Heading6"/>
        <w:spacing w:line="240" w:lineRule="auto" w:before="34"/>
        <w:ind w:left="112" w:right="96"/>
        <w:jc w:val="left"/>
        <w:rPr>
          <w:b w:val="0"/>
          <w:bCs w:val="0"/>
        </w:rPr>
      </w:pPr>
      <w:r>
        <w:rPr/>
        <w:t>2、主要境外资产情况</w:t>
      </w:r>
      <w:r>
        <w:rPr>
          <w:b w:val="0"/>
          <w:bCs w:val="0"/>
        </w:rPr>
      </w:r>
    </w:p>
    <w:p>
      <w:pPr>
        <w:spacing w:line="240" w:lineRule="auto" w:before="9"/>
        <w:rPr>
          <w:rFonts w:ascii="宋体" w:hAnsi="宋体" w:cs="宋体" w:eastAsia="宋体" w:hint="default"/>
          <w:b/>
          <w:bCs/>
          <w:sz w:val="27"/>
          <w:szCs w:val="27"/>
        </w:rPr>
      </w:pPr>
    </w:p>
    <w:p>
      <w:pPr>
        <w:spacing w:before="0"/>
        <w:ind w:left="112" w:right="96"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Heading4"/>
        <w:spacing w:line="692" w:lineRule="exact" w:before="54"/>
        <w:ind w:left="712" w:right="7446" w:hanging="600"/>
        <w:jc w:val="left"/>
        <w:rPr>
          <w:b w:val="0"/>
          <w:bCs w:val="0"/>
        </w:rPr>
      </w:pPr>
      <w:r>
        <w:rPr/>
        <w:t>三、核心竞争力分析</w:t>
      </w:r>
      <w:r>
        <w:rPr>
          <w:w w:val="99"/>
        </w:rPr>
        <w:t> </w:t>
      </w:r>
      <w:r>
        <w:rPr/>
        <w:t>1、技术创新优势</w:t>
      </w:r>
      <w:r>
        <w:rPr>
          <w:b w:val="0"/>
          <w:bCs w:val="0"/>
        </w:rPr>
      </w:r>
    </w:p>
    <w:p>
      <w:pPr>
        <w:pStyle w:val="Heading5"/>
        <w:spacing w:line="357" w:lineRule="auto" w:before="49"/>
        <w:ind w:right="232" w:firstLine="480"/>
        <w:jc w:val="both"/>
      </w:pPr>
      <w:r>
        <w:rPr/>
        <w:t>公司作为交通信息化领域的领军企业，依托强大的研发团队与深厚的项目基础，立足市 场需求，坚持创新驱动，始终走在行业信息化应用前端，开发了多项专业信息化产品和整体</w:t>
      </w:r>
      <w:r>
        <w:rPr>
          <w:spacing w:val="-89"/>
        </w:rPr>
        <w:t> </w:t>
      </w:r>
      <w:r>
        <w:rPr>
          <w:spacing w:val="-89"/>
        </w:rPr>
      </w:r>
      <w:r>
        <w:rPr/>
        <w:t>解决方案。公司通过营造创新环境、引进创新人才、加大研发投入、强化激励机制等措施，</w:t>
      </w:r>
      <w:r>
        <w:rPr>
          <w:spacing w:val="-89"/>
        </w:rPr>
        <w:t> </w:t>
      </w:r>
      <w:r>
        <w:rPr>
          <w:spacing w:val="-89"/>
        </w:rPr>
      </w:r>
      <w:r>
        <w:rPr/>
        <w:t>构建产学研一体的高效研发机制，深度挖掘企业创新潜力，为公司快速发展提供强有力的后</w:t>
      </w:r>
      <w:r>
        <w:rPr>
          <w:spacing w:val="-89"/>
        </w:rPr>
        <w:t> </w:t>
      </w:r>
      <w:r>
        <w:rPr>
          <w:spacing w:val="-89"/>
        </w:rPr>
      </w:r>
      <w:r>
        <w:rPr/>
        <w:t>盾。</w:t>
      </w:r>
    </w:p>
    <w:p>
      <w:pPr>
        <w:pStyle w:val="Heading5"/>
        <w:spacing w:line="357" w:lineRule="auto"/>
        <w:ind w:right="96" w:firstLine="480"/>
        <w:jc w:val="left"/>
      </w:pPr>
      <w:r>
        <w:rPr>
          <w:spacing w:val="-8"/>
        </w:rPr>
        <w:t>目前，公司已拥有百余项软件著作权，30余项实用新型专利和4项发明专利，并通过了“安</w:t>
      </w:r>
      <w:r>
        <w:rPr/>
        <w:t> </w:t>
      </w:r>
      <w:r>
        <w:rPr>
          <w:spacing w:val="-2"/>
        </w:rPr>
        <w:t>徽省企业技术中心”、“安徽省公路交通安全工程技术研究中心”、“安徽省工业设计中心”</w:t>
      </w:r>
      <w:r>
        <w:rPr/>
        <w:t> 等三个省级技术中心认定。</w:t>
      </w:r>
    </w:p>
    <w:p>
      <w:pPr>
        <w:pStyle w:val="Heading4"/>
        <w:spacing w:line="240" w:lineRule="auto" w:before="36"/>
        <w:ind w:left="592" w:right="96"/>
        <w:jc w:val="left"/>
        <w:rPr>
          <w:b w:val="0"/>
          <w:bCs w:val="0"/>
        </w:rPr>
      </w:pPr>
      <w:r>
        <w:rPr/>
        <w:t>2、人力资源优势</w:t>
      </w:r>
      <w:r>
        <w:rPr>
          <w:b w:val="0"/>
          <w:bCs w:val="0"/>
        </w:rPr>
      </w:r>
    </w:p>
    <w:p>
      <w:pPr>
        <w:pStyle w:val="Heading5"/>
        <w:spacing w:line="357" w:lineRule="auto" w:before="154"/>
        <w:ind w:right="96" w:firstLine="480"/>
        <w:jc w:val="left"/>
      </w:pPr>
      <w:r>
        <w:rPr>
          <w:spacing w:val="-3"/>
        </w:rPr>
        <w:t>公司秉承“以人为本</w:t>
      </w:r>
      <w:r>
        <w:rPr>
          <w:spacing w:val="15"/>
        </w:rPr>
        <w:t> </w:t>
      </w:r>
      <w:r>
        <w:rPr>
          <w:spacing w:val="-3"/>
        </w:rPr>
        <w:t>科学为尚”的企业文化，在长期的经营和发展过程中，汇聚了众多</w:t>
      </w:r>
      <w:r>
        <w:rPr/>
        <w:t> </w:t>
      </w:r>
      <w:r>
        <w:rPr>
          <w:spacing w:val="-2"/>
        </w:rPr>
        <w:t>高级科研、生产、管理和营销人才，打造了一支稳健成熟、勇于创新、务实高效的优秀团队。</w:t>
      </w:r>
      <w:r>
        <w:rPr>
          <w:spacing w:val="-117"/>
        </w:rPr>
        <w:t> </w:t>
      </w:r>
      <w:r>
        <w:rPr>
          <w:spacing w:val="-117"/>
        </w:rPr>
      </w:r>
      <w:r>
        <w:rPr/>
        <w:t>公司董事会、监事会、高级管理人员及中层管理干部整体保持稳定，管理经验丰富，熟知行</w:t>
      </w:r>
      <w:r>
        <w:rPr>
          <w:spacing w:val="-89"/>
        </w:rPr>
        <w:t> </w:t>
      </w:r>
      <w:r>
        <w:rPr>
          <w:spacing w:val="-89"/>
        </w:rPr>
      </w:r>
      <w:r>
        <w:rPr/>
        <w:t>业发展特点，具备科学决策能力；随着业务规模的壮大，公司通过内部培养、外部吸收等方</w:t>
      </w:r>
      <w:r>
        <w:rPr>
          <w:spacing w:val="-89"/>
        </w:rPr>
        <w:t> </w:t>
      </w:r>
      <w:r>
        <w:rPr>
          <w:spacing w:val="-89"/>
        </w:rPr>
      </w:r>
      <w:r>
        <w:rPr/>
        <w:t>式多渠道引进人才，以科学的培养计划、合理的薪酬体制留住人才，搭建适应公司发展的人</w:t>
      </w:r>
      <w:r>
        <w:rPr>
          <w:spacing w:val="-89"/>
        </w:rPr>
        <w:t> </w:t>
      </w:r>
      <w:r>
        <w:rPr>
          <w:spacing w:val="-89"/>
        </w:rPr>
      </w:r>
      <w:r>
        <w:rPr/>
        <w:t>才梯队，为实践企业愿景和战略目标提供坚实的人才保障。</w:t>
      </w:r>
    </w:p>
    <w:p>
      <w:pPr>
        <w:spacing w:line="357" w:lineRule="auto" w:before="36"/>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3、产业链协同优势</w:t>
      </w:r>
      <w:r>
        <w:rPr>
          <w:rFonts w:ascii="宋体" w:hAnsi="宋体" w:cs="宋体" w:eastAsia="宋体" w:hint="default"/>
          <w:b/>
          <w:bCs/>
          <w:w w:val="99"/>
          <w:sz w:val="24"/>
          <w:szCs w:val="24"/>
        </w:rPr>
        <w:t> </w:t>
      </w:r>
      <w:r>
        <w:rPr>
          <w:rFonts w:ascii="宋体" w:hAnsi="宋体" w:cs="宋体" w:eastAsia="宋体" w:hint="default"/>
          <w:sz w:val="24"/>
          <w:szCs w:val="24"/>
        </w:rPr>
        <w:t>公司在“大交通信息化”领域精心布局，通过投资、协同、合作等战略手段深化与产业</w:t>
      </w:r>
    </w:p>
    <w:p>
      <w:pPr>
        <w:pStyle w:val="Heading5"/>
        <w:spacing w:line="357" w:lineRule="auto"/>
        <w:ind w:right="96"/>
        <w:jc w:val="left"/>
      </w:pPr>
      <w:r>
        <w:rPr/>
        <w:t>链上游和下游企业的关系，优化内部管理，在产品开发、市场营销、项目运营等多个环节充</w:t>
      </w:r>
      <w:r>
        <w:rPr>
          <w:spacing w:val="-89"/>
        </w:rPr>
        <w:t> </w:t>
      </w:r>
      <w:r>
        <w:rPr>
          <w:spacing w:val="-89"/>
        </w:rPr>
      </w:r>
      <w:r>
        <w:rPr/>
        <w:t>分实现资源共享和业务协作，在降低内部成本的同时，极大地提高了产业链整体运行效率。</w:t>
      </w:r>
    </w:p>
    <w:p>
      <w:pPr>
        <w:pStyle w:val="Heading5"/>
        <w:spacing w:line="357" w:lineRule="auto"/>
        <w:ind w:right="96" w:firstLine="480"/>
        <w:jc w:val="left"/>
      </w:pPr>
      <w:r>
        <w:rPr>
          <w:spacing w:val="-3"/>
        </w:rPr>
        <w:t>目前，公司已形成了“以高速公路和港口航运信息化为龙头，其他行业信息化综合发展”</w:t>
      </w:r>
      <w:r>
        <w:rPr/>
        <w:t> 的业务结构，并依托既有的技术优势和客户资源，积极布局“互联网+”交通和“互联网+”</w:t>
      </w:r>
      <w:r>
        <w:rPr>
          <w:spacing w:val="-89"/>
        </w:rPr>
        <w:t> </w:t>
      </w:r>
      <w:r>
        <w:rPr>
          <w:spacing w:val="-89"/>
        </w:rPr>
      </w:r>
      <w:r>
        <w:rPr/>
        <w:t>港口航运两个新的业务方向，推动企业转型升级。</w:t>
      </w:r>
    </w:p>
    <w:p>
      <w:pPr>
        <w:spacing w:after="0" w:line="357" w:lineRule="auto"/>
        <w:jc w:val="left"/>
        <w:sectPr>
          <w:footerReference w:type="default" r:id="rId14"/>
          <w:pgSz w:w="11910" w:h="16840"/>
          <w:pgMar w:footer="978" w:header="746" w:top="1040" w:bottom="1160" w:left="1020" w:right="90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1"/>
        <w:spacing w:line="240" w:lineRule="auto"/>
        <w:ind w:left="3086" w:right="96"/>
        <w:jc w:val="left"/>
        <w:rPr>
          <w:b w:val="0"/>
          <w:bCs w:val="0"/>
        </w:rPr>
      </w:pPr>
      <w:bookmarkStart w:name="_bookmark3" w:id="4"/>
      <w:bookmarkEnd w:id="4"/>
      <w:r>
        <w:rPr>
          <w:b w:val="0"/>
          <w:bCs w:val="0"/>
        </w:rPr>
      </w:r>
      <w:r>
        <w:rPr/>
        <w:t>第四节</w:t>
      </w:r>
      <w:r>
        <w:rPr>
          <w:spacing w:val="-7"/>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left="112" w:right="96"/>
        <w:jc w:val="left"/>
        <w:rPr>
          <w:b w:val="0"/>
          <w:bCs w:val="0"/>
        </w:rPr>
      </w:pPr>
      <w:r>
        <w:rPr/>
        <w:t>一、概述</w:t>
      </w:r>
      <w:r>
        <w:rPr>
          <w:b w:val="0"/>
          <w:bCs w:val="0"/>
        </w:rPr>
      </w:r>
    </w:p>
    <w:p>
      <w:pPr>
        <w:spacing w:line="240" w:lineRule="auto" w:before="11"/>
        <w:rPr>
          <w:rFonts w:ascii="宋体" w:hAnsi="宋体" w:cs="宋体" w:eastAsia="宋体" w:hint="default"/>
          <w:b/>
          <w:bCs/>
          <w:sz w:val="28"/>
          <w:szCs w:val="28"/>
        </w:rPr>
      </w:pPr>
    </w:p>
    <w:p>
      <w:pPr>
        <w:pStyle w:val="Heading5"/>
        <w:spacing w:line="357" w:lineRule="auto" w:before="0"/>
        <w:ind w:right="96" w:firstLine="420"/>
        <w:jc w:val="left"/>
      </w:pPr>
      <w:r>
        <w:rPr>
          <w:spacing w:val="2"/>
        </w:rPr>
        <w:t>报告期内，公司主动适应经济发展新常态，积极融入国家战略和行业发展大格局，在董</w:t>
      </w:r>
      <w:r>
        <w:rPr/>
        <w:t> </w:t>
      </w:r>
      <w:r>
        <w:rPr>
          <w:spacing w:val="-2"/>
        </w:rPr>
        <w:t>事会制定的战略规划指引下，内涵式发展和外延式扩张并重，坚持创新驱动，推进技术升级，</w:t>
      </w:r>
      <w:r>
        <w:rPr/>
        <w:t> 开拓核心市场，优化业务结构，深化内部管理，着力提升企业运行质量和效益，保持了稳中</w:t>
      </w:r>
      <w:r>
        <w:rPr>
          <w:spacing w:val="-89"/>
        </w:rPr>
        <w:t> </w:t>
      </w:r>
      <w:r>
        <w:rPr>
          <w:spacing w:val="-89"/>
        </w:rPr>
      </w:r>
      <w:r>
        <w:rPr/>
        <w:t>有进的良好发展态势。</w:t>
      </w:r>
    </w:p>
    <w:p>
      <w:pPr>
        <w:spacing w:line="240" w:lineRule="auto" w:before="9"/>
        <w:rPr>
          <w:rFonts w:ascii="宋体" w:hAnsi="宋体" w:cs="宋体" w:eastAsia="宋体" w:hint="default"/>
          <w:sz w:val="19"/>
          <w:szCs w:val="19"/>
        </w:rPr>
      </w:pPr>
    </w:p>
    <w:p>
      <w:pPr>
        <w:pStyle w:val="Heading4"/>
        <w:spacing w:line="240" w:lineRule="auto"/>
        <w:ind w:left="112" w:right="96"/>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left="112" w:right="96"/>
        <w:jc w:val="left"/>
        <w:rPr>
          <w:b w:val="0"/>
          <w:bCs w:val="0"/>
        </w:rPr>
      </w:pPr>
      <w:r>
        <w:rPr/>
        <w:t>1、概述</w:t>
      </w:r>
      <w:r>
        <w:rPr>
          <w:b w:val="0"/>
          <w:bCs w:val="0"/>
        </w:rPr>
      </w:r>
    </w:p>
    <w:p>
      <w:pPr>
        <w:spacing w:line="240" w:lineRule="auto" w:before="11"/>
        <w:rPr>
          <w:rFonts w:ascii="宋体" w:hAnsi="宋体" w:cs="宋体" w:eastAsia="宋体" w:hint="default"/>
          <w:b/>
          <w:bCs/>
          <w:sz w:val="29"/>
          <w:szCs w:val="29"/>
        </w:rPr>
      </w:pPr>
    </w:p>
    <w:p>
      <w:pPr>
        <w:pStyle w:val="Heading5"/>
        <w:spacing w:line="357" w:lineRule="auto" w:before="0"/>
        <w:ind w:right="96" w:firstLine="482"/>
        <w:jc w:val="left"/>
      </w:pPr>
      <w:r>
        <w:rPr>
          <w:spacing w:val="5"/>
        </w:rPr>
        <w:t>报告期内，公司实现营业收入882,037,006.51元，比上年同期增长12.89%；利润总额</w:t>
      </w:r>
      <w:r>
        <w:rPr/>
        <w:t> </w:t>
      </w:r>
      <w:r>
        <w:rPr>
          <w:spacing w:val="-2"/>
        </w:rPr>
        <w:t>87,912,231.79元，比上年同期增长21.35%；归属于上市公司股东的净利润69,494,426.63元，</w:t>
      </w:r>
      <w:r>
        <w:rPr>
          <w:spacing w:val="-88"/>
        </w:rPr>
        <w:t> </w:t>
      </w:r>
      <w:r>
        <w:rPr>
          <w:spacing w:val="-88"/>
        </w:rPr>
      </w:r>
      <w:r>
        <w:rPr/>
        <w:t>比上年同期增长21.64%。</w:t>
      </w:r>
    </w:p>
    <w:p>
      <w:pPr>
        <w:pStyle w:val="Heading5"/>
        <w:spacing w:line="357" w:lineRule="auto"/>
        <w:ind w:right="232" w:firstLine="482"/>
        <w:jc w:val="both"/>
      </w:pPr>
      <w:r>
        <w:rPr/>
        <w:t>报告期内，公司借助国家深入推进“一带一路”战略建设的历史机遇，紧密围绕“大交 通信息化”战略进行业务布局和市场开拓，专注行业细分市场，通过产业整合、技术提升、</w:t>
      </w:r>
      <w:r>
        <w:rPr>
          <w:spacing w:val="-89"/>
        </w:rPr>
        <w:t> </w:t>
      </w:r>
      <w:r>
        <w:rPr>
          <w:spacing w:val="-89"/>
        </w:rPr>
      </w:r>
      <w:r>
        <w:rPr/>
        <w:t>改善服务等手段，持续扩大市场份额，巩固了在既有行业领域的优势地位。其中：</w:t>
      </w:r>
    </w:p>
    <w:p>
      <w:pPr>
        <w:pStyle w:val="Heading5"/>
        <w:spacing w:line="357" w:lineRule="auto"/>
        <w:ind w:right="102" w:firstLine="482"/>
        <w:jc w:val="left"/>
      </w:pPr>
      <w:r>
        <w:rPr/>
        <w:t>高速公路信息化领域，以成熟的通用软件产品和完善的系统整体解决方案为依托，积极 跟进“丝绸之路经济带”沿线建设动态，在西南、中部、西部地区积极布局，相继夺取了贵</w:t>
      </w:r>
      <w:r>
        <w:rPr>
          <w:spacing w:val="-89"/>
        </w:rPr>
        <w:t> </w:t>
      </w:r>
      <w:r>
        <w:rPr>
          <w:spacing w:val="-89"/>
        </w:rPr>
      </w:r>
      <w:r>
        <w:rPr/>
        <w:t>州高速公路集团有限公司所辖路段ETC改造工程、河南省收费还贷高速公路管理中心电子不停</w:t>
      </w:r>
      <w:r>
        <w:rPr/>
        <w:t> 车收费系统（ETC）工程、利川至万州高速公路湖北段机电工程、江西省公路水路建设与运输 </w:t>
      </w:r>
      <w:r>
        <w:rPr>
          <w:spacing w:val="-2"/>
        </w:rPr>
        <w:t>市场信用信息服务系统工程、西藏自治区国道318线川藏公路通麦至105道班段整治改建工程、</w:t>
      </w:r>
      <w:r>
        <w:rPr>
          <w:spacing w:val="-114"/>
        </w:rPr>
        <w:t> </w:t>
      </w:r>
      <w:r>
        <w:rPr>
          <w:spacing w:val="-114"/>
        </w:rPr>
      </w:r>
      <w:r>
        <w:rPr/>
        <w:t>新疆治超综合管理系统等项目，构建覆盖全国的市场服务体系和营销网络；同时，充分发挥</w:t>
      </w:r>
      <w:r>
        <w:rPr>
          <w:spacing w:val="-89"/>
        </w:rPr>
        <w:t> </w:t>
      </w:r>
      <w:r>
        <w:rPr>
          <w:spacing w:val="-89"/>
        </w:rPr>
      </w:r>
      <w:r>
        <w:rPr/>
        <w:t>既有市场的辐射效应和建成项目的示范作用，加大力度开拓大型桥梁信息化和一级公路信息</w:t>
      </w:r>
      <w:r>
        <w:rPr>
          <w:spacing w:val="-89"/>
        </w:rPr>
        <w:t> </w:t>
      </w:r>
      <w:r>
        <w:rPr>
          <w:spacing w:val="-89"/>
        </w:rPr>
      </w:r>
      <w:r>
        <w:rPr/>
        <w:t>化市场，并以重庆为市场突破口，承建高速公路广播信息化系统建设项目，进一步扩大市场</w:t>
      </w:r>
      <w:r>
        <w:rPr>
          <w:spacing w:val="-89"/>
        </w:rPr>
        <w:t> </w:t>
      </w:r>
      <w:r>
        <w:rPr>
          <w:spacing w:val="-89"/>
        </w:rPr>
      </w:r>
      <w:r>
        <w:rPr/>
        <w:t>增量，拓宽了业务发展的新空间。</w:t>
      </w:r>
    </w:p>
    <w:p>
      <w:pPr>
        <w:pStyle w:val="Heading5"/>
        <w:spacing w:line="357" w:lineRule="auto"/>
        <w:ind w:right="230" w:firstLine="482"/>
        <w:jc w:val="both"/>
      </w:pPr>
      <w:r>
        <w:rPr/>
        <w:t>港口航运信息化领域，以“海上丝绸之路”中心城市和重点港口为支撑，通过参与国家 </w:t>
      </w:r>
      <w:r>
        <w:rPr>
          <w:spacing w:val="-2"/>
        </w:rPr>
        <w:t>集装箱海铁联运示范工程、京唐港EDI平台、连云港智慧港口等项目，持续提升市场份额，巩</w:t>
      </w:r>
      <w:r>
        <w:rPr>
          <w:spacing w:val="-118"/>
        </w:rPr>
        <w:t> </w:t>
      </w:r>
      <w:r>
        <w:rPr>
          <w:spacing w:val="-118"/>
        </w:rPr>
      </w:r>
      <w:r>
        <w:rPr/>
        <w:t>固行业领军地位；同时，借助公司在集装箱码头操作系统的研发成果，积极融入“长江经济</w:t>
      </w:r>
    </w:p>
    <w:p>
      <w:pPr>
        <w:spacing w:after="0" w:line="357" w:lineRule="auto"/>
        <w:jc w:val="both"/>
        <w:sectPr>
          <w:pgSz w:w="11910" w:h="16840"/>
          <w:pgMar w:header="746" w:footer="978" w:top="1040" w:bottom="1160" w:left="1020" w:right="900"/>
        </w:sectPr>
      </w:pPr>
    </w:p>
    <w:p>
      <w:pPr>
        <w:spacing w:line="240" w:lineRule="auto" w:before="0"/>
        <w:rPr>
          <w:rFonts w:ascii="宋体" w:hAnsi="宋体" w:cs="宋体" w:eastAsia="宋体" w:hint="default"/>
          <w:sz w:val="20"/>
          <w:szCs w:val="20"/>
        </w:rPr>
      </w:pPr>
    </w:p>
    <w:p>
      <w:pPr>
        <w:pStyle w:val="Heading5"/>
        <w:spacing w:line="357" w:lineRule="auto" w:before="160"/>
        <w:ind w:right="232"/>
        <w:jc w:val="both"/>
      </w:pPr>
      <w:r>
        <w:rPr/>
        <w:t>带”发展战略，以马鞍山、武汉等长江沿线重点港口城市为试点，精准把握客户需求，加大</w:t>
      </w:r>
      <w:r>
        <w:rPr>
          <w:spacing w:val="-89"/>
        </w:rPr>
        <w:t> </w:t>
      </w:r>
      <w:r>
        <w:rPr>
          <w:spacing w:val="-89"/>
        </w:rPr>
      </w:r>
      <w:r>
        <w:rPr/>
        <w:t>力度开拓内河港口信息化建设市场，为后期夺取更多“黄金水道”相关信息化建设项目奠定</w:t>
      </w:r>
      <w:r>
        <w:rPr>
          <w:spacing w:val="-89"/>
        </w:rPr>
        <w:t> </w:t>
      </w:r>
      <w:r>
        <w:rPr>
          <w:spacing w:val="-89"/>
        </w:rPr>
      </w:r>
      <w:r>
        <w:rPr/>
        <w:t>坚实基础。</w:t>
      </w:r>
    </w:p>
    <w:p>
      <w:pPr>
        <w:pStyle w:val="Heading5"/>
        <w:spacing w:line="357" w:lineRule="auto"/>
        <w:ind w:right="232" w:firstLine="482"/>
        <w:jc w:val="both"/>
      </w:pPr>
      <w:r>
        <w:rPr>
          <w:spacing w:val="-3"/>
        </w:rPr>
        <w:t>报告期内，公司紧抓“互联网+”浪潮下的产业发展机遇，积极运用物联网、云计算、大</w:t>
      </w:r>
      <w:r>
        <w:rPr/>
        <w:t> 数据等新一代信息技术，培育新的利润增长点，开创新型商业模式，以互联网思维推动公司</w:t>
      </w:r>
      <w:r>
        <w:rPr>
          <w:spacing w:val="-89"/>
        </w:rPr>
        <w:t> </w:t>
      </w:r>
      <w:r>
        <w:rPr>
          <w:spacing w:val="-89"/>
        </w:rPr>
      </w:r>
      <w:r>
        <w:rPr/>
        <w:t>业务转型升级。</w:t>
      </w:r>
    </w:p>
    <w:p>
      <w:pPr>
        <w:pStyle w:val="Heading5"/>
        <w:spacing w:line="357" w:lineRule="auto"/>
        <w:ind w:right="232" w:firstLine="482"/>
        <w:jc w:val="both"/>
      </w:pPr>
      <w:r>
        <w:rPr/>
        <w:t>报告期内，公司以有限合伙方式参与设立互联网产业基金——北京清科致达投资管理中 心（有限合伙），通过产业与资本的有机结合，在移动互联网及下一代互联网等高成长行业</w:t>
      </w:r>
      <w:r>
        <w:rPr>
          <w:spacing w:val="-89"/>
        </w:rPr>
        <w:t> </w:t>
      </w:r>
      <w:r>
        <w:rPr>
          <w:spacing w:val="-89"/>
        </w:rPr>
      </w:r>
      <w:r>
        <w:rPr/>
        <w:t>寻求优质投资对象，为公司业务发展提供新的发展思路。</w:t>
      </w:r>
    </w:p>
    <w:p>
      <w:pPr>
        <w:pStyle w:val="Heading5"/>
        <w:spacing w:line="357" w:lineRule="auto"/>
        <w:ind w:right="96" w:firstLine="482"/>
        <w:jc w:val="left"/>
      </w:pPr>
      <w:r>
        <w:rPr>
          <w:spacing w:val="-3"/>
        </w:rPr>
        <w:t>报告期内，公司在“互联网+”交通业务领域深入实践，与安徽省高速公路联网运营有限</w:t>
      </w:r>
      <w:r>
        <w:rPr/>
        <w:t> 公司、安徽天行健健康管理有限公司共同投资设立安徽行云天下科技有限公司，依托不断扩</w:t>
      </w:r>
      <w:r>
        <w:rPr>
          <w:spacing w:val="-89"/>
        </w:rPr>
        <w:t> </w:t>
      </w:r>
      <w:r>
        <w:rPr>
          <w:spacing w:val="-89"/>
        </w:rPr>
      </w:r>
      <w:r>
        <w:rPr/>
        <w:t>大的ETC客户群体，通过提供全方位的公众出行和汽车后市场服务，构建交通运输服务全产业</w:t>
      </w:r>
      <w:r>
        <w:rPr/>
        <w:t> 链生态圈；同时，公司在“互联网+”港口物流业务方向积极探索，以自有资金投资设立了烟 台华东数据科技有限公司，通过对港口物流全过程的大数据分析，为港口航运参与者提供综</w:t>
      </w:r>
      <w:r>
        <w:rPr>
          <w:spacing w:val="-89"/>
        </w:rPr>
        <w:t> </w:t>
      </w:r>
      <w:r>
        <w:rPr>
          <w:spacing w:val="-89"/>
        </w:rPr>
      </w:r>
      <w:r>
        <w:rPr>
          <w:spacing w:val="-2"/>
        </w:rPr>
        <w:t>合性物流服务；以港口集装箱运输为切入点，投资设立了宁波拖柜宝物流科技有限责任公司，</w:t>
      </w:r>
      <w:r>
        <w:rPr/>
        <w:t> 通过整合港口物流信息资源，实现集卡运输的集约化管理，打造港口物流信息和交易服务的</w:t>
      </w:r>
      <w:r>
        <w:rPr>
          <w:spacing w:val="-89"/>
        </w:rPr>
        <w:t> </w:t>
      </w:r>
      <w:r>
        <w:rPr>
          <w:spacing w:val="-89"/>
        </w:rPr>
      </w:r>
      <w:r>
        <w:rPr/>
        <w:t>综合产业链。</w:t>
      </w:r>
    </w:p>
    <w:p>
      <w:pPr>
        <w:pStyle w:val="Heading5"/>
        <w:spacing w:line="357" w:lineRule="auto"/>
        <w:ind w:right="96" w:firstLine="482"/>
        <w:jc w:val="left"/>
      </w:pPr>
      <w:r>
        <w:rPr>
          <w:spacing w:val="-3"/>
        </w:rPr>
        <w:t>报告期内，公司持续加大研发投入，努力形成以市场和客户需求为导向的科技研发体制，</w:t>
      </w:r>
      <w:r>
        <w:rPr/>
        <w:t> 推进新一代信息技术与行业管理方式深度融合，增强企业核心竞争力。公司顺利通过了CMMI5 级和ISO/IEC27001：2013信息安全管理体系认证，并取得“路网管理与应急处置综合数据处</w:t>
      </w:r>
      <w:r>
        <w:rPr>
          <w:spacing w:val="-89"/>
        </w:rPr>
        <w:t> </w:t>
      </w:r>
      <w:r>
        <w:rPr>
          <w:spacing w:val="-89"/>
        </w:rPr>
      </w:r>
      <w:r>
        <w:rPr/>
        <w:t>理平台”、“公路水路运输市场信用系统”、“城市智能交通综合管理系统”、“沥青路面</w:t>
      </w:r>
      <w:r>
        <w:rPr>
          <w:spacing w:val="-89"/>
        </w:rPr>
        <w:t> </w:t>
      </w:r>
      <w:r>
        <w:rPr>
          <w:spacing w:val="-89"/>
        </w:rPr>
      </w:r>
      <w:r>
        <w:rPr/>
        <w:t>日常养护管理系统”、“通用船舶代理管理系统”等28项软件著作权和“一种车联网路侧信</w:t>
      </w:r>
      <w:r>
        <w:rPr>
          <w:spacing w:val="-89"/>
        </w:rPr>
        <w:t> </w:t>
      </w:r>
      <w:r>
        <w:rPr>
          <w:spacing w:val="-89"/>
        </w:rPr>
      </w:r>
      <w:r>
        <w:rPr/>
        <w:t>息采集与服务系统”、“一种基于视频的道路气象检测方法”、“一种基于双队列技术的ETC</w:t>
      </w:r>
      <w:r>
        <w:rPr/>
        <w:t> 车道防跟车方法”3项发明专利，以及“一种便于安装维护的车道控制器机箱”1项实用新型</w:t>
      </w:r>
      <w:r>
        <w:rPr>
          <w:spacing w:val="-87"/>
        </w:rPr>
        <w:t> </w:t>
      </w:r>
      <w:r>
        <w:rPr>
          <w:spacing w:val="-87"/>
        </w:rPr>
      </w:r>
      <w:r>
        <w:rPr/>
        <w:t>专利。</w:t>
      </w:r>
    </w:p>
    <w:p>
      <w:pPr>
        <w:spacing w:line="240" w:lineRule="auto" w:before="8"/>
        <w:rPr>
          <w:rFonts w:ascii="宋体" w:hAnsi="宋体" w:cs="宋体" w:eastAsia="宋体" w:hint="default"/>
          <w:sz w:val="21"/>
          <w:szCs w:val="21"/>
        </w:rPr>
      </w:pPr>
    </w:p>
    <w:p>
      <w:pPr>
        <w:pStyle w:val="Heading6"/>
        <w:spacing w:line="240" w:lineRule="auto"/>
        <w:ind w:left="112" w:right="0"/>
        <w:jc w:val="both"/>
        <w:rPr>
          <w:b w:val="0"/>
          <w:bCs w:val="0"/>
        </w:rPr>
      </w:pPr>
      <w:r>
        <w:rPr/>
        <w:t>2、收入与成本</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left="112" w:right="0"/>
        <w:jc w:val="both"/>
        <w:rPr>
          <w:b w:val="0"/>
          <w:bCs w:val="0"/>
        </w:rPr>
      </w:pPr>
      <w:r>
        <w:rPr/>
        <w:t>（1）营业收入构成</w:t>
      </w:r>
      <w:r>
        <w:rPr>
          <w:b w:val="0"/>
          <w:bCs w:val="0"/>
        </w:rPr>
      </w:r>
    </w:p>
    <w:p>
      <w:pPr>
        <w:spacing w:after="0" w:line="240" w:lineRule="auto"/>
        <w:jc w:val="both"/>
        <w:sectPr>
          <w:pgSz w:w="11910" w:h="16840"/>
          <w:pgMar w:header="746" w:footer="978" w:top="1040" w:bottom="1160" w:left="1020" w:right="900"/>
        </w:sectPr>
      </w:pPr>
    </w:p>
    <w:p>
      <w:pPr>
        <w:spacing w:line="240" w:lineRule="auto" w:before="9"/>
        <w:rPr>
          <w:rFonts w:ascii="宋体" w:hAnsi="宋体" w:cs="宋体" w:eastAsia="宋体" w:hint="default"/>
          <w:b/>
          <w:bCs/>
          <w:sz w:val="26"/>
          <w:szCs w:val="26"/>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882,037,006.51</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781,300,863.63</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1"/>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12.89%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高速公路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547,090,400.01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461,951,111.75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港口航运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132,578,807.99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142,814,549.38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城市智能交通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58,063,378.30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56,424,291.60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智能安防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100,790,114.98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93,129,979.40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8.23%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43,514,305.23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26,980,931.50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61.28%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687,555,685.52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602,059,650.45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152,170,613.29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146,373,696.53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36,666,439.79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32,867,516.65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5,644,267.91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安徽省内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439,541,279.42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360,713,793.19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21.85%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安徽省外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442,495,727.09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420,587,070.44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5.21%</w:t>
            </w:r>
          </w:p>
        </w:tc>
      </w:tr>
    </w:tbl>
    <w:p>
      <w:pPr>
        <w:spacing w:line="240" w:lineRule="auto" w:before="5"/>
        <w:rPr>
          <w:rFonts w:ascii="宋体" w:hAnsi="宋体" w:cs="宋体" w:eastAsia="宋体" w:hint="default"/>
          <w:sz w:val="19"/>
          <w:szCs w:val="19"/>
        </w:rPr>
      </w:pPr>
    </w:p>
    <w:p>
      <w:pPr>
        <w:pStyle w:val="Heading6"/>
        <w:spacing w:line="240" w:lineRule="auto" w:before="34"/>
        <w:ind w:left="112" w:right="0"/>
        <w:jc w:val="left"/>
        <w:rPr>
          <w:b w:val="0"/>
          <w:bCs w:val="0"/>
        </w:rPr>
      </w:pPr>
      <w:r>
        <w:rPr/>
        <w:t>（2）占公司营业收入或营业利润</w:t>
      </w:r>
      <w:r>
        <w:rPr>
          <w:spacing w:val="-65"/>
        </w:rPr>
        <w:t> </w:t>
      </w:r>
      <w:r>
        <w:rPr/>
        <w:t>10%以上的行业、产品或地区情况</w:t>
      </w:r>
      <w:r>
        <w:rPr>
          <w:b w:val="0"/>
          <w:bCs w:val="0"/>
        </w:rPr>
      </w:r>
    </w:p>
    <w:p>
      <w:pPr>
        <w:spacing w:line="240" w:lineRule="auto" w:before="2"/>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高速公路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547,090,400.01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449,069,429.78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20.95%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港口航运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132,578,807.99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82,908,782.89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城市智能交通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58,063,378.30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45,848,102.54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-3.35%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5.12%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智能安防</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100,790,114.98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85,954,232.87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43,514,305.23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35,280,536.80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39.86%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12.41%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687,555,685.52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585,499,252.21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13.48%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0.54%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152,170,613.29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102,677,817.45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36,666,439.79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6,236,368.07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82.99%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24.56%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-1.78%</w:t>
            </w:r>
          </w:p>
        </w:tc>
      </w:tr>
    </w:tbl>
    <w:p>
      <w:pPr>
        <w:spacing w:after="0" w:line="240" w:lineRule="auto"/>
        <w:jc w:val="right"/>
        <w:rPr>
          <w:rFonts w:ascii="宋体" w:hAnsi="宋体" w:cs="宋体" w:eastAsia="宋体" w:hint="default"/>
          <w:sz w:val="18"/>
          <w:szCs w:val="18"/>
        </w:rPr>
        <w:sectPr>
          <w:pgSz w:w="11910" w:h="16840"/>
          <w:pgMar w:header="746" w:footer="978" w:top="1040" w:bottom="1160" w:left="1020" w:right="1020"/>
        </w:sectPr>
      </w:pPr>
    </w:p>
    <w:p>
      <w:pPr>
        <w:spacing w:line="240" w:lineRule="auto" w:before="2"/>
        <w:rPr>
          <w:rFonts w:ascii="宋体" w:hAnsi="宋体" w:cs="宋体" w:eastAsia="宋体" w:hint="default"/>
          <w:sz w:val="29"/>
          <w:szCs w:val="29"/>
        </w:rPr>
      </w:pPr>
    </w:p>
    <w:tbl>
      <w:tblPr>
        <w:tblW w:w="0" w:type="auto"/>
        <w:jc w:val="left"/>
        <w:tblInd w:w="16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5,644,267.92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4,647,647.15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安徽省内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439,541,279.42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348,732,936.32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20.89%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442,495,727.09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350,328,148.56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-0.93%</w:t>
            </w:r>
          </w:p>
        </w:tc>
      </w:tr>
    </w:tbl>
    <w:p>
      <w:pPr>
        <w:spacing w:before="50"/>
        <w:ind w:left="172" w:right="96"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年按报告期末口径调整后的主营业务数据</w:t>
      </w:r>
    </w:p>
    <w:p>
      <w:pPr>
        <w:spacing w:before="117"/>
        <w:ind w:left="172" w:right="96"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left="172" w:right="96"/>
        <w:jc w:val="left"/>
        <w:rPr>
          <w:b w:val="0"/>
          <w:bCs w:val="0"/>
        </w:rPr>
      </w:pPr>
      <w:r>
        <w:rPr/>
        <w:t>（3）公司实物销售收入是否大于劳务收入</w:t>
      </w:r>
      <w:r>
        <w:rPr>
          <w:b w:val="0"/>
          <w:bCs w:val="0"/>
        </w:rPr>
      </w:r>
    </w:p>
    <w:p>
      <w:pPr>
        <w:spacing w:line="240" w:lineRule="auto" w:before="9"/>
        <w:rPr>
          <w:rFonts w:ascii="宋体" w:hAnsi="宋体" w:cs="宋体" w:eastAsia="宋体" w:hint="default"/>
          <w:b/>
          <w:bCs/>
          <w:sz w:val="27"/>
          <w:szCs w:val="27"/>
        </w:rPr>
      </w:pPr>
    </w:p>
    <w:p>
      <w:pPr>
        <w:spacing w:before="0"/>
        <w:ind w:left="172" w:right="96"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1"/>
        <w:rPr>
          <w:rFonts w:ascii="宋体" w:hAnsi="宋体" w:cs="宋体" w:eastAsia="宋体" w:hint="default"/>
          <w:sz w:val="26"/>
          <w:szCs w:val="26"/>
        </w:rPr>
      </w:pPr>
    </w:p>
    <w:p>
      <w:pPr>
        <w:pStyle w:val="Heading6"/>
        <w:spacing w:line="240" w:lineRule="auto"/>
        <w:ind w:left="172" w:right="96"/>
        <w:jc w:val="left"/>
        <w:rPr>
          <w:b w:val="0"/>
          <w:bCs w:val="0"/>
        </w:rPr>
      </w:pPr>
      <w:r>
        <w:rPr/>
        <w:t>（4）公司已签订的重大销售合同截至本报告期的履行情况</w:t>
      </w:r>
      <w:r>
        <w:rPr>
          <w:b w:val="0"/>
          <w:bCs w:val="0"/>
        </w:rPr>
      </w:r>
    </w:p>
    <w:p>
      <w:pPr>
        <w:spacing w:line="240" w:lineRule="auto" w:before="9"/>
        <w:rPr>
          <w:rFonts w:ascii="宋体" w:hAnsi="宋体" w:cs="宋体" w:eastAsia="宋体" w:hint="default"/>
          <w:b/>
          <w:bCs/>
          <w:sz w:val="27"/>
          <w:szCs w:val="27"/>
        </w:rPr>
      </w:pPr>
    </w:p>
    <w:p>
      <w:pPr>
        <w:spacing w:before="0"/>
        <w:ind w:left="172" w:right="96"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left="172" w:right="96"/>
        <w:jc w:val="left"/>
        <w:rPr>
          <w:b w:val="0"/>
          <w:bCs w:val="0"/>
        </w:rPr>
      </w:pPr>
      <w:r>
        <w:rPr/>
        <w:t>（5）营业成本构成</w:t>
      </w:r>
      <w:r>
        <w:rPr>
          <w:b w:val="0"/>
          <w:bCs w:val="0"/>
        </w:rPr>
      </w:r>
    </w:p>
    <w:p>
      <w:pPr>
        <w:spacing w:line="240" w:lineRule="auto" w:before="2"/>
        <w:rPr>
          <w:rFonts w:ascii="宋体" w:hAnsi="宋体" w:cs="宋体" w:eastAsia="宋体" w:hint="default"/>
          <w:b/>
          <w:bCs/>
          <w:sz w:val="24"/>
          <w:szCs w:val="24"/>
        </w:rPr>
      </w:pPr>
    </w:p>
    <w:p>
      <w:pPr>
        <w:spacing w:before="44"/>
        <w:ind w:left="172" w:right="96"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26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731"/>
        <w:gridCol w:w="1701"/>
        <w:gridCol w:w="1417"/>
        <w:gridCol w:w="1418"/>
        <w:gridCol w:w="1417"/>
        <w:gridCol w:w="1418"/>
        <w:gridCol w:w="640"/>
      </w:tblGrid>
      <w:tr>
        <w:trPr>
          <w:trHeight w:val="402" w:hRule="exact"/>
        </w:trPr>
        <w:tc>
          <w:tcPr>
            <w:tcW w:w="17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7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6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24" w:right="43" w:hanging="180"/>
              <w:jc w:val="left"/>
              <w:rPr>
                <w:rFonts w:ascii="宋体" w:hAnsi="宋体" w:cs="宋体" w:eastAsia="宋体" w:hint="default"/>
                <w:sz w:val="18"/>
                <w:szCs w:val="18"/>
              </w:rPr>
            </w:pPr>
            <w:r>
              <w:rPr>
                <w:rFonts w:ascii="宋体" w:hAnsi="宋体" w:cs="宋体" w:eastAsia="宋体" w:hint="default"/>
                <w:sz w:val="18"/>
                <w:szCs w:val="18"/>
              </w:rPr>
              <w:t>同比增 减</w:t>
            </w:r>
          </w:p>
        </w:tc>
      </w:tr>
      <w:tr>
        <w:trPr>
          <w:trHeight w:val="402" w:hRule="exact"/>
        </w:trPr>
        <w:tc>
          <w:tcPr>
            <w:tcW w:w="1731" w:type="dxa"/>
            <w:vMerge/>
            <w:tcBorders>
              <w:left w:val="single" w:sz="4" w:space="0" w:color="000000"/>
              <w:bottom w:val="single" w:sz="4" w:space="0" w:color="000000"/>
              <w:right w:val="single" w:sz="4" w:space="0" w:color="000000"/>
            </w:tcBorders>
            <w:shd w:val="clear" w:color="auto" w:fill="D3D3D3"/>
          </w:tcPr>
          <w:p>
            <w:pPr/>
          </w:p>
        </w:tc>
        <w:tc>
          <w:tcPr>
            <w:tcW w:w="1701"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64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外购材料及工程劳务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655,923,876.74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93.83%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582,429,451.85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94.31%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-0.49%</w:t>
            </w:r>
          </w:p>
        </w:tc>
      </w:tr>
      <w:tr>
        <w:trPr>
          <w:trHeight w:val="402"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25,443,321.78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9" w:right="0"/>
              <w:jc w:val="center"/>
              <w:rPr>
                <w:rFonts w:ascii="宋体" w:hAnsi="宋体" w:cs="宋体" w:eastAsia="宋体" w:hint="default"/>
                <w:sz w:val="18"/>
                <w:szCs w:val="18"/>
              </w:rPr>
            </w:pPr>
            <w:r>
              <w:rPr>
                <w:rFonts w:ascii="宋体"/>
                <w:sz w:val="18"/>
              </w:rPr>
              <w:t>17,511,700.26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2.84%</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0.80%</w:t>
            </w:r>
          </w:p>
        </w:tc>
      </w:tr>
      <w:tr>
        <w:trPr>
          <w:trHeight w:val="402"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17,693,886.36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 w:right="0"/>
              <w:jc w:val="center"/>
              <w:rPr>
                <w:rFonts w:ascii="宋体" w:hAnsi="宋体" w:cs="宋体" w:eastAsia="宋体" w:hint="default"/>
                <w:sz w:val="18"/>
                <w:szCs w:val="18"/>
              </w:rPr>
            </w:pPr>
            <w:r>
              <w:rPr>
                <w:rFonts w:ascii="宋体"/>
                <w:sz w:val="18"/>
              </w:rPr>
              <w:t>17,600,018.73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2.85%</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-0.32%</w:t>
            </w:r>
          </w:p>
        </w:tc>
      </w:tr>
      <w:tr>
        <w:trPr>
          <w:trHeight w:val="402"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699,061,084.88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center"/>
              <w:rPr>
                <w:rFonts w:ascii="宋体" w:hAnsi="宋体" w:cs="宋体" w:eastAsia="宋体" w:hint="default"/>
                <w:sz w:val="18"/>
                <w:szCs w:val="18"/>
              </w:rPr>
            </w:pPr>
            <w:r>
              <w:rPr>
                <w:rFonts w:ascii="宋体"/>
                <w:sz w:val="18"/>
              </w:rPr>
              <w:t>617,541,170.84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0.00%</w:t>
            </w:r>
          </w:p>
        </w:tc>
      </w:tr>
    </w:tbl>
    <w:p>
      <w:pPr>
        <w:spacing w:before="51"/>
        <w:ind w:left="0" w:right="17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134"/>
        <w:gridCol w:w="1849"/>
        <w:gridCol w:w="1367"/>
        <w:gridCol w:w="1367"/>
        <w:gridCol w:w="1367"/>
        <w:gridCol w:w="1367"/>
        <w:gridCol w:w="1188"/>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8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134" w:type="dxa"/>
            <w:vMerge/>
            <w:tcBorders>
              <w:left w:val="single" w:sz="4" w:space="0" w:color="000000"/>
              <w:bottom w:val="single" w:sz="4" w:space="0" w:color="000000"/>
              <w:right w:val="single" w:sz="4" w:space="0" w:color="000000"/>
            </w:tcBorders>
            <w:shd w:val="clear" w:color="auto" w:fill="D3D3D3"/>
          </w:tcPr>
          <w:p>
            <w:pPr/>
          </w:p>
        </w:tc>
        <w:tc>
          <w:tcPr>
            <w:tcW w:w="1849"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18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外购材料及工程劳务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567,787,549.86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494,623,758.02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95.91%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1.06%</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6,720,160.53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8,624,059.26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-0.52%</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10,991,541.82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12,494,122.33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-0.54%</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585,499,252.21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515,741,939.61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外购材料及工程劳务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81,449,477.68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87,430,736.72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90.33%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14,798,148.68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4,488,058.71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9.77%</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6,430,191.09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4,873,683.87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1.22%</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102,677,817.45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96,792,479.30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外购材料及工程劳务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2,039,202.05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374,957.11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7.49%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25.21%</w:t>
            </w:r>
          </w:p>
        </w:tc>
      </w:tr>
    </w:tbl>
    <w:p>
      <w:pPr>
        <w:spacing w:after="0" w:line="240" w:lineRule="auto"/>
        <w:jc w:val="right"/>
        <w:rPr>
          <w:rFonts w:ascii="宋体" w:hAnsi="宋体" w:cs="宋体" w:eastAsia="宋体" w:hint="default"/>
          <w:sz w:val="18"/>
          <w:szCs w:val="18"/>
        </w:rPr>
        <w:sectPr>
          <w:pgSz w:w="11910" w:h="16840"/>
          <w:pgMar w:header="746" w:footer="978" w:top="1040" w:bottom="1160" w:left="960" w:right="96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134"/>
        <w:gridCol w:w="1849"/>
        <w:gridCol w:w="1367"/>
        <w:gridCol w:w="1367"/>
        <w:gridCol w:w="1367"/>
        <w:gridCol w:w="1367"/>
        <w:gridCol w:w="1188"/>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3,925,012.57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4,399,582.29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87.87%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-24.93%</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272,153.45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232,212.53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-0.28%</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6,236,368.07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5,006,751.93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外购材料及工程劳务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4,647,647.15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4,647,647.15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6"/>
        <w:spacing w:line="240" w:lineRule="auto" w:before="118"/>
        <w:ind w:left="112" w:right="0"/>
        <w:jc w:val="left"/>
        <w:rPr>
          <w:b w:val="0"/>
          <w:bCs w:val="0"/>
        </w:rPr>
      </w:pPr>
      <w:r>
        <w:rPr/>
        <w:t>（6）报告期内合并范围是否发生变动</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6"/>
          <w:szCs w:val="16"/>
        </w:rPr>
      </w:pPr>
    </w:p>
    <w:p>
      <w:pPr>
        <w:pStyle w:val="BodyText"/>
        <w:spacing w:line="408" w:lineRule="auto" w:before="0"/>
        <w:ind w:left="412" w:right="0"/>
        <w:jc w:val="left"/>
      </w:pPr>
      <w:r>
        <w:rPr/>
        <w:pict>
          <v:shape style="position:absolute;margin-left:56.34pt;margin-top:39.663685pt;width:476pt;height:70.1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3"/>
                    <w:gridCol w:w="5245"/>
                  </w:tblGrid>
                  <w:tr>
                    <w:trPr>
                      <w:trHeight w:val="347" w:hRule="exact"/>
                    </w:trPr>
                    <w:tc>
                      <w:tcPr>
                        <w:tcW w:w="425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24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r>
                    <w:trPr>
                      <w:trHeight w:val="347"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r>
                    <w:trPr>
                      <w:trHeight w:val="347"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bl>
                <w:p>
                  <w:pPr/>
                </w:p>
              </w:txbxContent>
            </v:textbox>
            <w10:wrap type="none"/>
          </v:shape>
        </w:pict>
      </w:r>
      <w:r>
        <w:rPr/>
        <w:t>本期纳入合并财务报表范围的主体较上期相比，增加3户，减少0户，其中：</w:t>
      </w:r>
      <w:r>
        <w:rPr>
          <w:w w:val="99"/>
        </w:rPr>
        <w:t> </w:t>
      </w:r>
      <w:r>
        <w:rPr>
          <w:w w:val="95"/>
        </w:rPr>
        <w:t>本期新纳入合并范围的子公司、特殊目的主体、通过受托经营或承租等方式形成控制权的经营实体</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spacing w:line="240" w:lineRule="auto" w:before="34"/>
        <w:ind w:left="532" w:right="0"/>
        <w:jc w:val="left"/>
      </w:pPr>
      <w:r>
        <w:rPr/>
        <w:t>合并范围变更主体的具体信息详见“附注七、合并范围的变更”</w:t>
      </w:r>
    </w:p>
    <w:p>
      <w:pPr>
        <w:spacing w:line="240" w:lineRule="auto" w:before="12"/>
        <w:rPr>
          <w:rFonts w:ascii="宋体" w:hAnsi="宋体" w:cs="宋体" w:eastAsia="宋体" w:hint="default"/>
          <w:sz w:val="25"/>
          <w:szCs w:val="25"/>
        </w:rPr>
      </w:pPr>
    </w:p>
    <w:p>
      <w:pPr>
        <w:pStyle w:val="Heading6"/>
        <w:spacing w:line="240" w:lineRule="auto"/>
        <w:ind w:left="112" w:right="0"/>
        <w:jc w:val="left"/>
        <w:rPr>
          <w:b w:val="0"/>
          <w:bCs w:val="0"/>
        </w:rPr>
      </w:pPr>
      <w:r>
        <w:rPr/>
        <w:t>（7）公司报告期内业务、产品或服务发生重大变化或调整有关情况</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left="112" w:right="0"/>
        <w:jc w:val="left"/>
        <w:rPr>
          <w:b w:val="0"/>
          <w:bCs w:val="0"/>
        </w:rPr>
      </w:pPr>
      <w:r>
        <w:rPr/>
        <w:t>（8）主要销售客户和主要供应商情况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099"/>
        <w:gridCol w:w="5469"/>
      </w:tblGrid>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248,156,486.43</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28.13%</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大客户资料</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55,244,184.63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52,419,850.90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5.94%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51,997,943.90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48,152,471.00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5.46%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40,342,036.00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248,156,486.43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28.13%</w:t>
            </w:r>
          </w:p>
        </w:tc>
      </w:tr>
    </w:tbl>
    <w:p>
      <w:pPr>
        <w:spacing w:after="0" w:line="240" w:lineRule="auto"/>
        <w:jc w:val="right"/>
        <w:rPr>
          <w:rFonts w:ascii="宋体" w:hAnsi="宋体" w:cs="宋体" w:eastAsia="宋体" w:hint="default"/>
          <w:sz w:val="18"/>
          <w:szCs w:val="18"/>
        </w:rPr>
        <w:sectPr>
          <w:pgSz w:w="11910" w:h="16840"/>
          <w:pgMar w:header="746" w:footer="978" w:top="1040" w:bottom="1160" w:left="1020" w:right="1020"/>
        </w:sectPr>
      </w:pPr>
    </w:p>
    <w:p>
      <w:pPr>
        <w:spacing w:line="240" w:lineRule="auto" w:before="9"/>
        <w:rPr>
          <w:rFonts w:ascii="宋体" w:hAnsi="宋体" w:cs="宋体" w:eastAsia="宋体" w:hint="default"/>
          <w:sz w:val="26"/>
          <w:szCs w:val="26"/>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60" w:lineRule="auto" w:before="115"/>
        <w:ind w:left="132" w:right="8114"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01" w:type="dxa"/>
        <w:tblLayout w:type="fixed"/>
        <w:tblCellMar>
          <w:top w:w="0" w:type="dxa"/>
          <w:left w:w="0" w:type="dxa"/>
          <w:bottom w:w="0" w:type="dxa"/>
          <w:right w:w="0" w:type="dxa"/>
        </w:tblCellMar>
        <w:tblLook w:val="01E0"/>
      </w:tblPr>
      <w:tblGrid>
        <w:gridCol w:w="4097"/>
        <w:gridCol w:w="5471"/>
      </w:tblGrid>
      <w:tr>
        <w:trPr>
          <w:trHeight w:val="402" w:hRule="exact"/>
        </w:trPr>
        <w:tc>
          <w:tcPr>
            <w:tcW w:w="4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93,942,275.18</w:t>
            </w:r>
          </w:p>
        </w:tc>
      </w:tr>
      <w:tr>
        <w:trPr>
          <w:trHeight w:val="402" w:hRule="exact"/>
        </w:trPr>
        <w:tc>
          <w:tcPr>
            <w:tcW w:w="4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17.16%</w:t>
            </w:r>
          </w:p>
        </w:tc>
      </w:tr>
    </w:tbl>
    <w:p>
      <w:pPr>
        <w:spacing w:before="65"/>
        <w:ind w:left="132" w:right="10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名供应商资料</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26,875,318.43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4.91%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24,411,580.98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15,788,603.77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2.88%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14,366,772.00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12,500,000.00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93,942,275.18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17.16%</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3、费用</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28,849,368.24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26,300,628.22</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9.69%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主要是本期加大市场开拓所致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82,995,569.60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68,001,005.94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主要是本期加大研发投入所致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-4,567,987.85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-921,900.54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-395.50%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主要是本期获得利息收入增加所致</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4、研发投入</w:t>
      </w:r>
      <w:r>
        <w:rPr>
          <w:b w:val="0"/>
          <w:bCs w:val="0"/>
        </w:rPr>
      </w:r>
    </w:p>
    <w:p>
      <w:pPr>
        <w:spacing w:line="240" w:lineRule="auto" w:before="4"/>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76"/>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82"/>
          <w:sz w:val="18"/>
          <w:szCs w:val="18"/>
        </w:rPr>
        <w:t>：</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272"/>
        <w:gridCol w:w="1422"/>
        <w:gridCol w:w="1842"/>
        <w:gridCol w:w="567"/>
        <w:gridCol w:w="1701"/>
        <w:gridCol w:w="1460"/>
        <w:gridCol w:w="1275"/>
      </w:tblGrid>
      <w:tr>
        <w:trPr>
          <w:trHeight w:val="347" w:hRule="exact"/>
        </w:trPr>
        <w:tc>
          <w:tcPr>
            <w:tcW w:w="1272"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22"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20"/>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09"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3161"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本期转出数</w:t>
            </w:r>
          </w:p>
        </w:tc>
        <w:tc>
          <w:tcPr>
            <w:tcW w:w="1275"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20"/>
              <w:ind w:left="26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1272" w:type="dxa"/>
            <w:vMerge/>
            <w:tcBorders>
              <w:left w:val="single" w:sz="6" w:space="0" w:color="000000"/>
              <w:bottom w:val="single" w:sz="6" w:space="0" w:color="000000"/>
              <w:right w:val="single" w:sz="6" w:space="0" w:color="000000"/>
            </w:tcBorders>
            <w:shd w:val="clear" w:color="auto" w:fill="BFBFBF"/>
          </w:tcPr>
          <w:p>
            <w:pPr/>
          </w:p>
        </w:tc>
        <w:tc>
          <w:tcPr>
            <w:tcW w:w="1422" w:type="dxa"/>
            <w:vMerge/>
            <w:tcBorders>
              <w:left w:val="single" w:sz="6" w:space="0" w:color="000000"/>
              <w:bottom w:val="single" w:sz="6" w:space="0" w:color="000000"/>
              <w:right w:val="single" w:sz="6" w:space="0" w:color="000000"/>
            </w:tcBorders>
            <w:shd w:val="clear" w:color="auto" w:fill="BFBFBF"/>
          </w:tcPr>
          <w:p>
            <w:pPr/>
          </w:p>
        </w:tc>
        <w:tc>
          <w:tcPr>
            <w:tcW w:w="18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9"/>
              <w:ind w:left="374"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6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9"/>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9"/>
              <w:ind w:left="303"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46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5" w:type="dxa"/>
            <w:vMerge/>
            <w:tcBorders>
              <w:left w:val="single" w:sz="6" w:space="0" w:color="000000"/>
              <w:bottom w:val="single" w:sz="6" w:space="0" w:color="000000"/>
              <w:right w:val="single" w:sz="6" w:space="0" w:color="000000"/>
            </w:tcBorders>
            <w:shd w:val="clear" w:color="auto" w:fill="BFBFBF"/>
          </w:tcPr>
          <w:p>
            <w:pPr/>
          </w:p>
        </w:tc>
      </w:tr>
      <w:tr>
        <w:trPr>
          <w:trHeight w:val="659" w:hRule="exact"/>
        </w:trPr>
        <w:tc>
          <w:tcPr>
            <w:tcW w:w="127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316" w:lineRule="auto" w:before="20"/>
              <w:ind w:left="1" w:right="1"/>
              <w:jc w:val="left"/>
              <w:rPr>
                <w:rFonts w:ascii="宋体" w:hAnsi="宋体" w:cs="宋体" w:eastAsia="宋体" w:hint="default"/>
                <w:sz w:val="18"/>
                <w:szCs w:val="18"/>
              </w:rPr>
            </w:pPr>
            <w:r>
              <w:rPr>
                <w:rFonts w:ascii="宋体" w:hAnsi="宋体" w:cs="宋体" w:eastAsia="宋体" w:hint="default"/>
                <w:sz w:val="18"/>
                <w:szCs w:val="18"/>
              </w:rPr>
              <w:t>高</w:t>
            </w:r>
            <w:r>
              <w:rPr>
                <w:rFonts w:ascii="宋体" w:hAnsi="宋体" w:cs="宋体" w:eastAsia="宋体" w:hint="default"/>
                <w:spacing w:val="-57"/>
                <w:sz w:val="18"/>
                <w:szCs w:val="18"/>
              </w:rPr>
              <w:t> </w:t>
            </w:r>
            <w:r>
              <w:rPr>
                <w:rFonts w:ascii="宋体" w:hAnsi="宋体" w:cs="宋体" w:eastAsia="宋体" w:hint="default"/>
                <w:sz w:val="18"/>
                <w:szCs w:val="18"/>
              </w:rPr>
              <w:t>速</w:t>
            </w:r>
            <w:r>
              <w:rPr>
                <w:rFonts w:ascii="宋体" w:hAnsi="宋体" w:cs="宋体" w:eastAsia="宋体" w:hint="default"/>
                <w:spacing w:val="-54"/>
                <w:sz w:val="18"/>
                <w:szCs w:val="18"/>
              </w:rPr>
              <w:t> </w:t>
            </w:r>
            <w:r>
              <w:rPr>
                <w:rFonts w:ascii="宋体" w:hAnsi="宋体" w:cs="宋体" w:eastAsia="宋体" w:hint="default"/>
                <w:sz w:val="18"/>
                <w:szCs w:val="18"/>
              </w:rPr>
              <w:t>公</w:t>
            </w:r>
            <w:r>
              <w:rPr>
                <w:rFonts w:ascii="宋体" w:hAnsi="宋体" w:cs="宋体" w:eastAsia="宋体" w:hint="default"/>
                <w:spacing w:val="-57"/>
                <w:sz w:val="18"/>
                <w:szCs w:val="18"/>
              </w:rPr>
              <w:t> </w:t>
            </w:r>
            <w:r>
              <w:rPr>
                <w:rFonts w:ascii="宋体" w:hAnsi="宋体" w:cs="宋体" w:eastAsia="宋体" w:hint="default"/>
                <w:sz w:val="18"/>
                <w:szCs w:val="18"/>
              </w:rPr>
              <w:t>路</w:t>
            </w:r>
            <w:r>
              <w:rPr>
                <w:rFonts w:ascii="宋体" w:hAnsi="宋体" w:cs="宋体" w:eastAsia="宋体" w:hint="default"/>
                <w:spacing w:val="-57"/>
                <w:sz w:val="18"/>
                <w:szCs w:val="18"/>
              </w:rPr>
              <w:t> </w:t>
            </w:r>
            <w:r>
              <w:rPr>
                <w:rFonts w:ascii="宋体" w:hAnsi="宋体" w:cs="宋体" w:eastAsia="宋体" w:hint="default"/>
                <w:sz w:val="18"/>
                <w:szCs w:val="18"/>
              </w:rPr>
              <w:t>系</w:t>
            </w:r>
            <w:r>
              <w:rPr>
                <w:rFonts w:ascii="宋体" w:hAnsi="宋体" w:cs="宋体" w:eastAsia="宋体" w:hint="default"/>
                <w:spacing w:val="-54"/>
                <w:sz w:val="18"/>
                <w:szCs w:val="18"/>
              </w:rPr>
              <w:t> </w:t>
            </w:r>
            <w:r>
              <w:rPr>
                <w:rFonts w:ascii="宋体" w:hAnsi="宋体" w:cs="宋体" w:eastAsia="宋体" w:hint="default"/>
                <w:sz w:val="18"/>
                <w:szCs w:val="18"/>
              </w:rPr>
              <w:t>统</w:t>
            </w:r>
            <w:r>
              <w:rPr>
                <w:rFonts w:ascii="宋体" w:hAnsi="宋体" w:cs="宋体" w:eastAsia="宋体" w:hint="default"/>
                <w:sz w:val="18"/>
                <w:szCs w:val="18"/>
              </w:rPr>
              <w:t> 开发项目</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9" w:right="0"/>
              <w:jc w:val="left"/>
              <w:rPr>
                <w:rFonts w:ascii="宋体" w:hAnsi="宋体" w:cs="宋体" w:eastAsia="宋体" w:hint="default"/>
                <w:sz w:val="18"/>
                <w:szCs w:val="18"/>
              </w:rPr>
            </w:pPr>
            <w:r>
              <w:rPr>
                <w:rFonts w:ascii="宋体"/>
                <w:sz w:val="18"/>
              </w:rPr>
              <w:t>30,205,510.48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36,127,579.52</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11,817,850.35</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16,827,916.48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37,687,323.17</w:t>
            </w:r>
          </w:p>
        </w:tc>
      </w:tr>
      <w:tr>
        <w:trPr>
          <w:trHeight w:val="659" w:hRule="exact"/>
        </w:trPr>
        <w:tc>
          <w:tcPr>
            <w:tcW w:w="127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316" w:lineRule="auto" w:before="21"/>
              <w:ind w:left="1" w:right="1"/>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57"/>
                <w:sz w:val="18"/>
                <w:szCs w:val="18"/>
              </w:rPr>
              <w:t> </w:t>
            </w:r>
            <w:r>
              <w:rPr>
                <w:rFonts w:ascii="宋体" w:hAnsi="宋体" w:cs="宋体" w:eastAsia="宋体" w:hint="default"/>
                <w:sz w:val="18"/>
                <w:szCs w:val="18"/>
              </w:rPr>
              <w:t>口</w:t>
            </w:r>
            <w:r>
              <w:rPr>
                <w:rFonts w:ascii="宋体" w:hAnsi="宋体" w:cs="宋体" w:eastAsia="宋体" w:hint="default"/>
                <w:spacing w:val="-54"/>
                <w:sz w:val="18"/>
                <w:szCs w:val="18"/>
              </w:rPr>
              <w:t> </w:t>
            </w:r>
            <w:r>
              <w:rPr>
                <w:rFonts w:ascii="宋体" w:hAnsi="宋体" w:cs="宋体" w:eastAsia="宋体" w:hint="default"/>
                <w:sz w:val="18"/>
                <w:szCs w:val="18"/>
              </w:rPr>
              <w:t>生</w:t>
            </w:r>
            <w:r>
              <w:rPr>
                <w:rFonts w:ascii="宋体" w:hAnsi="宋体" w:cs="宋体" w:eastAsia="宋体" w:hint="default"/>
                <w:spacing w:val="-57"/>
                <w:sz w:val="18"/>
                <w:szCs w:val="18"/>
              </w:rPr>
              <w:t> </w:t>
            </w:r>
            <w:r>
              <w:rPr>
                <w:rFonts w:ascii="宋体" w:hAnsi="宋体" w:cs="宋体" w:eastAsia="宋体" w:hint="default"/>
                <w:sz w:val="18"/>
                <w:szCs w:val="18"/>
              </w:rPr>
              <w:t>产</w:t>
            </w:r>
            <w:r>
              <w:rPr>
                <w:rFonts w:ascii="宋体" w:hAnsi="宋体" w:cs="宋体" w:eastAsia="宋体" w:hint="default"/>
                <w:spacing w:val="-57"/>
                <w:sz w:val="18"/>
                <w:szCs w:val="18"/>
              </w:rPr>
              <w:t> </w:t>
            </w:r>
            <w:r>
              <w:rPr>
                <w:rFonts w:ascii="宋体" w:hAnsi="宋体" w:cs="宋体" w:eastAsia="宋体" w:hint="default"/>
                <w:sz w:val="18"/>
                <w:szCs w:val="18"/>
              </w:rPr>
              <w:t>调</w:t>
            </w:r>
            <w:r>
              <w:rPr>
                <w:rFonts w:ascii="宋体" w:hAnsi="宋体" w:cs="宋体" w:eastAsia="宋体" w:hint="default"/>
                <w:spacing w:val="-54"/>
                <w:sz w:val="18"/>
                <w:szCs w:val="18"/>
              </w:rPr>
              <w:t> </w:t>
            </w:r>
            <w:r>
              <w:rPr>
                <w:rFonts w:ascii="宋体" w:hAnsi="宋体" w:cs="宋体" w:eastAsia="宋体" w:hint="default"/>
                <w:sz w:val="18"/>
                <w:szCs w:val="18"/>
              </w:rPr>
              <w:t>度</w:t>
            </w:r>
            <w:r>
              <w:rPr>
                <w:rFonts w:ascii="宋体" w:hAnsi="宋体" w:cs="宋体" w:eastAsia="宋体" w:hint="default"/>
                <w:sz w:val="18"/>
                <w:szCs w:val="18"/>
              </w:rPr>
              <w:t> 等开发</w:t>
            </w:r>
          </w:p>
        </w:tc>
        <w:tc>
          <w:tcPr>
            <w:tcW w:w="142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12,938,473.33</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5,768,503.13</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1,815,410.82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5,354,559.38</w:t>
            </w:r>
          </w:p>
        </w:tc>
      </w:tr>
      <w:tr>
        <w:trPr>
          <w:trHeight w:val="347" w:hRule="exact"/>
        </w:trPr>
        <w:tc>
          <w:tcPr>
            <w:tcW w:w="1272" w:type="dxa"/>
            <w:tcBorders>
              <w:top w:val="single" w:sz="6" w:space="0" w:color="000000"/>
              <w:left w:val="single" w:sz="6" w:space="0" w:color="000000"/>
              <w:bottom w:val="single" w:sz="6" w:space="0" w:color="000000"/>
              <w:right w:val="single" w:sz="6" w:space="0" w:color="000000"/>
            </w:tcBorders>
            <w:shd w:val="clear" w:color="auto" w:fill="BFBFBF"/>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34" w:right="0"/>
              <w:jc w:val="left"/>
              <w:rPr>
                <w:rFonts w:ascii="宋体" w:hAnsi="宋体" w:cs="宋体" w:eastAsia="宋体" w:hint="default"/>
                <w:sz w:val="18"/>
                <w:szCs w:val="18"/>
              </w:rPr>
            </w:pPr>
            <w:r>
              <w:rPr>
                <w:rFonts w:ascii="宋体"/>
                <w:sz w:val="18"/>
              </w:rPr>
              <w:t>30,205,510.48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49,066,052.85</w:t>
            </w:r>
          </w:p>
        </w:tc>
        <w:tc>
          <w:tcPr>
            <w:tcW w:w="567"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17,586,353.48</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18,643,327.30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43,041,882.55</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977"/>
        <w:gridCol w:w="2410"/>
        <w:gridCol w:w="2410"/>
        <w:gridCol w:w="1760"/>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14"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0"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15.97%</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2977"/>
        <w:gridCol w:w="2410"/>
        <w:gridCol w:w="2410"/>
        <w:gridCol w:w="1760"/>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50.09%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47.31%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2.78%</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49,066,052.85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43,759,090.58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12.13%</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5.56%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5.60%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-0.04%</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18,643,327.30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22,542,123.67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-17.30%</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38.00%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51.51%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-13.51%</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57" w:lineRule="auto" w:before="117"/>
        <w:ind w:left="13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9"/>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5、现金流</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552"/>
        <w:gridCol w:w="2232"/>
        <w:gridCol w:w="2392"/>
        <w:gridCol w:w="2392"/>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1,247,551,605.30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892,777,452.71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39.74%</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1,123,623,430.86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901,870,039.13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24.59%</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123,928,174.44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-9,092,586.42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1,462.96%</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515,360,947.71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571,804,034.62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-9.87%</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446,281,195.22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715,106,309.93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-37.59%</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69,079,752.49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-143,302,275.31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148.21%</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23,581,044.12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374,719,048.93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-93.71%</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23,151,568.39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21,634,502.14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7.01%</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429,475.73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353,084,546.79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-99.88%</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193,281,918.13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200,339,314.53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-3.52%</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92"/>
        <w:ind w:left="132" w:right="104"/>
        <w:jc w:val="left"/>
      </w:pPr>
      <w:r>
        <w:rPr/>
        <w:t>本期经营活动产生的现金流量净额较上期大幅增加，主要是本期项目回款增加所致；</w:t>
      </w:r>
      <w:r>
        <w:rPr>
          <w:w w:val="99"/>
        </w:rPr>
        <w:t> </w:t>
      </w:r>
      <w:r>
        <w:rPr/>
        <w:t>本期投资活动产生的现金流量净额较大幅增加，主要是本期收回上期理财产品资金所致；</w:t>
      </w:r>
      <w:r>
        <w:rPr>
          <w:w w:val="99"/>
        </w:rPr>
        <w:t> </w:t>
      </w:r>
      <w:r>
        <w:rPr>
          <w:w w:val="95"/>
        </w:rPr>
        <w:t>本期筹资活动产生的现金流量净额较上期大幅减少，主要是上期收到非公开发行募集资金所致。</w:t>
      </w:r>
      <w:r>
        <w:rPr/>
      </w:r>
    </w:p>
    <w:p>
      <w:pPr>
        <w:spacing w:before="71"/>
        <w:ind w:left="132" w:right="104"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38" w:lineRule="auto" w:before="117"/>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 本期经营活动产生的现金净流量比本年度净利润大65.5%，主要是本期项目回款增加且及时，同时本期收到的业主预付的项 目开工预付款也大幅增加所致。</w:t>
      </w:r>
    </w:p>
    <w:p>
      <w:pPr>
        <w:spacing w:line="240" w:lineRule="auto" w:before="6"/>
        <w:rPr>
          <w:rFonts w:ascii="宋体" w:hAnsi="宋体" w:cs="宋体" w:eastAsia="宋体" w:hint="default"/>
          <w:sz w:val="19"/>
          <w:szCs w:val="19"/>
        </w:rPr>
      </w:pPr>
    </w:p>
    <w:p>
      <w:pPr>
        <w:pStyle w:val="Heading4"/>
        <w:spacing w:line="240" w:lineRule="auto"/>
        <w:ind w:right="104"/>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2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523"/>
        <w:gridCol w:w="1916"/>
        <w:gridCol w:w="1623"/>
        <w:gridCol w:w="2545"/>
        <w:gridCol w:w="1962"/>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5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2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11,091,965.50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12.62%</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处置投资性资产和理财收益</w:t>
            </w:r>
          </w:p>
        </w:tc>
        <w:tc>
          <w:tcPr>
            <w:tcW w:w="19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3,453,415.71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3.93%</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坏账准备计提</w:t>
            </w:r>
          </w:p>
        </w:tc>
        <w:tc>
          <w:tcPr>
            <w:tcW w:w="19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15,139,242.09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17.22%</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236,569.69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0.27%</w:t>
            </w:r>
          </w:p>
        </w:tc>
        <w:tc>
          <w:tcPr>
            <w:tcW w:w="2545"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8"/>
          <w:szCs w:val="18"/>
        </w:rPr>
      </w:pPr>
    </w:p>
    <w:p>
      <w:pPr>
        <w:pStyle w:val="Heading4"/>
        <w:spacing w:line="240" w:lineRule="auto" w:before="26"/>
        <w:ind w:right="104"/>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4"/>
        <w:jc w:val="left"/>
        <w:rPr>
          <w:b w:val="0"/>
          <w:bCs w:val="0"/>
        </w:rPr>
      </w:pPr>
      <w:r>
        <w:rPr/>
        <w:t>1、资产构成重大变动情况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76"/>
        <w:gridCol w:w="1418"/>
        <w:gridCol w:w="708"/>
        <w:gridCol w:w="1388"/>
        <w:gridCol w:w="739"/>
        <w:gridCol w:w="708"/>
        <w:gridCol w:w="3332"/>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3D3D3"/>
          </w:tcPr>
          <w:p>
            <w:pP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60" w:right="76"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3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8" w:right="7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4" w:right="9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08" w:type="dxa"/>
            <w:vMerge/>
            <w:tcBorders>
              <w:left w:val="single" w:sz="4" w:space="0" w:color="000000"/>
              <w:bottom w:val="single" w:sz="4" w:space="0" w:color="000000"/>
              <w:right w:val="single" w:sz="4" w:space="0" w:color="000000"/>
            </w:tcBorders>
            <w:shd w:val="clear" w:color="auto" w:fill="D3D3D3"/>
          </w:tcPr>
          <w:p>
            <w:pPr/>
          </w:p>
        </w:tc>
        <w:tc>
          <w:tcPr>
            <w:tcW w:w="333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759,567,616.21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42.49%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569,000,171.04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6.21%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本期货币资金大幅增加，主要是本期项目 回款增加所致</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189,358,992.68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268,259,344.63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7"/>
              <w:jc w:val="left"/>
              <w:rPr>
                <w:rFonts w:ascii="宋体" w:hAnsi="宋体" w:cs="宋体" w:eastAsia="宋体" w:hint="default"/>
                <w:sz w:val="18"/>
                <w:szCs w:val="18"/>
              </w:rPr>
            </w:pPr>
            <w:r>
              <w:rPr>
                <w:rFonts w:ascii="宋体" w:hAnsi="宋体" w:cs="宋体" w:eastAsia="宋体" w:hint="default"/>
                <w:sz w:val="18"/>
                <w:szCs w:val="18"/>
              </w:rPr>
              <w:t>本期应收账款大幅下降，主要是本期项目 回款及时所致。</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281,109,973.90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15.73%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162,592,296.62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5.36%</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存货较上期大幅增加，主要是本期新开工 项目增加但尚未达到结算时点所致。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1,553,996.80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0.10%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-0.10%</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6,083,692.58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0.34%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6,503,548.97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0.41%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-0.07%</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122,330,246.16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130,616,875.99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-1.49%</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1,214,730.91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1,026,727.45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0.07%</w:t>
            </w:r>
          </w:p>
        </w:tc>
        <w:tc>
          <w:tcPr>
            <w:tcW w:w="708"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0.56%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0.64%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-0.08%</w:t>
            </w:r>
          </w:p>
        </w:tc>
        <w:tc>
          <w:tcPr>
            <w:tcW w:w="33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2、以公允价值计量的资产和负债</w:t>
      </w:r>
      <w:r>
        <w:rPr>
          <w:b w:val="0"/>
          <w:bCs w:val="0"/>
        </w:rPr>
      </w:r>
    </w:p>
    <w:p>
      <w:pPr>
        <w:spacing w:line="240" w:lineRule="auto" w:before="7"/>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4"/>
        <w:spacing w:line="240" w:lineRule="auto"/>
        <w:ind w:right="104"/>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4"/>
        <w:jc w:val="left"/>
        <w:rPr>
          <w:b w:val="0"/>
          <w:bCs w:val="0"/>
        </w:rPr>
      </w:pPr>
      <w:r>
        <w:rPr/>
        <w:t>1、总体情况</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74" w:right="0"/>
              <w:jc w:val="left"/>
              <w:rPr>
                <w:rFonts w:ascii="宋体" w:hAnsi="宋体" w:cs="宋体" w:eastAsia="宋体" w:hint="default"/>
                <w:sz w:val="18"/>
                <w:szCs w:val="18"/>
              </w:rPr>
            </w:pPr>
            <w:r>
              <w:rPr>
                <w:rFonts w:ascii="宋体"/>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2、报告期内获取的重大的股权投资情况</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3、报告期内正在进行的重大的非股权投资情况</w:t>
      </w:r>
      <w:r>
        <w:rPr>
          <w:b w:val="0"/>
          <w:bCs w:val="0"/>
        </w:rPr>
      </w:r>
    </w:p>
    <w:p>
      <w:pPr>
        <w:spacing w:line="240" w:lineRule="auto" w:before="7"/>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4、以公允价值计量的金融资产</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5、募集资金使用情况</w:t>
      </w:r>
      <w:r>
        <w:rPr>
          <w:b w:val="0"/>
          <w:bCs w:val="0"/>
        </w:rPr>
      </w:r>
    </w:p>
    <w:p>
      <w:pPr>
        <w:spacing w:line="240" w:lineRule="auto" w:before="12"/>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（1）募集资金总体使用情况</w:t>
      </w:r>
      <w:r>
        <w:rPr>
          <w:b w:val="0"/>
          <w:bCs w:val="0"/>
        </w:rPr>
      </w:r>
    </w:p>
    <w:p>
      <w:pPr>
        <w:spacing w:line="240" w:lineRule="auto" w:before="4"/>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09"/>
        <w:gridCol w:w="992"/>
        <w:gridCol w:w="709"/>
        <w:gridCol w:w="851"/>
        <w:gridCol w:w="850"/>
        <w:gridCol w:w="1104"/>
        <w:gridCol w:w="870"/>
        <w:gridCol w:w="870"/>
        <w:gridCol w:w="870"/>
        <w:gridCol w:w="870"/>
        <w:gridCol w:w="869"/>
      </w:tblGrid>
      <w:tr>
        <w:trPr>
          <w:trHeight w:val="1338"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7"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0" w:right="77"/>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59"/>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1" w:right="5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0"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8" w:right="69"/>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8" w:right="69"/>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36,195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center"/>
              <w:rPr>
                <w:rFonts w:ascii="宋体" w:hAnsi="宋体" w:cs="宋体" w:eastAsia="宋体" w:hint="default"/>
                <w:sz w:val="18"/>
                <w:szCs w:val="18"/>
              </w:rPr>
            </w:pPr>
            <w:r>
              <w:rPr>
                <w:rFonts w:ascii="宋体"/>
                <w:sz w:val="18"/>
              </w:rPr>
              <w:t>4,022.87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8,386.68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27,808.32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5"/>
              <w:jc w:val="left"/>
              <w:rPr>
                <w:rFonts w:ascii="宋体" w:hAnsi="宋体" w:cs="宋体" w:eastAsia="宋体" w:hint="default"/>
                <w:sz w:val="18"/>
                <w:szCs w:val="18"/>
              </w:rPr>
            </w:pPr>
            <w:r>
              <w:rPr>
                <w:rFonts w:ascii="宋体" w:hAnsi="宋体" w:cs="宋体" w:eastAsia="宋体" w:hint="default"/>
                <w:sz w:val="18"/>
                <w:szCs w:val="18"/>
              </w:rPr>
              <w:t>存放募集 资金专户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36,195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6" w:right="0"/>
              <w:jc w:val="center"/>
              <w:rPr>
                <w:rFonts w:ascii="宋体" w:hAnsi="宋体" w:cs="宋体" w:eastAsia="宋体" w:hint="default"/>
                <w:sz w:val="18"/>
                <w:szCs w:val="18"/>
              </w:rPr>
            </w:pPr>
            <w:r>
              <w:rPr>
                <w:rFonts w:ascii="宋体"/>
                <w:sz w:val="18"/>
              </w:rPr>
              <w:t>4,022.87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8,386.68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27,808.32</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本公司募集资金项目未出现异常情况，截至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日，本公司募投资金投资项目正在进行。</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（2）募集资金承诺项目情况</w:t>
      </w:r>
      <w:r>
        <w:rPr>
          <w:b w:val="0"/>
          <w:bCs w:val="0"/>
        </w:rPr>
      </w:r>
    </w:p>
    <w:p>
      <w:pPr>
        <w:spacing w:line="240" w:lineRule="auto" w:before="4"/>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20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1065"/>
        <w:gridCol w:w="709"/>
        <w:gridCol w:w="566"/>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21" w:right="68"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4"/>
              <w:jc w:val="center"/>
              <w:rPr>
                <w:rFonts w:ascii="宋体" w:hAnsi="宋体" w:cs="宋体" w:eastAsia="宋体" w:hint="default"/>
                <w:sz w:val="18"/>
                <w:szCs w:val="18"/>
              </w:rPr>
            </w:pPr>
            <w:r>
              <w:rPr>
                <w:rFonts w:ascii="宋体" w:hAnsi="宋体" w:cs="宋体" w:eastAsia="宋体" w:hint="default"/>
                <w:sz w:val="18"/>
                <w:szCs w:val="18"/>
              </w:rPr>
              <w:t>是否已变 更项目 (含部分 变更)</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调整后投 资总额 (1)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3"/>
              <w:jc w:val="both"/>
              <w:rPr>
                <w:rFonts w:ascii="宋体" w:hAnsi="宋体" w:cs="宋体" w:eastAsia="宋体" w:hint="default"/>
                <w:sz w:val="18"/>
                <w:szCs w:val="18"/>
              </w:rPr>
            </w:pPr>
            <w:r>
              <w:rPr>
                <w:rFonts w:ascii="宋体" w:hAnsi="宋体" w:cs="宋体" w:eastAsia="宋体" w:hint="default"/>
                <w:sz w:val="18"/>
                <w:szCs w:val="18"/>
              </w:rPr>
              <w:t>截至期末 累计投入 金额(2)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5" w:right="23"/>
              <w:jc w:val="center"/>
              <w:rPr>
                <w:rFonts w:ascii="宋体" w:hAnsi="宋体" w:cs="宋体" w:eastAsia="宋体" w:hint="default"/>
                <w:sz w:val="18"/>
                <w:szCs w:val="18"/>
              </w:rPr>
            </w:pPr>
            <w:r>
              <w:rPr>
                <w:rFonts w:ascii="宋体" w:hAnsi="宋体" w:cs="宋体" w:eastAsia="宋体" w:hint="default"/>
                <w:sz w:val="18"/>
                <w:szCs w:val="18"/>
              </w:rPr>
              <w:t>截至期末 投资进度 (3)＝ (2)/(1)</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8" w:right="75"/>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8"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9" w:right="9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港口物流软件及信息 服务平台建设项目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sz w:val="18"/>
              </w:rPr>
              <w:t>9,014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sz w:val="18"/>
              </w:rPr>
              <w:t>9,014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sz w:val="18"/>
              </w:rPr>
              <w:t>122.27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sz w:val="18"/>
              </w:rPr>
              <w:t>122.27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sz w:val="18"/>
              </w:rPr>
              <w:t>1.36%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1065"/>
        <w:gridCol w:w="709"/>
        <w:gridCol w:w="566"/>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5"/>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TD-LTE</w:t>
            </w:r>
            <w:r>
              <w:rPr>
                <w:rFonts w:ascii="宋体" w:hAnsi="宋体" w:cs="宋体" w:eastAsia="宋体" w:hint="default"/>
                <w:spacing w:val="-47"/>
                <w:sz w:val="18"/>
                <w:szCs w:val="18"/>
              </w:rPr>
              <w:t> </w:t>
            </w:r>
            <w:r>
              <w:rPr>
                <w:rFonts w:ascii="宋体" w:hAnsi="宋体" w:cs="宋体" w:eastAsia="宋体" w:hint="default"/>
                <w:sz w:val="18"/>
                <w:szCs w:val="18"/>
              </w:rPr>
              <w:t>技术的企</w:t>
            </w:r>
            <w:r>
              <w:rPr>
                <w:rFonts w:ascii="宋体" w:hAnsi="宋体" w:cs="宋体" w:eastAsia="宋体" w:hint="default"/>
                <w:sz w:val="18"/>
                <w:szCs w:val="18"/>
              </w:rPr>
              <w:t> 业网通讯终端产业化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宋体" w:hAnsi="宋体" w:cs="宋体" w:eastAsia="宋体" w:hint="default"/>
                <w:sz w:val="18"/>
                <w:szCs w:val="18"/>
              </w:rPr>
            </w:pPr>
            <w:r>
              <w:rPr>
                <w:rFonts w:ascii="宋体"/>
                <w:spacing w:val="-1"/>
                <w:sz w:val="18"/>
              </w:rPr>
              <w:t>4,055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宋体" w:hAnsi="宋体" w:cs="宋体" w:eastAsia="宋体" w:hint="default"/>
                <w:sz w:val="18"/>
                <w:szCs w:val="18"/>
              </w:rPr>
            </w:pPr>
            <w:r>
              <w:rPr>
                <w:rFonts w:ascii="宋体"/>
                <w:spacing w:val="-1"/>
                <w:sz w:val="18"/>
              </w:rPr>
              <w:t>4,055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宋体" w:hAnsi="宋体" w:cs="宋体" w:eastAsia="宋体" w:hint="default"/>
                <w:sz w:val="18"/>
                <w:szCs w:val="18"/>
              </w:rPr>
            </w:pPr>
            <w:r>
              <w:rPr>
                <w:rFonts w:ascii="宋体"/>
                <w:spacing w:val="-1"/>
                <w:sz w:val="18"/>
              </w:rPr>
              <w:t>224.55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宋体" w:hAnsi="宋体" w:cs="宋体" w:eastAsia="宋体" w:hint="default"/>
                <w:sz w:val="18"/>
                <w:szCs w:val="18"/>
              </w:rPr>
            </w:pPr>
            <w:r>
              <w:rPr>
                <w:rFonts w:ascii="宋体"/>
                <w:spacing w:val="-1"/>
                <w:sz w:val="18"/>
              </w:rPr>
              <w:t>334.22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宋体" w:hAnsi="宋体" w:cs="宋体" w:eastAsia="宋体" w:hint="default"/>
                <w:sz w:val="18"/>
                <w:szCs w:val="18"/>
              </w:rPr>
            </w:pPr>
            <w:r>
              <w:rPr>
                <w:rFonts w:ascii="宋体"/>
                <w:spacing w:val="-1"/>
                <w:sz w:val="18"/>
              </w:rPr>
              <w:t>8.24%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智能路网管理系统建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6,692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1,353.01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1,967.54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29.40%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交通运输智慧信息服 务平台建设项目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8,213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8,213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1,757.8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21.40%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市场营销和服务网络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4,221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4,221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121.95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202.86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4.81%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1,001.99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4,001.99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w:t>
            </w:r>
          </w:p>
        </w:tc>
        <w:tc>
          <w:tcPr>
            <w:tcW w:w="10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36,195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36,195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4,022.87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8,386.68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36,195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36,195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4,022.87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8,386.68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7"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2" w:right="2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2"/>
              <w:ind w:left="22" w:right="116"/>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5080"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firstLine="448"/>
              <w:jc w:val="both"/>
              <w:rPr>
                <w:rFonts w:ascii="宋体" w:hAnsi="宋体" w:cs="宋体" w:eastAsia="宋体" w:hint="default"/>
                <w:sz w:val="18"/>
                <w:szCs w:val="18"/>
              </w:rPr>
            </w:pPr>
            <w:r>
              <w:rPr>
                <w:rFonts w:ascii="宋体" w:hAnsi="宋体" w:cs="宋体" w:eastAsia="宋体" w:hint="default"/>
                <w:sz w:val="18"/>
                <w:szCs w:val="18"/>
              </w:rPr>
              <w:t>（1）公司</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日召开的</w:t>
            </w:r>
            <w:r>
              <w:rPr>
                <w:rFonts w:ascii="宋体" w:hAnsi="宋体" w:cs="宋体" w:eastAsia="宋体" w:hint="default"/>
                <w:spacing w:val="-2"/>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年第二次临时股东大会审议通过，根据募集资金建</w:t>
            </w:r>
            <w:r>
              <w:rPr>
                <w:rFonts w:ascii="宋体" w:hAnsi="宋体" w:cs="宋体" w:eastAsia="宋体" w:hint="default"/>
                <w:sz w:val="18"/>
                <w:szCs w:val="18"/>
              </w:rPr>
              <w:t> 设项目进度安排，公司将募集资金投资项目“交通运输智慧信息服务平台建设项目”中“公众出行 </w:t>
            </w:r>
            <w:r>
              <w:rPr>
                <w:rFonts w:ascii="宋体" w:hAnsi="宋体" w:cs="宋体" w:eastAsia="宋体" w:hint="default"/>
                <w:spacing w:val="-3"/>
                <w:sz w:val="18"/>
                <w:szCs w:val="18"/>
              </w:rPr>
              <w:t>服务和汽车后市场服务”子项目的部分募集资金用途变更为对“互联网+”交通产业进行投资，即使</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宋体" w:hAnsi="宋体" w:cs="宋体" w:eastAsia="宋体" w:hint="default"/>
                <w:sz w:val="18"/>
                <w:szCs w:val="18"/>
              </w:rPr>
              <w:t>2,400</w:t>
            </w:r>
            <w:r>
              <w:rPr>
                <w:rFonts w:ascii="宋体" w:hAnsi="宋体" w:cs="宋体" w:eastAsia="宋体" w:hint="default"/>
                <w:spacing w:val="-47"/>
                <w:sz w:val="18"/>
                <w:szCs w:val="18"/>
              </w:rPr>
              <w:t> </w:t>
            </w:r>
            <w:r>
              <w:rPr>
                <w:rFonts w:ascii="宋体" w:hAnsi="宋体" w:cs="宋体" w:eastAsia="宋体" w:hint="default"/>
                <w:sz w:val="18"/>
                <w:szCs w:val="18"/>
              </w:rPr>
              <w:t>万元与安徽省高速公路联网运营有限公司和安徽天行健健康管理有限公司共同投资设立安</w:t>
            </w:r>
            <w:r>
              <w:rPr>
                <w:rFonts w:ascii="宋体" w:hAnsi="宋体" w:cs="宋体" w:eastAsia="宋体" w:hint="default"/>
                <w:sz w:val="18"/>
                <w:szCs w:val="18"/>
              </w:rPr>
              <w:t> </w:t>
            </w:r>
            <w:r>
              <w:rPr>
                <w:rFonts w:ascii="宋体" w:hAnsi="宋体" w:cs="宋体" w:eastAsia="宋体" w:hint="default"/>
                <w:spacing w:val="-5"/>
                <w:sz w:val="18"/>
                <w:szCs w:val="18"/>
              </w:rPr>
              <w:t>徽行云天下科技有限公司。该公司设立后，“交通运输智慧信息服务平台建设项目”中“公众出行服</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务和汽车后市场服务”子项目的实施主体将由公司变更为控股子公司安徽行云天下科技有限公司， 该子项目的实施地点也由合肥市高新区皖水路</w:t>
            </w:r>
            <w:r>
              <w:rPr>
                <w:rFonts w:ascii="宋体" w:hAnsi="宋体" w:cs="宋体" w:eastAsia="宋体" w:hint="default"/>
                <w:spacing w:val="-62"/>
                <w:sz w:val="18"/>
                <w:szCs w:val="18"/>
              </w:rPr>
              <w:t> </w:t>
            </w:r>
            <w:r>
              <w:rPr>
                <w:rFonts w:ascii="宋体" w:hAnsi="宋体" w:cs="宋体" w:eastAsia="宋体" w:hint="default"/>
                <w:sz w:val="18"/>
                <w:szCs w:val="18"/>
              </w:rPr>
              <w:t>589</w:t>
            </w:r>
            <w:r>
              <w:rPr>
                <w:rFonts w:ascii="宋体" w:hAnsi="宋体" w:cs="宋体" w:eastAsia="宋体" w:hint="default"/>
                <w:spacing w:val="-60"/>
                <w:sz w:val="18"/>
                <w:szCs w:val="18"/>
              </w:rPr>
              <w:t> </w:t>
            </w:r>
            <w:r>
              <w:rPr>
                <w:rFonts w:ascii="宋体" w:hAnsi="宋体" w:cs="宋体" w:eastAsia="宋体" w:hint="default"/>
                <w:sz w:val="18"/>
                <w:szCs w:val="18"/>
              </w:rPr>
              <w:t>号变更为合肥市高新区天通路</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z w:val="18"/>
                <w:szCs w:val="18"/>
              </w:rPr>
              <w:t>号软件园</w:t>
            </w:r>
            <w:r>
              <w:rPr>
                <w:rFonts w:ascii="宋体" w:hAnsi="宋体" w:cs="宋体" w:eastAsia="宋体" w:hint="default"/>
                <w:spacing w:val="-62"/>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号楼</w:t>
            </w:r>
            <w:r>
              <w:rPr>
                <w:rFonts w:ascii="宋体" w:hAnsi="宋体" w:cs="宋体" w:eastAsia="宋体" w:hint="default"/>
                <w:sz w:val="18"/>
                <w:szCs w:val="18"/>
              </w:rPr>
              <w:t> 210</w:t>
            </w:r>
            <w:r>
              <w:rPr>
                <w:rFonts w:ascii="宋体" w:hAnsi="宋体" w:cs="宋体" w:eastAsia="宋体" w:hint="default"/>
                <w:spacing w:val="-47"/>
                <w:sz w:val="18"/>
                <w:szCs w:val="18"/>
              </w:rPr>
              <w:t> </w:t>
            </w:r>
            <w:r>
              <w:rPr>
                <w:rFonts w:ascii="宋体" w:hAnsi="宋体" w:cs="宋体" w:eastAsia="宋体" w:hint="default"/>
                <w:sz w:val="18"/>
                <w:szCs w:val="18"/>
              </w:rPr>
              <w:t>室。</w:t>
            </w:r>
          </w:p>
          <w:p>
            <w:pPr>
              <w:pStyle w:val="TableParagraph"/>
              <w:spacing w:line="316" w:lineRule="auto" w:before="59"/>
              <w:ind w:left="23" w:right="20" w:firstLine="360"/>
              <w:jc w:val="both"/>
              <w:rPr>
                <w:rFonts w:ascii="宋体" w:hAnsi="宋体" w:cs="宋体" w:eastAsia="宋体" w:hint="default"/>
                <w:sz w:val="18"/>
                <w:szCs w:val="18"/>
              </w:rPr>
            </w:pPr>
            <w:r>
              <w:rPr>
                <w:rFonts w:ascii="宋体" w:hAnsi="宋体" w:cs="宋体" w:eastAsia="宋体" w:hint="default"/>
                <w:sz w:val="18"/>
                <w:szCs w:val="18"/>
              </w:rPr>
              <w:t>（2）公司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日第三届董事会第十九次会议通过决议：①将募集资金投资项目“港</w:t>
            </w:r>
            <w:r>
              <w:rPr>
                <w:rFonts w:ascii="宋体" w:hAnsi="宋体" w:cs="宋体" w:eastAsia="宋体" w:hint="default"/>
                <w:sz w:val="18"/>
                <w:szCs w:val="18"/>
              </w:rPr>
              <w:t> 口物流软件及信息服务平台”建设项目之“物流信息服务平台建设”建设子项目的实施主体由安徽 </w:t>
            </w:r>
            <w:r>
              <w:rPr>
                <w:rFonts w:ascii="宋体" w:hAnsi="宋体" w:cs="宋体" w:eastAsia="宋体" w:hint="default"/>
                <w:spacing w:val="-5"/>
                <w:sz w:val="18"/>
                <w:szCs w:val="18"/>
              </w:rPr>
              <w:t>皖通科技的全资子公司烟台华东电子软件技术有限公司（以下简称“华东电子”）变更为华东电子的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全资子公司烟台华东数据科技有限公司，该子项目的实施地点也由烟台市莱山区迎春大街</w:t>
            </w:r>
            <w:r>
              <w:rPr>
                <w:rFonts w:ascii="宋体" w:hAnsi="宋体" w:cs="宋体" w:eastAsia="宋体" w:hint="default"/>
                <w:spacing w:val="-46"/>
                <w:sz w:val="18"/>
                <w:szCs w:val="18"/>
              </w:rPr>
              <w:t> </w:t>
            </w:r>
            <w:r>
              <w:rPr>
                <w:rFonts w:ascii="宋体" w:hAnsi="宋体" w:cs="宋体" w:eastAsia="宋体" w:hint="default"/>
                <w:sz w:val="18"/>
                <w:szCs w:val="18"/>
              </w:rPr>
              <w:t>133</w:t>
            </w:r>
            <w:r>
              <w:rPr>
                <w:rFonts w:ascii="宋体" w:hAnsi="宋体" w:cs="宋体" w:eastAsia="宋体" w:hint="default"/>
                <w:spacing w:val="-47"/>
                <w:sz w:val="18"/>
                <w:szCs w:val="18"/>
              </w:rPr>
              <w:t> </w:t>
            </w:r>
            <w:r>
              <w:rPr>
                <w:rFonts w:ascii="宋体" w:hAnsi="宋体" w:cs="宋体" w:eastAsia="宋体" w:hint="default"/>
                <w:sz w:val="18"/>
                <w:szCs w:val="18"/>
              </w:rPr>
              <w:t>号变</w:t>
            </w:r>
            <w:r>
              <w:rPr>
                <w:rFonts w:ascii="宋体" w:hAnsi="宋体" w:cs="宋体" w:eastAsia="宋体" w:hint="default"/>
                <w:sz w:val="18"/>
                <w:szCs w:val="18"/>
              </w:rPr>
              <w:t> 更为烟台高新区蓝海路</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号楼；②将募集资金投资项目“港口物流软件及信息服务平台建设项</w:t>
            </w:r>
            <w:r>
              <w:rPr>
                <w:rFonts w:ascii="宋体" w:hAnsi="宋体" w:cs="宋体" w:eastAsia="宋体" w:hint="default"/>
                <w:sz w:val="18"/>
                <w:szCs w:val="18"/>
              </w:rPr>
              <w:t> 目”之“港口物流软件产品升级与开发”子项目的实施主体由华东电子变更为华东电子的全资子公 </w:t>
            </w:r>
            <w:r>
              <w:rPr>
                <w:rFonts w:ascii="宋体" w:hAnsi="宋体" w:cs="宋体" w:eastAsia="宋体" w:hint="default"/>
                <w:spacing w:val="-5"/>
                <w:sz w:val="18"/>
                <w:szCs w:val="18"/>
              </w:rPr>
              <w:t>司烟台华东电子科技有限公司（以下简称“华东科技”）；将募集资金投资项目“基于</w:t>
            </w:r>
            <w:r>
              <w:rPr>
                <w:rFonts w:ascii="宋体" w:hAnsi="宋体" w:cs="宋体" w:eastAsia="宋体" w:hint="default"/>
                <w:sz w:val="18"/>
                <w:szCs w:val="18"/>
              </w:rPr>
              <w:t> </w:t>
            </w:r>
            <w:r>
              <w:rPr>
                <w:rFonts w:ascii="宋体" w:hAnsi="宋体" w:cs="宋体" w:eastAsia="宋体" w:hint="default"/>
                <w:spacing w:val="-1"/>
                <w:sz w:val="18"/>
                <w:szCs w:val="18"/>
              </w:rPr>
              <w:t>TD-LTE</w:t>
            </w:r>
            <w:r>
              <w:rPr>
                <w:rFonts w:ascii="宋体" w:hAnsi="宋体" w:cs="宋体" w:eastAsia="宋体" w:hint="default"/>
                <w:spacing w:val="10"/>
                <w:sz w:val="18"/>
                <w:szCs w:val="18"/>
              </w:rPr>
              <w:t> </w:t>
            </w:r>
            <w:r>
              <w:rPr>
                <w:rFonts w:ascii="宋体" w:hAnsi="宋体" w:cs="宋体" w:eastAsia="宋体" w:hint="default"/>
                <w:sz w:val="18"/>
                <w:szCs w:val="18"/>
              </w:rPr>
              <w:t>技术</w:t>
            </w:r>
            <w:r>
              <w:rPr>
                <w:rFonts w:ascii="宋体" w:hAnsi="宋体" w:cs="宋体" w:eastAsia="宋体" w:hint="default"/>
                <w:sz w:val="18"/>
                <w:szCs w:val="18"/>
              </w:rPr>
              <w:t> 的企业网通讯终端产业化建设项目”的实施主体由华东电子变更为华东科技。该两个子项目的实施</w:t>
            </w:r>
          </w:p>
        </w:tc>
      </w:tr>
    </w:tbl>
    <w:p>
      <w:pPr>
        <w:spacing w:after="0" w:line="316" w:lineRule="auto"/>
        <w:jc w:val="both"/>
        <w:rPr>
          <w:rFonts w:ascii="宋体" w:hAnsi="宋体" w:cs="宋体" w:eastAsia="宋体" w:hint="default"/>
          <w:sz w:val="18"/>
          <w:szCs w:val="18"/>
        </w:rPr>
        <w:sectPr>
          <w:footerReference w:type="default" r:id="rId15"/>
          <w:pgSz w:w="11910" w:h="16840"/>
          <w:pgMar w:footer="978" w:header="746" w:top="1040" w:bottom="1160" w:left="1000" w:right="1020"/>
          <w:pgNumType w:start="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before="44"/>
        <w:ind w:left="0" w:right="148" w:firstLine="0"/>
        <w:jc w:val="right"/>
        <w:rPr>
          <w:rFonts w:ascii="宋体" w:hAnsi="宋体" w:cs="宋体" w:eastAsia="宋体" w:hint="default"/>
          <w:sz w:val="18"/>
          <w:szCs w:val="18"/>
        </w:rPr>
      </w:pPr>
      <w:r>
        <w:rPr/>
        <w:pict>
          <v:shape style="position:absolute;margin-left:55.060001pt;margin-top:-257.338287pt;width:479.15pt;height:43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地点也由烟台市莱山区迎春大街</w:t>
                        </w:r>
                        <w:r>
                          <w:rPr>
                            <w:rFonts w:ascii="宋体" w:hAnsi="宋体" w:cs="宋体" w:eastAsia="宋体" w:hint="default"/>
                            <w:spacing w:val="-45"/>
                            <w:sz w:val="18"/>
                            <w:szCs w:val="18"/>
                          </w:rPr>
                          <w:t> </w:t>
                        </w:r>
                        <w:r>
                          <w:rPr>
                            <w:rFonts w:ascii="宋体" w:hAnsi="宋体" w:cs="宋体" w:eastAsia="宋体" w:hint="default"/>
                            <w:sz w:val="18"/>
                            <w:szCs w:val="18"/>
                          </w:rPr>
                          <w:t>133</w:t>
                        </w:r>
                        <w:r>
                          <w:rPr>
                            <w:rFonts w:ascii="宋体" w:hAnsi="宋体" w:cs="宋体" w:eastAsia="宋体" w:hint="default"/>
                            <w:spacing w:val="-46"/>
                            <w:sz w:val="18"/>
                            <w:szCs w:val="18"/>
                          </w:rPr>
                          <w:t> </w:t>
                        </w:r>
                        <w:r>
                          <w:rPr>
                            <w:rFonts w:ascii="宋体" w:hAnsi="宋体" w:cs="宋体" w:eastAsia="宋体" w:hint="default"/>
                            <w:sz w:val="18"/>
                            <w:szCs w:val="18"/>
                          </w:rPr>
                          <w:t>号变更为烟台高新区科技大道</w:t>
                        </w:r>
                        <w:r>
                          <w:rPr>
                            <w:rFonts w:ascii="宋体" w:hAnsi="宋体" w:cs="宋体" w:eastAsia="宋体" w:hint="default"/>
                            <w:spacing w:val="-45"/>
                            <w:sz w:val="18"/>
                            <w:szCs w:val="18"/>
                          </w:rPr>
                          <w:t> </w:t>
                        </w:r>
                        <w:r>
                          <w:rPr>
                            <w:rFonts w:ascii="宋体" w:hAnsi="宋体" w:cs="宋体" w:eastAsia="宋体" w:hint="default"/>
                            <w:sz w:val="18"/>
                            <w:szCs w:val="18"/>
                          </w:rPr>
                          <w:t>69</w:t>
                        </w:r>
                        <w:r>
                          <w:rPr>
                            <w:rFonts w:ascii="宋体" w:hAnsi="宋体" w:cs="宋体" w:eastAsia="宋体" w:hint="default"/>
                            <w:spacing w:val="-48"/>
                            <w:sz w:val="18"/>
                            <w:szCs w:val="18"/>
                          </w:rPr>
                          <w:t> </w:t>
                        </w:r>
                        <w:r>
                          <w:rPr>
                            <w:rFonts w:ascii="宋体" w:hAnsi="宋体" w:cs="宋体" w:eastAsia="宋体" w:hint="default"/>
                            <w:sz w:val="18"/>
                            <w:szCs w:val="18"/>
                          </w:rPr>
                          <w:t>号创业大厦。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16"/>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firstLine="360"/>
                          <w:jc w:val="both"/>
                          <w:rPr>
                            <w:rFonts w:ascii="宋体" w:hAnsi="宋体" w:cs="宋体" w:eastAsia="宋体" w:hint="default"/>
                            <w:sz w:val="18"/>
                            <w:szCs w:val="18"/>
                          </w:rPr>
                        </w:pPr>
                        <w:r>
                          <w:rPr>
                            <w:rFonts w:ascii="宋体" w:hAnsi="宋体" w:cs="宋体" w:eastAsia="宋体" w:hint="default"/>
                            <w:sz w:val="18"/>
                            <w:szCs w:val="18"/>
                          </w:rPr>
                          <w:t>在公司非公开发行股票募集资金到位以前，为保障募集资金投资项目的顺利进行，部分募集资 金投资项目已由公司利用自筹资金先行投入。先行投入的自筹资金金额已经大华会计师事务所（特 殊普通合伙）鉴证，并出具了《安徽皖通科技股份有限公司以自筹资金预先投入募集资金投资项目 </w:t>
                        </w:r>
                        <w:r>
                          <w:rPr>
                            <w:rFonts w:ascii="宋体" w:hAnsi="宋体" w:cs="宋体" w:eastAsia="宋体" w:hint="default"/>
                            <w:spacing w:val="-5"/>
                            <w:sz w:val="18"/>
                            <w:szCs w:val="18"/>
                          </w:rPr>
                          <w:t>的鉴证报告》（大华核字[2014]005008</w:t>
                        </w:r>
                        <w:r>
                          <w:rPr>
                            <w:rFonts w:ascii="宋体" w:hAnsi="宋体" w:cs="宋体" w:eastAsia="宋体" w:hint="default"/>
                            <w:spacing w:val="-33"/>
                            <w:sz w:val="18"/>
                            <w:szCs w:val="18"/>
                          </w:rPr>
                          <w:t> </w:t>
                        </w:r>
                        <w:r>
                          <w:rPr>
                            <w:rFonts w:ascii="宋体" w:hAnsi="宋体" w:cs="宋体" w:eastAsia="宋体" w:hint="default"/>
                            <w:spacing w:val="-5"/>
                            <w:sz w:val="18"/>
                            <w:szCs w:val="18"/>
                          </w:rPr>
                          <w:t>号）。依据该鉴证报告，公司用募集资金置换先期自筹资金共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计人民币</w:t>
                        </w:r>
                        <w:r>
                          <w:rPr>
                            <w:rFonts w:ascii="宋体" w:hAnsi="宋体" w:cs="宋体" w:eastAsia="宋体" w:hint="default"/>
                            <w:spacing w:val="-47"/>
                            <w:sz w:val="18"/>
                            <w:szCs w:val="18"/>
                          </w:rPr>
                          <w:t> </w:t>
                        </w:r>
                        <w:r>
                          <w:rPr>
                            <w:rFonts w:ascii="宋体" w:hAnsi="宋体" w:cs="宋体" w:eastAsia="宋体" w:hint="default"/>
                            <w:sz w:val="18"/>
                            <w:szCs w:val="18"/>
                          </w:rPr>
                          <w:t>1,203.90</w:t>
                        </w:r>
                        <w:r>
                          <w:rPr>
                            <w:rFonts w:ascii="宋体" w:hAnsi="宋体" w:cs="宋体" w:eastAsia="宋体" w:hint="default"/>
                            <w:spacing w:val="-49"/>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2" w:right="116"/>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firstLine="36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8"/>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年第二次临时股东大会审议通过，根据募集资金投资项目</w:t>
                        </w:r>
                        <w:r>
                          <w:rPr>
                            <w:rFonts w:ascii="宋体" w:hAnsi="宋体" w:cs="宋体" w:eastAsia="宋体" w:hint="default"/>
                            <w:sz w:val="18"/>
                            <w:szCs w:val="18"/>
                          </w:rPr>
                          <w:t> 建设进度安排，2014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月将闲置募集资金</w:t>
                        </w:r>
                        <w:r>
                          <w:rPr>
                            <w:rFonts w:ascii="宋体" w:hAnsi="宋体" w:cs="宋体" w:eastAsia="宋体" w:hint="default"/>
                            <w:spacing w:val="-54"/>
                            <w:sz w:val="18"/>
                            <w:szCs w:val="18"/>
                          </w:rPr>
                          <w:t> </w:t>
                        </w:r>
                        <w:r>
                          <w:rPr>
                            <w:rFonts w:ascii="宋体" w:hAnsi="宋体" w:cs="宋体" w:eastAsia="宋体" w:hint="default"/>
                            <w:sz w:val="18"/>
                            <w:szCs w:val="18"/>
                          </w:rPr>
                          <w:t>15,000</w:t>
                        </w:r>
                        <w:r>
                          <w:rPr>
                            <w:rFonts w:ascii="宋体" w:hAnsi="宋体" w:cs="宋体" w:eastAsia="宋体" w:hint="default"/>
                            <w:spacing w:val="-55"/>
                            <w:sz w:val="18"/>
                            <w:szCs w:val="18"/>
                          </w:rPr>
                          <w:t> </w:t>
                        </w:r>
                        <w:r>
                          <w:rPr>
                            <w:rFonts w:ascii="宋体" w:hAnsi="宋体" w:cs="宋体" w:eastAsia="宋体" w:hint="default"/>
                            <w:sz w:val="18"/>
                            <w:szCs w:val="18"/>
                          </w:rPr>
                          <w:t>万元暂时用于补充流动资金，用于在公司中标</w:t>
                        </w:r>
                        <w:r>
                          <w:rPr>
                            <w:rFonts w:ascii="宋体" w:hAnsi="宋体" w:cs="宋体" w:eastAsia="宋体" w:hint="default"/>
                            <w:sz w:val="18"/>
                            <w:szCs w:val="18"/>
                          </w:rPr>
                          <w:t> 项目实施过程中，提供前期设备采购资金和支付相关应付账款。该次暂时补充流动资金已于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z w:val="18"/>
                            <w:szCs w:val="18"/>
                          </w:rPr>
                          <w:t> 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日全部归还至募集资金专用账户，使用期限未超过</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个月。</w:t>
                        </w:r>
                      </w:p>
                      <w:p>
                        <w:pPr>
                          <w:pStyle w:val="TableParagraph"/>
                          <w:spacing w:line="316" w:lineRule="auto" w:before="59"/>
                          <w:ind w:left="23" w:right="20" w:firstLine="36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29</w:t>
                        </w:r>
                        <w:r>
                          <w:rPr>
                            <w:rFonts w:ascii="宋体" w:hAnsi="宋体" w:cs="宋体" w:eastAsia="宋体" w:hint="default"/>
                            <w:spacing w:val="-47"/>
                            <w:sz w:val="18"/>
                            <w:szCs w:val="18"/>
                          </w:rPr>
                          <w:t> </w:t>
                        </w:r>
                        <w:r>
                          <w:rPr>
                            <w:rFonts w:ascii="宋体" w:hAnsi="宋体" w:cs="宋体" w:eastAsia="宋体" w:hint="default"/>
                            <w:spacing w:val="-3"/>
                            <w:sz w:val="18"/>
                            <w:szCs w:val="18"/>
                          </w:rPr>
                          <w:t>日召开的第三届董事会第二十二次会议审议通过，根据募集资金投资项目</w:t>
                        </w:r>
                        <w:r>
                          <w:rPr>
                            <w:rFonts w:ascii="宋体" w:hAnsi="宋体" w:cs="宋体" w:eastAsia="宋体" w:hint="default"/>
                            <w:sz w:val="18"/>
                            <w:szCs w:val="18"/>
                          </w:rPr>
                          <w:t> </w:t>
                        </w:r>
                        <w:r>
                          <w:rPr>
                            <w:rFonts w:ascii="宋体" w:hAnsi="宋体" w:cs="宋体" w:eastAsia="宋体" w:hint="default"/>
                            <w:spacing w:val="-7"/>
                            <w:sz w:val="18"/>
                            <w:szCs w:val="18"/>
                          </w:rPr>
                          <w:t>建设进度安排，公司及全资、控股子公司拟将当前闲置募集资金</w:t>
                        </w:r>
                        <w:r>
                          <w:rPr>
                            <w:rFonts w:ascii="宋体" w:hAnsi="宋体" w:cs="宋体" w:eastAsia="宋体" w:hint="default"/>
                            <w:spacing w:val="-40"/>
                            <w:sz w:val="18"/>
                            <w:szCs w:val="18"/>
                          </w:rPr>
                          <w:t> </w:t>
                        </w:r>
                        <w:r>
                          <w:rPr>
                            <w:rFonts w:ascii="宋体" w:hAnsi="宋体" w:cs="宋体" w:eastAsia="宋体" w:hint="default"/>
                            <w:spacing w:val="-1"/>
                            <w:sz w:val="18"/>
                            <w:szCs w:val="18"/>
                          </w:rPr>
                          <w:t>14,000</w:t>
                        </w:r>
                        <w:r>
                          <w:rPr>
                            <w:rFonts w:ascii="宋体" w:hAnsi="宋体" w:cs="宋体" w:eastAsia="宋体" w:hint="default"/>
                            <w:spacing w:val="-43"/>
                            <w:sz w:val="18"/>
                            <w:szCs w:val="18"/>
                          </w:rPr>
                          <w:t> </w:t>
                        </w:r>
                        <w:r>
                          <w:rPr>
                            <w:rFonts w:ascii="宋体" w:hAnsi="宋体" w:cs="宋体" w:eastAsia="宋体" w:hint="default"/>
                            <w:sz w:val="18"/>
                            <w:szCs w:val="18"/>
                          </w:rPr>
                          <w:t>万元暂时用于补充流动资金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使用期限不超过</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pacing w:val="-3"/>
                            <w:sz w:val="18"/>
                            <w:szCs w:val="18"/>
                          </w:rPr>
                          <w:t>个月，用于在公司中标项目实施过程中，提供前期设备采购资金和支付相关应付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账款。截至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日该次暂时补充流动资金尚未实施。</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尚未使用的募集资金将用于完成募投项目，其存放于募投资金三方监管专户。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16"/>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6"/>
        <w:spacing w:line="240" w:lineRule="auto" w:before="34"/>
        <w:ind w:right="104"/>
        <w:jc w:val="left"/>
        <w:rPr>
          <w:b w:val="0"/>
          <w:bCs w:val="0"/>
        </w:rPr>
      </w:pPr>
      <w:r>
        <w:rPr/>
        <w:t>（3）募集资金变更项目情况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32" w:right="63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line="240" w:lineRule="auto" w:before="7"/>
        <w:rPr>
          <w:rFonts w:ascii="宋体" w:hAnsi="宋体" w:cs="宋体" w:eastAsia="宋体" w:hint="default"/>
          <w:sz w:val="18"/>
          <w:szCs w:val="18"/>
        </w:rPr>
      </w:pPr>
    </w:p>
    <w:p>
      <w:pPr>
        <w:pStyle w:val="Heading4"/>
        <w:spacing w:line="240" w:lineRule="auto"/>
        <w:ind w:right="104"/>
        <w:jc w:val="left"/>
        <w:rPr>
          <w:b w:val="0"/>
          <w:bCs w:val="0"/>
        </w:rPr>
      </w:pP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04"/>
        <w:jc w:val="left"/>
        <w:rPr>
          <w:b w:val="0"/>
          <w:bCs w:val="0"/>
        </w:rPr>
      </w:pPr>
      <w:r>
        <w:rPr/>
        <w:t>1、出售重大资产情况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32" w:right="73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line="240" w:lineRule="auto" w:before="12"/>
        <w:rPr>
          <w:rFonts w:ascii="宋体" w:hAnsi="宋体" w:cs="宋体" w:eastAsia="宋体" w:hint="default"/>
          <w:sz w:val="19"/>
          <w:szCs w:val="19"/>
        </w:rPr>
      </w:pPr>
    </w:p>
    <w:p>
      <w:pPr>
        <w:pStyle w:val="Heading6"/>
        <w:spacing w:line="240" w:lineRule="auto"/>
        <w:ind w:right="104"/>
        <w:jc w:val="left"/>
        <w:rPr>
          <w:b w:val="0"/>
          <w:bCs w:val="0"/>
        </w:rPr>
      </w:pPr>
      <w:r>
        <w:rPr/>
        <w:t>2、出售重大股权情况</w:t>
      </w:r>
      <w:r>
        <w:rPr>
          <w:b w:val="0"/>
          <w:bCs w:val="0"/>
        </w:rPr>
      </w:r>
    </w:p>
    <w:p>
      <w:pPr>
        <w:spacing w:line="240" w:lineRule="auto" w:before="12"/>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781" w:type="dxa"/>
        <w:tblLayout w:type="fixed"/>
        <w:tblCellMar>
          <w:top w:w="0" w:type="dxa"/>
          <w:left w:w="0" w:type="dxa"/>
          <w:bottom w:w="0" w:type="dxa"/>
          <w:right w:w="0" w:type="dxa"/>
        </w:tblCellMar>
        <w:tblLook w:val="01E0"/>
      </w:tblPr>
      <w:tblGrid>
        <w:gridCol w:w="284"/>
        <w:gridCol w:w="1084"/>
        <w:gridCol w:w="524"/>
        <w:gridCol w:w="645"/>
        <w:gridCol w:w="1007"/>
        <w:gridCol w:w="556"/>
        <w:gridCol w:w="862"/>
        <w:gridCol w:w="504"/>
        <w:gridCol w:w="476"/>
        <w:gridCol w:w="555"/>
        <w:gridCol w:w="645"/>
        <w:gridCol w:w="1170"/>
        <w:gridCol w:w="570"/>
        <w:gridCol w:w="682"/>
      </w:tblGrid>
      <w:tr>
        <w:trPr>
          <w:trHeight w:val="1962" w:hRule="exact"/>
        </w:trPr>
        <w:tc>
          <w:tcPr>
            <w:tcW w:w="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6" w:right="46"/>
              <w:jc w:val="both"/>
              <w:rPr>
                <w:rFonts w:ascii="宋体" w:hAnsi="宋体" w:cs="宋体" w:eastAsia="宋体" w:hint="default"/>
                <w:sz w:val="18"/>
                <w:szCs w:val="18"/>
              </w:rPr>
            </w:pPr>
            <w:r>
              <w:rPr>
                <w:rFonts w:ascii="宋体" w:hAnsi="宋体" w:cs="宋体" w:eastAsia="宋体" w:hint="default"/>
                <w:sz w:val="18"/>
                <w:szCs w:val="18"/>
              </w:rPr>
              <w:t>交 易 对 方</w:t>
            </w:r>
          </w:p>
        </w:tc>
        <w:tc>
          <w:tcPr>
            <w:tcW w:w="10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6"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66" w:right="75" w:hanging="89"/>
              <w:jc w:val="left"/>
              <w:rPr>
                <w:rFonts w:ascii="宋体" w:hAnsi="宋体" w:cs="宋体" w:eastAsia="宋体" w:hint="default"/>
                <w:sz w:val="18"/>
                <w:szCs w:val="18"/>
              </w:rPr>
            </w:pPr>
            <w:r>
              <w:rPr>
                <w:rFonts w:ascii="宋体" w:hAnsi="宋体" w:cs="宋体" w:eastAsia="宋体" w:hint="default"/>
                <w:sz w:val="18"/>
                <w:szCs w:val="18"/>
              </w:rPr>
              <w:t>出售 日</w:t>
            </w:r>
          </w:p>
        </w:tc>
        <w:tc>
          <w:tcPr>
            <w:tcW w:w="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47" w:right="4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10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47" w:firstLine="24"/>
              <w:jc w:val="both"/>
              <w:rPr>
                <w:rFonts w:ascii="宋体" w:hAnsi="宋体" w:cs="宋体" w:eastAsia="宋体" w:hint="default"/>
                <w:sz w:val="18"/>
                <w:szCs w:val="18"/>
              </w:rPr>
            </w:pPr>
            <w:r>
              <w:rPr>
                <w:rFonts w:ascii="宋体" w:hAnsi="宋体" w:cs="宋体" w:eastAsia="宋体" w:hint="default"/>
                <w:sz w:val="18"/>
                <w:szCs w:val="18"/>
              </w:rPr>
              <w:t>本期初起至 出售日该股 权为上市公 司贡献的净 </w:t>
            </w:r>
            <w:r>
              <w:rPr>
                <w:rFonts w:ascii="宋体" w:hAnsi="宋体" w:cs="宋体" w:eastAsia="宋体" w:hint="default"/>
                <w:spacing w:val="-9"/>
                <w:sz w:val="18"/>
                <w:szCs w:val="18"/>
              </w:rPr>
              <w:t>利润（万元</w:t>
            </w:r>
          </w:p>
        </w:tc>
        <w:tc>
          <w:tcPr>
            <w:tcW w:w="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21"/>
                <w:szCs w:val="21"/>
              </w:rPr>
            </w:pPr>
          </w:p>
          <w:p>
            <w:pPr>
              <w:pStyle w:val="TableParagraph"/>
              <w:spacing w:line="310" w:lineRule="atLeast"/>
              <w:ind w:left="92" w:right="92"/>
              <w:jc w:val="both"/>
              <w:rPr>
                <w:rFonts w:ascii="宋体" w:hAnsi="宋体" w:cs="宋体" w:eastAsia="宋体" w:hint="default"/>
                <w:sz w:val="18"/>
                <w:szCs w:val="18"/>
              </w:rPr>
            </w:pPr>
            <w:r>
              <w:rPr>
                <w:rFonts w:ascii="宋体" w:hAnsi="宋体" w:cs="宋体" w:eastAsia="宋体" w:hint="default"/>
                <w:sz w:val="18"/>
                <w:szCs w:val="18"/>
              </w:rPr>
              <w:t>出售 对公 司的 影响</w:t>
            </w:r>
          </w:p>
          <w:p>
            <w:pPr>
              <w:pStyle w:val="TableParagraph"/>
              <w:spacing w:line="15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6" w:right="63"/>
              <w:jc w:val="both"/>
              <w:rPr>
                <w:rFonts w:ascii="宋体" w:hAnsi="宋体" w:cs="宋体" w:eastAsia="宋体" w:hint="default"/>
                <w:sz w:val="18"/>
                <w:szCs w:val="18"/>
              </w:rPr>
            </w:pPr>
            <w:r>
              <w:rPr>
                <w:rFonts w:ascii="宋体" w:hAnsi="宋体" w:cs="宋体" w:eastAsia="宋体" w:hint="default"/>
                <w:sz w:val="18"/>
                <w:szCs w:val="18"/>
              </w:rPr>
              <w:t>股权出售 为上市公 司贡献的 净利润占 净利润总 额的比例</w:t>
            </w:r>
          </w:p>
        </w:tc>
        <w:tc>
          <w:tcPr>
            <w:tcW w:w="5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6" w:right="66"/>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52"/>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8" w:right="4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1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9" w:right="39"/>
              <w:jc w:val="center"/>
              <w:rPr>
                <w:rFonts w:ascii="宋体" w:hAnsi="宋体" w:cs="宋体" w:eastAsia="宋体" w:hint="default"/>
                <w:sz w:val="18"/>
                <w:szCs w:val="18"/>
              </w:rPr>
            </w:pPr>
            <w:r>
              <w:rPr>
                <w:rFonts w:ascii="宋体" w:hAnsi="宋体" w:cs="宋体" w:eastAsia="宋体" w:hint="default"/>
                <w:sz w:val="18"/>
                <w:szCs w:val="18"/>
              </w:rPr>
              <w:t>是否按计划如 期实施，如未 按计划实施， 应当说明原因 及公司已采取 的措施</w:t>
            </w:r>
          </w:p>
        </w:tc>
        <w:tc>
          <w:tcPr>
            <w:tcW w:w="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45" w:right="6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0"/>
              <w:jc w:val="both"/>
              <w:rPr>
                <w:rFonts w:ascii="宋体" w:hAnsi="宋体" w:cs="宋体" w:eastAsia="宋体" w:hint="default"/>
                <w:sz w:val="18"/>
                <w:szCs w:val="18"/>
              </w:rPr>
            </w:pPr>
            <w:r>
              <w:rPr>
                <w:rFonts w:ascii="宋体" w:hAnsi="宋体" w:cs="宋体" w:eastAsia="宋体" w:hint="default"/>
                <w:sz w:val="18"/>
                <w:szCs w:val="18"/>
              </w:rPr>
              <w:t>张 吉 文</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48"/>
              <w:jc w:val="both"/>
              <w:rPr>
                <w:rFonts w:ascii="宋体" w:hAnsi="宋体" w:cs="宋体" w:eastAsia="宋体" w:hint="default"/>
                <w:sz w:val="18"/>
                <w:szCs w:val="18"/>
              </w:rPr>
            </w:pPr>
            <w:r>
              <w:rPr>
                <w:rFonts w:ascii="宋体" w:hAnsi="宋体" w:cs="宋体" w:eastAsia="宋体" w:hint="default"/>
                <w:sz w:val="18"/>
                <w:szCs w:val="18"/>
              </w:rPr>
              <w:t>烟台原动力 健身器材有 限公司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p>
          <w:p>
            <w:pPr>
              <w:pStyle w:val="TableParagraph"/>
              <w:spacing w:line="316" w:lineRule="auto" w:before="76"/>
              <w:ind w:left="22" w:right="8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z w:val="18"/>
                <w:szCs w:val="18"/>
              </w:rPr>
              <w:t> 日</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2" w:right="0"/>
              <w:jc w:val="left"/>
              <w:rPr>
                <w:rFonts w:ascii="宋体" w:hAnsi="宋体" w:cs="宋体" w:eastAsia="宋体" w:hint="default"/>
                <w:sz w:val="18"/>
                <w:szCs w:val="18"/>
              </w:rPr>
            </w:pPr>
            <w:r>
              <w:rPr>
                <w:rFonts w:ascii="宋体"/>
                <w:sz w:val="18"/>
              </w:rPr>
              <w:t>1,800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8" w:right="0"/>
              <w:jc w:val="left"/>
              <w:rPr>
                <w:rFonts w:ascii="宋体" w:hAnsi="宋体" w:cs="宋体" w:eastAsia="宋体" w:hint="default"/>
                <w:sz w:val="18"/>
                <w:szCs w:val="18"/>
              </w:rPr>
            </w:pPr>
            <w:r>
              <w:rPr>
                <w:rFonts w:ascii="宋体"/>
                <w:sz w:val="18"/>
              </w:rPr>
              <w:t>5.51%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109"/>
              <w:jc w:val="left"/>
              <w:rPr>
                <w:rFonts w:ascii="宋体" w:hAnsi="宋体" w:cs="宋体" w:eastAsia="宋体" w:hint="default"/>
                <w:sz w:val="18"/>
                <w:szCs w:val="18"/>
              </w:rPr>
            </w:pPr>
            <w:r>
              <w:rPr>
                <w:rFonts w:ascii="宋体" w:hAnsi="宋体" w:cs="宋体" w:eastAsia="宋体" w:hint="default"/>
                <w:sz w:val="18"/>
                <w:szCs w:val="18"/>
              </w:rPr>
              <w:t>公允 定价</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316" w:lineRule="auto" w:before="76"/>
              <w:ind w:left="23" w:right="13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01</w:t>
            </w:r>
            <w:r>
              <w:rPr>
                <w:rFonts w:ascii="宋体" w:hAnsi="宋体" w:cs="宋体" w:eastAsia="宋体" w:hint="default"/>
                <w:sz w:val="18"/>
                <w:szCs w:val="18"/>
              </w:rPr>
              <w:t> 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sz w:val="18"/>
              </w:rPr>
              <w:t>http:/</w:t>
            </w:r>
          </w:p>
          <w:p>
            <w:pPr>
              <w:pStyle w:val="TableParagraph"/>
              <w:spacing w:line="316" w:lineRule="auto" w:before="76"/>
              <w:ind w:left="22" w:right="106"/>
              <w:jc w:val="both"/>
              <w:rPr>
                <w:rFonts w:ascii="宋体" w:hAnsi="宋体" w:cs="宋体" w:eastAsia="宋体" w:hint="default"/>
                <w:sz w:val="18"/>
                <w:szCs w:val="18"/>
              </w:rPr>
            </w:pPr>
            <w:r>
              <w:rPr>
                <w:rFonts w:ascii="宋体"/>
                <w:sz w:val="18"/>
              </w:rPr>
              <w:t>/www.c ninfo. com.cn</w:t>
            </w:r>
          </w:p>
        </w:tc>
      </w:tr>
    </w:tbl>
    <w:p>
      <w:pPr>
        <w:spacing w:line="240" w:lineRule="auto" w:before="2"/>
        <w:rPr>
          <w:rFonts w:ascii="宋体" w:hAnsi="宋体" w:cs="宋体" w:eastAsia="宋体" w:hint="default"/>
          <w:sz w:val="18"/>
          <w:szCs w:val="18"/>
        </w:rPr>
      </w:pPr>
    </w:p>
    <w:p>
      <w:pPr>
        <w:pStyle w:val="Heading4"/>
        <w:spacing w:line="240" w:lineRule="auto" w:before="26"/>
        <w:ind w:left="812" w:right="3212"/>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40" w:bottom="1160" w:left="320" w:right="320"/>
        </w:sectPr>
      </w:pPr>
    </w:p>
    <w:p>
      <w:pPr>
        <w:spacing w:before="44"/>
        <w:ind w:left="812" w:right="-1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81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5"/>
          <w:sz w:val="18"/>
          <w:szCs w:val="18"/>
        </w:rPr>
        <w:t> </w:t>
      </w:r>
      <w:r>
        <w:rPr>
          <w:rFonts w:ascii="宋体" w:hAnsi="宋体" w:cs="宋体" w:eastAsia="宋体" w:hint="default"/>
          <w:sz w:val="18"/>
          <w:szCs w:val="18"/>
        </w:rPr>
        <w:t>10%以上的参股公司情况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793" w:right="794"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60" w:left="320" w:right="320"/>
          <w:cols w:num="2" w:equalWidth="0">
            <w:col w:w="5450" w:space="3468"/>
            <w:col w:w="2352"/>
          </w:cols>
        </w:sectPr>
      </w:pPr>
    </w:p>
    <w:p>
      <w:pPr>
        <w:spacing w:line="240" w:lineRule="auto" w:before="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392"/>
        <w:gridCol w:w="585"/>
        <w:gridCol w:w="1176"/>
        <w:gridCol w:w="1286"/>
        <w:gridCol w:w="1350"/>
        <w:gridCol w:w="1349"/>
        <w:gridCol w:w="1349"/>
        <w:gridCol w:w="1273"/>
        <w:gridCol w:w="1274"/>
      </w:tblGrid>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6" w:right="107"/>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8"/>
              <w:jc w:val="left"/>
              <w:rPr>
                <w:rFonts w:ascii="宋体" w:hAnsi="宋体" w:cs="宋体" w:eastAsia="宋体" w:hint="default"/>
                <w:sz w:val="18"/>
                <w:szCs w:val="18"/>
              </w:rPr>
            </w:pPr>
            <w:r>
              <w:rPr>
                <w:rFonts w:ascii="宋体" w:hAnsi="宋体" w:cs="宋体" w:eastAsia="宋体" w:hint="default"/>
                <w:sz w:val="18"/>
                <w:szCs w:val="18"/>
              </w:rPr>
              <w:t>烟台华东电子软 件技术有限公司</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1"/>
              <w:jc w:val="left"/>
              <w:rPr>
                <w:rFonts w:ascii="宋体" w:hAnsi="宋体" w:cs="宋体" w:eastAsia="宋体" w:hint="default"/>
                <w:sz w:val="18"/>
                <w:szCs w:val="18"/>
              </w:rPr>
            </w:pPr>
            <w:r>
              <w:rPr>
                <w:rFonts w:ascii="宋体" w:hAnsi="宋体" w:cs="宋体" w:eastAsia="宋体" w:hint="default"/>
                <w:sz w:val="18"/>
                <w:szCs w:val="18"/>
              </w:rPr>
              <w:t>子公 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电子与信息等</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sz w:val="18"/>
              </w:rPr>
              <w:t>60,000,000.00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sz w:val="18"/>
              </w:rPr>
              <w:t>375,586,915.70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328,145,144.34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center"/>
              <w:rPr>
                <w:rFonts w:ascii="宋体" w:hAnsi="宋体" w:cs="宋体" w:eastAsia="宋体" w:hint="default"/>
                <w:sz w:val="18"/>
                <w:szCs w:val="18"/>
              </w:rPr>
            </w:pPr>
            <w:r>
              <w:rPr>
                <w:rFonts w:ascii="宋体"/>
                <w:sz w:val="18"/>
              </w:rPr>
              <w:t>132,306,575.16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14,206,900.54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19,865,912.92</w:t>
            </w: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安徽汉高信息科 技有限公司</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子公 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电子与信息等</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sz w:val="18"/>
              </w:rPr>
              <w:t>50,500,000.00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sz w:val="18"/>
              </w:rPr>
              <w:t>156,227,732.55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60,688,557.86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center"/>
              <w:rPr>
                <w:rFonts w:ascii="宋体" w:hAnsi="宋体" w:cs="宋体" w:eastAsia="宋体" w:hint="default"/>
                <w:sz w:val="18"/>
                <w:szCs w:val="18"/>
              </w:rPr>
            </w:pPr>
            <w:r>
              <w:rPr>
                <w:rFonts w:ascii="宋体"/>
                <w:sz w:val="18"/>
              </w:rPr>
              <w:t>155,336,957.18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9,592,691.00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8,951,034.86</w:t>
            </w:r>
          </w:p>
        </w:tc>
      </w:tr>
    </w:tbl>
    <w:p>
      <w:pPr>
        <w:spacing w:before="52"/>
        <w:ind w:left="812" w:right="3212"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812" w:right="321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781"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烟台原动力健身器材有限公司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spacing w:val="-47"/>
                <w:sz w:val="18"/>
                <w:szCs w:val="18"/>
              </w:rPr>
              <w:t> </w:t>
            </w:r>
            <w:r>
              <w:rPr>
                <w:rFonts w:ascii="宋体" w:hAnsi="宋体" w:cs="宋体" w:eastAsia="宋体" w:hint="default"/>
                <w:sz w:val="18"/>
                <w:szCs w:val="18"/>
              </w:rPr>
              <w:t>100%股权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812" w:right="3212"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4"/>
        <w:spacing w:line="240" w:lineRule="auto"/>
        <w:ind w:left="812" w:right="3212"/>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812" w:right="321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left="812" w:right="3212"/>
        <w:jc w:val="left"/>
        <w:rPr>
          <w:b w:val="0"/>
          <w:bCs w:val="0"/>
        </w:rPr>
      </w:pPr>
      <w:r>
        <w:rPr/>
        <w:t>九、公司未来发展的展望</w:t>
      </w:r>
      <w:r>
        <w:rPr>
          <w:b w:val="0"/>
          <w:bCs w:val="0"/>
        </w:rPr>
      </w:r>
    </w:p>
    <w:p>
      <w:pPr>
        <w:spacing w:line="240" w:lineRule="auto" w:before="11"/>
        <w:rPr>
          <w:rFonts w:ascii="宋体" w:hAnsi="宋体" w:cs="宋体" w:eastAsia="宋体" w:hint="default"/>
          <w:b/>
          <w:bCs/>
          <w:sz w:val="28"/>
          <w:szCs w:val="28"/>
        </w:rPr>
      </w:pPr>
    </w:p>
    <w:p>
      <w:pPr>
        <w:pStyle w:val="Heading4"/>
        <w:spacing w:line="357" w:lineRule="auto"/>
        <w:ind w:left="1292" w:right="3212"/>
        <w:jc w:val="left"/>
        <w:rPr>
          <w:b w:val="0"/>
          <w:bCs w:val="0"/>
        </w:rPr>
      </w:pPr>
      <w:r>
        <w:rPr/>
        <w:t>（一）行业宏观环境和发展趋势</w:t>
      </w:r>
      <w:r>
        <w:rPr>
          <w:w w:val="99"/>
        </w:rPr>
        <w:t> </w:t>
      </w:r>
      <w:r>
        <w:rPr/>
        <w:t>1、国家加快构建综合基础设施网络</w:t>
      </w:r>
      <w:r>
        <w:rPr>
          <w:spacing w:val="-6"/>
        </w:rPr>
        <w:t> </w:t>
      </w:r>
      <w:r>
        <w:rPr/>
        <w:t>交通运输总体需求依然旺盛</w:t>
      </w:r>
      <w:r>
        <w:rPr>
          <w:b w:val="0"/>
          <w:bCs w:val="0"/>
        </w:rPr>
      </w:r>
    </w:p>
    <w:p>
      <w:pPr>
        <w:pStyle w:val="Heading5"/>
        <w:spacing w:line="357" w:lineRule="auto"/>
        <w:ind w:left="812" w:right="812" w:firstLine="480"/>
        <w:jc w:val="both"/>
      </w:pPr>
      <w:r>
        <w:rPr/>
        <w:t>交通运输作为国民经济重要的基础产业，对经济社会发展具有战略性、全局性的影响。 随着“一带一路”、“京津冀协同发展”、“长江经济带”三大战略进入落地实施期，东部</w:t>
      </w:r>
      <w:r>
        <w:rPr>
          <w:spacing w:val="-89"/>
        </w:rPr>
        <w:t> </w:t>
      </w:r>
      <w:r>
        <w:rPr>
          <w:spacing w:val="-89"/>
        </w:rPr>
      </w:r>
      <w:r>
        <w:rPr/>
        <w:t>地区、西部地区、中部地区、东北地区等“四大板块”步入统筹发展新阶段，中国经济走出</w:t>
      </w:r>
    </w:p>
    <w:p>
      <w:pPr>
        <w:spacing w:after="0" w:line="357" w:lineRule="auto"/>
        <w:jc w:val="both"/>
        <w:sectPr>
          <w:type w:val="continuous"/>
          <w:pgSz w:w="11910" w:h="16840"/>
          <w:pgMar w:top="1040" w:bottom="1160" w:left="320" w:right="320"/>
        </w:sectPr>
      </w:pPr>
    </w:p>
    <w:p>
      <w:pPr>
        <w:spacing w:line="240" w:lineRule="auto" w:before="0"/>
        <w:rPr>
          <w:rFonts w:ascii="宋体" w:hAnsi="宋体" w:cs="宋体" w:eastAsia="宋体" w:hint="default"/>
          <w:sz w:val="20"/>
          <w:szCs w:val="20"/>
        </w:rPr>
      </w:pPr>
    </w:p>
    <w:p>
      <w:pPr>
        <w:pStyle w:val="Heading5"/>
        <w:spacing w:line="357" w:lineRule="auto" w:before="160"/>
        <w:ind w:left="592" w:right="96" w:hanging="480"/>
        <w:jc w:val="left"/>
      </w:pPr>
      <w:r>
        <w:rPr/>
        <w:t>去步伐加快，交通运输发展空间不断拓展。 2015年全国交通运输工作会议提出，“十三五”时期仍是我国交通运输发展的重要战略</w:t>
      </w:r>
    </w:p>
    <w:p>
      <w:pPr>
        <w:pStyle w:val="Heading5"/>
        <w:spacing w:line="357" w:lineRule="auto"/>
        <w:ind w:right="230"/>
        <w:jc w:val="both"/>
      </w:pPr>
      <w:r>
        <w:rPr/>
        <w:t>机遇期，交通运输总体需求依然旺盛，交通基础设施投资规模仍将保持高位运行，全社会客</w:t>
      </w:r>
      <w:r>
        <w:rPr>
          <w:spacing w:val="-89"/>
        </w:rPr>
        <w:t> </w:t>
      </w:r>
      <w:r>
        <w:rPr>
          <w:spacing w:val="-89"/>
        </w:rPr>
      </w:r>
      <w:r>
        <w:rPr/>
        <w:t>货运输量也将保持中高速增长。2016年，国家将加快推进综合交通基础设施网络建设，有力</w:t>
      </w:r>
      <w:r>
        <w:rPr>
          <w:spacing w:val="-87"/>
        </w:rPr>
        <w:t> </w:t>
      </w:r>
      <w:r>
        <w:rPr>
          <w:spacing w:val="-87"/>
        </w:rPr>
      </w:r>
      <w:r>
        <w:rPr/>
        <w:t>支撑国家“三大战略”，推进国家高速公路待贯通路段建设和繁忙路段扩容改造，全年将新</w:t>
      </w:r>
      <w:r>
        <w:rPr>
          <w:spacing w:val="-89"/>
        </w:rPr>
        <w:t> </w:t>
      </w:r>
      <w:r>
        <w:rPr>
          <w:spacing w:val="-89"/>
        </w:rPr>
      </w:r>
      <w:r>
        <w:rPr>
          <w:spacing w:val="-2"/>
        </w:rPr>
        <w:t>增高速公路4500公里左右，加强国省干线升级改造，全年新改建1.6万公里左右，力争新建改</w:t>
      </w:r>
      <w:r>
        <w:rPr>
          <w:spacing w:val="-113"/>
        </w:rPr>
        <w:t> </w:t>
      </w:r>
      <w:r>
        <w:rPr>
          <w:spacing w:val="-113"/>
        </w:rPr>
      </w:r>
      <w:r>
        <w:rPr/>
        <w:t>建农村公路18万公里。</w:t>
      </w:r>
    </w:p>
    <w:p>
      <w:pPr>
        <w:pStyle w:val="Heading5"/>
        <w:spacing w:line="357" w:lineRule="auto"/>
        <w:ind w:right="230" w:firstLine="480"/>
        <w:jc w:val="both"/>
      </w:pPr>
      <w:r>
        <w:rPr/>
        <w:t>根据最新的港口快报统计，2015年我国沿海规模以上港口完成货物吞吐量78.4亿吨，集 </w:t>
      </w:r>
      <w:r>
        <w:rPr>
          <w:spacing w:val="-2"/>
        </w:rPr>
        <w:t>装箱吞吐量1.8亿箱，沿海港口吞吐量、集装箱吞吐量继续稳居世界首位。2016年，国家将加</w:t>
      </w:r>
      <w:r>
        <w:rPr>
          <w:spacing w:val="-114"/>
        </w:rPr>
        <w:t> </w:t>
      </w:r>
      <w:r>
        <w:rPr>
          <w:spacing w:val="-114"/>
        </w:rPr>
      </w:r>
      <w:r>
        <w:rPr/>
        <w:t>快《全国沿海港口布局规划》修编，有序推进沿海大型规模化港区和专业化码头建设，着力</w:t>
      </w:r>
      <w:r>
        <w:rPr>
          <w:spacing w:val="-89"/>
        </w:rPr>
        <w:t> </w:t>
      </w:r>
      <w:r>
        <w:rPr>
          <w:spacing w:val="-89"/>
        </w:rPr>
      </w:r>
      <w:r>
        <w:rPr/>
        <w:t>提升主要港口集疏运通道建设和服务水平。</w:t>
      </w:r>
    </w:p>
    <w:p>
      <w:pPr>
        <w:spacing w:line="357" w:lineRule="auto" w:before="36"/>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2、“互联网+”交通运输深入实施 科技创新引领智慧交通发展</w:t>
      </w:r>
      <w:r>
        <w:rPr>
          <w:rFonts w:ascii="宋体" w:hAnsi="宋体" w:cs="宋体" w:eastAsia="宋体" w:hint="default"/>
          <w:b/>
          <w:bCs/>
          <w:w w:val="99"/>
          <w:sz w:val="24"/>
          <w:szCs w:val="24"/>
        </w:rPr>
        <w:t> </w:t>
      </w:r>
      <w:r>
        <w:rPr>
          <w:rFonts w:ascii="宋体" w:hAnsi="宋体" w:cs="宋体" w:eastAsia="宋体" w:hint="default"/>
          <w:spacing w:val="-6"/>
          <w:sz w:val="24"/>
          <w:szCs w:val="24"/>
        </w:rPr>
        <w:t>伴随着“互联网+”行动计划的全面落地，互联网思维快速渗透进交通运输行业，大数据、</w:t>
      </w:r>
    </w:p>
    <w:p>
      <w:pPr>
        <w:pStyle w:val="Heading5"/>
        <w:spacing w:line="357" w:lineRule="auto"/>
        <w:ind w:left="592" w:right="104" w:hanging="480"/>
        <w:jc w:val="left"/>
      </w:pPr>
      <w:r>
        <w:rPr/>
        <w:t>移动化、产业化正推动行业发生深层次的变革和跨越。 </w:t>
      </w:r>
      <w:r>
        <w:rPr>
          <w:spacing w:val="-5"/>
        </w:rPr>
        <w:t>2015年，交通运输部制定了“互联网+”交通运输行动方案，开展智慧交通发展框架研究，</w:t>
      </w:r>
    </w:p>
    <w:p>
      <w:pPr>
        <w:pStyle w:val="Heading5"/>
        <w:spacing w:line="357" w:lineRule="auto"/>
        <w:ind w:right="232"/>
        <w:jc w:val="both"/>
      </w:pPr>
      <w:r>
        <w:rPr/>
        <w:t>提出将加快互联网与交通运输领域的深度融合，通过基础设施、运输工具、运行信息等互联</w:t>
      </w:r>
      <w:r>
        <w:rPr>
          <w:spacing w:val="-89"/>
        </w:rPr>
        <w:t> </w:t>
      </w:r>
      <w:r>
        <w:rPr>
          <w:spacing w:val="-89"/>
        </w:rPr>
      </w:r>
      <w:r>
        <w:rPr/>
        <w:t>网化，推进基于互联网平台的便捷化交通运输服务发展，显著提高交通运输资源利用效率和</w:t>
      </w:r>
      <w:r>
        <w:rPr>
          <w:spacing w:val="-89"/>
        </w:rPr>
        <w:t> </w:t>
      </w:r>
      <w:r>
        <w:rPr>
          <w:spacing w:val="-89"/>
        </w:rPr>
      </w:r>
      <w:r>
        <w:rPr/>
        <w:t>管理精细化水平，全面提升交通运输行业服务品质和科学治理能力。</w:t>
      </w:r>
    </w:p>
    <w:p>
      <w:pPr>
        <w:pStyle w:val="Heading5"/>
        <w:spacing w:line="357" w:lineRule="auto"/>
        <w:ind w:right="229" w:firstLine="480"/>
        <w:jc w:val="both"/>
      </w:pPr>
      <w:r>
        <w:rPr>
          <w:spacing w:val="-6"/>
        </w:rPr>
        <w:t>作为“综合交通、智慧交通、绿色交通、平安交通”等“四个交通”建设的主战场，“智</w:t>
      </w:r>
      <w:r>
        <w:rPr/>
        <w:t> </w:t>
      </w:r>
      <w:r>
        <w:rPr>
          <w:spacing w:val="-2"/>
        </w:rPr>
        <w:t>慧交通”将围绕“互联网+”交通运输系列行动，以信息化智能化为引领，以创新为驱动，加</w:t>
      </w:r>
      <w:r>
        <w:rPr/>
        <w:t> 快推进全国交通运输行政执法综合管理信息系统、安全生产监管工程等一批信息工程，加快</w:t>
      </w:r>
      <w:r>
        <w:rPr>
          <w:spacing w:val="-89"/>
        </w:rPr>
        <w:t> </w:t>
      </w:r>
      <w:r>
        <w:rPr>
          <w:spacing w:val="-89"/>
        </w:rPr>
      </w:r>
      <w:r>
        <w:rPr/>
        <w:t>构建面向社会的统一信用信息平台，建成交通运输部综合应急指挥中心。</w:t>
      </w:r>
    </w:p>
    <w:p>
      <w:pPr>
        <w:spacing w:line="357" w:lineRule="auto" w:before="36"/>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3、国家推进供给侧结构性改革 交通运输服务品质亟待提升</w:t>
      </w:r>
      <w:r>
        <w:rPr>
          <w:rFonts w:ascii="宋体" w:hAnsi="宋体" w:cs="宋体" w:eastAsia="宋体" w:hint="default"/>
          <w:b/>
          <w:bCs/>
          <w:w w:val="99"/>
          <w:sz w:val="24"/>
          <w:szCs w:val="24"/>
        </w:rPr>
        <w:t> </w:t>
      </w:r>
      <w:r>
        <w:rPr>
          <w:rFonts w:ascii="宋体" w:hAnsi="宋体" w:cs="宋体" w:eastAsia="宋体" w:hint="default"/>
          <w:sz w:val="24"/>
          <w:szCs w:val="24"/>
        </w:rPr>
        <w:t>随着大众交通出行频率的大幅提升，交通运输需求逐渐趋于多元化、个性化，有效供给</w:t>
      </w:r>
    </w:p>
    <w:p>
      <w:pPr>
        <w:pStyle w:val="Heading5"/>
        <w:spacing w:line="357" w:lineRule="auto"/>
        <w:ind w:left="592" w:right="96" w:hanging="480"/>
        <w:jc w:val="left"/>
      </w:pPr>
      <w:r>
        <w:rPr/>
        <w:t>不足的问题日益突出。 2016年，国家将紧紧围绕适应把握引领新常态，推进交通结构性改革，更加注重运输服</w:t>
      </w:r>
    </w:p>
    <w:p>
      <w:pPr>
        <w:pStyle w:val="Heading5"/>
        <w:spacing w:line="357" w:lineRule="auto"/>
        <w:ind w:right="232"/>
        <w:jc w:val="both"/>
      </w:pPr>
      <w:r>
        <w:rPr/>
        <w:t>务品质提升，增加高品质、快捷化、差异化、定制化的客运服务供给，鼓励和引导交通运输</w:t>
      </w:r>
      <w:r>
        <w:rPr>
          <w:spacing w:val="-89"/>
        </w:rPr>
        <w:t> </w:t>
      </w:r>
      <w:r>
        <w:rPr>
          <w:spacing w:val="-89"/>
        </w:rPr>
      </w:r>
      <w:r>
        <w:rPr/>
        <w:t>新技术、新业态、新模式加快发展，不断提升服务的集约化规模化水平，提高供给质量和效</w:t>
      </w:r>
      <w:r>
        <w:rPr>
          <w:spacing w:val="-89"/>
        </w:rPr>
        <w:t> </w:t>
      </w:r>
      <w:r>
        <w:rPr>
          <w:spacing w:val="-89"/>
        </w:rPr>
      </w:r>
      <w:r>
        <w:rPr/>
        <w:t>率，更好适应运输需求新变化。</w:t>
      </w:r>
    </w:p>
    <w:p>
      <w:pPr>
        <w:spacing w:after="0" w:line="357" w:lineRule="auto"/>
        <w:jc w:val="both"/>
        <w:sectPr>
          <w:pgSz w:w="11910" w:h="16840"/>
          <w:pgMar w:header="746" w:footer="978" w:top="1040" w:bottom="1160" w:left="1020" w:right="900"/>
        </w:sectPr>
      </w:pPr>
    </w:p>
    <w:p>
      <w:pPr>
        <w:spacing w:line="240" w:lineRule="auto" w:before="0"/>
        <w:rPr>
          <w:rFonts w:ascii="宋体" w:hAnsi="宋体" w:cs="宋体" w:eastAsia="宋体" w:hint="default"/>
          <w:sz w:val="20"/>
          <w:szCs w:val="20"/>
        </w:rPr>
      </w:pPr>
    </w:p>
    <w:p>
      <w:pPr>
        <w:pStyle w:val="Heading5"/>
        <w:spacing w:line="357" w:lineRule="auto" w:before="160"/>
        <w:ind w:right="96" w:firstLine="480"/>
        <w:jc w:val="left"/>
      </w:pPr>
      <w:r>
        <w:rPr/>
        <w:t>物流运输作为提升交通运输效率和服务体验的关键环节，被列为供给侧改革的重点建设 </w:t>
      </w:r>
      <w:r>
        <w:rPr>
          <w:spacing w:val="-8"/>
        </w:rPr>
        <w:t>领域。据统计，中国汽车物流企业运输车辆空驶率高达39%，个别地区（如新疆）甚至高达50%，</w:t>
      </w:r>
      <w:r>
        <w:rPr>
          <w:spacing w:val="-80"/>
        </w:rPr>
        <w:t> </w:t>
      </w:r>
      <w:r>
        <w:rPr>
          <w:spacing w:val="-80"/>
        </w:rPr>
      </w:r>
      <w:r>
        <w:rPr/>
        <w:t>资源浪费的现象严重，有效的信息整合需求较为迫切。</w:t>
      </w:r>
    </w:p>
    <w:p>
      <w:pPr>
        <w:pStyle w:val="Heading5"/>
        <w:spacing w:line="357" w:lineRule="auto"/>
        <w:ind w:right="232" w:firstLine="480"/>
        <w:jc w:val="both"/>
      </w:pPr>
      <w:r>
        <w:rPr/>
        <w:t>2016年，国家将加快发展现代物流业，推进物流大通道建设，继续深化铁水集装箱联运 试点工程，重点发挥互联网平台整合市场零散运输资源、提高供需匹配效率的关键作用，推</w:t>
      </w:r>
      <w:r>
        <w:rPr>
          <w:spacing w:val="-89"/>
        </w:rPr>
        <w:t> </w:t>
      </w:r>
      <w:r>
        <w:rPr>
          <w:spacing w:val="-89"/>
        </w:rPr>
      </w:r>
      <w:r>
        <w:rPr/>
        <w:t>广甩挂运输试点经验和依托互联网平台的“无车承运人”发展模式。</w:t>
      </w:r>
    </w:p>
    <w:p>
      <w:pPr>
        <w:pStyle w:val="Heading4"/>
        <w:spacing w:line="240" w:lineRule="auto" w:before="36"/>
        <w:ind w:left="592" w:right="96"/>
        <w:jc w:val="left"/>
        <w:rPr>
          <w:b w:val="0"/>
          <w:bCs w:val="0"/>
        </w:rPr>
      </w:pPr>
      <w:r>
        <w:rPr/>
        <w:t>4、大数据上升为国家战略</w:t>
      </w:r>
      <w:r>
        <w:rPr>
          <w:spacing w:val="-6"/>
        </w:rPr>
        <w:t> </w:t>
      </w:r>
      <w:r>
        <w:rPr/>
        <w:t>政府数据开放共享进程加快</w:t>
      </w:r>
      <w:r>
        <w:rPr>
          <w:b w:val="0"/>
          <w:bCs w:val="0"/>
        </w:rPr>
      </w:r>
    </w:p>
    <w:p>
      <w:pPr>
        <w:pStyle w:val="Heading5"/>
        <w:spacing w:line="357" w:lineRule="auto" w:before="154"/>
        <w:ind w:right="230" w:firstLine="480"/>
        <w:jc w:val="both"/>
      </w:pPr>
      <w:r>
        <w:rPr>
          <w:spacing w:val="-3"/>
        </w:rPr>
        <w:t>2015年8月，国务院发布了《关于促进大数据发展的行动纲要》，明确了大数据行动的指</w:t>
      </w:r>
      <w:r>
        <w:rPr/>
        <w:t> 导思想、发展目标和具体任务，将大数据战略上升为国家战略，并将数据资源开放共享列为</w:t>
      </w:r>
      <w:r>
        <w:rPr>
          <w:spacing w:val="-89"/>
        </w:rPr>
        <w:t> </w:t>
      </w:r>
      <w:r>
        <w:rPr>
          <w:spacing w:val="-89"/>
        </w:rPr>
      </w:r>
      <w:r>
        <w:rPr/>
        <w:t>大数据行动的重中之重。2016年，在大数据战略的引领下，我国将在大数据关键产品研发和</w:t>
      </w:r>
      <w:r>
        <w:rPr>
          <w:spacing w:val="-89"/>
        </w:rPr>
        <w:t> </w:t>
      </w:r>
      <w:r>
        <w:rPr>
          <w:spacing w:val="-89"/>
        </w:rPr>
      </w:r>
      <w:r>
        <w:rPr/>
        <w:t>产业化、大数据基础设施建设、大数据标准体系建设等方面推出一系列重点项目。</w:t>
      </w:r>
    </w:p>
    <w:p>
      <w:pPr>
        <w:pStyle w:val="Heading5"/>
        <w:spacing w:line="357" w:lineRule="auto"/>
        <w:ind w:right="98" w:firstLine="480"/>
        <w:jc w:val="left"/>
      </w:pPr>
      <w:r>
        <w:rPr/>
        <w:t>在大数据的应用方面，与政府管理、公共服务息息相关的交通、医疗、教育等行业将成 为首批开放和发展的试点领域。《行动纲要》指出，将优先推动交通、医疗、就业、社保等</w:t>
      </w:r>
      <w:r>
        <w:rPr>
          <w:spacing w:val="-89"/>
        </w:rPr>
        <w:t> </w:t>
      </w:r>
      <w:r>
        <w:rPr>
          <w:spacing w:val="-89"/>
        </w:rPr>
      </w:r>
      <w:r>
        <w:rPr/>
        <w:t>民生领域政府数据向社会开放，在城市建设、社会救助、社区服务等方面开展大数据应用示</w:t>
      </w:r>
      <w:r>
        <w:rPr>
          <w:spacing w:val="-89"/>
        </w:rPr>
        <w:t> </w:t>
      </w:r>
      <w:r>
        <w:rPr>
          <w:spacing w:val="-89"/>
        </w:rPr>
      </w:r>
      <w:r>
        <w:rPr/>
        <w:t>范，提高社会治理水平。2015年，上海市开放涵盖政府部门、事业单位、公共服务企业等单</w:t>
      </w:r>
      <w:r>
        <w:rPr>
          <w:spacing w:val="-89"/>
        </w:rPr>
        <w:t> </w:t>
      </w:r>
      <w:r>
        <w:rPr>
          <w:spacing w:val="-89"/>
        </w:rPr>
      </w:r>
      <w:r>
        <w:rPr>
          <w:spacing w:val="-2"/>
        </w:rPr>
        <w:t>位十大领域、总容量达上千GB的交通大数据，在政府数据资源社会化方面进行了有益的尝试。</w:t>
      </w:r>
      <w:r>
        <w:rPr>
          <w:spacing w:val="-118"/>
        </w:rPr>
        <w:t> </w:t>
      </w:r>
      <w:r>
        <w:rPr>
          <w:spacing w:val="-118"/>
        </w:rPr>
      </w:r>
      <w:r>
        <w:rPr>
          <w:spacing w:val="-2"/>
        </w:rPr>
        <w:t>2016年，全国将有更多交通部门通过合理有序开放政务数据资源及政府购买服务、协议约定、</w:t>
      </w:r>
      <w:r>
        <w:rPr>
          <w:spacing w:val="-116"/>
        </w:rPr>
        <w:t> </w:t>
      </w:r>
      <w:r>
        <w:rPr>
          <w:spacing w:val="-116"/>
        </w:rPr>
      </w:r>
      <w:r>
        <w:rPr/>
        <w:t>依法提供等方式，与业内优秀企业合作，推动大数据更深层次的应用发展。</w:t>
      </w:r>
    </w:p>
    <w:p>
      <w:pPr>
        <w:pStyle w:val="Heading4"/>
        <w:spacing w:line="240" w:lineRule="auto" w:before="36"/>
        <w:ind w:left="592" w:right="96"/>
        <w:jc w:val="left"/>
        <w:rPr>
          <w:b w:val="0"/>
          <w:bCs w:val="0"/>
        </w:rPr>
      </w:pPr>
      <w:r>
        <w:rPr/>
        <w:t>5、汽车后市场容量巨大</w:t>
      </w:r>
      <w:r>
        <w:rPr>
          <w:spacing w:val="-3"/>
        </w:rPr>
        <w:t> </w:t>
      </w:r>
      <w:r>
        <w:rPr/>
        <w:t>行业尚待深度整合</w:t>
      </w:r>
      <w:r>
        <w:rPr>
          <w:b w:val="0"/>
          <w:bCs w:val="0"/>
        </w:rPr>
      </w:r>
    </w:p>
    <w:p>
      <w:pPr>
        <w:pStyle w:val="Heading5"/>
        <w:spacing w:line="357" w:lineRule="auto" w:before="154"/>
        <w:ind w:right="232" w:firstLine="480"/>
        <w:jc w:val="both"/>
      </w:pPr>
      <w:r>
        <w:rPr>
          <w:spacing w:val="-2"/>
        </w:rPr>
        <w:t>2015年中国汽车保有量近1.7亿辆，按照每辆车每年5000元左右的维修保养等消费规模推</w:t>
      </w:r>
      <w:r>
        <w:rPr/>
        <w:t> 算，汽车后市场有着近万亿规模的超大市场容量。根据中国贸促会与专业汽车调查部门曾发</w:t>
      </w:r>
      <w:r>
        <w:rPr>
          <w:spacing w:val="-89"/>
        </w:rPr>
        <w:t> </w:t>
      </w:r>
      <w:r>
        <w:rPr>
          <w:spacing w:val="-89"/>
        </w:rPr>
      </w:r>
      <w:r>
        <w:rPr/>
        <w:t>布的《2013-2017中国汽车后市场蓝皮书》，未来10-15年，我国汽车后市场每年将保持两位</w:t>
      </w:r>
      <w:r>
        <w:rPr>
          <w:spacing w:val="-89"/>
        </w:rPr>
        <w:t> </w:t>
      </w:r>
      <w:r>
        <w:rPr>
          <w:spacing w:val="-89"/>
        </w:rPr>
      </w:r>
      <w:r>
        <w:rPr/>
        <w:t>数以上的高速增长，到2020年，将形成一个超过4万亿的大产业。</w:t>
      </w:r>
    </w:p>
    <w:p>
      <w:pPr>
        <w:pStyle w:val="Heading5"/>
        <w:spacing w:line="357" w:lineRule="auto"/>
        <w:ind w:right="230" w:firstLine="480"/>
        <w:jc w:val="both"/>
      </w:pPr>
      <w:r>
        <w:rPr>
          <w:spacing w:val="-2"/>
        </w:rPr>
        <w:t>截至2015年底，全国ETC系统用户已达2100万，安徽省ETC装机量突破100万，私家车用户</w:t>
      </w:r>
      <w:r>
        <w:rPr/>
        <w:t> 已达400万。伴随着汽车保有量的逐步上升、ETC全国联网目标实现，公众跨区域出行需求得</w:t>
      </w:r>
      <w:r>
        <w:rPr>
          <w:spacing w:val="-89"/>
        </w:rPr>
        <w:t> </w:t>
      </w:r>
      <w:r>
        <w:rPr>
          <w:spacing w:val="-89"/>
        </w:rPr>
      </w:r>
      <w:r>
        <w:rPr/>
        <w:t>到有效激发，车后市场用户群体将迎来新一轮上涨，规模效应将逐步显现。</w:t>
      </w:r>
    </w:p>
    <w:p>
      <w:pPr>
        <w:pStyle w:val="Heading5"/>
        <w:spacing w:line="357" w:lineRule="auto"/>
        <w:ind w:right="232" w:firstLine="480"/>
        <w:jc w:val="both"/>
      </w:pPr>
      <w:r>
        <w:rPr/>
        <w:t>目前，汽车后市场以中小企业为主导，呈现出“群雄逐鹿”的市场格局，尚未形成具有 绝对竞争力的行业标杆和垄断性企业。</w:t>
      </w:r>
    </w:p>
    <w:p>
      <w:pPr>
        <w:pStyle w:val="Heading5"/>
        <w:spacing w:line="240" w:lineRule="auto"/>
        <w:ind w:left="592" w:right="96"/>
        <w:jc w:val="left"/>
      </w:pPr>
      <w:r>
        <w:rPr/>
        <w:t>公司依托资本市场和既有资源，整合上下游优质资源，通过产业链带动商业模式创新，</w:t>
      </w:r>
    </w:p>
    <w:p>
      <w:pPr>
        <w:spacing w:after="0" w:line="240" w:lineRule="auto"/>
        <w:jc w:val="left"/>
        <w:sectPr>
          <w:pgSz w:w="11910" w:h="16840"/>
          <w:pgMar w:header="746" w:footer="978" w:top="1040" w:bottom="1160" w:left="1020" w:right="900"/>
        </w:sectPr>
      </w:pPr>
    </w:p>
    <w:p>
      <w:pPr>
        <w:spacing w:line="240" w:lineRule="auto" w:before="0"/>
        <w:rPr>
          <w:rFonts w:ascii="宋体" w:hAnsi="宋体" w:cs="宋体" w:eastAsia="宋体" w:hint="default"/>
          <w:sz w:val="20"/>
          <w:szCs w:val="20"/>
        </w:rPr>
      </w:pPr>
    </w:p>
    <w:p>
      <w:pPr>
        <w:pStyle w:val="Heading5"/>
        <w:spacing w:line="240" w:lineRule="auto" w:before="160"/>
        <w:ind w:right="0"/>
        <w:jc w:val="both"/>
      </w:pPr>
      <w:r>
        <w:rPr/>
        <w:t>有望在激烈的市场竞争中脱颖而出，赢得较高的市场定位和行业话语权。</w:t>
      </w:r>
    </w:p>
    <w:p>
      <w:pPr>
        <w:pStyle w:val="Heading5"/>
        <w:spacing w:line="357" w:lineRule="auto" w:before="154"/>
        <w:ind w:left="592" w:right="96"/>
        <w:jc w:val="left"/>
      </w:pPr>
      <w:r>
        <w:rPr>
          <w:rFonts w:ascii="宋体" w:hAnsi="宋体" w:cs="宋体" w:eastAsia="宋体" w:hint="default"/>
          <w:b/>
          <w:bCs/>
        </w:rPr>
        <w:t>（二）公司发展战略</w:t>
      </w:r>
      <w:r>
        <w:rPr>
          <w:rFonts w:ascii="宋体" w:hAnsi="宋体" w:cs="宋体" w:eastAsia="宋体" w:hint="default"/>
          <w:b/>
          <w:bCs/>
          <w:w w:val="99"/>
        </w:rPr>
        <w:t> </w:t>
      </w:r>
      <w:r>
        <w:rPr/>
        <w:t>2016年是“十三五”的开局之年，是迈入全面建成小康社会、建设创新型国家决胜阶段</w:t>
      </w:r>
    </w:p>
    <w:p>
      <w:pPr>
        <w:pStyle w:val="Heading5"/>
        <w:spacing w:line="357" w:lineRule="auto"/>
        <w:ind w:right="230"/>
        <w:jc w:val="both"/>
      </w:pPr>
      <w:r>
        <w:rPr/>
        <w:t>的关键一年。公司将主动顺应经济发展新常态，紧抓国家推进“一带一路”战略规划和“互</w:t>
      </w:r>
      <w:r>
        <w:rPr>
          <w:spacing w:val="-89"/>
        </w:rPr>
        <w:t> </w:t>
      </w:r>
      <w:r>
        <w:rPr>
          <w:spacing w:val="-89"/>
        </w:rPr>
      </w:r>
      <w:r>
        <w:rPr>
          <w:spacing w:val="-2"/>
        </w:rPr>
        <w:t>联网+”行动计划的历史机遇，持续推进技术变革和业务创新，将传统主营业务与新兴业务有</w:t>
      </w:r>
      <w:r>
        <w:rPr/>
        <w:t> 效融合，围绕现代交通和物流体系建设、公众出行、车后服务市场的上下游产业链进行业务</w:t>
      </w:r>
      <w:r>
        <w:rPr>
          <w:spacing w:val="-89"/>
        </w:rPr>
        <w:t> </w:t>
      </w:r>
      <w:r>
        <w:rPr>
          <w:spacing w:val="-89"/>
        </w:rPr>
      </w:r>
      <w:r>
        <w:rPr/>
        <w:t>布局并实施大平台战略；加大外延式发展步伐，通过并购、合资、合作等方式进一步做优、</w:t>
      </w:r>
      <w:r>
        <w:rPr>
          <w:spacing w:val="-89"/>
        </w:rPr>
        <w:t> </w:t>
      </w:r>
      <w:r>
        <w:rPr>
          <w:spacing w:val="-89"/>
        </w:rPr>
      </w:r>
      <w:r>
        <w:rPr/>
        <w:t>做大、做强，推进内部管理向专业化、精益化、规范化发展，深入践行集团化战略，最大限</w:t>
      </w:r>
      <w:r>
        <w:rPr>
          <w:spacing w:val="-89"/>
        </w:rPr>
        <w:t> </w:t>
      </w:r>
      <w:r>
        <w:rPr>
          <w:spacing w:val="-89"/>
        </w:rPr>
      </w:r>
      <w:r>
        <w:rPr/>
        <w:t>度地发挥规模效益和协同效应，全力提升企业运行质量和效率。</w:t>
      </w:r>
    </w:p>
    <w:p>
      <w:pPr>
        <w:pStyle w:val="Heading4"/>
        <w:spacing w:line="240" w:lineRule="auto" w:before="36"/>
        <w:ind w:left="592" w:right="96"/>
        <w:jc w:val="left"/>
        <w:rPr>
          <w:b w:val="0"/>
          <w:bCs w:val="0"/>
        </w:rPr>
      </w:pPr>
      <w:r>
        <w:rPr/>
        <w:t>（三）2016年经营计划</w:t>
      </w:r>
      <w:r>
        <w:rPr>
          <w:b w:val="0"/>
          <w:bCs w:val="0"/>
        </w:rPr>
      </w:r>
    </w:p>
    <w:p>
      <w:pPr>
        <w:spacing w:line="357" w:lineRule="auto" w:before="154"/>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1、加强自主创新能力建设 提升公司技术服务水平</w:t>
      </w:r>
      <w:r>
        <w:rPr>
          <w:rFonts w:ascii="宋体" w:hAnsi="宋体" w:cs="宋体" w:eastAsia="宋体" w:hint="default"/>
          <w:b/>
          <w:bCs/>
          <w:w w:val="99"/>
          <w:sz w:val="24"/>
          <w:szCs w:val="24"/>
        </w:rPr>
        <w:t> </w:t>
      </w:r>
      <w:r>
        <w:rPr>
          <w:rFonts w:ascii="宋体" w:hAnsi="宋体" w:cs="宋体" w:eastAsia="宋体" w:hint="default"/>
          <w:sz w:val="24"/>
          <w:szCs w:val="24"/>
        </w:rPr>
        <w:t>公司将积极响应国务院有关“全面落实创新驱动发展战略重大部署，坚持发挥科技创新</w:t>
      </w:r>
    </w:p>
    <w:p>
      <w:pPr>
        <w:pStyle w:val="Heading5"/>
        <w:spacing w:line="357" w:lineRule="auto"/>
        <w:ind w:right="230"/>
        <w:jc w:val="both"/>
      </w:pPr>
      <w:r>
        <w:rPr>
          <w:spacing w:val="-2"/>
        </w:rPr>
        <w:t>在全面创新中的引领作用”号召，围绕“互联网+”交通发展战略，依托自身在智能交通、物</w:t>
      </w:r>
      <w:r>
        <w:rPr/>
        <w:t> </w:t>
      </w:r>
      <w:r>
        <w:rPr>
          <w:spacing w:val="-2"/>
        </w:rPr>
        <w:t>联网、云计算、大数据、移动互联等领域长期技术积累，开展车路协同、V2X为代表的新一代</w:t>
      </w:r>
      <w:r>
        <w:rPr>
          <w:spacing w:val="-117"/>
        </w:rPr>
        <w:t> </w:t>
      </w:r>
      <w:r>
        <w:rPr>
          <w:spacing w:val="-117"/>
        </w:rPr>
      </w:r>
      <w:r>
        <w:rPr/>
        <w:t>交通控制网新兴技术研究，推动新型智能化基础设施、智能化运输车辆、智能化服务和管理</w:t>
      </w:r>
      <w:r>
        <w:rPr>
          <w:spacing w:val="-89"/>
        </w:rPr>
        <w:t> </w:t>
      </w:r>
      <w:r>
        <w:rPr>
          <w:spacing w:val="-89"/>
        </w:rPr>
      </w:r>
      <w:r>
        <w:rPr/>
        <w:t>系统的整体创新和产业创新，建立技术创新市场导向机制，打造企业发展新引擎，促进交通</w:t>
      </w:r>
      <w:r>
        <w:rPr>
          <w:spacing w:val="-89"/>
        </w:rPr>
        <w:t> </w:t>
      </w:r>
      <w:r>
        <w:rPr>
          <w:spacing w:val="-89"/>
        </w:rPr>
      </w:r>
      <w:r>
        <w:rPr/>
        <w:t>运输在运行效率和服务质量上的跨越。</w:t>
      </w:r>
    </w:p>
    <w:p>
      <w:pPr>
        <w:pStyle w:val="Heading5"/>
        <w:spacing w:line="357" w:lineRule="auto"/>
        <w:ind w:right="110" w:firstLine="480"/>
        <w:jc w:val="left"/>
      </w:pPr>
      <w:r>
        <w:rPr/>
        <w:t>同时，公司将以大数据和云平台为依托，引入3D展现、数据仿真等技术，对口岸集装箱 集成平台进行深度优化和扩展，提升传统港航信息化产品的系统性能；以自建为主、公有云</w:t>
      </w:r>
      <w:r>
        <w:rPr>
          <w:spacing w:val="-89"/>
        </w:rPr>
        <w:t> </w:t>
      </w:r>
      <w:r>
        <w:rPr>
          <w:spacing w:val="-89"/>
        </w:rPr>
      </w:r>
      <w:r>
        <w:rPr>
          <w:spacing w:val="-5"/>
        </w:rPr>
        <w:t>为辅的模式，打造行业云PaaS和SaaS服务，改进数据采集体系，完善EDI产品，提升高效检索、</w:t>
      </w:r>
      <w:r>
        <w:rPr>
          <w:spacing w:val="-87"/>
        </w:rPr>
        <w:t> </w:t>
      </w:r>
      <w:r>
        <w:rPr>
          <w:spacing w:val="-87"/>
        </w:rPr>
      </w:r>
      <w:r>
        <w:rPr/>
        <w:t>超级计算、主题分析能力，实现统一身份管理、统一计费标准，最终建设成港航物流行业知</w:t>
      </w:r>
      <w:r>
        <w:rPr>
          <w:spacing w:val="-89"/>
        </w:rPr>
        <w:t> </w:t>
      </w:r>
      <w:r>
        <w:rPr>
          <w:spacing w:val="-89"/>
        </w:rPr>
      </w:r>
      <w:r>
        <w:rPr/>
        <w:t>名的临港物流行业云服务平台；继续丰富基于TD-LTE技术的港航信息化产品线和应用解决方</w:t>
      </w:r>
      <w:r>
        <w:rPr>
          <w:spacing w:val="-89"/>
        </w:rPr>
        <w:t> </w:t>
      </w:r>
      <w:r>
        <w:rPr>
          <w:spacing w:val="-89"/>
        </w:rPr>
      </w:r>
      <w:r>
        <w:rPr/>
        <w:t>案，加大市场推广力度，为港航用户提供勘查、设计、施工、维修、维护等一条龙服务，力</w:t>
      </w:r>
      <w:r>
        <w:rPr>
          <w:spacing w:val="-89"/>
        </w:rPr>
        <w:t> </w:t>
      </w:r>
      <w:r>
        <w:rPr>
          <w:spacing w:val="-89"/>
        </w:rPr>
      </w:r>
      <w:r>
        <w:rPr/>
        <w:t>争成为港口LTE无线解决方案最优秀的专业提供商。</w:t>
      </w:r>
    </w:p>
    <w:p>
      <w:pPr>
        <w:spacing w:line="357" w:lineRule="auto" w:before="36"/>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2、完善营销服务网络 深度拓展改造及运维市场</w:t>
      </w:r>
      <w:r>
        <w:rPr>
          <w:rFonts w:ascii="宋体" w:hAnsi="宋体" w:cs="宋体" w:eastAsia="宋体" w:hint="default"/>
          <w:b/>
          <w:bCs/>
          <w:w w:val="99"/>
          <w:sz w:val="24"/>
          <w:szCs w:val="24"/>
        </w:rPr>
        <w:t> </w:t>
      </w:r>
      <w:r>
        <w:rPr>
          <w:rFonts w:ascii="宋体" w:hAnsi="宋体" w:cs="宋体" w:eastAsia="宋体" w:hint="default"/>
          <w:spacing w:val="-3"/>
          <w:sz w:val="24"/>
          <w:szCs w:val="24"/>
        </w:rPr>
        <w:t>公司将密切跟进行业建设动态，依托既有的优质项目和客户资源，战略性布局全国市场，</w:t>
      </w:r>
    </w:p>
    <w:p>
      <w:pPr>
        <w:pStyle w:val="Heading5"/>
        <w:spacing w:line="357" w:lineRule="auto"/>
        <w:ind w:right="232"/>
        <w:jc w:val="both"/>
      </w:pPr>
      <w:r>
        <w:rPr/>
        <w:t>加速形成以点带面的辐射效应，积极构建覆盖全国的市场营销和服务网络；深化与大型企业</w:t>
      </w:r>
      <w:r>
        <w:rPr>
          <w:spacing w:val="-89"/>
        </w:rPr>
        <w:t> </w:t>
      </w:r>
      <w:r>
        <w:rPr>
          <w:spacing w:val="-89"/>
        </w:rPr>
      </w:r>
      <w:r>
        <w:rPr/>
        <w:t>的合作交流，以拉美、非洲为重点区域，加大海外市场的拓展力度，推进业务国际化进程；</w:t>
      </w:r>
      <w:r>
        <w:rPr>
          <w:spacing w:val="-89"/>
        </w:rPr>
        <w:t> </w:t>
      </w:r>
      <w:r>
        <w:rPr>
          <w:spacing w:val="-89"/>
        </w:rPr>
      </w:r>
      <w:r>
        <w:rPr/>
        <w:t>在提升新建项目信息化市场份额的同时，打造本地化、贴近化的服务团队和运行维护体系，</w:t>
      </w:r>
    </w:p>
    <w:p>
      <w:pPr>
        <w:spacing w:after="0" w:line="357" w:lineRule="auto"/>
        <w:jc w:val="both"/>
        <w:sectPr>
          <w:pgSz w:w="11910" w:h="16840"/>
          <w:pgMar w:header="746" w:footer="978" w:top="1040" w:bottom="1160" w:left="1020" w:right="900"/>
        </w:sectPr>
      </w:pPr>
    </w:p>
    <w:p>
      <w:pPr>
        <w:spacing w:line="240" w:lineRule="auto" w:before="0"/>
        <w:rPr>
          <w:rFonts w:ascii="宋体" w:hAnsi="宋体" w:cs="宋体" w:eastAsia="宋体" w:hint="default"/>
          <w:sz w:val="20"/>
          <w:szCs w:val="20"/>
        </w:rPr>
      </w:pPr>
    </w:p>
    <w:p>
      <w:pPr>
        <w:pStyle w:val="Heading5"/>
        <w:spacing w:line="357" w:lineRule="auto" w:before="160"/>
        <w:ind w:right="96"/>
        <w:jc w:val="left"/>
      </w:pPr>
      <w:r>
        <w:rPr>
          <w:spacing w:val="-2"/>
        </w:rPr>
        <w:t>凭借快速的响应机制和优质的服务理念，着力拓展存量公路及港口扩建改造和运行维护市场，</w:t>
      </w:r>
      <w:r>
        <w:rPr/>
        <w:t> 提升公司盈利能力。</w:t>
      </w:r>
    </w:p>
    <w:p>
      <w:pPr>
        <w:spacing w:line="357" w:lineRule="auto" w:before="36"/>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3、持续优化业务结构 实现产业协同增效</w:t>
      </w:r>
      <w:r>
        <w:rPr>
          <w:rFonts w:ascii="宋体" w:hAnsi="宋体" w:cs="宋体" w:eastAsia="宋体" w:hint="default"/>
          <w:b/>
          <w:bCs/>
          <w:w w:val="99"/>
          <w:sz w:val="24"/>
          <w:szCs w:val="24"/>
        </w:rPr>
        <w:t> </w:t>
      </w:r>
      <w:r>
        <w:rPr>
          <w:rFonts w:ascii="宋体" w:hAnsi="宋体" w:cs="宋体" w:eastAsia="宋体" w:hint="default"/>
          <w:spacing w:val="-3"/>
          <w:sz w:val="24"/>
          <w:szCs w:val="24"/>
        </w:rPr>
        <w:t>公司将以“大交通信息化”战略为指引，以信息服务为突破口，持续推进集团内部业务、</w:t>
      </w:r>
    </w:p>
    <w:p>
      <w:pPr>
        <w:pStyle w:val="Heading5"/>
        <w:spacing w:line="357" w:lineRule="auto"/>
        <w:ind w:right="232"/>
        <w:jc w:val="both"/>
      </w:pPr>
      <w:r>
        <w:rPr/>
        <w:t>资金、信息和人才的整合力度，加速信息流动和资源共享，充分发挥强强联合优势，形成各</w:t>
      </w:r>
      <w:r>
        <w:rPr>
          <w:spacing w:val="-89"/>
        </w:rPr>
        <w:t> </w:t>
      </w:r>
      <w:r>
        <w:rPr>
          <w:spacing w:val="-89"/>
        </w:rPr>
      </w:r>
      <w:r>
        <w:rPr/>
        <w:t>项业务相辅相成、共赢发展的良好局面；在保证主营业务平稳快速发展的基础上，引入互联</w:t>
      </w:r>
      <w:r>
        <w:rPr>
          <w:spacing w:val="-89"/>
        </w:rPr>
        <w:t> </w:t>
      </w:r>
      <w:r>
        <w:rPr>
          <w:spacing w:val="-89"/>
        </w:rPr>
      </w:r>
      <w:r>
        <w:rPr/>
        <w:t>网思维，积极发展新兴业务，以安徽、宁波等地为试点，打造全新的运营和盈利模式，后期</w:t>
      </w:r>
      <w:r>
        <w:rPr>
          <w:spacing w:val="-89"/>
        </w:rPr>
        <w:t> </w:t>
      </w:r>
      <w:r>
        <w:rPr>
          <w:spacing w:val="-89"/>
        </w:rPr>
      </w:r>
      <w:r>
        <w:rPr/>
        <w:t>形成示范效应在其他省份推广复制；凭借对行业的深度理解和市场需求的精准把控，持续开</w:t>
      </w:r>
      <w:r>
        <w:rPr>
          <w:spacing w:val="-89"/>
        </w:rPr>
        <w:t> </w:t>
      </w:r>
      <w:r>
        <w:rPr>
          <w:spacing w:val="-89"/>
        </w:rPr>
      </w:r>
      <w:r>
        <w:rPr/>
        <w:t>辟新的业务领域和商业模式，适当延伸产业价值链，为公司发掘新的增长点，推动企业转型</w:t>
      </w:r>
      <w:r>
        <w:rPr>
          <w:spacing w:val="-89"/>
        </w:rPr>
        <w:t> </w:t>
      </w:r>
      <w:r>
        <w:rPr>
          <w:spacing w:val="-89"/>
        </w:rPr>
      </w:r>
      <w:r>
        <w:rPr/>
        <w:t>发展。</w:t>
      </w:r>
    </w:p>
    <w:p>
      <w:pPr>
        <w:spacing w:line="357" w:lineRule="auto" w:before="36"/>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4、加强内部管控 提升规范运作水平</w:t>
      </w:r>
      <w:r>
        <w:rPr>
          <w:rFonts w:ascii="宋体" w:hAnsi="宋体" w:cs="宋体" w:eastAsia="宋体" w:hint="default"/>
          <w:b/>
          <w:bCs/>
          <w:w w:val="99"/>
          <w:sz w:val="24"/>
          <w:szCs w:val="24"/>
        </w:rPr>
        <w:t> </w:t>
      </w:r>
      <w:r>
        <w:rPr>
          <w:rFonts w:ascii="宋体" w:hAnsi="宋体" w:cs="宋体" w:eastAsia="宋体" w:hint="default"/>
          <w:sz w:val="24"/>
          <w:szCs w:val="24"/>
        </w:rPr>
        <w:t>公司将推进项目精细化管理和法人集约化管理，全面强化基础管理工作，不断加强公司</w:t>
      </w:r>
    </w:p>
    <w:p>
      <w:pPr>
        <w:pStyle w:val="Heading5"/>
        <w:spacing w:line="357" w:lineRule="auto"/>
        <w:ind w:right="232"/>
        <w:jc w:val="both"/>
      </w:pPr>
      <w:r>
        <w:rPr/>
        <w:t>执行力建设，实现降本增效；积极营造学习共进的良性竞争氛围，构建科学合理的激励考核</w:t>
      </w:r>
      <w:r>
        <w:rPr>
          <w:spacing w:val="-89"/>
        </w:rPr>
        <w:t> </w:t>
      </w:r>
      <w:r>
        <w:rPr>
          <w:spacing w:val="-89"/>
        </w:rPr>
      </w:r>
      <w:r>
        <w:rPr/>
        <w:t>机制，建立健全与现代企业相适应的管理制度，增强企业发展活力与动力；贯彻集团化发展</w:t>
      </w:r>
      <w:r>
        <w:rPr>
          <w:spacing w:val="-89"/>
        </w:rPr>
        <w:t> </w:t>
      </w:r>
      <w:r>
        <w:rPr>
          <w:spacing w:val="-89"/>
        </w:rPr>
      </w:r>
      <w:r>
        <w:rPr/>
        <w:t>理念，进一步健全完善内控体系，增强风险防范能力，促进公司规范运作和健康发展。</w:t>
      </w:r>
    </w:p>
    <w:p>
      <w:pPr>
        <w:spacing w:line="357" w:lineRule="auto" w:before="36"/>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5、加速募投项目建设 借力资本市场做大做强</w:t>
      </w:r>
      <w:r>
        <w:rPr>
          <w:rFonts w:ascii="宋体" w:hAnsi="宋体" w:cs="宋体" w:eastAsia="宋体" w:hint="default"/>
          <w:b/>
          <w:bCs/>
          <w:w w:val="99"/>
          <w:sz w:val="24"/>
          <w:szCs w:val="24"/>
        </w:rPr>
        <w:t> </w:t>
      </w:r>
      <w:r>
        <w:rPr>
          <w:rFonts w:ascii="宋体" w:hAnsi="宋体" w:cs="宋体" w:eastAsia="宋体" w:hint="default"/>
          <w:sz w:val="24"/>
          <w:szCs w:val="24"/>
        </w:rPr>
        <w:t>公司将加快“交通运输智慧信息服务平台”、“港口物流软件及信息服务平台”、“基</w:t>
      </w:r>
    </w:p>
    <w:p>
      <w:pPr>
        <w:pStyle w:val="Heading5"/>
        <w:spacing w:line="357" w:lineRule="auto"/>
        <w:ind w:right="232"/>
        <w:jc w:val="both"/>
      </w:pPr>
      <w:r>
        <w:rPr/>
        <w:t>于TD-LTE技术的企业网通讯终端”等募集资金投资项目的实施进程，充分调动企业内外部资</w:t>
      </w:r>
      <w:r>
        <w:rPr>
          <w:spacing w:val="-89"/>
        </w:rPr>
        <w:t> </w:t>
      </w:r>
      <w:r>
        <w:rPr>
          <w:spacing w:val="-89"/>
        </w:rPr>
      </w:r>
      <w:r>
        <w:rPr/>
        <w:t>源，促进项目建成投产，增强企业持续盈利能力；同时，公司将积极利用资本市场平台，通</w:t>
      </w:r>
      <w:r>
        <w:rPr>
          <w:spacing w:val="-89"/>
        </w:rPr>
        <w:t> </w:t>
      </w:r>
      <w:r>
        <w:rPr>
          <w:spacing w:val="-89"/>
        </w:rPr>
      </w:r>
      <w:r>
        <w:rPr/>
        <w:t>过战略合作、并购重组、参与产业基金等方式，寻求优质合作伙伴，挖掘潜力型企业，与公</w:t>
      </w:r>
      <w:r>
        <w:rPr>
          <w:spacing w:val="-89"/>
        </w:rPr>
        <w:t> </w:t>
      </w:r>
      <w:r>
        <w:rPr>
          <w:spacing w:val="-89"/>
        </w:rPr>
      </w:r>
      <w:r>
        <w:rPr/>
        <w:t>司既有业务协同互补，提升企业行业地位和综合竞争力。</w:t>
      </w:r>
    </w:p>
    <w:p>
      <w:pPr>
        <w:pStyle w:val="Heading4"/>
        <w:spacing w:line="357" w:lineRule="auto" w:before="36"/>
        <w:ind w:left="592" w:right="5759"/>
        <w:jc w:val="left"/>
        <w:rPr>
          <w:b w:val="0"/>
          <w:bCs w:val="0"/>
        </w:rPr>
      </w:pPr>
      <w:r>
        <w:rPr/>
        <w:t>（四）企业面临的风险及应对措施</w:t>
      </w:r>
      <w:r>
        <w:rPr>
          <w:w w:val="99"/>
        </w:rPr>
        <w:t> </w:t>
      </w:r>
      <w:r>
        <w:rPr/>
        <w:t>1、技术风险</w:t>
      </w:r>
      <w:r>
        <w:rPr>
          <w:b w:val="0"/>
          <w:bCs w:val="0"/>
        </w:rPr>
      </w:r>
    </w:p>
    <w:p>
      <w:pPr>
        <w:pStyle w:val="Heading5"/>
        <w:spacing w:line="357" w:lineRule="auto"/>
        <w:ind w:right="232" w:firstLine="480"/>
        <w:jc w:val="both"/>
      </w:pPr>
      <w:r>
        <w:rPr/>
        <w:t>公司所处的行业信息化领域，是典型的技术密集型和知识密集型行业，技术更新换代周 期较短，节奏较快，对研发人员创新能力的要求较高。如何精准把握技术动向，研发出与时</w:t>
      </w:r>
      <w:r>
        <w:rPr>
          <w:spacing w:val="-89"/>
        </w:rPr>
        <w:t> </w:t>
      </w:r>
      <w:r>
        <w:rPr>
          <w:spacing w:val="-89"/>
        </w:rPr>
      </w:r>
      <w:r>
        <w:rPr/>
        <w:t>俱进的系统产品，适应行业发展需求，是公司保持市场竞争力的核心问题。</w:t>
      </w:r>
    </w:p>
    <w:p>
      <w:pPr>
        <w:pStyle w:val="Heading5"/>
        <w:spacing w:line="357" w:lineRule="auto"/>
        <w:ind w:right="96" w:firstLine="480"/>
        <w:jc w:val="left"/>
      </w:pPr>
      <w:r>
        <w:rPr>
          <w:spacing w:val="-3"/>
        </w:rPr>
        <w:t>公司将加大对核心技术人才的培养和引进力度，凭借科学的研发体制、优质的客户资源，</w:t>
      </w:r>
      <w:r>
        <w:rPr/>
        <w:t> 迅速捕捉到市场和客户需求，以需求为导向，推进产品和系统创新，并依托高效的生产能力</w:t>
      </w:r>
      <w:r>
        <w:rPr>
          <w:spacing w:val="-89"/>
        </w:rPr>
        <w:t> </w:t>
      </w:r>
      <w:r>
        <w:rPr>
          <w:spacing w:val="-89"/>
        </w:rPr>
      </w:r>
      <w:r>
        <w:rPr/>
        <w:t>将研发成果快速推向市场。</w:t>
      </w:r>
    </w:p>
    <w:p>
      <w:pPr>
        <w:spacing w:after="0" w:line="357" w:lineRule="auto"/>
        <w:jc w:val="left"/>
        <w:sectPr>
          <w:pgSz w:w="11910" w:h="16840"/>
          <w:pgMar w:header="746" w:footer="978" w:top="1040" w:bottom="1160" w:left="1020" w:right="900"/>
        </w:sectPr>
      </w:pPr>
    </w:p>
    <w:p>
      <w:pPr>
        <w:spacing w:line="240" w:lineRule="auto" w:before="0"/>
        <w:rPr>
          <w:rFonts w:ascii="宋体" w:hAnsi="宋体" w:cs="宋体" w:eastAsia="宋体" w:hint="default"/>
          <w:sz w:val="20"/>
          <w:szCs w:val="20"/>
        </w:rPr>
      </w:pPr>
    </w:p>
    <w:p>
      <w:pPr>
        <w:spacing w:line="357" w:lineRule="auto" w:before="160"/>
        <w:ind w:left="612" w:right="104" w:firstLine="0"/>
        <w:jc w:val="left"/>
        <w:rPr>
          <w:rFonts w:ascii="宋体" w:hAnsi="宋体" w:cs="宋体" w:eastAsia="宋体" w:hint="default"/>
          <w:sz w:val="24"/>
          <w:szCs w:val="24"/>
        </w:rPr>
      </w:pPr>
      <w:r>
        <w:rPr>
          <w:rFonts w:ascii="宋体" w:hAnsi="宋体" w:cs="宋体" w:eastAsia="宋体" w:hint="default"/>
          <w:b/>
          <w:bCs/>
          <w:sz w:val="24"/>
          <w:szCs w:val="24"/>
        </w:rPr>
        <w:t>2、公司快速扩张带来的管理风险</w:t>
      </w:r>
      <w:r>
        <w:rPr>
          <w:rFonts w:ascii="宋体" w:hAnsi="宋体" w:cs="宋体" w:eastAsia="宋体" w:hint="default"/>
          <w:b/>
          <w:bCs/>
          <w:w w:val="99"/>
          <w:sz w:val="24"/>
          <w:szCs w:val="24"/>
        </w:rPr>
        <w:t> </w:t>
      </w:r>
      <w:r>
        <w:rPr>
          <w:rFonts w:ascii="宋体" w:hAnsi="宋体" w:cs="宋体" w:eastAsia="宋体" w:hint="default"/>
          <w:sz w:val="24"/>
          <w:szCs w:val="24"/>
        </w:rPr>
        <w:t>随着公司募集资金投资项目的逐步实施和新设子公司的增多，公司资产规模逐步壮大和</w:t>
      </w:r>
    </w:p>
    <w:p>
      <w:pPr>
        <w:pStyle w:val="Heading5"/>
        <w:spacing w:line="357" w:lineRule="auto"/>
        <w:ind w:left="132" w:right="104"/>
        <w:jc w:val="left"/>
      </w:pPr>
      <w:r>
        <w:rPr/>
        <w:t>管理的跨度不断扩大。如何高效管理和运营资产、完善内部管理体制、提升公司运行效率，</w:t>
      </w:r>
      <w:r>
        <w:rPr>
          <w:spacing w:val="-89"/>
        </w:rPr>
        <w:t> </w:t>
      </w:r>
      <w:r>
        <w:rPr>
          <w:spacing w:val="-89"/>
        </w:rPr>
      </w:r>
      <w:r>
        <w:rPr/>
        <w:t>成为企业稳健经营、持续发展的重要课题。</w:t>
      </w:r>
    </w:p>
    <w:p>
      <w:pPr>
        <w:pStyle w:val="Heading5"/>
        <w:spacing w:line="357" w:lineRule="auto"/>
        <w:ind w:left="132" w:right="112" w:firstLine="480"/>
        <w:jc w:val="both"/>
      </w:pPr>
      <w:r>
        <w:rPr/>
        <w:t>公司将不断规范治理结构，通过构建权力、决策、执行、监督四位一体的制衡机制，加 强风险管控，防范经营风险；加强内部控制和企业文化建设，有效提升公司管理团队素质、</w:t>
      </w:r>
      <w:r>
        <w:rPr>
          <w:spacing w:val="-89"/>
        </w:rPr>
        <w:t> </w:t>
      </w:r>
      <w:r>
        <w:rPr>
          <w:spacing w:val="-89"/>
        </w:rPr>
      </w:r>
      <w:r>
        <w:rPr/>
        <w:t>凝聚力和向心力；根据公司管理现状和业务发展需求，适时进行组织架构调整，激发企业内</w:t>
      </w:r>
      <w:r>
        <w:rPr>
          <w:spacing w:val="-89"/>
        </w:rPr>
        <w:t> </w:t>
      </w:r>
      <w:r>
        <w:rPr>
          <w:spacing w:val="-89"/>
        </w:rPr>
      </w:r>
      <w:r>
        <w:rPr/>
        <w:t>部活力，保障企业在良性发展的轨道上快速前进。</w:t>
      </w:r>
    </w:p>
    <w:p>
      <w:pPr>
        <w:pStyle w:val="Heading5"/>
        <w:spacing w:line="357" w:lineRule="auto"/>
        <w:ind w:left="612" w:right="104"/>
        <w:jc w:val="left"/>
      </w:pPr>
      <w:r>
        <w:rPr>
          <w:rFonts w:ascii="宋体" w:hAnsi="宋体" w:cs="宋体" w:eastAsia="宋体" w:hint="default"/>
          <w:b/>
          <w:bCs/>
        </w:rPr>
        <w:t>3、行业竞争风险</w:t>
      </w:r>
      <w:r>
        <w:rPr>
          <w:rFonts w:ascii="宋体" w:hAnsi="宋体" w:cs="宋体" w:eastAsia="宋体" w:hint="default"/>
          <w:b/>
          <w:bCs/>
          <w:w w:val="99"/>
        </w:rPr>
        <w:t> </w:t>
      </w:r>
      <w:r>
        <w:rPr/>
        <w:t>公司主营的交通信息化业务，行业集中度较高，主要客户为高速公路、港口码头运营企</w:t>
      </w:r>
    </w:p>
    <w:p>
      <w:pPr>
        <w:pStyle w:val="Heading5"/>
        <w:spacing w:line="357" w:lineRule="auto"/>
        <w:ind w:left="132" w:right="104"/>
        <w:jc w:val="left"/>
      </w:pPr>
      <w:r>
        <w:rPr/>
        <w:t>业。当前，公司已将业务推广至全国各大区域，面对的行业竞争压力日渐增大。如何在激烈</w:t>
      </w:r>
      <w:r>
        <w:rPr>
          <w:spacing w:val="-89"/>
        </w:rPr>
        <w:t> </w:t>
      </w:r>
      <w:r>
        <w:rPr>
          <w:spacing w:val="-89"/>
        </w:rPr>
      </w:r>
      <w:r>
        <w:rPr/>
        <w:t>的竞争中脱颖而出，取得更大的市场占有率，成为公司经营业绩迈上新台阶的关键。</w:t>
      </w:r>
    </w:p>
    <w:p>
      <w:pPr>
        <w:pStyle w:val="Heading5"/>
        <w:spacing w:line="357" w:lineRule="auto"/>
        <w:ind w:left="132" w:right="112" w:firstLine="480"/>
        <w:jc w:val="both"/>
      </w:pPr>
      <w:r>
        <w:rPr/>
        <w:t>公司将不断完善和加强资质建设，为进入更为宽广的行业信息化建设市场奠定基础；建 立专业化的市场营销、技术支持和售后服务体系，加大力度拓展运行维护市场；加强项目管</w:t>
      </w:r>
      <w:r>
        <w:rPr>
          <w:spacing w:val="-89"/>
        </w:rPr>
        <w:t> </w:t>
      </w:r>
      <w:r>
        <w:rPr>
          <w:spacing w:val="-89"/>
        </w:rPr>
      </w:r>
      <w:r>
        <w:rPr/>
        <w:t>理，严控项目质量，打造优质工程，巩固在行业内品牌知名度和美誉度，以口碑赢得市场。</w:t>
      </w:r>
    </w:p>
    <w:p>
      <w:pPr>
        <w:spacing w:line="240" w:lineRule="auto" w:before="11"/>
        <w:rPr>
          <w:rFonts w:ascii="宋体" w:hAnsi="宋体" w:cs="宋体" w:eastAsia="宋体" w:hint="default"/>
          <w:sz w:val="19"/>
          <w:szCs w:val="19"/>
        </w:rPr>
      </w:pPr>
    </w:p>
    <w:p>
      <w:pPr>
        <w:pStyle w:val="Heading4"/>
        <w:spacing w:line="240" w:lineRule="auto"/>
        <w:ind w:right="104"/>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4"/>
        <w:jc w:val="left"/>
        <w:rPr>
          <w:b w:val="0"/>
          <w:bCs w:val="0"/>
        </w:rPr>
      </w:pPr>
      <w:r>
        <w:rPr/>
        <w:t>1、报告期内接待调研、沟通、采访等活动登记表</w:t>
      </w:r>
      <w:r>
        <w:rPr>
          <w:b w:val="0"/>
          <w:bCs w:val="0"/>
        </w:rPr>
      </w:r>
    </w:p>
    <w:p>
      <w:pPr>
        <w:spacing w:line="240" w:lineRule="auto" w:before="7"/>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43"/>
        <w:gridCol w:w="1418"/>
        <w:gridCol w:w="1559"/>
        <w:gridCol w:w="4749"/>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hyperlink r:id="rId16">
              <w:r>
                <w:rPr>
                  <w:rFonts w:ascii="宋体" w:hAnsi="宋体" w:cs="宋体" w:eastAsia="宋体" w:hint="default"/>
                  <w:sz w:val="18"/>
                  <w:szCs w:val="18"/>
                </w:rPr>
                <w:t>http://irm.cninfo.com.cn</w:t>
              </w:r>
            </w:hyperlink>
            <w:r>
              <w:rPr>
                <w:rFonts w:ascii="宋体" w:hAnsi="宋体" w:cs="宋体" w:eastAsia="宋体" w:hint="default"/>
                <w:sz w:val="18"/>
                <w:szCs w:val="18"/>
              </w:rPr>
              <w:t>，公司生产经营和未来发展情况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hyperlink r:id="rId16">
              <w:r>
                <w:rPr>
                  <w:rFonts w:ascii="宋体" w:hAnsi="宋体" w:cs="宋体" w:eastAsia="宋体" w:hint="default"/>
                  <w:sz w:val="18"/>
                  <w:szCs w:val="18"/>
                </w:rPr>
                <w:t>http://irm.cninfo.com.cn</w:t>
              </w:r>
            </w:hyperlink>
            <w:r>
              <w:rPr>
                <w:rFonts w:ascii="宋体" w:hAnsi="宋体" w:cs="宋体" w:eastAsia="宋体" w:hint="default"/>
                <w:sz w:val="18"/>
                <w:szCs w:val="18"/>
              </w:rPr>
              <w:t>，公司生产经营和未来发展情况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hyperlink r:id="rId16">
              <w:r>
                <w:rPr>
                  <w:rFonts w:ascii="宋体" w:hAnsi="宋体" w:cs="宋体" w:eastAsia="宋体" w:hint="default"/>
                  <w:sz w:val="18"/>
                  <w:szCs w:val="18"/>
                </w:rPr>
                <w:t>http://irm.cninfo.com.cn</w:t>
              </w:r>
            </w:hyperlink>
            <w:r>
              <w:rPr>
                <w:rFonts w:ascii="宋体" w:hAnsi="宋体" w:cs="宋体" w:eastAsia="宋体" w:hint="default"/>
                <w:sz w:val="18"/>
                <w:szCs w:val="18"/>
              </w:rPr>
              <w:t>，公司生产经营和未来发展情况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hyperlink r:id="rId16">
              <w:r>
                <w:rPr>
                  <w:rFonts w:ascii="宋体" w:hAnsi="宋体" w:cs="宋体" w:eastAsia="宋体" w:hint="default"/>
                  <w:sz w:val="18"/>
                  <w:szCs w:val="18"/>
                </w:rPr>
                <w:t>http://irm.cninfo.com.cn</w:t>
              </w:r>
            </w:hyperlink>
            <w:r>
              <w:rPr>
                <w:rFonts w:ascii="宋体" w:hAnsi="宋体" w:cs="宋体" w:eastAsia="宋体" w:hint="default"/>
                <w:sz w:val="18"/>
                <w:szCs w:val="18"/>
              </w:rPr>
              <w:t>，公司生产经营和未来发展情况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hyperlink r:id="rId17">
              <w:r>
                <w:rPr>
                  <w:rFonts w:ascii="宋体" w:hAnsi="宋体" w:cs="宋体" w:eastAsia="宋体" w:hint="default"/>
                  <w:sz w:val="18"/>
                  <w:szCs w:val="18"/>
                </w:rPr>
                <w:t>http://rim.cninfo.com.cn</w:t>
              </w:r>
            </w:hyperlink>
            <w:r>
              <w:rPr>
                <w:rFonts w:ascii="宋体" w:hAnsi="宋体" w:cs="宋体" w:eastAsia="宋体" w:hint="default"/>
                <w:sz w:val="18"/>
                <w:szCs w:val="18"/>
              </w:rPr>
              <w:t>，公司生产经营和未来发展情况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hyperlink r:id="rId16">
              <w:r>
                <w:rPr>
                  <w:rFonts w:ascii="宋体" w:hAnsi="宋体" w:cs="宋体" w:eastAsia="宋体" w:hint="default"/>
                  <w:sz w:val="18"/>
                  <w:szCs w:val="18"/>
                </w:rPr>
                <w:t>http://irm.cninfo.com.cn</w:t>
              </w:r>
            </w:hyperlink>
            <w:r>
              <w:rPr>
                <w:rFonts w:ascii="宋体" w:hAnsi="宋体" w:cs="宋体" w:eastAsia="宋体" w:hint="default"/>
                <w:sz w:val="18"/>
                <w:szCs w:val="18"/>
              </w:rPr>
              <w:t>，公司生产经营和未来发展情况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hyperlink r:id="rId16">
              <w:r>
                <w:rPr>
                  <w:rFonts w:ascii="宋体" w:hAnsi="宋体" w:cs="宋体" w:eastAsia="宋体" w:hint="default"/>
                  <w:sz w:val="18"/>
                  <w:szCs w:val="18"/>
                </w:rPr>
                <w:t>http://irm.cninfo.com.cn</w:t>
              </w:r>
            </w:hyperlink>
            <w:r>
              <w:rPr>
                <w:rFonts w:ascii="宋体" w:hAnsi="宋体" w:cs="宋体" w:eastAsia="宋体" w:hint="default"/>
                <w:sz w:val="18"/>
                <w:szCs w:val="18"/>
              </w:rPr>
              <w:t>，公司生产经营和未来发展情况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hyperlink r:id="rId16">
              <w:r>
                <w:rPr>
                  <w:rFonts w:ascii="宋体" w:hAnsi="宋体" w:cs="宋体" w:eastAsia="宋体" w:hint="default"/>
                  <w:sz w:val="18"/>
                  <w:szCs w:val="18"/>
                </w:rPr>
                <w:t>http://irm.cninfo.com.cn</w:t>
              </w:r>
            </w:hyperlink>
            <w:r>
              <w:rPr>
                <w:rFonts w:ascii="宋体" w:hAnsi="宋体" w:cs="宋体" w:eastAsia="宋体" w:hint="default"/>
                <w:sz w:val="18"/>
                <w:szCs w:val="18"/>
              </w:rPr>
              <w:t>，公司生产经营和未来发展情况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hyperlink r:id="rId16">
              <w:r>
                <w:rPr>
                  <w:rFonts w:ascii="宋体" w:hAnsi="宋体" w:cs="宋体" w:eastAsia="宋体" w:hint="default"/>
                  <w:sz w:val="18"/>
                  <w:szCs w:val="18"/>
                </w:rPr>
                <w:t>http://irm.cninfo.com.cn</w:t>
              </w:r>
            </w:hyperlink>
            <w:r>
              <w:rPr>
                <w:rFonts w:ascii="宋体" w:hAnsi="宋体" w:cs="宋体" w:eastAsia="宋体" w:hint="default"/>
                <w:sz w:val="18"/>
                <w:szCs w:val="18"/>
              </w:rPr>
              <w:t>，公司生产经营和未来发展情况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hyperlink r:id="rId16">
              <w:r>
                <w:rPr>
                  <w:rFonts w:ascii="宋体" w:hAnsi="宋体" w:cs="宋体" w:eastAsia="宋体" w:hint="default"/>
                  <w:sz w:val="18"/>
                  <w:szCs w:val="18"/>
                </w:rPr>
                <w:t>http://irm.cninfo.com.cn</w:t>
              </w:r>
            </w:hyperlink>
            <w:r>
              <w:rPr>
                <w:rFonts w:ascii="宋体" w:hAnsi="宋体" w:cs="宋体" w:eastAsia="宋体" w:hint="default"/>
                <w:sz w:val="18"/>
                <w:szCs w:val="18"/>
              </w:rPr>
              <w:t>，公司生产经营和未来发展情况</w:t>
            </w:r>
          </w:p>
        </w:tc>
      </w:tr>
    </w:tbl>
    <w:p>
      <w:pPr>
        <w:spacing w:after="0" w:line="240" w:lineRule="auto"/>
        <w:jc w:val="center"/>
        <w:rPr>
          <w:rFonts w:ascii="宋体" w:hAnsi="宋体" w:cs="宋体" w:eastAsia="宋体" w:hint="default"/>
          <w:sz w:val="18"/>
          <w:szCs w:val="18"/>
        </w:rPr>
        <w:sectPr>
          <w:pgSz w:w="11910" w:h="16840"/>
          <w:pgMar w:header="746" w:footer="978" w:top="1040" w:bottom="1160" w:left="100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3468"/>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96"/>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32" w:right="96"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32" w:right="96"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left="132" w:right="105" w:firstLine="420"/>
        <w:jc w:val="left"/>
      </w:pPr>
      <w:r>
        <w:rPr/>
        <w:t>根据中国证监会《关于进一步落实上市公司现金分红有关事项的通知》和中国证监会安徽监管局《关</w:t>
      </w:r>
      <w:r>
        <w:rPr>
          <w:w w:val="99"/>
        </w:rPr>
        <w:t> </w:t>
      </w:r>
      <w:r>
        <w:rPr>
          <w:spacing w:val="-3"/>
        </w:rPr>
        <w:t>于认真贯彻落实〈关于进一步落实上市公司现金分红相关事项的通知〉有关要求的通知》等相关文件要求，</w:t>
      </w:r>
      <w:r>
        <w:rPr>
          <w:w w:val="99"/>
        </w:rPr>
        <w:t> </w:t>
      </w:r>
      <w:r>
        <w:rPr/>
        <w:t>公司结合实际情况，就股东回报规划及利润分配政策制定等事项与独立董事及部分流通股东充分沟通，并</w:t>
      </w:r>
      <w:r>
        <w:rPr>
          <w:w w:val="99"/>
        </w:rPr>
        <w:t> </w:t>
      </w:r>
      <w:r>
        <w:rPr/>
        <w:t>听取意见，从股东回报规划安排、利润分配尤其是现金分红事项决策程序和机制的完善上做了专项研究论</w:t>
      </w:r>
      <w:r>
        <w:rPr>
          <w:w w:val="99"/>
        </w:rPr>
        <w:t> </w:t>
      </w:r>
      <w:r>
        <w:rPr/>
        <w:t>证，同时通过专线电话方式听取中小股东的意见和诉求，确认适合公司未来发展的现金分红事项的决策程</w:t>
      </w:r>
      <w:r>
        <w:rPr>
          <w:w w:val="99"/>
        </w:rPr>
        <w:t> </w:t>
      </w:r>
      <w:r>
        <w:rPr/>
        <w:t>序，在此基础上，公司制订了修正案，并提交公司第一届董事会第十八次会议审议通过，独立董事发表了</w:t>
      </w:r>
      <w:r>
        <w:rPr>
          <w:w w:val="99"/>
        </w:rPr>
        <w:t> </w:t>
      </w:r>
      <w:r>
        <w:rPr/>
        <w:t>独立意见。为进一步征求中小股东诉求，保障中小股东的合法权益，公司于2012年第一次临时股东大会上</w:t>
      </w:r>
      <w:r>
        <w:rPr>
          <w:w w:val="99"/>
        </w:rPr>
        <w:t> </w:t>
      </w:r>
      <w:r>
        <w:rPr/>
        <w:t>提交审议了《公司章程》修正案。</w:t>
      </w:r>
    </w:p>
    <w:p>
      <w:pPr>
        <w:pStyle w:val="BodyText"/>
        <w:spacing w:line="408" w:lineRule="auto" w:before="87"/>
        <w:ind w:left="132" w:right="192" w:firstLine="420"/>
        <w:jc w:val="both"/>
      </w:pPr>
      <w:r>
        <w:rPr>
          <w:w w:val="95"/>
        </w:rPr>
        <w:t>公司现行利润分配政策《公司章程》第一百五十五条明确规定了公司的利润分配政策的原则、利润分</w:t>
      </w:r>
      <w:r>
        <w:rPr>
          <w:w w:val="99"/>
        </w:rPr>
        <w:t> </w:t>
      </w:r>
      <w:r>
        <w:rPr>
          <w:w w:val="95"/>
        </w:rPr>
        <w:t>配的形式、现金分配的条件、现金分配的比例、利润分配的期间、股票股利分配的条件、利润分配的决策</w:t>
      </w:r>
      <w:r>
        <w:rPr>
          <w:spacing w:val="41"/>
          <w:w w:val="95"/>
        </w:rPr>
        <w:t> </w:t>
      </w:r>
      <w:r>
        <w:rPr>
          <w:spacing w:val="41"/>
          <w:w w:val="95"/>
        </w:rPr>
      </w:r>
      <w:r>
        <w:rPr>
          <w:w w:val="95"/>
        </w:rPr>
        <w:t>程序和机制、有关利润分配的信息披露事项、利润分配政策的调整原则等，公司将严格按照《公司章程》</w:t>
      </w:r>
      <w:r>
        <w:rPr>
          <w:spacing w:val="61"/>
          <w:w w:val="95"/>
        </w:rPr>
        <w:t> </w:t>
      </w:r>
      <w:r>
        <w:rPr>
          <w:spacing w:val="61"/>
          <w:w w:val="95"/>
        </w:rPr>
      </w:r>
      <w:r>
        <w:rPr/>
        <w:t>的规定，实施利润分配政策，强化回报股东意识，满足股东的合理投资回报和公司长远发展的要求。</w:t>
      </w:r>
    </w:p>
    <w:tbl>
      <w:tblPr>
        <w:tblW w:w="0" w:type="auto"/>
        <w:jc w:val="left"/>
        <w:tblInd w:w="101" w:type="dxa"/>
        <w:tblLayout w:type="fixed"/>
        <w:tblCellMar>
          <w:top w:w="0" w:type="dxa"/>
          <w:left w:w="0" w:type="dxa"/>
          <w:bottom w:w="0" w:type="dxa"/>
          <w:right w:w="0" w:type="dxa"/>
        </w:tblCellMar>
        <w:tblLook w:val="01E0"/>
      </w:tblPr>
      <w:tblGrid>
        <w:gridCol w:w="6902"/>
        <w:gridCol w:w="266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3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3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3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3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3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35"/>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before="73"/>
        <w:ind w:left="132" w:right="96"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年（包括本报告期）的普通股股利分配方案（预案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73" w:lineRule="auto" w:before="92"/>
        <w:ind w:left="132" w:right="96" w:firstLine="420"/>
        <w:jc w:val="left"/>
      </w:pPr>
      <w:r>
        <w:rPr/>
        <w:t>1、公司</w:t>
      </w:r>
      <w:r>
        <w:rPr>
          <w:spacing w:val="-55"/>
        </w:rPr>
        <w:t> </w:t>
      </w:r>
      <w:r>
        <w:rPr/>
        <w:t>2013</w:t>
      </w:r>
      <w:r>
        <w:rPr>
          <w:spacing w:val="-56"/>
        </w:rPr>
        <w:t> </w:t>
      </w:r>
      <w:r>
        <w:rPr/>
        <w:t>年年度权益分配方案为：以公司</w:t>
      </w:r>
      <w:r>
        <w:rPr>
          <w:spacing w:val="-53"/>
        </w:rPr>
        <w:t> </w:t>
      </w:r>
      <w:r>
        <w:rPr/>
        <w:t>2013</w:t>
      </w:r>
      <w:r>
        <w:rPr>
          <w:spacing w:val="-56"/>
        </w:rPr>
        <w:t> </w:t>
      </w:r>
      <w:r>
        <w:rPr/>
        <w:t>年</w:t>
      </w:r>
      <w:r>
        <w:rPr>
          <w:spacing w:val="-55"/>
        </w:rPr>
        <w:t> </w:t>
      </w:r>
      <w:r>
        <w:rPr/>
        <w:t>12</w:t>
      </w:r>
      <w:r>
        <w:rPr>
          <w:spacing w:val="-54"/>
        </w:rPr>
        <w:t> </w:t>
      </w:r>
      <w:r>
        <w:rPr/>
        <w:t>月</w:t>
      </w:r>
      <w:r>
        <w:rPr>
          <w:spacing w:val="-55"/>
        </w:rPr>
        <w:t> </w:t>
      </w:r>
      <w:r>
        <w:rPr/>
        <w:t>31</w:t>
      </w:r>
      <w:r>
        <w:rPr>
          <w:spacing w:val="-54"/>
        </w:rPr>
        <w:t> </w:t>
      </w:r>
      <w:r>
        <w:rPr/>
        <w:t>日总股本</w:t>
      </w:r>
      <w:r>
        <w:rPr>
          <w:spacing w:val="-55"/>
        </w:rPr>
        <w:t> </w:t>
      </w:r>
      <w:r>
        <w:rPr/>
        <w:t>214,256,620</w:t>
      </w:r>
      <w:r>
        <w:rPr>
          <w:spacing w:val="-54"/>
        </w:rPr>
        <w:t> </w:t>
      </w:r>
      <w:r>
        <w:rPr/>
        <w:t>股为基数，向</w:t>
      </w:r>
      <w:r>
        <w:rPr>
          <w:w w:val="99"/>
        </w:rPr>
        <w:t> </w:t>
      </w:r>
      <w:r>
        <w:rPr/>
        <w:t>全体股东每</w:t>
      </w:r>
      <w:r>
        <w:rPr>
          <w:spacing w:val="-53"/>
        </w:rPr>
        <w:t> </w:t>
      </w:r>
      <w:r>
        <w:rPr/>
        <w:t>10</w:t>
      </w:r>
      <w:r>
        <w:rPr>
          <w:spacing w:val="-57"/>
        </w:rPr>
        <w:t> </w:t>
      </w:r>
      <w:r>
        <w:rPr/>
        <w:t>股派发现金红利人民币</w:t>
      </w:r>
      <w:r>
        <w:rPr>
          <w:spacing w:val="-53"/>
        </w:rPr>
        <w:t> </w:t>
      </w:r>
      <w:r>
        <w:rPr/>
        <w:t>0.2</w:t>
      </w:r>
      <w:r>
        <w:rPr>
          <w:spacing w:val="-57"/>
        </w:rPr>
        <w:t> </w:t>
      </w:r>
      <w:r>
        <w:rPr/>
        <w:t>元（含税）；不转增不送股。2014</w:t>
      </w:r>
      <w:r>
        <w:rPr>
          <w:spacing w:val="-57"/>
        </w:rPr>
        <w:t> </w:t>
      </w:r>
      <w:r>
        <w:rPr/>
        <w:t>年</w:t>
      </w:r>
      <w:r>
        <w:rPr>
          <w:spacing w:val="-53"/>
        </w:rPr>
        <w:t> </w:t>
      </w:r>
      <w:r>
        <w:rPr/>
        <w:t>4</w:t>
      </w:r>
      <w:r>
        <w:rPr>
          <w:spacing w:val="-57"/>
        </w:rPr>
        <w:t> </w:t>
      </w:r>
      <w:r>
        <w:rPr/>
        <w:t>月</w:t>
      </w:r>
      <w:r>
        <w:rPr>
          <w:spacing w:val="-53"/>
        </w:rPr>
        <w:t> </w:t>
      </w:r>
      <w:r>
        <w:rPr/>
        <w:t>15</w:t>
      </w:r>
      <w:r>
        <w:rPr>
          <w:spacing w:val="-57"/>
        </w:rPr>
        <w:t> </w:t>
      </w:r>
      <w:r>
        <w:rPr/>
        <w:t>日实施完毕；</w:t>
      </w:r>
    </w:p>
    <w:p>
      <w:pPr>
        <w:pStyle w:val="BodyText"/>
        <w:spacing w:line="240" w:lineRule="auto" w:before="48"/>
        <w:ind w:left="552" w:right="96"/>
        <w:jc w:val="left"/>
      </w:pPr>
      <w:r>
        <w:rPr/>
        <w:t>2、公司</w:t>
      </w:r>
      <w:r>
        <w:rPr>
          <w:spacing w:val="-56"/>
        </w:rPr>
        <w:t> </w:t>
      </w:r>
      <w:r>
        <w:rPr/>
        <w:t>2014</w:t>
      </w:r>
      <w:r>
        <w:rPr>
          <w:spacing w:val="-57"/>
        </w:rPr>
        <w:t> </w:t>
      </w:r>
      <w:r>
        <w:rPr/>
        <w:t>年年度权益分配方案为：以公司</w:t>
      </w:r>
      <w:r>
        <w:rPr>
          <w:spacing w:val="-53"/>
        </w:rPr>
        <w:t> </w:t>
      </w:r>
      <w:r>
        <w:rPr/>
        <w:t>2014</w:t>
      </w:r>
      <w:r>
        <w:rPr>
          <w:spacing w:val="-57"/>
        </w:rPr>
        <w:t> </w:t>
      </w:r>
      <w:r>
        <w:rPr/>
        <w:t>年</w:t>
      </w:r>
      <w:r>
        <w:rPr>
          <w:spacing w:val="-56"/>
        </w:rPr>
        <w:t> </w:t>
      </w:r>
      <w:r>
        <w:rPr/>
        <w:t>12</w:t>
      </w:r>
      <w:r>
        <w:rPr>
          <w:spacing w:val="-55"/>
        </w:rPr>
        <w:t> </w:t>
      </w:r>
      <w:r>
        <w:rPr/>
        <w:t>月</w:t>
      </w:r>
      <w:r>
        <w:rPr>
          <w:spacing w:val="-56"/>
        </w:rPr>
        <w:t> </w:t>
      </w:r>
      <w:r>
        <w:rPr/>
        <w:t>31</w:t>
      </w:r>
      <w:r>
        <w:rPr>
          <w:spacing w:val="-55"/>
        </w:rPr>
        <w:t> </w:t>
      </w:r>
      <w:r>
        <w:rPr/>
        <w:t>日总股本</w:t>
      </w:r>
      <w:r>
        <w:rPr>
          <w:spacing w:val="-56"/>
        </w:rPr>
        <w:t> </w:t>
      </w:r>
      <w:r>
        <w:rPr/>
        <w:t>243,282,678</w:t>
      </w:r>
      <w:r>
        <w:rPr>
          <w:spacing w:val="-55"/>
        </w:rPr>
        <w:t> </w:t>
      </w:r>
      <w:r>
        <w:rPr/>
        <w:t>股为基数，向</w:t>
      </w:r>
    </w:p>
    <w:p>
      <w:pPr>
        <w:pStyle w:val="BodyText"/>
        <w:spacing w:line="273" w:lineRule="auto" w:before="37"/>
        <w:ind w:left="132" w:right="96"/>
        <w:jc w:val="left"/>
      </w:pPr>
      <w:r>
        <w:rPr/>
        <w:t>全体股东按每</w:t>
      </w:r>
      <w:r>
        <w:rPr>
          <w:spacing w:val="-55"/>
        </w:rPr>
        <w:t> </w:t>
      </w:r>
      <w:r>
        <w:rPr/>
        <w:t>10</w:t>
      </w:r>
      <w:r>
        <w:rPr>
          <w:spacing w:val="-57"/>
        </w:rPr>
        <w:t> </w:t>
      </w:r>
      <w:r>
        <w:rPr/>
        <w:t>股派发现金红利人民币</w:t>
      </w:r>
      <w:r>
        <w:rPr>
          <w:spacing w:val="-58"/>
        </w:rPr>
        <w:t> </w:t>
      </w:r>
      <w:r>
        <w:rPr/>
        <w:t>0.5</w:t>
      </w:r>
      <w:r>
        <w:rPr>
          <w:spacing w:val="-57"/>
        </w:rPr>
        <w:t> </w:t>
      </w:r>
      <w:r>
        <w:rPr/>
        <w:t>元（含税）,同时用资本公积金转增股本，向全体股东每</w:t>
      </w:r>
      <w:r>
        <w:rPr>
          <w:spacing w:val="-58"/>
        </w:rPr>
        <w:t> </w:t>
      </w:r>
      <w:r>
        <w:rPr/>
        <w:t>10</w:t>
      </w:r>
      <w:r>
        <w:rPr>
          <w:w w:val="99"/>
        </w:rPr>
        <w:t> </w:t>
      </w:r>
      <w:r>
        <w:rPr/>
        <w:t>股转增</w:t>
      </w:r>
      <w:r>
        <w:rPr>
          <w:spacing w:val="-52"/>
        </w:rPr>
        <w:t> </w:t>
      </w:r>
      <w:r>
        <w:rPr/>
        <w:t>2</w:t>
      </w:r>
      <w:r>
        <w:rPr>
          <w:spacing w:val="-56"/>
        </w:rPr>
        <w:t> </w:t>
      </w:r>
      <w:r>
        <w:rPr/>
        <w:t>股，不送股。2015</w:t>
      </w:r>
      <w:r>
        <w:rPr>
          <w:spacing w:val="-56"/>
        </w:rPr>
        <w:t> </w:t>
      </w:r>
      <w:r>
        <w:rPr/>
        <w:t>年</w:t>
      </w:r>
      <w:r>
        <w:rPr>
          <w:spacing w:val="-52"/>
        </w:rPr>
        <w:t> </w:t>
      </w:r>
      <w:r>
        <w:rPr/>
        <w:t>3</w:t>
      </w:r>
      <w:r>
        <w:rPr>
          <w:spacing w:val="-56"/>
        </w:rPr>
        <w:t> </w:t>
      </w:r>
      <w:r>
        <w:rPr/>
        <w:t>月</w:t>
      </w:r>
      <w:r>
        <w:rPr>
          <w:spacing w:val="-52"/>
        </w:rPr>
        <w:t> </w:t>
      </w:r>
      <w:r>
        <w:rPr/>
        <w:t>26</w:t>
      </w:r>
      <w:r>
        <w:rPr>
          <w:spacing w:val="-56"/>
        </w:rPr>
        <w:t> </w:t>
      </w:r>
      <w:r>
        <w:rPr/>
        <w:t>日实施完毕；</w:t>
      </w:r>
    </w:p>
    <w:p>
      <w:pPr>
        <w:pStyle w:val="BodyText"/>
        <w:spacing w:line="273" w:lineRule="auto" w:before="48"/>
        <w:ind w:left="132" w:right="96" w:firstLine="420"/>
        <w:jc w:val="left"/>
      </w:pPr>
      <w:r>
        <w:rPr/>
        <w:t>3、公司</w:t>
      </w:r>
      <w:r>
        <w:rPr>
          <w:spacing w:val="-55"/>
        </w:rPr>
        <w:t> </w:t>
      </w:r>
      <w:r>
        <w:rPr/>
        <w:t>2015</w:t>
      </w:r>
      <w:r>
        <w:rPr>
          <w:spacing w:val="-56"/>
        </w:rPr>
        <w:t> </w:t>
      </w:r>
      <w:r>
        <w:rPr/>
        <w:t>年年度权益分配预案为：拟以公司</w:t>
      </w:r>
      <w:r>
        <w:rPr>
          <w:spacing w:val="-53"/>
        </w:rPr>
        <w:t> </w:t>
      </w:r>
      <w:r>
        <w:rPr/>
        <w:t>2015</w:t>
      </w:r>
      <w:r>
        <w:rPr>
          <w:spacing w:val="-54"/>
        </w:rPr>
        <w:t> </w:t>
      </w:r>
      <w:r>
        <w:rPr/>
        <w:t>年</w:t>
      </w:r>
      <w:r>
        <w:rPr>
          <w:spacing w:val="-55"/>
        </w:rPr>
        <w:t> </w:t>
      </w:r>
      <w:r>
        <w:rPr/>
        <w:t>12</w:t>
      </w:r>
      <w:r>
        <w:rPr>
          <w:spacing w:val="-56"/>
        </w:rPr>
        <w:t> </w:t>
      </w:r>
      <w:r>
        <w:rPr/>
        <w:t>月</w:t>
      </w:r>
      <w:r>
        <w:rPr>
          <w:spacing w:val="-53"/>
        </w:rPr>
        <w:t> </w:t>
      </w:r>
      <w:r>
        <w:rPr/>
        <w:t>31</w:t>
      </w:r>
      <w:r>
        <w:rPr>
          <w:spacing w:val="-56"/>
        </w:rPr>
        <w:t> </w:t>
      </w:r>
      <w:r>
        <w:rPr/>
        <w:t>日总股本</w:t>
      </w:r>
      <w:r>
        <w:rPr>
          <w:spacing w:val="-53"/>
        </w:rPr>
        <w:t> </w:t>
      </w:r>
      <w:r>
        <w:rPr/>
        <w:t>291,939,213</w:t>
      </w:r>
      <w:r>
        <w:rPr>
          <w:spacing w:val="-56"/>
        </w:rPr>
        <w:t> </w:t>
      </w:r>
      <w:r>
        <w:rPr/>
        <w:t>股为基数，</w:t>
      </w:r>
      <w:r>
        <w:rPr>
          <w:w w:val="99"/>
        </w:rPr>
        <w:t> </w:t>
      </w:r>
      <w:r>
        <w:rPr/>
        <w:t>向全体股东每</w:t>
      </w:r>
      <w:r>
        <w:rPr>
          <w:spacing w:val="-56"/>
        </w:rPr>
        <w:t> </w:t>
      </w:r>
      <w:r>
        <w:rPr/>
        <w:t>10</w:t>
      </w:r>
      <w:r>
        <w:rPr>
          <w:spacing w:val="-57"/>
        </w:rPr>
        <w:t> </w:t>
      </w:r>
      <w:r>
        <w:rPr/>
        <w:t>股派发现金红利人民币</w:t>
      </w:r>
      <w:r>
        <w:rPr>
          <w:spacing w:val="-58"/>
        </w:rPr>
        <w:t> </w:t>
      </w:r>
      <w:r>
        <w:rPr/>
        <w:t>0.5</w:t>
      </w:r>
      <w:r>
        <w:rPr>
          <w:spacing w:val="-57"/>
        </w:rPr>
        <w:t> </w:t>
      </w:r>
      <w:r>
        <w:rPr/>
        <w:t>元（含税）,同时用资本公积金转增股本，向全体股东每</w:t>
      </w:r>
      <w:r>
        <w:rPr>
          <w:spacing w:val="-58"/>
        </w:rPr>
        <w:t> </w:t>
      </w:r>
      <w:r>
        <w:rPr/>
        <w:t>10</w:t>
      </w:r>
    </w:p>
    <w:p>
      <w:pPr>
        <w:spacing w:after="0" w:line="273" w:lineRule="auto"/>
        <w:jc w:val="left"/>
        <w:sectPr>
          <w:pgSz w:w="11910" w:h="16840"/>
          <w:pgMar w:header="746" w:footer="978" w:top="1040" w:bottom="1160" w:left="1000" w:right="920"/>
        </w:sect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6" w:footer="978" w:top="1040" w:bottom="1160" w:left="1000" w:right="980"/>
        </w:sectPr>
      </w:pPr>
    </w:p>
    <w:p>
      <w:pPr>
        <w:pStyle w:val="BodyText"/>
        <w:spacing w:line="240" w:lineRule="auto" w:before="34"/>
        <w:ind w:left="132" w:right="-20"/>
        <w:jc w:val="left"/>
      </w:pPr>
      <w:r>
        <w:rPr/>
        <w:t>股转增</w:t>
      </w:r>
      <w:r>
        <w:rPr>
          <w:spacing w:val="-54"/>
        </w:rPr>
        <w:t> </w:t>
      </w:r>
      <w:r>
        <w:rPr/>
        <w:t>2</w:t>
      </w:r>
      <w:r>
        <w:rPr>
          <w:spacing w:val="-58"/>
        </w:rPr>
        <w:t> </w:t>
      </w:r>
      <w:r>
        <w:rPr/>
        <w:t>股，不送股。</w:t>
      </w:r>
    </w:p>
    <w:p>
      <w:pPr>
        <w:spacing w:before="101"/>
        <w:ind w:left="132" w:right="-2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160" w:left="1000" w:right="980"/>
          <w:cols w:num="2" w:equalWidth="0">
            <w:col w:w="4273" w:space="4556"/>
            <w:col w:w="1101"/>
          </w:cols>
        </w:sectPr>
      </w:pP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56"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70"/>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70"/>
              <w:jc w:val="righ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1" w:right="70"/>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1" w:right="70"/>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33" w:right="69"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8"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14,596,960.65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69,494,426.63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12,164,133.90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57,132,485.37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4,285,132.40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70,763,819.33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0.00%</w:t>
            </w:r>
          </w:p>
        </w:tc>
      </w:tr>
    </w:tbl>
    <w:p>
      <w:pPr>
        <w:spacing w:before="50"/>
        <w:ind w:left="13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795"/>
        <w:gridCol w:w="5773"/>
      </w:tblGrid>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0.5</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291,939,213</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14,596,960.65</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200,677,815.84</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宋体" w:hAnsi="宋体" w:cs="宋体" w:eastAsia="宋体" w:hint="default"/>
                <w:spacing w:val="-1"/>
                <w:sz w:val="18"/>
                <w:szCs w:val="18"/>
              </w:rPr>
              <w:t>20％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firstLine="36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年年度权益分配预案为：拟以公司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宋体" w:hAnsi="宋体" w:cs="宋体" w:eastAsia="宋体" w:hint="default"/>
                <w:sz w:val="18"/>
                <w:szCs w:val="18"/>
              </w:rPr>
              <w:t>291,939,213</w:t>
            </w:r>
            <w:r>
              <w:rPr>
                <w:rFonts w:ascii="宋体" w:hAnsi="宋体" w:cs="宋体" w:eastAsia="宋体" w:hint="default"/>
                <w:spacing w:val="-47"/>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z w:val="18"/>
                <w:szCs w:val="18"/>
              </w:rPr>
              <w:t> 派发现金红利人民币</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元（含税</w:t>
            </w:r>
            <w:r>
              <w:rPr>
                <w:rFonts w:ascii="宋体" w:hAnsi="宋体" w:cs="宋体" w:eastAsia="宋体" w:hint="default"/>
                <w:imprint/>
                <w:sz w:val="18"/>
                <w:szCs w:val="18"/>
              </w:rPr>
              <w:t>） </w:t>
            </w:r>
            <w:r>
              <w:rPr>
                <w:rFonts w:ascii="宋体" w:hAnsi="宋体" w:cs="宋体" w:eastAsia="宋体" w:hint="default"/>
                <w:shadow w:val="0"/>
                <w:sz w:val="18"/>
                <w:szCs w:val="18"/>
              </w:rPr>
              <w:t>,同时用资本公积金转增股本，向全体股东每</w:t>
            </w:r>
            <w:r>
              <w:rPr>
                <w:rFonts w:ascii="宋体" w:hAnsi="宋体" w:cs="宋体" w:eastAsia="宋体" w:hint="default"/>
                <w:shadow w:val="0"/>
                <w:spacing w:val="-46"/>
                <w:sz w:val="18"/>
                <w:szCs w:val="18"/>
              </w:rPr>
              <w:t> </w:t>
            </w:r>
            <w:r>
              <w:rPr>
                <w:rFonts w:ascii="宋体" w:hAnsi="宋体" w:cs="宋体" w:eastAsia="宋体" w:hint="default"/>
                <w:shadow w:val="0"/>
                <w:sz w:val="18"/>
                <w:szCs w:val="18"/>
              </w:rPr>
              <w:t>10</w:t>
            </w:r>
            <w:r>
              <w:rPr>
                <w:rFonts w:ascii="宋体" w:hAnsi="宋体" w:cs="宋体" w:eastAsia="宋体" w:hint="default"/>
                <w:shadow w:val="0"/>
                <w:spacing w:val="-47"/>
                <w:sz w:val="18"/>
                <w:szCs w:val="18"/>
              </w:rPr>
              <w:t> </w:t>
            </w:r>
            <w:r>
              <w:rPr>
                <w:rFonts w:ascii="宋体" w:hAnsi="宋体" w:cs="宋体" w:eastAsia="宋体" w:hint="default"/>
                <w:shadow w:val="0"/>
                <w:sz w:val="18"/>
                <w:szCs w:val="18"/>
              </w:rPr>
              <w:t>股转增</w:t>
            </w:r>
            <w:r>
              <w:rPr>
                <w:rFonts w:ascii="宋体" w:hAnsi="宋体" w:cs="宋体" w:eastAsia="宋体" w:hint="default"/>
                <w:shadow w:val="0"/>
                <w:spacing w:val="-46"/>
                <w:sz w:val="18"/>
                <w:szCs w:val="18"/>
              </w:rPr>
              <w:t> </w:t>
            </w:r>
            <w:r>
              <w:rPr>
                <w:rFonts w:ascii="宋体" w:hAnsi="宋体" w:cs="宋体" w:eastAsia="宋体" w:hint="default"/>
                <w:shadow w:val="0"/>
                <w:sz w:val="18"/>
                <w:szCs w:val="18"/>
              </w:rPr>
              <w:t>2</w:t>
            </w:r>
            <w:r>
              <w:rPr>
                <w:rFonts w:ascii="宋体" w:hAnsi="宋体" w:cs="宋体" w:eastAsia="宋体" w:hint="default"/>
                <w:shadow w:val="0"/>
                <w:spacing w:val="-47"/>
                <w:sz w:val="18"/>
                <w:szCs w:val="18"/>
              </w:rPr>
              <w:t> </w:t>
            </w:r>
            <w:r>
              <w:rPr>
                <w:rFonts w:ascii="宋体" w:hAnsi="宋体" w:cs="宋体" w:eastAsia="宋体" w:hint="default"/>
                <w:shadow w:val="0"/>
                <w:sz w:val="18"/>
                <w:szCs w:val="18"/>
              </w:rPr>
              <w:t>股，不送股。</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6"/>
        <w:spacing w:line="273" w:lineRule="auto"/>
        <w:ind w:right="0"/>
        <w:jc w:val="left"/>
        <w:rPr>
          <w:b w:val="0"/>
          <w:bCs w:val="0"/>
        </w:rPr>
      </w:pPr>
      <w:r>
        <w:rPr>
          <w:spacing w:val="3"/>
          <w:w w:val="95"/>
        </w:rPr>
        <w:t>1、公司、股东、实际控制人、收购人、董事、监事、高级管理人员或其他关联方在报告期内履行完毕及</w:t>
      </w:r>
      <w:r>
        <w:rPr>
          <w:spacing w:val="95"/>
          <w:w w:val="95"/>
        </w:rPr>
        <w:t> </w:t>
      </w:r>
      <w:r>
        <w:rPr>
          <w:spacing w:val="95"/>
          <w:w w:val="95"/>
        </w:rPr>
      </w:r>
      <w:r>
        <w:rPr/>
        <w:t>截至报告期末尚未履行完毕的承诺事项</w:t>
      </w:r>
      <w:r>
        <w:rPr>
          <w:b w:val="0"/>
          <w:bCs w:val="0"/>
        </w:rPr>
      </w:r>
    </w:p>
    <w:p>
      <w:pPr>
        <w:spacing w:line="240" w:lineRule="auto" w:before="8"/>
        <w:rPr>
          <w:rFonts w:ascii="宋体" w:hAnsi="宋体" w:cs="宋体" w:eastAsia="宋体" w:hint="default"/>
          <w:b/>
          <w:bCs/>
          <w:sz w:val="25"/>
          <w:szCs w:val="25"/>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701"/>
        <w:gridCol w:w="2268"/>
        <w:gridCol w:w="851"/>
        <w:gridCol w:w="2126"/>
        <w:gridCol w:w="992"/>
        <w:gridCol w:w="1134"/>
        <w:gridCol w:w="495"/>
      </w:tblGrid>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400"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40" w:bottom="1160" w:left="1000" w:right="980"/>
        </w:sectPr>
      </w:pPr>
    </w:p>
    <w:p>
      <w:pPr>
        <w:spacing w:line="240" w:lineRule="auto" w:before="0"/>
        <w:rPr>
          <w:rFonts w:ascii="Times New Roman" w:hAnsi="Times New Roman" w:cs="Times New Roman" w:eastAsia="Times New Roman" w:hint="default"/>
          <w:sz w:val="20"/>
          <w:szCs w:val="20"/>
        </w:rPr>
      </w:pPr>
      <w:r>
        <w:rPr/>
        <w:pict>
          <v:group style="position:absolute;margin-left:402.75pt;margin-top:190.600021pt;width:49.35pt;height:160.25pt;mso-position-horizontal-relative:page;mso-position-vertical-relative:page;z-index:-871096" coordorigin="8055,3812" coordsize="987,3205">
            <v:shape style="position:absolute;left:8055;top:3812;width:987;height:3205" coordorigin="8055,3812" coordsize="987,3205" path="m8055,3812l9042,3812,9042,7017,8055,7017,8055,3812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701"/>
        <w:gridCol w:w="2268"/>
        <w:gridCol w:w="851"/>
        <w:gridCol w:w="2126"/>
        <w:gridCol w:w="992"/>
        <w:gridCol w:w="1134"/>
        <w:gridCol w:w="495"/>
      </w:tblGrid>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4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226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公司承诺在终止筹划本次</w:t>
            </w: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不进行重 大资产重 组承诺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重大资产重组事项暨股票 复牌之日（2015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z w:val="18"/>
                <w:szCs w:val="18"/>
              </w:rPr>
              <w:t> </w:t>
            </w:r>
            <w:r>
              <w:rPr>
                <w:rFonts w:ascii="宋体" w:hAnsi="宋体" w:cs="宋体" w:eastAsia="宋体" w:hint="default"/>
                <w:spacing w:val="-8"/>
                <w:sz w:val="18"/>
                <w:szCs w:val="18"/>
              </w:rPr>
              <w:t>日）起六个月内不再筹划重</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356" w:hRule="exact"/>
        </w:trPr>
        <w:tc>
          <w:tcPr>
            <w:tcW w:w="1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226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大资产重组事项。</w:t>
            </w: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226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自公司股票上市之日起三</w:t>
            </w: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293"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十六个月内</w:t>
            </w:r>
            <w:r>
              <w:rPr>
                <w:rFonts w:ascii="宋体" w:hAnsi="宋体" w:cs="宋体" w:eastAsia="宋体" w:hint="default"/>
                <w:spacing w:val="-92"/>
                <w:sz w:val="18"/>
                <w:szCs w:val="18"/>
              </w:rPr>
              <w:t>，</w:t>
            </w:r>
            <w:r>
              <w:rPr>
                <w:rFonts w:ascii="宋体" w:hAnsi="宋体" w:cs="宋体" w:eastAsia="宋体" w:hint="default"/>
                <w:sz w:val="18"/>
                <w:szCs w:val="18"/>
              </w:rPr>
              <w:t>不转让或者委</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1、发行人实际控制人王中</w:t>
            </w:r>
          </w:p>
        </w:tc>
        <w:tc>
          <w:tcPr>
            <w:tcW w:w="85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托他人管理其持有的公司</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90"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胜、杨世宁、杨新子；</w:t>
            </w:r>
          </w:p>
        </w:tc>
        <w:tc>
          <w:tcPr>
            <w:tcW w:w="85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92"/>
                <w:sz w:val="18"/>
                <w:szCs w:val="18"/>
              </w:rPr>
              <w:t>，</w:t>
            </w:r>
            <w:r>
              <w:rPr>
                <w:rFonts w:ascii="宋体" w:hAnsi="宋体" w:cs="宋体" w:eastAsia="宋体" w:hint="default"/>
                <w:sz w:val="18"/>
                <w:szCs w:val="18"/>
              </w:rPr>
              <w:t>也不由公司回购该部</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1、36</w:t>
            </w:r>
            <w:r>
              <w:rPr>
                <w:rFonts w:ascii="宋体" w:hAnsi="宋体" w:cs="宋体" w:eastAsia="宋体" w:hint="default"/>
                <w:spacing w:val="-47"/>
                <w:sz w:val="18"/>
                <w:szCs w:val="18"/>
              </w:rPr>
              <w:t> </w:t>
            </w:r>
            <w:r>
              <w:rPr>
                <w:rFonts w:ascii="宋体" w:hAnsi="宋体" w:cs="宋体" w:eastAsia="宋体" w:hint="default"/>
                <w:sz w:val="18"/>
                <w:szCs w:val="18"/>
              </w:rPr>
              <w:t>个月；</w:t>
            </w:r>
          </w:p>
        </w:tc>
        <w:tc>
          <w:tcPr>
            <w:tcW w:w="495" w:type="dxa"/>
            <w:tcBorders>
              <w:top w:val="nil" w:sz="6" w:space="0" w:color="auto"/>
              <w:left w:val="single" w:sz="4" w:space="0" w:color="000000"/>
              <w:bottom w:val="nil" w:sz="6" w:space="0" w:color="auto"/>
              <w:right w:val="single" w:sz="4" w:space="0" w:color="000000"/>
            </w:tcBorders>
          </w:tcPr>
          <w:p>
            <w:pPr/>
          </w:p>
        </w:tc>
      </w:tr>
      <w:tr>
        <w:trPr>
          <w:trHeight w:val="508"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2" w:right="0"/>
              <w:jc w:val="left"/>
              <w:rPr>
                <w:rFonts w:ascii="宋体" w:hAnsi="宋体" w:cs="宋体" w:eastAsia="宋体" w:hint="default"/>
                <w:sz w:val="18"/>
                <w:szCs w:val="18"/>
              </w:rPr>
            </w:pPr>
            <w:r>
              <w:rPr>
                <w:rFonts w:ascii="宋体" w:hAnsi="宋体" w:cs="宋体" w:eastAsia="宋体" w:hint="default"/>
                <w:sz w:val="18"/>
                <w:szCs w:val="18"/>
              </w:rPr>
              <w:t>2、除上述股东外的其他股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东；</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股份限售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3" w:right="0"/>
              <w:jc w:val="left"/>
              <w:rPr>
                <w:rFonts w:ascii="宋体" w:hAnsi="宋体" w:cs="宋体" w:eastAsia="宋体" w:hint="default"/>
                <w:sz w:val="18"/>
                <w:szCs w:val="18"/>
              </w:rPr>
            </w:pPr>
            <w:r>
              <w:rPr>
                <w:rFonts w:ascii="宋体" w:hAnsi="宋体" w:cs="宋体" w:eastAsia="宋体" w:hint="default"/>
                <w:sz w:val="18"/>
                <w:szCs w:val="18"/>
              </w:rPr>
              <w:t>分股份</w:t>
            </w:r>
            <w:r>
              <w:rPr>
                <w:rFonts w:ascii="宋体" w:hAnsi="宋体" w:cs="宋体" w:eastAsia="宋体" w:hint="default"/>
                <w:spacing w:val="-92"/>
                <w:sz w:val="18"/>
                <w:szCs w:val="18"/>
              </w:rPr>
              <w:t>；</w:t>
            </w:r>
            <w:r>
              <w:rPr>
                <w:rFonts w:ascii="宋体" w:hAnsi="宋体" w:cs="宋体" w:eastAsia="宋体" w:hint="default"/>
                <w:sz w:val="18"/>
                <w:szCs w:val="18"/>
              </w:rPr>
              <w:t>三十六个月锁定期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满后</w:t>
            </w:r>
            <w:r>
              <w:rPr>
                <w:rFonts w:ascii="宋体" w:hAnsi="宋体" w:cs="宋体" w:eastAsia="宋体" w:hint="default"/>
                <w:spacing w:val="-92"/>
                <w:sz w:val="18"/>
                <w:szCs w:val="18"/>
              </w:rPr>
              <w:t>，</w:t>
            </w:r>
            <w:r>
              <w:rPr>
                <w:rFonts w:ascii="宋体" w:hAnsi="宋体" w:cs="宋体" w:eastAsia="宋体" w:hint="default"/>
                <w:sz w:val="18"/>
                <w:szCs w:val="18"/>
              </w:rPr>
              <w:t>在任职期间每年转让</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2、12</w:t>
            </w:r>
            <w:r>
              <w:rPr>
                <w:rFonts w:ascii="宋体" w:hAnsi="宋体" w:cs="宋体" w:eastAsia="宋体" w:hint="default"/>
                <w:spacing w:val="-47"/>
                <w:sz w:val="18"/>
                <w:szCs w:val="18"/>
              </w:rPr>
              <w:t> </w:t>
            </w:r>
            <w:r>
              <w:rPr>
                <w:rFonts w:ascii="宋体" w:hAnsi="宋体" w:cs="宋体" w:eastAsia="宋体" w:hint="default"/>
                <w:sz w:val="18"/>
                <w:szCs w:val="18"/>
              </w:rPr>
              <w:t>个月；</w:t>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2" w:right="0"/>
              <w:jc w:val="left"/>
              <w:rPr>
                <w:rFonts w:ascii="宋体" w:hAnsi="宋体" w:cs="宋体" w:eastAsia="宋体" w:hint="default"/>
                <w:sz w:val="18"/>
                <w:szCs w:val="18"/>
              </w:rPr>
            </w:pPr>
            <w:r>
              <w:rPr>
                <w:rFonts w:ascii="宋体" w:hAnsi="宋体" w:cs="宋体" w:eastAsia="宋体" w:hint="default"/>
                <w:sz w:val="18"/>
                <w:szCs w:val="18"/>
              </w:rPr>
              <w:t>严格</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390"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pacing w:val="-3"/>
                <w:sz w:val="18"/>
                <w:szCs w:val="18"/>
              </w:rPr>
              <w:t>3、董事、监事、高级管理人</w:t>
            </w:r>
          </w:p>
        </w:tc>
        <w:tc>
          <w:tcPr>
            <w:tcW w:w="85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的公司股份不超过其所持</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3、12</w:t>
            </w:r>
            <w:r>
              <w:rPr>
                <w:rFonts w:ascii="宋体" w:hAnsi="宋体" w:cs="宋体" w:eastAsia="宋体" w:hint="default"/>
                <w:spacing w:val="-47"/>
                <w:sz w:val="18"/>
                <w:szCs w:val="18"/>
              </w:rPr>
              <w:t> </w:t>
            </w:r>
            <w:r>
              <w:rPr>
                <w:rFonts w:ascii="宋体" w:hAnsi="宋体" w:cs="宋体" w:eastAsia="宋体" w:hint="default"/>
                <w:sz w:val="18"/>
                <w:szCs w:val="18"/>
              </w:rPr>
              <w:t>个月。</w:t>
            </w: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员。</w:t>
            </w:r>
          </w:p>
        </w:tc>
        <w:tc>
          <w:tcPr>
            <w:tcW w:w="85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有公司股份总数的百分之</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二十五，在离职后半年内</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不转让所持有的公司股份</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王中胜</w:t>
            </w:r>
            <w:r>
              <w:rPr>
                <w:rFonts w:ascii="宋体" w:hAnsi="宋体" w:cs="宋体" w:eastAsia="宋体" w:hint="default"/>
                <w:spacing w:val="-92"/>
                <w:sz w:val="18"/>
                <w:szCs w:val="18"/>
              </w:rPr>
              <w:t>、</w:t>
            </w:r>
            <w:r>
              <w:rPr>
                <w:rFonts w:ascii="宋体" w:hAnsi="宋体" w:cs="宋体" w:eastAsia="宋体" w:hint="default"/>
                <w:sz w:val="18"/>
                <w:szCs w:val="18"/>
              </w:rPr>
              <w:t>杨世宁和杨新子三</w:t>
            </w: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人承诺</w:t>
            </w:r>
            <w:r>
              <w:rPr>
                <w:rFonts w:ascii="宋体" w:hAnsi="宋体" w:cs="宋体" w:eastAsia="宋体" w:hint="default"/>
                <w:spacing w:val="-92"/>
                <w:sz w:val="18"/>
                <w:szCs w:val="18"/>
              </w:rPr>
              <w:t>：</w:t>
            </w:r>
            <w:r>
              <w:rPr>
                <w:rFonts w:ascii="宋体" w:hAnsi="宋体" w:cs="宋体" w:eastAsia="宋体" w:hint="default"/>
                <w:sz w:val="18"/>
                <w:szCs w:val="18"/>
              </w:rPr>
              <w:t>就皖通科技的股东</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发行人实际控制人王中胜、</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w:t>
            </w:r>
            <w:r>
              <w:rPr>
                <w:rFonts w:ascii="宋体" w:hAnsi="宋体" w:cs="宋体" w:eastAsia="宋体" w:hint="default"/>
                <w:spacing w:val="-92"/>
                <w:sz w:val="18"/>
                <w:szCs w:val="18"/>
              </w:rPr>
              <w:t>、</w:t>
            </w:r>
            <w:r>
              <w:rPr>
                <w:rFonts w:ascii="宋体" w:hAnsi="宋体" w:cs="宋体" w:eastAsia="宋体" w:hint="default"/>
                <w:sz w:val="18"/>
                <w:szCs w:val="18"/>
              </w:rPr>
              <w:t>董事会等重要会议的</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截至到</w:t>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严格</w:t>
            </w:r>
          </w:p>
        </w:tc>
      </w:tr>
      <w:tr>
        <w:trPr>
          <w:trHeight w:val="335"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杨世宁、杨新子</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投票权和相关事宜等</w:t>
            </w:r>
            <w:r>
              <w:rPr>
                <w:rFonts w:ascii="宋体" w:hAnsi="宋体" w:cs="宋体" w:eastAsia="宋体" w:hint="default"/>
                <w:spacing w:val="-92"/>
                <w:sz w:val="18"/>
                <w:szCs w:val="18"/>
              </w:rPr>
              <w:t>，</w:t>
            </w:r>
            <w:r>
              <w:rPr>
                <w:rFonts w:ascii="宋体" w:hAnsi="宋体" w:cs="宋体" w:eastAsia="宋体" w:hint="default"/>
                <w:sz w:val="18"/>
                <w:szCs w:val="18"/>
              </w:rPr>
              <w:t>按照</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9999-12-31</w:t>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履行</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资时所作承诺</w:t>
            </w:r>
          </w:p>
        </w:tc>
        <w:tc>
          <w:tcPr>
            <w:tcW w:w="22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23" w:right="0"/>
              <w:jc w:val="left"/>
              <w:rPr>
                <w:rFonts w:ascii="宋体" w:hAnsi="宋体" w:cs="宋体" w:eastAsia="宋体" w:hint="default"/>
                <w:sz w:val="18"/>
                <w:szCs w:val="18"/>
              </w:rPr>
            </w:pPr>
            <w:r>
              <w:rPr>
                <w:rFonts w:ascii="宋体" w:hAnsi="宋体" w:cs="宋体" w:eastAsia="宋体" w:hint="default"/>
                <w:sz w:val="18"/>
                <w:szCs w:val="18"/>
              </w:rPr>
              <w:t>一致行动人协议书约定保</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34"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23" w:lineRule="exact"/>
              <w:ind w:left="23" w:right="0"/>
              <w:jc w:val="left"/>
              <w:rPr>
                <w:rFonts w:ascii="宋体" w:hAnsi="宋体" w:cs="宋体" w:eastAsia="宋体" w:hint="default"/>
                <w:sz w:val="18"/>
                <w:szCs w:val="18"/>
              </w:rPr>
            </w:pPr>
            <w:r>
              <w:rPr>
                <w:rFonts w:ascii="宋体" w:hAnsi="宋体" w:cs="宋体" w:eastAsia="宋体" w:hint="default"/>
                <w:sz w:val="18"/>
                <w:szCs w:val="18"/>
              </w:rPr>
              <w:t>持行动一致。</w:t>
            </w: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本人及本人控制的公司和/</w:t>
            </w: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或其他经济组织目前未从</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发行人实际控制人王中胜、 杨世宁、杨新子</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10"/>
              <w:jc w:val="both"/>
              <w:rPr>
                <w:rFonts w:ascii="宋体" w:hAnsi="宋体" w:cs="宋体" w:eastAsia="宋体" w:hint="default"/>
                <w:sz w:val="18"/>
                <w:szCs w:val="18"/>
              </w:rPr>
            </w:pPr>
            <w:r>
              <w:rPr>
                <w:rFonts w:ascii="宋体" w:hAnsi="宋体" w:cs="宋体" w:eastAsia="宋体" w:hint="default"/>
                <w:sz w:val="18"/>
                <w:szCs w:val="18"/>
              </w:rPr>
              <w:t>事与皖通科技及其下属子 公司已生产经营或将生产 经营的产品具有同业竞争</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截至到</w:t>
            </w:r>
          </w:p>
          <w:p>
            <w:pPr>
              <w:pStyle w:val="TableParagraph"/>
              <w:spacing w:line="240" w:lineRule="auto" w:before="76"/>
              <w:ind w:left="23" w:right="0"/>
              <w:jc w:val="left"/>
              <w:rPr>
                <w:rFonts w:ascii="宋体" w:hAnsi="宋体" w:cs="宋体" w:eastAsia="宋体" w:hint="default"/>
                <w:sz w:val="18"/>
                <w:szCs w:val="18"/>
              </w:rPr>
            </w:pPr>
            <w:r>
              <w:rPr>
                <w:rFonts w:ascii="宋体"/>
                <w:sz w:val="18"/>
              </w:rPr>
              <w:t>9999-12-31</w:t>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或潜在同业竞争的产品的</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生产经营。</w:t>
            </w: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易方达基金管理有限公司、</w:t>
            </w:r>
          </w:p>
        </w:tc>
        <w:tc>
          <w:tcPr>
            <w:tcW w:w="85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3"/>
              <w:jc w:val="both"/>
              <w:rPr>
                <w:rFonts w:ascii="宋体" w:hAnsi="宋体" w:cs="宋体" w:eastAsia="宋体" w:hint="default"/>
                <w:sz w:val="18"/>
                <w:szCs w:val="18"/>
              </w:rPr>
            </w:pPr>
            <w:r>
              <w:rPr>
                <w:rFonts w:ascii="宋体" w:hAnsi="宋体" w:cs="宋体" w:eastAsia="宋体" w:hint="default"/>
                <w:sz w:val="18"/>
                <w:szCs w:val="18"/>
              </w:rPr>
              <w:t>财通基金管理有限公司、招 商财富资产管理有限公司、 东海基金管理有限责任公司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66"/>
              <w:jc w:val="left"/>
              <w:rPr>
                <w:rFonts w:ascii="宋体" w:hAnsi="宋体" w:cs="宋体" w:eastAsia="宋体" w:hint="default"/>
                <w:sz w:val="18"/>
                <w:szCs w:val="18"/>
              </w:rPr>
            </w:pPr>
            <w:r>
              <w:rPr>
                <w:rFonts w:ascii="宋体" w:hAnsi="宋体" w:cs="宋体" w:eastAsia="宋体" w:hint="default"/>
                <w:sz w:val="18"/>
                <w:szCs w:val="18"/>
              </w:rPr>
              <w:t>自新增股份上市首日起</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z w:val="18"/>
                <w:szCs w:val="18"/>
              </w:rPr>
              <w:t> 个月内不转让。</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356" w:hRule="exact"/>
        </w:trPr>
        <w:tc>
          <w:tcPr>
            <w:tcW w:w="1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和常州投资集团有限公司</w:t>
            </w:r>
          </w:p>
        </w:tc>
        <w:tc>
          <w:tcPr>
            <w:tcW w:w="85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7"/>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王中胜;杨世宁;杨新子;陈 结淼;陈新;陈延风;孔梅;李 洪峰;李天华;孙胜;王夕众; 姚禄仕;竺进;卢玉平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pacing w:val="-8"/>
                <w:sz w:val="18"/>
                <w:szCs w:val="18"/>
              </w:rPr>
              <w:t>公司实际控制人及董事、监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事、高级管理人员承诺未来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个月内不减持公司股份。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1"/>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400"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footerReference w:type="default" r:id="rId18"/>
          <w:pgSz w:w="11910" w:h="16840"/>
          <w:pgMar w:footer="978" w:header="746" w:top="1040" w:bottom="1160" w:left="1000" w:right="1020"/>
          <w:pgNumType w:start="3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701"/>
        <w:gridCol w:w="7866"/>
      </w:tblGrid>
      <w:tr>
        <w:trPr>
          <w:trHeight w:val="356" w:hRule="exact"/>
        </w:trPr>
        <w:tc>
          <w:tcPr>
            <w:tcW w:w="17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w:t>
            </w:r>
          </w:p>
        </w:tc>
        <w:tc>
          <w:tcPr>
            <w:tcW w:w="78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毕的，应当详细说明</w:t>
            </w:r>
          </w:p>
        </w:tc>
        <w:tc>
          <w:tcPr>
            <w:tcW w:w="78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w:t>
            </w:r>
          </w:p>
        </w:tc>
        <w:tc>
          <w:tcPr>
            <w:tcW w:w="78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因及下一步的工作计</w:t>
            </w:r>
          </w:p>
        </w:tc>
        <w:tc>
          <w:tcPr>
            <w:tcW w:w="7866"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70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7866"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2"/>
          <w:szCs w:val="22"/>
        </w:rPr>
      </w:pPr>
    </w:p>
    <w:p>
      <w:pPr>
        <w:pStyle w:val="Heading6"/>
        <w:spacing w:line="273" w:lineRule="auto" w:before="34"/>
        <w:ind w:right="0"/>
        <w:jc w:val="left"/>
        <w:rPr>
          <w:b w:val="0"/>
          <w:bCs w:val="0"/>
        </w:rPr>
      </w:pPr>
      <w:r>
        <w:rPr>
          <w:spacing w:val="3"/>
          <w:w w:val="95"/>
        </w:rPr>
        <w:t>2、公司资产或项目存在盈利预测，且报告期仍处在盈利预测期间，公司就资产或项目达到原盈利预测及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6"/>
        <w:rPr>
          <w:rFonts w:ascii="宋体" w:hAnsi="宋体" w:cs="宋体" w:eastAsia="宋体" w:hint="default"/>
          <w:b/>
          <w:bCs/>
          <w:sz w:val="25"/>
          <w:szCs w:val="25"/>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32" w:right="40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6"/>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line="360" w:lineRule="auto" w:before="0"/>
        <w:ind w:left="132" w:right="47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公司报告期无会计政策、会计估计和核算方法发生变化的情况。</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60" w:lineRule="auto" w:before="0"/>
        <w:ind w:left="132" w:right="56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6"/>
          <w:szCs w:val="16"/>
        </w:rPr>
      </w:pPr>
    </w:p>
    <w:p>
      <w:pPr>
        <w:pStyle w:val="BodyText"/>
        <w:spacing w:line="273" w:lineRule="auto" w:before="0"/>
        <w:ind w:left="132" w:right="0" w:firstLine="300"/>
        <w:jc w:val="left"/>
      </w:pPr>
      <w:r>
        <w:rPr/>
        <w:t>本期纳入合并财务报表范围的主体较上期相比，增加3户，减少0户，其中：</w:t>
      </w:r>
      <w:r>
        <w:rPr>
          <w:w w:val="99"/>
        </w:rPr>
        <w:t> </w:t>
      </w:r>
      <w:r>
        <w:rPr>
          <w:w w:val="95"/>
        </w:rPr>
        <w:t>本期新纳入合并范围的子公司、特殊目的主体、通过受托经营或承租等方式形成控制权的经营实体</w:t>
      </w:r>
      <w:r>
        <w:rPr/>
      </w:r>
    </w:p>
    <w:p>
      <w:pPr>
        <w:spacing w:line="240" w:lineRule="auto" w:before="6"/>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4962"/>
        <w:gridCol w:w="4536"/>
      </w:tblGrid>
      <w:tr>
        <w:trPr>
          <w:trHeight w:val="347" w:hRule="exact"/>
        </w:trPr>
        <w:tc>
          <w:tcPr>
            <w:tcW w:w="496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53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r>
        <w:trPr>
          <w:trHeight w:val="347" w:hRule="exact"/>
        </w:trPr>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r>
        <w:trPr>
          <w:trHeight w:val="347" w:hRule="exact"/>
        </w:trPr>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bl>
    <w:p>
      <w:pPr>
        <w:spacing w:line="240" w:lineRule="auto" w:before="3"/>
        <w:rPr>
          <w:rFonts w:ascii="宋体" w:hAnsi="宋体" w:cs="宋体" w:eastAsia="宋体" w:hint="default"/>
          <w:sz w:val="8"/>
          <w:szCs w:val="8"/>
        </w:rPr>
      </w:pPr>
    </w:p>
    <w:p>
      <w:pPr>
        <w:pStyle w:val="BodyText"/>
        <w:spacing w:line="240" w:lineRule="auto" w:before="34"/>
        <w:ind w:left="552" w:right="0"/>
        <w:jc w:val="left"/>
      </w:pPr>
      <w:r>
        <w:rPr/>
        <w:t>合并范围变更主体的具体信息详见“附注七、合并范围的变更”</w:t>
      </w:r>
    </w:p>
    <w:p>
      <w:pPr>
        <w:spacing w:after="0" w:line="240" w:lineRule="auto"/>
        <w:jc w:val="left"/>
        <w:sectPr>
          <w:pgSz w:w="11910" w:h="16840"/>
          <w:pgMar w:header="746" w:footer="978" w:top="1040" w:bottom="1160" w:left="1000" w:right="980"/>
        </w:sectPr>
      </w:pPr>
    </w:p>
    <w:p>
      <w:pPr>
        <w:spacing w:line="240" w:lineRule="auto" w:before="5"/>
        <w:rPr>
          <w:rFonts w:ascii="宋体" w:hAnsi="宋体" w:cs="宋体" w:eastAsia="宋体" w:hint="default"/>
          <w:sz w:val="24"/>
          <w:szCs w:val="24"/>
        </w:rPr>
      </w:pPr>
    </w:p>
    <w:p>
      <w:pPr>
        <w:pStyle w:val="Heading4"/>
        <w:spacing w:line="240" w:lineRule="auto" w:before="26"/>
        <w:ind w:right="104"/>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172"/>
        <w:gridCol w:w="5396"/>
      </w:tblGrid>
      <w:tr>
        <w:trPr>
          <w:trHeight w:val="402" w:hRule="exact"/>
        </w:trPr>
        <w:tc>
          <w:tcPr>
            <w:tcW w:w="4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46</w:t>
            </w:r>
          </w:p>
        </w:tc>
      </w:tr>
      <w:tr>
        <w:trPr>
          <w:trHeight w:val="402" w:hRule="exact"/>
        </w:trPr>
        <w:tc>
          <w:tcPr>
            <w:tcW w:w="4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5</w:t>
            </w:r>
          </w:p>
        </w:tc>
      </w:tr>
      <w:tr>
        <w:trPr>
          <w:trHeight w:val="402" w:hRule="exact"/>
        </w:trPr>
        <w:tc>
          <w:tcPr>
            <w:tcW w:w="4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李静  王原</w:t>
            </w:r>
          </w:p>
        </w:tc>
      </w:tr>
      <w:tr>
        <w:trPr>
          <w:trHeight w:val="402" w:hRule="exact"/>
        </w:trPr>
        <w:tc>
          <w:tcPr>
            <w:tcW w:w="4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w:t>
            </w:r>
          </w:p>
        </w:tc>
      </w:tr>
      <w:tr>
        <w:trPr>
          <w:trHeight w:val="402" w:hRule="exact"/>
        </w:trPr>
        <w:tc>
          <w:tcPr>
            <w:tcW w:w="4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2"/>
        <w:ind w:left="132" w:right="104"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60" w:lineRule="auto" w:before="115"/>
        <w:ind w:left="132" w:right="5234"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7"/>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104"/>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104"/>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60" w:lineRule="auto" w:before="0"/>
        <w:ind w:left="132" w:right="66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2"/>
        <w:rPr>
          <w:rFonts w:ascii="宋体" w:hAnsi="宋体" w:cs="宋体" w:eastAsia="宋体" w:hint="default"/>
          <w:sz w:val="18"/>
          <w:szCs w:val="18"/>
        </w:rPr>
      </w:pPr>
    </w:p>
    <w:p>
      <w:pPr>
        <w:pStyle w:val="Heading4"/>
        <w:spacing w:line="240" w:lineRule="auto"/>
        <w:ind w:right="104"/>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60" w:lineRule="auto" w:before="0"/>
        <w:ind w:left="132" w:right="6674"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2"/>
        <w:rPr>
          <w:rFonts w:ascii="宋体" w:hAnsi="宋体" w:cs="宋体" w:eastAsia="宋体" w:hint="default"/>
          <w:sz w:val="18"/>
          <w:szCs w:val="18"/>
        </w:rPr>
      </w:pPr>
    </w:p>
    <w:p>
      <w:pPr>
        <w:pStyle w:val="Heading4"/>
        <w:spacing w:line="240" w:lineRule="auto"/>
        <w:ind w:right="104"/>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32" w:right="68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line="240" w:lineRule="auto" w:before="2"/>
        <w:rPr>
          <w:rFonts w:ascii="宋体" w:hAnsi="宋体" w:cs="宋体" w:eastAsia="宋体" w:hint="default"/>
          <w:sz w:val="18"/>
          <w:szCs w:val="18"/>
        </w:rPr>
      </w:pPr>
    </w:p>
    <w:p>
      <w:pPr>
        <w:pStyle w:val="Heading4"/>
        <w:spacing w:line="240" w:lineRule="auto"/>
        <w:ind w:right="104"/>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5"/>
        <w:rPr>
          <w:rFonts w:ascii="宋体" w:hAnsi="宋体" w:cs="宋体" w:eastAsia="宋体" w:hint="default"/>
          <w:sz w:val="24"/>
          <w:szCs w:val="24"/>
        </w:rPr>
      </w:pPr>
    </w:p>
    <w:p>
      <w:pPr>
        <w:pStyle w:val="Heading4"/>
        <w:spacing w:line="240" w:lineRule="auto" w:before="26"/>
        <w:ind w:left="112" w:right="0"/>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34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公司报告期无股权激励计划、员工持股计划或其他员工激励措施及其实施情况。</w:t>
      </w:r>
    </w:p>
    <w:p>
      <w:pPr>
        <w:spacing w:line="240" w:lineRule="auto" w:before="2"/>
        <w:rPr>
          <w:rFonts w:ascii="宋体" w:hAnsi="宋体" w:cs="宋体" w:eastAsia="宋体" w:hint="default"/>
          <w:sz w:val="18"/>
          <w:szCs w:val="18"/>
        </w:rPr>
      </w:pPr>
    </w:p>
    <w:p>
      <w:pPr>
        <w:pStyle w:val="Heading4"/>
        <w:spacing w:line="240" w:lineRule="auto"/>
        <w:ind w:left="112"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2" w:right="0"/>
        <w:jc w:val="left"/>
        <w:rPr>
          <w:b w:val="0"/>
          <w:bCs w:val="0"/>
        </w:rPr>
      </w:pPr>
      <w:r>
        <w:rPr/>
        <w:t>1、与日常经营相关的关联交易</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5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3"/>
        <w:rPr>
          <w:rFonts w:ascii="宋体" w:hAnsi="宋体" w:cs="宋体" w:eastAsia="宋体" w:hint="default"/>
          <w:sz w:val="20"/>
          <w:szCs w:val="20"/>
        </w:rPr>
      </w:pPr>
    </w:p>
    <w:p>
      <w:pPr>
        <w:pStyle w:val="Heading6"/>
        <w:spacing w:line="240" w:lineRule="auto"/>
        <w:ind w:left="112" w:right="0"/>
        <w:jc w:val="left"/>
        <w:rPr>
          <w:b w:val="0"/>
          <w:bCs w:val="0"/>
        </w:rPr>
      </w:pPr>
      <w:r>
        <w:rPr/>
        <w:t>2、资产或股权收购、出售发生的关联交易</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5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12"/>
        <w:rPr>
          <w:rFonts w:ascii="宋体" w:hAnsi="宋体" w:cs="宋体" w:eastAsia="宋体" w:hint="default"/>
          <w:sz w:val="19"/>
          <w:szCs w:val="19"/>
        </w:rPr>
      </w:pPr>
    </w:p>
    <w:p>
      <w:pPr>
        <w:pStyle w:val="Heading6"/>
        <w:spacing w:line="240" w:lineRule="auto"/>
        <w:ind w:left="112" w:right="0"/>
        <w:jc w:val="left"/>
        <w:rPr>
          <w:b w:val="0"/>
          <w:bCs w:val="0"/>
        </w:rPr>
      </w:pPr>
      <w:r>
        <w:rPr/>
        <w:t>3、共同对外投资的关联交易</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61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2"/>
        <w:rPr>
          <w:rFonts w:ascii="宋体" w:hAnsi="宋体" w:cs="宋体" w:eastAsia="宋体" w:hint="default"/>
          <w:sz w:val="19"/>
          <w:szCs w:val="19"/>
        </w:rPr>
      </w:pPr>
    </w:p>
    <w:p>
      <w:pPr>
        <w:pStyle w:val="Heading6"/>
        <w:spacing w:line="240" w:lineRule="auto"/>
        <w:ind w:left="112" w:right="0"/>
        <w:jc w:val="left"/>
        <w:rPr>
          <w:b w:val="0"/>
          <w:bCs w:val="0"/>
        </w:rPr>
      </w:pPr>
      <w:r>
        <w:rPr/>
        <w:t>4、关联债权债务往来</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66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2"/>
        <w:rPr>
          <w:rFonts w:ascii="宋体" w:hAnsi="宋体" w:cs="宋体" w:eastAsia="宋体" w:hint="default"/>
          <w:sz w:val="19"/>
          <w:szCs w:val="19"/>
        </w:rPr>
      </w:pPr>
    </w:p>
    <w:p>
      <w:pPr>
        <w:pStyle w:val="Heading6"/>
        <w:spacing w:line="240" w:lineRule="auto"/>
        <w:ind w:left="112" w:right="0"/>
        <w:jc w:val="left"/>
        <w:rPr>
          <w:b w:val="0"/>
          <w:bCs w:val="0"/>
        </w:rPr>
      </w:pPr>
      <w:r>
        <w:rPr/>
        <w:t>5、其他重大关联交易</w:t>
      </w:r>
      <w:r>
        <w:rPr>
          <w:b w:val="0"/>
          <w:bCs w:val="0"/>
        </w:rPr>
      </w:r>
    </w:p>
    <w:p>
      <w:pPr>
        <w:spacing w:line="240" w:lineRule="auto" w:before="12"/>
        <w:rPr>
          <w:rFonts w:ascii="宋体" w:hAnsi="宋体" w:cs="宋体" w:eastAsia="宋体" w:hint="default"/>
          <w:b/>
          <w:bCs/>
          <w:sz w:val="27"/>
          <w:szCs w:val="27"/>
        </w:rPr>
      </w:pPr>
    </w:p>
    <w:p>
      <w:pPr>
        <w:spacing w:line="357" w:lineRule="auto" w:before="0"/>
        <w:ind w:left="11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7"/>
        <w:rPr>
          <w:rFonts w:ascii="宋体" w:hAnsi="宋体" w:cs="宋体" w:eastAsia="宋体" w:hint="default"/>
          <w:sz w:val="18"/>
          <w:szCs w:val="18"/>
        </w:rPr>
      </w:pPr>
    </w:p>
    <w:p>
      <w:pPr>
        <w:pStyle w:val="Heading4"/>
        <w:spacing w:line="240" w:lineRule="auto"/>
        <w:ind w:left="112" w:right="0"/>
        <w:jc w:val="left"/>
        <w:rPr>
          <w:b w:val="0"/>
          <w:bCs w:val="0"/>
        </w:rPr>
      </w:pPr>
      <w:r>
        <w:rPr/>
        <w:t>十七、重大合同及其履行情况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12" w:right="0"/>
        <w:jc w:val="left"/>
        <w:rPr>
          <w:b w:val="0"/>
          <w:bCs w:val="0"/>
        </w:rPr>
      </w:pPr>
      <w:r>
        <w:rPr/>
        <w:t>1、托管、承包、租赁事项情况</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left="112" w:right="0"/>
        <w:jc w:val="left"/>
        <w:rPr>
          <w:b w:val="0"/>
          <w:bCs w:val="0"/>
        </w:rPr>
      </w:pPr>
      <w:r>
        <w:rPr/>
        <w:t>（1）托管情况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73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3"/>
        <w:rPr>
          <w:rFonts w:ascii="宋体" w:hAnsi="宋体" w:cs="宋体" w:eastAsia="宋体" w:hint="default"/>
          <w:sz w:val="20"/>
          <w:szCs w:val="20"/>
        </w:rPr>
      </w:pPr>
    </w:p>
    <w:p>
      <w:pPr>
        <w:pStyle w:val="Heading6"/>
        <w:spacing w:line="240" w:lineRule="auto"/>
        <w:ind w:left="112" w:right="0"/>
        <w:jc w:val="left"/>
        <w:rPr>
          <w:b w:val="0"/>
          <w:bCs w:val="0"/>
        </w:rPr>
      </w:pPr>
      <w:r>
        <w:rPr/>
        <w:t>（2）承包情况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9"/>
        <w:rPr>
          <w:rFonts w:ascii="宋体" w:hAnsi="宋体" w:cs="宋体" w:eastAsia="宋体" w:hint="default"/>
          <w:sz w:val="26"/>
          <w:szCs w:val="26"/>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公司报告期不存在承包情况。</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（3）租赁情况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32" w:right="73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2"/>
        <w:rPr>
          <w:rFonts w:ascii="宋体" w:hAnsi="宋体" w:cs="宋体" w:eastAsia="宋体" w:hint="default"/>
          <w:sz w:val="19"/>
          <w:szCs w:val="19"/>
        </w:rPr>
      </w:pPr>
    </w:p>
    <w:p>
      <w:pPr>
        <w:pStyle w:val="Heading6"/>
        <w:spacing w:line="240" w:lineRule="auto"/>
        <w:ind w:right="104"/>
        <w:jc w:val="left"/>
        <w:rPr>
          <w:b w:val="0"/>
          <w:bCs w:val="0"/>
        </w:rPr>
      </w:pPr>
      <w:r>
        <w:rPr/>
        <w:t>2、重大担保</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（1）担保情况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709"/>
        <w:gridCol w:w="922"/>
        <w:gridCol w:w="922"/>
        <w:gridCol w:w="1302"/>
        <w:gridCol w:w="248"/>
        <w:gridCol w:w="809"/>
        <w:gridCol w:w="1041"/>
        <w:gridCol w:w="135"/>
        <w:gridCol w:w="912"/>
        <w:gridCol w:w="790"/>
        <w:gridCol w:w="782"/>
      </w:tblGrid>
      <w:tr>
        <w:trPr>
          <w:trHeight w:val="402" w:hRule="exact"/>
        </w:trPr>
        <w:tc>
          <w:tcPr>
            <w:tcW w:w="957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7"/>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3" w:right="46" w:hanging="272"/>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3" w:right="3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578" w:right="38" w:hanging="540"/>
              <w:jc w:val="left"/>
              <w:rPr>
                <w:rFonts w:ascii="宋体" w:hAnsi="宋体" w:cs="宋体" w:eastAsia="宋体" w:hint="default"/>
                <w:sz w:val="18"/>
                <w:szCs w:val="18"/>
              </w:rPr>
            </w:pPr>
            <w:r>
              <w:rPr>
                <w:rFonts w:ascii="宋体" w:hAnsi="宋体" w:cs="宋体" w:eastAsia="宋体" w:hint="default"/>
                <w:sz w:val="18"/>
                <w:szCs w:val="18"/>
              </w:rPr>
              <w:t>安徽交通物资有限责 任公司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02</w:t>
            </w:r>
          </w:p>
          <w:p>
            <w:pPr>
              <w:pStyle w:val="TableParagraph"/>
              <w:spacing w:line="240" w:lineRule="auto" w:before="76"/>
              <w:ind w:left="14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sz w:val="18"/>
              </w:rPr>
              <w:t>2,000</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sz w:val="18"/>
              </w:rPr>
              <w:t>2,000</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计（A1）</w:t>
            </w:r>
          </w:p>
        </w:tc>
        <w:tc>
          <w:tcPr>
            <w:tcW w:w="24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发生额合计（A2）</w:t>
            </w:r>
          </w:p>
        </w:tc>
        <w:tc>
          <w:tcPr>
            <w:tcW w:w="2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合计（A3）</w:t>
            </w:r>
          </w:p>
        </w:tc>
        <w:tc>
          <w:tcPr>
            <w:tcW w:w="24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149"/>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余额合计（A4）</w:t>
            </w:r>
          </w:p>
        </w:tc>
        <w:tc>
          <w:tcPr>
            <w:tcW w:w="2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w:t>
            </w:r>
          </w:p>
        </w:tc>
      </w:tr>
      <w:tr>
        <w:trPr>
          <w:trHeight w:val="402" w:hRule="exact"/>
        </w:trPr>
        <w:tc>
          <w:tcPr>
            <w:tcW w:w="957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6"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2"/>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23" w:right="46" w:hanging="272"/>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3" w:right="3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0"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7"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2,295</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2,295</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1,020</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1,000</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合计（B1）</w:t>
            </w:r>
          </w:p>
        </w:tc>
        <w:tc>
          <w:tcPr>
            <w:tcW w:w="24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3,315</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实际发生额合计（B2）</w:t>
            </w:r>
          </w:p>
        </w:tc>
        <w:tc>
          <w:tcPr>
            <w:tcW w:w="2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3,295</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额度合计（B3）</w:t>
            </w:r>
          </w:p>
        </w:tc>
        <w:tc>
          <w:tcPr>
            <w:tcW w:w="24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3,315</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149"/>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担保余额合计（B4）</w:t>
            </w:r>
          </w:p>
        </w:tc>
        <w:tc>
          <w:tcPr>
            <w:tcW w:w="2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3,295</w:t>
            </w:r>
          </w:p>
        </w:tc>
      </w:tr>
      <w:tr>
        <w:trPr>
          <w:trHeight w:val="402" w:hRule="exact"/>
        </w:trPr>
        <w:tc>
          <w:tcPr>
            <w:tcW w:w="957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4"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3"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4"/>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27"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2632"/>
        <w:gridCol w:w="2223"/>
        <w:gridCol w:w="2098"/>
        <w:gridCol w:w="2620"/>
      </w:tblGrid>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合计（C1）</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际发生额合计（C2）</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r>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额度合计（C3）</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保余额合计（C4）</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r>
      <w:tr>
        <w:trPr>
          <w:trHeight w:val="402" w:hRule="exact"/>
        </w:trPr>
        <w:tc>
          <w:tcPr>
            <w:tcW w:w="957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（A1+B1+C1）</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5,315</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报告期内担保实际发生额 合计（A2+B2+C2）</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5,295</w:t>
            </w:r>
          </w:p>
        </w:tc>
      </w:tr>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（A3+B3+C3）</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5,315</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报告期末实际担保余额合 计（A4+B4+C4）</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5,295</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宋体" w:hAnsi="宋体" w:cs="宋体" w:eastAsia="宋体" w:hint="default"/>
                <w:sz w:val="18"/>
                <w:szCs w:val="18"/>
              </w:rPr>
              <w:t>A4+B4+C4）占公司净资产的比例</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4.31%</w:t>
            </w:r>
          </w:p>
        </w:tc>
      </w:tr>
      <w:tr>
        <w:trPr>
          <w:trHeight w:val="402" w:hRule="exact"/>
        </w:trPr>
        <w:tc>
          <w:tcPr>
            <w:tcW w:w="957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为股东、实际控制人及其关联方提供担保的金额（D）</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r>
      <w:tr>
        <w:trPr>
          <w:trHeight w:val="714"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2"/>
                <w:sz w:val="18"/>
                <w:szCs w:val="18"/>
              </w:rPr>
              <w:t> </w:t>
            </w:r>
            <w:r>
              <w:rPr>
                <w:rFonts w:ascii="宋体" w:hAnsi="宋体" w:cs="宋体" w:eastAsia="宋体" w:hint="default"/>
                <w:sz w:val="18"/>
                <w:szCs w:val="18"/>
              </w:rPr>
              <w:t>70%的被担保对象提供的债务担</w:t>
            </w:r>
            <w:r>
              <w:rPr>
                <w:rFonts w:ascii="宋体" w:hAnsi="宋体" w:cs="宋体" w:eastAsia="宋体" w:hint="default"/>
                <w:sz w:val="18"/>
                <w:szCs w:val="18"/>
              </w:rPr>
              <w:t> 保金额（E）</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宋体" w:hAnsi="宋体" w:cs="宋体" w:eastAsia="宋体" w:hint="default"/>
                <w:sz w:val="18"/>
                <w:szCs w:val="18"/>
              </w:rPr>
              <w:t>50%部分的金额（F）</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上述三项担保金额合计（D+E+F）</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r>
      <w:tr>
        <w:trPr>
          <w:trHeight w:val="714"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32" w:right="5624"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6"/>
        <w:spacing w:line="240" w:lineRule="auto" w:before="118"/>
        <w:ind w:right="5624"/>
        <w:jc w:val="left"/>
        <w:rPr>
          <w:b w:val="0"/>
          <w:bCs w:val="0"/>
        </w:rPr>
      </w:pPr>
      <w:r>
        <w:rPr/>
        <w:t>（2）违规对外担保情况</w:t>
      </w:r>
      <w:r>
        <w:rPr>
          <w:b w:val="0"/>
          <w:bCs w:val="0"/>
        </w:rPr>
      </w:r>
    </w:p>
    <w:p>
      <w:pPr>
        <w:spacing w:line="240" w:lineRule="auto" w:before="7"/>
        <w:rPr>
          <w:rFonts w:ascii="宋体" w:hAnsi="宋体" w:cs="宋体" w:eastAsia="宋体" w:hint="default"/>
          <w:b/>
          <w:bCs/>
          <w:sz w:val="27"/>
          <w:szCs w:val="27"/>
        </w:rPr>
      </w:pPr>
    </w:p>
    <w:p>
      <w:pPr>
        <w:spacing w:line="360" w:lineRule="auto" w:before="0"/>
        <w:ind w:left="132" w:right="562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公司报告期无违规对外担保情况。</w:t>
      </w:r>
    </w:p>
    <w:p>
      <w:pPr>
        <w:spacing w:line="240" w:lineRule="auto" w:before="2"/>
        <w:rPr>
          <w:rFonts w:ascii="宋体" w:hAnsi="宋体" w:cs="宋体" w:eastAsia="宋体" w:hint="default"/>
          <w:sz w:val="20"/>
          <w:szCs w:val="20"/>
        </w:rPr>
      </w:pPr>
    </w:p>
    <w:p>
      <w:pPr>
        <w:pStyle w:val="Heading6"/>
        <w:spacing w:line="240" w:lineRule="auto"/>
        <w:ind w:right="5624"/>
        <w:jc w:val="left"/>
        <w:rPr>
          <w:b w:val="0"/>
          <w:bCs w:val="0"/>
        </w:rPr>
      </w:pPr>
      <w:r>
        <w:rPr/>
        <w:t>3、委托他人进行现金资产管理情况</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5624"/>
        <w:jc w:val="left"/>
        <w:rPr>
          <w:b w:val="0"/>
          <w:bCs w:val="0"/>
        </w:rPr>
      </w:pPr>
      <w:r>
        <w:rPr/>
        <w:t>（1）委托理财情况</w:t>
      </w:r>
      <w:r>
        <w:rPr>
          <w:b w:val="0"/>
          <w:bCs w:val="0"/>
        </w:rPr>
      </w:r>
    </w:p>
    <w:p>
      <w:pPr>
        <w:spacing w:line="240" w:lineRule="auto" w:before="4"/>
        <w:rPr>
          <w:rFonts w:ascii="宋体" w:hAnsi="宋体" w:cs="宋体" w:eastAsia="宋体" w:hint="default"/>
          <w:b/>
          <w:bCs/>
          <w:sz w:val="24"/>
          <w:szCs w:val="24"/>
        </w:rPr>
      </w:pPr>
    </w:p>
    <w:p>
      <w:pPr>
        <w:spacing w:before="44"/>
        <w:ind w:left="132" w:right="562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9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24"/>
        <w:gridCol w:w="781"/>
        <w:gridCol w:w="838"/>
        <w:gridCol w:w="618"/>
        <w:gridCol w:w="850"/>
        <w:gridCol w:w="1016"/>
        <w:gridCol w:w="802"/>
        <w:gridCol w:w="804"/>
        <w:gridCol w:w="804"/>
        <w:gridCol w:w="802"/>
        <w:gridCol w:w="804"/>
        <w:gridCol w:w="599"/>
      </w:tblGrid>
      <w:tr>
        <w:trPr>
          <w:trHeight w:val="1338" w:hRule="exact"/>
        </w:trPr>
        <w:tc>
          <w:tcPr>
            <w:tcW w:w="1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5" w:right="24"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3"/>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5" w:right="34"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7" w:right="34"/>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7" w:right="34"/>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9"/>
              <w:ind w:left="37"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7" w:right="3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4"/>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3" w:right="53" w:hanging="180"/>
              <w:jc w:val="left"/>
              <w:rPr>
                <w:rFonts w:ascii="宋体" w:hAnsi="宋体" w:cs="宋体" w:eastAsia="宋体" w:hint="default"/>
                <w:sz w:val="18"/>
                <w:szCs w:val="18"/>
              </w:rPr>
            </w:pPr>
            <w:r>
              <w:rPr>
                <w:rFonts w:ascii="宋体" w:hAnsi="宋体" w:cs="宋体" w:eastAsia="宋体" w:hint="default"/>
                <w:sz w:val="18"/>
                <w:szCs w:val="18"/>
              </w:rPr>
              <w:t>保本浮动 利率</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02</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3.15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400"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交通银行市</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8.24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8.24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w:t>
            </w:r>
          </w:p>
        </w:tc>
      </w:tr>
    </w:tbl>
    <w:p>
      <w:pPr>
        <w:spacing w:after="0" w:line="240" w:lineRule="auto"/>
        <w:jc w:val="center"/>
        <w:rPr>
          <w:rFonts w:ascii="宋体" w:hAnsi="宋体" w:cs="宋体" w:eastAsia="宋体" w:hint="default"/>
          <w:sz w:val="18"/>
          <w:szCs w:val="18"/>
        </w:rPr>
        <w:sectPr>
          <w:pgSz w:w="11910" w:h="16840"/>
          <w:pgMar w:header="746" w:footer="978" w:top="1040" w:bottom="1160" w:left="1000" w:right="9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024"/>
        <w:gridCol w:w="781"/>
        <w:gridCol w:w="838"/>
        <w:gridCol w:w="618"/>
        <w:gridCol w:w="850"/>
        <w:gridCol w:w="1016"/>
        <w:gridCol w:w="802"/>
        <w:gridCol w:w="804"/>
        <w:gridCol w:w="804"/>
        <w:gridCol w:w="802"/>
        <w:gridCol w:w="804"/>
        <w:gridCol w:w="599"/>
      </w:tblGrid>
      <w:tr>
        <w:trPr>
          <w:trHeight w:val="362"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府街支行</w:t>
            </w:r>
          </w:p>
        </w:tc>
        <w:tc>
          <w:tcPr>
            <w:tcW w:w="78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02</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14.3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14.3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03</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03</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16.71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16.71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3" w:right="53" w:hanging="180"/>
              <w:jc w:val="left"/>
              <w:rPr>
                <w:rFonts w:ascii="宋体" w:hAnsi="宋体" w:cs="宋体" w:eastAsia="宋体" w:hint="default"/>
                <w:sz w:val="18"/>
                <w:szCs w:val="18"/>
              </w:rPr>
            </w:pPr>
            <w:r>
              <w:rPr>
                <w:rFonts w:ascii="宋体" w:hAnsi="宋体" w:cs="宋体" w:eastAsia="宋体" w:hint="default"/>
                <w:sz w:val="18"/>
                <w:szCs w:val="18"/>
              </w:rPr>
              <w:t>保本浮动 利率</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03</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0.95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0.95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03</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3.13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3.13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04</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8.41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8.41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04</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4.84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4.84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05</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2.82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2.82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05</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11.98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11.98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13.34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农业银行莱 山支行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3.35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3.35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10.17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02</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8.24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8.24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03</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5.22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5.22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03</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16.71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16.71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05</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4"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05</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7.98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7.98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712"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交通银行市 府街支行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5.19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5.19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w:t>
            </w:r>
          </w:p>
        </w:tc>
      </w:tr>
    </w:tbl>
    <w:p>
      <w:pPr>
        <w:spacing w:after="0" w:line="240" w:lineRule="auto"/>
        <w:jc w:val="center"/>
        <w:rPr>
          <w:rFonts w:ascii="宋体" w:hAnsi="宋体" w:cs="宋体" w:eastAsia="宋体" w:hint="default"/>
          <w:sz w:val="18"/>
          <w:szCs w:val="18"/>
        </w:rPr>
        <w:sectPr>
          <w:pgSz w:w="11910" w:h="16840"/>
          <w:pgMar w:header="746" w:footer="978" w:top="1040" w:bottom="1160" w:left="1000" w:right="9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024"/>
        <w:gridCol w:w="781"/>
        <w:gridCol w:w="838"/>
        <w:gridCol w:w="618"/>
        <w:gridCol w:w="850"/>
        <w:gridCol w:w="1016"/>
        <w:gridCol w:w="802"/>
        <w:gridCol w:w="804"/>
        <w:gridCol w:w="804"/>
        <w:gridCol w:w="802"/>
        <w:gridCol w:w="804"/>
        <w:gridCol w:w="599"/>
      </w:tblGrid>
      <w:tr>
        <w:trPr>
          <w:trHeight w:val="1338"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90"/>
              <w:jc w:val="left"/>
              <w:rPr>
                <w:rFonts w:ascii="宋体" w:hAnsi="宋体" w:cs="宋体" w:eastAsia="宋体" w:hint="default"/>
                <w:sz w:val="18"/>
                <w:szCs w:val="18"/>
              </w:rPr>
            </w:pPr>
            <w:r>
              <w:rPr>
                <w:rFonts w:ascii="宋体" w:hAnsi="宋体" w:cs="宋体" w:eastAsia="宋体" w:hint="default"/>
                <w:sz w:val="18"/>
                <w:szCs w:val="18"/>
              </w:rPr>
              <w:t>浦发银行合 肥分行</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53" w:right="53"/>
              <w:jc w:val="center"/>
              <w:rPr>
                <w:rFonts w:ascii="宋体" w:hAnsi="宋体" w:cs="宋体" w:eastAsia="宋体" w:hint="default"/>
                <w:sz w:val="18"/>
                <w:szCs w:val="18"/>
              </w:rPr>
            </w:pPr>
            <w:r>
              <w:rPr>
                <w:rFonts w:ascii="宋体" w:hAnsi="宋体" w:cs="宋体" w:eastAsia="宋体" w:hint="default"/>
                <w:sz w:val="18"/>
                <w:szCs w:val="18"/>
              </w:rPr>
              <w:t>利多多理 财 14</w:t>
            </w:r>
            <w:r>
              <w:rPr>
                <w:rFonts w:ascii="宋体" w:hAnsi="宋体" w:cs="宋体" w:eastAsia="宋体" w:hint="default"/>
                <w:spacing w:val="-48"/>
                <w:sz w:val="18"/>
                <w:szCs w:val="18"/>
              </w:rPr>
              <w:t> </w:t>
            </w:r>
            <w:r>
              <w:rPr>
                <w:rFonts w:ascii="宋体" w:hAnsi="宋体" w:cs="宋体" w:eastAsia="宋体" w:hint="default"/>
                <w:sz w:val="18"/>
                <w:szCs w:val="18"/>
              </w:rPr>
              <w:t>天</w:t>
            </w:r>
            <w:r>
              <w:rPr>
                <w:rFonts w:ascii="宋体" w:hAnsi="宋体" w:cs="宋体" w:eastAsia="宋体" w:hint="default"/>
                <w:sz w:val="18"/>
                <w:szCs w:val="18"/>
              </w:rPr>
              <w:t> 周期型</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z w:val="18"/>
                <w:szCs w:val="18"/>
              </w:rPr>
              <w:t> 号</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宋体" w:hAnsi="宋体" w:cs="宋体" w:eastAsia="宋体" w:hint="default"/>
                <w:sz w:val="18"/>
                <w:szCs w:val="18"/>
              </w:rPr>
            </w:pPr>
            <w:r>
              <w:rPr>
                <w:rFonts w:ascii="宋体"/>
                <w:spacing w:val="-1"/>
                <w:sz w:val="18"/>
              </w:rPr>
              <w:t>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宋体" w:hAnsi="宋体" w:cs="宋体" w:eastAsia="宋体" w:hint="default"/>
                <w:sz w:val="18"/>
                <w:szCs w:val="18"/>
              </w:rPr>
            </w:pPr>
            <w:r>
              <w:rPr>
                <w:rFonts w:ascii="宋体"/>
                <w:spacing w:val="-1"/>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宋体" w:hAnsi="宋体" w:cs="宋体" w:eastAsia="宋体" w:hint="default"/>
                <w:sz w:val="18"/>
                <w:szCs w:val="18"/>
              </w:rPr>
            </w:pPr>
            <w:r>
              <w:rPr>
                <w:rFonts w:ascii="宋体"/>
                <w:spacing w:val="-1"/>
                <w:sz w:val="18"/>
              </w:rPr>
              <w:t>20.79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宋体" w:hAnsi="宋体" w:cs="宋体" w:eastAsia="宋体" w:hint="default"/>
                <w:sz w:val="18"/>
                <w:szCs w:val="18"/>
              </w:rPr>
            </w:pPr>
            <w:r>
              <w:rPr>
                <w:rFonts w:ascii="宋体"/>
                <w:spacing w:val="-1"/>
                <w:sz w:val="18"/>
              </w:rPr>
              <w:t>20.79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402" w:hRule="exact"/>
        </w:trPr>
        <w:tc>
          <w:tcPr>
            <w:tcW w:w="264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39,200</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182.69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182.69</w:t>
            </w:r>
          </w:p>
        </w:tc>
        <w:tc>
          <w:tcPr>
            <w:tcW w:w="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264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264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26" w:right="55" w:hanging="1172"/>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 额</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0</w:t>
            </w:r>
          </w:p>
        </w:tc>
      </w:tr>
      <w:tr>
        <w:trPr>
          <w:trHeight w:val="402" w:hRule="exact"/>
        </w:trPr>
        <w:tc>
          <w:tcPr>
            <w:tcW w:w="264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64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0" w:right="55" w:hanging="855"/>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 期（如有)</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日</w:t>
            </w:r>
          </w:p>
        </w:tc>
      </w:tr>
      <w:tr>
        <w:trPr>
          <w:trHeight w:val="714" w:hRule="exact"/>
        </w:trPr>
        <w:tc>
          <w:tcPr>
            <w:tcW w:w="264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10" w:right="55" w:hanging="855"/>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 期（如有)</w:t>
            </w:r>
          </w:p>
        </w:tc>
        <w:tc>
          <w:tcPr>
            <w:tcW w:w="7099" w:type="dxa"/>
            <w:gridSpan w:val="9"/>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4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4"/>
        <w:ind w:right="96"/>
        <w:jc w:val="left"/>
        <w:rPr>
          <w:b w:val="0"/>
          <w:bCs w:val="0"/>
        </w:rPr>
      </w:pPr>
      <w:r>
        <w:rPr/>
        <w:t>（2）委托贷款情况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32" w:right="74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2"/>
        <w:rPr>
          <w:rFonts w:ascii="宋体" w:hAnsi="宋体" w:cs="宋体" w:eastAsia="宋体" w:hint="default"/>
          <w:sz w:val="19"/>
          <w:szCs w:val="19"/>
        </w:rPr>
      </w:pPr>
    </w:p>
    <w:p>
      <w:pPr>
        <w:pStyle w:val="Heading6"/>
        <w:spacing w:line="240" w:lineRule="auto"/>
        <w:ind w:right="96"/>
        <w:jc w:val="left"/>
        <w:rPr>
          <w:b w:val="0"/>
          <w:bCs w:val="0"/>
        </w:rPr>
      </w:pPr>
      <w:r>
        <w:rPr/>
        <w:t>4、其他重大合同</w:t>
      </w:r>
      <w:r>
        <w:rPr>
          <w:b w:val="0"/>
          <w:bCs w:val="0"/>
        </w:rPr>
      </w:r>
    </w:p>
    <w:p>
      <w:pPr>
        <w:spacing w:line="240" w:lineRule="auto" w:before="9"/>
        <w:rPr>
          <w:rFonts w:ascii="宋体" w:hAnsi="宋体" w:cs="宋体" w:eastAsia="宋体" w:hint="default"/>
          <w:b/>
          <w:bCs/>
          <w:sz w:val="27"/>
          <w:szCs w:val="27"/>
        </w:rPr>
      </w:pPr>
    </w:p>
    <w:p>
      <w:pPr>
        <w:spacing w:line="360" w:lineRule="auto" w:before="0"/>
        <w:ind w:left="132" w:right="71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2"/>
        <w:rPr>
          <w:rFonts w:ascii="宋体" w:hAnsi="宋体" w:cs="宋体" w:eastAsia="宋体" w:hint="default"/>
          <w:sz w:val="18"/>
          <w:szCs w:val="18"/>
        </w:rPr>
      </w:pPr>
    </w:p>
    <w:p>
      <w:pPr>
        <w:pStyle w:val="Heading4"/>
        <w:spacing w:line="240" w:lineRule="auto"/>
        <w:ind w:right="96"/>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32" w:right="96"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13"/>
          <w:szCs w:val="13"/>
        </w:rPr>
      </w:pPr>
    </w:p>
    <w:p>
      <w:pPr>
        <w:pStyle w:val="BodyText"/>
        <w:spacing w:line="408" w:lineRule="auto" w:before="0"/>
        <w:ind w:left="132" w:right="96" w:firstLine="420"/>
        <w:jc w:val="left"/>
      </w:pPr>
      <w:r>
        <w:rPr>
          <w:w w:val="95"/>
        </w:rPr>
        <w:t>公司因筹划重大事项，公司股票自2014年11月10日开市起停牌；鉴于公司筹划的重大事项构成重大资</w:t>
      </w:r>
      <w:r>
        <w:rPr>
          <w:w w:val="99"/>
        </w:rPr>
        <w:t> </w:t>
      </w:r>
      <w:r>
        <w:rPr/>
        <w:t>产重组事项，公司于2014年11月26日在《证券时报》、《中国证券报》和巨潮资讯网</w:t>
      </w:r>
    </w:p>
    <w:p>
      <w:pPr>
        <w:pStyle w:val="BodyText"/>
        <w:spacing w:line="408" w:lineRule="auto" w:before="46"/>
        <w:ind w:left="132" w:right="96"/>
        <w:jc w:val="left"/>
      </w:pPr>
      <w:r>
        <w:rPr/>
        <w:t>（</w:t>
      </w:r>
      <w:hyperlink r:id="rId12">
        <w:r>
          <w:rPr>
            <w:u w:val="single" w:color="000000"/>
          </w:rPr>
          <w:t>http://www.cninfo.com.cn</w:t>
        </w:r>
        <w:r>
          <w:rPr/>
        </w:r>
      </w:hyperlink>
      <w:r>
        <w:rPr/>
        <w:t>）刊登了《安徽皖通科技股份有限公司重大资产重组的停牌公告》，公司股</w:t>
      </w:r>
      <w:r>
        <w:rPr>
          <w:w w:val="99"/>
        </w:rPr>
        <w:t> </w:t>
      </w:r>
      <w:r>
        <w:rPr/>
        <w:t>票自2014年11月26日开市起继续停牌；2014年12月1日公司召开第三届董事会2014年第一次临时会议，审</w:t>
      </w:r>
      <w:r>
        <w:rPr>
          <w:w w:val="99"/>
        </w:rPr>
        <w:t> </w:t>
      </w:r>
      <w:r>
        <w:rPr>
          <w:w w:val="95"/>
        </w:rPr>
        <w:t>议通过了《关于公司筹划重大资产重组事项的议案》，同意公司筹划重大资产重组事项；2014年12月3日、</w:t>
      </w:r>
      <w:r>
        <w:rPr>
          <w:spacing w:val="46"/>
          <w:w w:val="95"/>
        </w:rPr>
        <w:t> </w:t>
      </w:r>
      <w:r>
        <w:rPr>
          <w:spacing w:val="46"/>
          <w:w w:val="95"/>
        </w:rPr>
      </w:r>
      <w:r>
        <w:rPr/>
        <w:t>12月10日、12月17日、12月24日、12月26日公司分别发布了《安徽皖通科技股份有限公司重大资产重组停</w:t>
      </w:r>
      <w:r>
        <w:rPr>
          <w:w w:val="99"/>
        </w:rPr>
        <w:t> </w:t>
      </w:r>
      <w:r>
        <w:rPr/>
        <w:t>牌进展公告》和《安徽皖通科技股份有限公司重大资产重组进展暨延期复牌公告》；2015年1月6日、1月</w:t>
      </w:r>
      <w:r>
        <w:rPr>
          <w:w w:val="99"/>
        </w:rPr>
        <w:t> </w:t>
      </w:r>
      <w:r>
        <w:rPr/>
        <w:t>13日、1月20日、1月27日、2月3日、2月10日、2月17日，公司分别发布了《安徽皖通科技股份有限公司重</w:t>
      </w:r>
      <w:r>
        <w:rPr>
          <w:w w:val="99"/>
        </w:rPr>
        <w:t> </w:t>
      </w:r>
      <w:r>
        <w:rPr/>
        <w:t>大资产重组停牌进展公告》；2015年2月25日，公司发布了《安徽皖通科技股份有限公司重大资产重组继</w:t>
      </w:r>
    </w:p>
    <w:p>
      <w:pPr>
        <w:spacing w:after="0" w:line="408" w:lineRule="auto"/>
        <w:jc w:val="left"/>
        <w:sectPr>
          <w:pgSz w:w="11910" w:h="16840"/>
          <w:pgMar w:header="746" w:footer="978" w:top="1040" w:bottom="1160" w:left="1000" w:right="9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08" w:lineRule="auto" w:before="0"/>
        <w:ind w:left="132" w:right="104"/>
        <w:jc w:val="left"/>
      </w:pPr>
      <w:r>
        <w:rPr>
          <w:w w:val="95"/>
        </w:rPr>
        <w:t>续延期复牌公告》；2015年3月4日、3月11日、3月18日，公司分别发布了《安徽皖通科技股份有限公司重</w:t>
      </w:r>
      <w:r>
        <w:rPr>
          <w:spacing w:val="40"/>
          <w:w w:val="95"/>
        </w:rPr>
        <w:t> </w:t>
      </w:r>
      <w:r>
        <w:rPr>
          <w:spacing w:val="40"/>
          <w:w w:val="95"/>
        </w:rPr>
      </w:r>
      <w:r>
        <w:rPr/>
        <w:t>大资产重组停牌进展公告》；2015年3月25日公司发布了《安徽皖通科技股份有限公司关于终止筹划重大</w:t>
      </w:r>
      <w:r>
        <w:rPr>
          <w:w w:val="99"/>
        </w:rPr>
        <w:t> </w:t>
      </w:r>
      <w:r>
        <w:rPr/>
        <w:t>资产重组事项暨股票复牌的公告》。</w:t>
      </w:r>
    </w:p>
    <w:tbl>
      <w:tblPr>
        <w:tblW w:w="0" w:type="auto"/>
        <w:jc w:val="left"/>
        <w:tblInd w:w="116" w:type="dxa"/>
        <w:tblLayout w:type="fixed"/>
        <w:tblCellMar>
          <w:top w:w="0" w:type="dxa"/>
          <w:left w:w="0" w:type="dxa"/>
          <w:bottom w:w="0" w:type="dxa"/>
          <w:right w:w="0" w:type="dxa"/>
        </w:tblCellMar>
        <w:tblLook w:val="01E0"/>
      </w:tblPr>
      <w:tblGrid>
        <w:gridCol w:w="4678"/>
        <w:gridCol w:w="2268"/>
        <w:gridCol w:w="2622"/>
      </w:tblGrid>
      <w:tr>
        <w:trPr>
          <w:trHeight w:val="427" w:hRule="exact"/>
        </w:trPr>
        <w:tc>
          <w:tcPr>
            <w:tcW w:w="467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22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19"/>
              <w:jc w:val="center"/>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2015年01月06日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19"/>
              <w:jc w:val="center"/>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2015年01月13日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19"/>
              <w:jc w:val="center"/>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2015年01月20日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 w:right="-19"/>
              <w:jc w:val="center"/>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2015年01月27日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19"/>
              <w:jc w:val="center"/>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2015年02月03日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19"/>
              <w:jc w:val="center"/>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2015年02月10日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19"/>
              <w:jc w:val="center"/>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2015年02月17日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19"/>
              <w:jc w:val="center"/>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《安徽皖通科技股份有限公司重大资产重组延期复牌公告》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2015年02月25日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19"/>
              <w:jc w:val="center"/>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2015年03月04日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19"/>
              <w:jc w:val="center"/>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2015年03月11日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19"/>
              <w:jc w:val="center"/>
              <w:rPr>
                <w:rFonts w:ascii="宋体" w:hAnsi="宋体" w:cs="宋体" w:eastAsia="宋体" w:hint="default"/>
                <w:sz w:val="18"/>
                <w:szCs w:val="18"/>
              </w:rPr>
            </w:pPr>
            <w:r>
              <w:rPr>
                <w:rFonts w:ascii="宋体" w:hAnsi="宋体" w:cs="宋体" w:eastAsia="宋体" w:hint="default"/>
                <w:sz w:val="18"/>
                <w:szCs w:val="18"/>
              </w:rPr>
              <w:t>《安徽皖通科技股份有限公司重大资产重组停牌进展公告》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2015年03月18日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739"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 w:right="161"/>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《安徽皖通科技股份有限公司关于终止筹划重大资产重组 事项暨股票复牌的公告》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2015年03月25日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hyperlink r:id="rId12">
              <w:r>
                <w:rPr>
                  <w:rFonts w:ascii="宋体"/>
                  <w:sz w:val="18"/>
                </w:rPr>
                <w:t>http://www.cninfo.com.cn</w:t>
              </w:r>
            </w:hyperlink>
          </w:p>
        </w:tc>
      </w:tr>
    </w:tbl>
    <w:p>
      <w:pPr>
        <w:spacing w:line="240" w:lineRule="auto" w:before="11"/>
        <w:rPr>
          <w:rFonts w:ascii="宋体" w:hAnsi="宋体" w:cs="宋体" w:eastAsia="宋体" w:hint="default"/>
          <w:sz w:val="16"/>
          <w:szCs w:val="16"/>
        </w:rPr>
      </w:pPr>
    </w:p>
    <w:p>
      <w:pPr>
        <w:pStyle w:val="Heading4"/>
        <w:spacing w:line="240" w:lineRule="auto" w:before="26"/>
        <w:ind w:right="104"/>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104"/>
        <w:jc w:val="left"/>
        <w:rPr>
          <w:b w:val="0"/>
          <w:bCs w:val="0"/>
        </w:rPr>
      </w:pPr>
      <w:r>
        <w:rPr/>
        <w:t>二十、社会责任情况</w:t>
      </w:r>
      <w:r>
        <w:rPr>
          <w:b w:val="0"/>
          <w:bCs w:val="0"/>
        </w:rPr>
      </w:r>
    </w:p>
    <w:p>
      <w:pPr>
        <w:spacing w:line="240" w:lineRule="auto" w:before="9"/>
        <w:rPr>
          <w:rFonts w:ascii="宋体" w:hAnsi="宋体" w:cs="宋体" w:eastAsia="宋体" w:hint="default"/>
          <w:b/>
          <w:bCs/>
          <w:sz w:val="26"/>
          <w:szCs w:val="26"/>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40" w:lineRule="auto" w:before="89"/>
        <w:ind w:left="552" w:right="0"/>
        <w:jc w:val="left"/>
      </w:pPr>
      <w:r>
        <w:rPr/>
        <w:t>《</w:t>
      </w:r>
      <w:r>
        <w:rPr>
          <w:spacing w:val="-73"/>
        </w:rPr>
        <w:t> </w:t>
      </w:r>
      <w:r>
        <w:rPr/>
        <w:t>安</w:t>
      </w:r>
      <w:r>
        <w:rPr>
          <w:spacing w:val="-75"/>
        </w:rPr>
        <w:t> </w:t>
      </w:r>
      <w:r>
        <w:rPr/>
        <w:t>徽</w:t>
      </w:r>
      <w:r>
        <w:rPr>
          <w:spacing w:val="-73"/>
        </w:rPr>
        <w:t> </w:t>
      </w:r>
      <w:r>
        <w:rPr/>
        <w:t>皖</w:t>
      </w:r>
      <w:r>
        <w:rPr>
          <w:spacing w:val="-75"/>
        </w:rPr>
        <w:t> </w:t>
      </w:r>
      <w:r>
        <w:rPr/>
        <w:t>通</w:t>
      </w:r>
      <w:r>
        <w:rPr>
          <w:spacing w:val="-73"/>
        </w:rPr>
        <w:t> </w:t>
      </w:r>
      <w:r>
        <w:rPr/>
        <w:t>科</w:t>
      </w:r>
      <w:r>
        <w:rPr>
          <w:spacing w:val="-73"/>
        </w:rPr>
        <w:t> </w:t>
      </w:r>
      <w:r>
        <w:rPr/>
        <w:t>技</w:t>
      </w:r>
      <w:r>
        <w:rPr>
          <w:spacing w:val="-75"/>
        </w:rPr>
        <w:t> </w:t>
      </w:r>
      <w:r>
        <w:rPr/>
        <w:t>股</w:t>
      </w:r>
      <w:r>
        <w:rPr>
          <w:spacing w:val="-73"/>
        </w:rPr>
        <w:t> </w:t>
      </w:r>
      <w:r>
        <w:rPr/>
        <w:t>份</w:t>
      </w:r>
      <w:r>
        <w:rPr>
          <w:spacing w:val="-73"/>
        </w:rPr>
        <w:t> </w:t>
      </w:r>
      <w:r>
        <w:rPr/>
        <w:t>有</w:t>
      </w:r>
      <w:r>
        <w:rPr>
          <w:spacing w:val="-75"/>
        </w:rPr>
        <w:t> </w:t>
      </w:r>
      <w:r>
        <w:rPr/>
        <w:t>限</w:t>
      </w:r>
      <w:r>
        <w:rPr>
          <w:spacing w:val="-73"/>
        </w:rPr>
        <w:t> </w:t>
      </w:r>
      <w:r>
        <w:rPr/>
        <w:t>公</w:t>
      </w:r>
      <w:r>
        <w:rPr>
          <w:spacing w:val="-75"/>
        </w:rPr>
        <w:t> </w:t>
      </w:r>
      <w:r>
        <w:rPr/>
        <w:t>司</w:t>
      </w:r>
      <w:r>
        <w:rPr>
          <w:spacing w:val="-73"/>
        </w:rPr>
        <w:t> </w:t>
      </w:r>
      <w:r>
        <w:rPr/>
        <w:t>2015</w:t>
      </w:r>
      <w:r>
        <w:rPr>
          <w:spacing w:val="-77"/>
        </w:rPr>
        <w:t> </w:t>
      </w:r>
      <w:r>
        <w:rPr/>
        <w:t>年</w:t>
      </w:r>
      <w:r>
        <w:rPr>
          <w:spacing w:val="-73"/>
        </w:rPr>
        <w:t> </w:t>
      </w:r>
      <w:r>
        <w:rPr/>
        <w:t>度</w:t>
      </w:r>
      <w:r>
        <w:rPr>
          <w:spacing w:val="-75"/>
        </w:rPr>
        <w:t> </w:t>
      </w:r>
      <w:r>
        <w:rPr/>
        <w:t>社</w:t>
      </w:r>
      <w:r>
        <w:rPr>
          <w:spacing w:val="-73"/>
        </w:rPr>
        <w:t> </w:t>
      </w:r>
      <w:r>
        <w:rPr/>
        <w:t>会</w:t>
      </w:r>
      <w:r>
        <w:rPr>
          <w:spacing w:val="-75"/>
        </w:rPr>
        <w:t> </w:t>
      </w:r>
      <w:r>
        <w:rPr/>
        <w:t>责</w:t>
      </w:r>
      <w:r>
        <w:rPr>
          <w:spacing w:val="-73"/>
        </w:rPr>
        <w:t> </w:t>
      </w:r>
      <w:r>
        <w:rPr/>
        <w:t>任</w:t>
      </w:r>
      <w:r>
        <w:rPr>
          <w:spacing w:val="-73"/>
        </w:rPr>
        <w:t> </w:t>
      </w:r>
      <w:r>
        <w:rPr/>
        <w:t>报</w:t>
      </w:r>
      <w:r>
        <w:rPr>
          <w:spacing w:val="-75"/>
        </w:rPr>
        <w:t> </w:t>
      </w:r>
      <w:r>
        <w:rPr/>
        <w:t>告</w:t>
      </w:r>
      <w:r>
        <w:rPr>
          <w:spacing w:val="-73"/>
        </w:rPr>
        <w:t> </w:t>
      </w:r>
      <w:r>
        <w:rPr/>
        <w:t>》</w:t>
      </w:r>
      <w:r>
        <w:rPr>
          <w:spacing w:val="-73"/>
        </w:rPr>
        <w:t> </w:t>
      </w:r>
      <w:r>
        <w:rPr/>
        <w:t>刊</w:t>
      </w:r>
      <w:r>
        <w:rPr>
          <w:spacing w:val="-75"/>
        </w:rPr>
        <w:t> </w:t>
      </w:r>
      <w:r>
        <w:rPr/>
        <w:t>登</w:t>
      </w:r>
      <w:r>
        <w:rPr>
          <w:spacing w:val="-73"/>
        </w:rPr>
        <w:t> </w:t>
      </w:r>
      <w:r>
        <w:rPr/>
        <w:t>于</w:t>
      </w:r>
      <w:r>
        <w:rPr>
          <w:spacing w:val="-73"/>
        </w:rPr>
        <w:t> </w:t>
      </w:r>
      <w:r>
        <w:rPr/>
        <w:t>2016</w:t>
      </w:r>
      <w:r>
        <w:rPr>
          <w:spacing w:val="-77"/>
        </w:rPr>
        <w:t> </w:t>
      </w:r>
      <w:r>
        <w:rPr/>
        <w:t>年</w:t>
      </w:r>
      <w:r>
        <w:rPr>
          <w:spacing w:val="-73"/>
        </w:rPr>
        <w:t> </w:t>
      </w:r>
      <w:r>
        <w:rPr/>
        <w:t>3</w:t>
      </w:r>
      <w:r>
        <w:rPr>
          <w:spacing w:val="-77"/>
        </w:rPr>
        <w:t> </w:t>
      </w:r>
      <w:r>
        <w:rPr/>
        <w:t>月</w:t>
      </w:r>
      <w:r>
        <w:rPr>
          <w:spacing w:val="-73"/>
        </w:rPr>
        <w:t> </w:t>
      </w:r>
      <w:r>
        <w:rPr/>
        <w:t>22</w:t>
      </w:r>
      <w:r>
        <w:rPr>
          <w:spacing w:val="-77"/>
        </w:rPr>
        <w:t> </w:t>
      </w:r>
      <w:r>
        <w:rPr/>
        <w:t>日</w:t>
      </w:r>
      <w:r>
        <w:rPr>
          <w:spacing w:val="-73"/>
        </w:rPr>
        <w:t> </w:t>
      </w:r>
      <w:r>
        <w:rPr/>
        <w:t>巨</w:t>
      </w:r>
      <w:r>
        <w:rPr>
          <w:spacing w:val="-75"/>
        </w:rPr>
        <w:t> </w:t>
      </w:r>
      <w:r>
        <w:rPr/>
        <w:t>潮</w:t>
      </w:r>
      <w:r>
        <w:rPr>
          <w:spacing w:val="-73"/>
        </w:rPr>
        <w:t> </w:t>
      </w:r>
      <w:r>
        <w:rPr/>
        <w:t>资</w:t>
      </w:r>
      <w:r>
        <w:rPr>
          <w:spacing w:val="-75"/>
        </w:rPr>
        <w:t> </w:t>
      </w:r>
      <w:r>
        <w:rPr/>
        <w:t>讯</w:t>
      </w:r>
      <w:r>
        <w:rPr>
          <w:spacing w:val="-73"/>
        </w:rPr>
        <w:t> </w:t>
      </w:r>
      <w:r>
        <w:rPr/>
        <w:t>网</w:t>
      </w:r>
    </w:p>
    <w:p>
      <w:pPr>
        <w:pStyle w:val="BodyText"/>
        <w:spacing w:line="240" w:lineRule="auto" w:before="37"/>
        <w:ind w:left="132" w:right="104"/>
        <w:jc w:val="left"/>
      </w:pPr>
      <w:r>
        <w:rPr/>
        <w:t>（</w:t>
      </w:r>
      <w:hyperlink r:id="rId12">
        <w:r>
          <w:rPr>
            <w:u w:val="single" w:color="000000"/>
          </w:rPr>
          <w:t>http://www.cninfo.com.cn</w:t>
        </w:r>
        <w:r>
          <w:rPr/>
        </w:r>
      </w:hyperlink>
      <w:r>
        <w:rPr/>
        <w:t>），请查阅。</w:t>
      </w:r>
    </w:p>
    <w:p>
      <w:pPr>
        <w:spacing w:before="103"/>
        <w:ind w:left="132" w:right="10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7"/>
        <w:ind w:left="132" w:right="104" w:firstLine="0"/>
        <w:jc w:val="left"/>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4"/>
        <w:spacing w:line="240" w:lineRule="auto"/>
        <w:ind w:right="104"/>
        <w:jc w:val="left"/>
        <w:rPr>
          <w:b w:val="0"/>
          <w:bCs w:val="0"/>
        </w:rPr>
      </w:pPr>
      <w:r>
        <w:rPr/>
        <w:t>二十一、公司债券相关情况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32" w:right="109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2948" w:right="0"/>
        <w:jc w:val="left"/>
        <w:rPr>
          <w:b w:val="0"/>
          <w:bCs w:val="0"/>
        </w:rPr>
      </w:pPr>
      <w:bookmarkStart w:name="_bookmark5" w:id="6"/>
      <w:bookmarkEnd w:id="6"/>
      <w:r>
        <w:rPr>
          <w:b w:val="0"/>
          <w:bCs w:val="0"/>
        </w:rPr>
      </w:r>
      <w:r>
        <w:rPr/>
        <w:t>第六节</w:t>
      </w:r>
      <w:r>
        <w:rPr>
          <w:spacing w:val="-1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t>1、股份变动情况</w:t>
      </w:r>
      <w:r>
        <w:rPr>
          <w:b w:val="0"/>
          <w:bCs w:val="0"/>
        </w:rPr>
      </w:r>
    </w:p>
    <w:p>
      <w:pPr>
        <w:spacing w:line="240" w:lineRule="auto" w:before="4"/>
        <w:rPr>
          <w:rFonts w:ascii="宋体" w:hAnsi="宋体" w:cs="宋体" w:eastAsia="宋体" w:hint="default"/>
          <w:b/>
          <w:bCs/>
          <w:sz w:val="24"/>
          <w:szCs w:val="24"/>
        </w:rPr>
      </w:pPr>
    </w:p>
    <w:p>
      <w:pPr>
        <w:spacing w:before="44"/>
        <w:ind w:left="0" w:right="5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701"/>
        <w:gridCol w:w="1069"/>
        <w:gridCol w:w="850"/>
        <w:gridCol w:w="567"/>
        <w:gridCol w:w="567"/>
        <w:gridCol w:w="1134"/>
        <w:gridCol w:w="1068"/>
        <w:gridCol w:w="1069"/>
        <w:gridCol w:w="1075"/>
        <w:gridCol w:w="794"/>
      </w:tblGrid>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3D3D3"/>
          </w:tcPr>
          <w:p>
            <w:pPr/>
          </w:p>
        </w:tc>
        <w:tc>
          <w:tcPr>
            <w:tcW w:w="19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0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0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8" w:right="9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86,595,904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35.59%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17,319,180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-40,226,202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-22,907,022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63,688,882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21.82%</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86,595,904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35.59%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17,319,180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-40,226,202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-22,907,022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63,688,882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21.82%</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29,026,058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11.93%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5,805,211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-34,831,269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-29,026,058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57,569,846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23.66%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11,513,969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-5,394,933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6,119,036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63,688,882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21.82%</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156,686,774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64.41%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31,337,355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40,226,202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71,563,557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228,250,331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78.18%</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156,686,774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64.41%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31,337,355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40,226,202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71,563,557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228,250,331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78.18%</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7"/>
                <w:sz w:val="18"/>
                <w:szCs w:val="18"/>
              </w:rPr>
              <w:t>2、境内上市的外资股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3、境外上市的外资股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243,282,678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48,656,535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48,656,535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291,939,213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w:t>
            </w:r>
          </w:p>
        </w:tc>
      </w:tr>
    </w:tbl>
    <w:p>
      <w:pPr>
        <w:spacing w:before="50"/>
        <w:ind w:left="13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left="132" w:right="436" w:firstLine="420"/>
        <w:jc w:val="both"/>
      </w:pPr>
      <w:r>
        <w:rPr>
          <w:w w:val="95"/>
        </w:rPr>
        <w:t>公司2014年年度权益分配方案为：以公司2014年12月31日总股本243,282,678股为基数，向全体股东</w:t>
      </w:r>
      <w:r>
        <w:rPr>
          <w:spacing w:val="-85"/>
          <w:w w:val="95"/>
        </w:rPr>
        <w:t> </w:t>
      </w:r>
      <w:r>
        <w:rPr>
          <w:spacing w:val="-85"/>
          <w:w w:val="95"/>
        </w:rPr>
      </w:r>
      <w:r>
        <w:rPr>
          <w:w w:val="95"/>
        </w:rPr>
        <w:t>按每10股派发现金红利人民币0.5元（含税）,同时用资本公积金转增股本，向全体股东每10股转增2股，</w:t>
      </w:r>
      <w:r>
        <w:rPr>
          <w:spacing w:val="56"/>
          <w:w w:val="95"/>
        </w:rPr>
        <w:t> </w:t>
      </w:r>
      <w:r>
        <w:rPr>
          <w:spacing w:val="56"/>
          <w:w w:val="95"/>
        </w:rPr>
      </w:r>
      <w:r>
        <w:rPr/>
        <w:t>不送股。已于2015年3月26日实施完毕，总股本变更为291,939,213股。</w:t>
      </w:r>
    </w:p>
    <w:p>
      <w:pPr>
        <w:spacing w:before="33"/>
        <w:ind w:left="13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left="132" w:right="352" w:firstLine="420"/>
        <w:jc w:val="both"/>
      </w:pPr>
      <w:r>
        <w:rPr>
          <w:w w:val="95"/>
        </w:rPr>
        <w:t>公司2015年2月16日召开的第三届董事会第十五次会议、第三届监事会第十一次会议和2015年3月11日</w:t>
      </w:r>
      <w:r>
        <w:rPr>
          <w:w w:val="99"/>
        </w:rPr>
        <w:t> </w:t>
      </w:r>
      <w:r>
        <w:rPr/>
        <w:t>召开的2014年年度股东大会审议通过了《安徽皖通科技股份有限公司2014年度利润分配预案》。</w:t>
      </w:r>
    </w:p>
    <w:p>
      <w:pPr>
        <w:spacing w:after="0" w:line="408" w:lineRule="auto"/>
        <w:jc w:val="both"/>
        <w:sectPr>
          <w:pgSz w:w="11910" w:h="16840"/>
          <w:pgMar w:header="746" w:footer="978" w:top="1040" w:bottom="1160" w:left="1000" w:right="780"/>
        </w:sectPr>
      </w:pPr>
    </w:p>
    <w:p>
      <w:pPr>
        <w:spacing w:line="240" w:lineRule="auto" w:before="9"/>
        <w:rPr>
          <w:rFonts w:ascii="宋体" w:hAnsi="宋体" w:cs="宋体" w:eastAsia="宋体" w:hint="default"/>
          <w:sz w:val="26"/>
          <w:szCs w:val="26"/>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40" w:lineRule="auto" w:before="92"/>
        <w:ind w:left="552" w:right="104"/>
        <w:jc w:val="left"/>
      </w:pPr>
      <w:r>
        <w:rPr/>
        <w:t>公司2014年度所转增股于2015年3月26日直接计入股东证券账户。</w:t>
      </w:r>
    </w:p>
    <w:p>
      <w:pPr>
        <w:spacing w:before="103"/>
        <w:ind w:left="132" w:right="104"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5"/>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40" w:lineRule="auto" w:before="92"/>
        <w:ind w:left="552" w:right="104"/>
        <w:jc w:val="left"/>
      </w:pPr>
      <w:r>
        <w:rPr/>
        <w:t>公司2014年度进行了资本公积金转增股本，导致报告期每股收益及每股净资产相应减少。</w:t>
      </w:r>
    </w:p>
    <w:p>
      <w:pPr>
        <w:spacing w:before="103"/>
        <w:ind w:left="132" w:right="104"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5"/>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2、限售股份变动情况</w:t>
      </w:r>
      <w:r>
        <w:rPr>
          <w:b w:val="0"/>
          <w:bCs w:val="0"/>
        </w:rPr>
      </w:r>
    </w:p>
    <w:p>
      <w:pPr>
        <w:spacing w:line="240" w:lineRule="auto" w:before="4"/>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20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268"/>
        <w:gridCol w:w="1276"/>
        <w:gridCol w:w="1276"/>
        <w:gridCol w:w="1276"/>
        <w:gridCol w:w="741"/>
        <w:gridCol w:w="1101"/>
        <w:gridCol w:w="1633"/>
      </w:tblGrid>
      <w:tr>
        <w:trPr>
          <w:trHeight w:val="75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0" w:lineRule="auto" w:before="51"/>
              <w:ind w:left="272" w:right="272"/>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0" w:lineRule="auto" w:before="51"/>
              <w:ind w:left="273" w:right="271"/>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93" w:right="95"/>
              <w:jc w:val="left"/>
              <w:rPr>
                <w:rFonts w:ascii="宋体" w:hAnsi="宋体" w:cs="宋体" w:eastAsia="宋体" w:hint="default"/>
                <w:sz w:val="18"/>
                <w:szCs w:val="18"/>
              </w:rPr>
            </w:pPr>
            <w:r>
              <w:rPr>
                <w:rFonts w:ascii="宋体" w:hAnsi="宋体" w:cs="宋体" w:eastAsia="宋体" w:hint="default"/>
                <w:sz w:val="18"/>
                <w:szCs w:val="18"/>
              </w:rPr>
              <w:t>期末限 售股数</w:t>
            </w:r>
          </w:p>
        </w:tc>
        <w:tc>
          <w:tcPr>
            <w:tcW w:w="1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易方达基金管理有限公司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5,900,000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7,080,000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1,180,000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财通基金管理有限公司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8,000,000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9,600,000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1,600,000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招商财富资产管理有限公司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5,400,000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900,000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东海基金管理有限责任公司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7,600,000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9,119,999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1,519,999</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常州投资集团有限公司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3,026,058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3,631,270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605,212</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29,026,058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34,831,269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5,805,211</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c>
          <w:tcPr>
            <w:tcW w:w="1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8"/>
          <w:szCs w:val="18"/>
        </w:rPr>
      </w:pPr>
    </w:p>
    <w:p>
      <w:pPr>
        <w:pStyle w:val="Heading4"/>
        <w:spacing w:line="240" w:lineRule="auto" w:before="26"/>
        <w:ind w:right="104"/>
        <w:jc w:val="left"/>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04"/>
        <w:jc w:val="left"/>
        <w:rPr>
          <w:b w:val="0"/>
          <w:bCs w:val="0"/>
        </w:rPr>
      </w:pPr>
      <w:r>
        <w:rPr/>
        <w:t>1、报告期内证券发行（不含优先股）情况</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2、公司股份总数及股东结构的变动、公司资产和负债结构的变动情况说明</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left="132" w:right="196" w:firstLine="420"/>
        <w:jc w:val="both"/>
      </w:pPr>
      <w:r>
        <w:rPr>
          <w:w w:val="95"/>
        </w:rPr>
        <w:t>公司2014年年度权益分配方案为：以公司2014年12月31日总股本243,282,678股为基数，向全体股东</w:t>
      </w:r>
      <w:r>
        <w:rPr>
          <w:spacing w:val="-85"/>
          <w:w w:val="95"/>
        </w:rPr>
        <w:t> </w:t>
      </w:r>
      <w:r>
        <w:rPr>
          <w:spacing w:val="-85"/>
          <w:w w:val="95"/>
        </w:rPr>
      </w:r>
      <w:r>
        <w:rPr>
          <w:w w:val="95"/>
        </w:rPr>
        <w:t>按每10股派发现金红利人民币0.5元（含税）,同时用资本公积金转增股本，向全体股东每10股转增2股，</w:t>
      </w:r>
      <w:r>
        <w:rPr>
          <w:spacing w:val="56"/>
          <w:w w:val="95"/>
        </w:rPr>
        <w:t> </w:t>
      </w:r>
      <w:r>
        <w:rPr>
          <w:spacing w:val="56"/>
          <w:w w:val="95"/>
        </w:rPr>
      </w:r>
      <w:r>
        <w:rPr/>
        <w:t>不送股。已于2015年3月26日实施完毕，公司总股本变更为291,939,213股。</w:t>
      </w:r>
    </w:p>
    <w:p>
      <w:pPr>
        <w:spacing w:line="240" w:lineRule="auto" w:before="8"/>
        <w:rPr>
          <w:rFonts w:ascii="宋体" w:hAnsi="宋体" w:cs="宋体" w:eastAsia="宋体" w:hint="default"/>
          <w:sz w:val="20"/>
          <w:szCs w:val="20"/>
        </w:rPr>
      </w:pPr>
    </w:p>
    <w:p>
      <w:pPr>
        <w:pStyle w:val="Heading6"/>
        <w:spacing w:line="240" w:lineRule="auto"/>
        <w:ind w:right="104"/>
        <w:jc w:val="left"/>
        <w:rPr>
          <w:b w:val="0"/>
          <w:bCs w:val="0"/>
        </w:rPr>
      </w:pPr>
      <w:r>
        <w:rPr/>
        <w:t>3、现存的内部职工股情况</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footerReference w:type="default" r:id="rId19"/>
          <w:pgSz w:w="11910" w:h="16840"/>
          <w:pgMar w:footer="978" w:header="746" w:top="1040" w:bottom="1160" w:left="1000" w:right="1020"/>
          <w:pgNumType w:start="40"/>
        </w:sectPr>
      </w:pPr>
    </w:p>
    <w:p>
      <w:pPr>
        <w:spacing w:line="240" w:lineRule="auto" w:before="5"/>
        <w:rPr>
          <w:rFonts w:ascii="宋体" w:hAnsi="宋体" w:cs="宋体" w:eastAsia="宋体" w:hint="default"/>
          <w:sz w:val="24"/>
          <w:szCs w:val="24"/>
        </w:rPr>
      </w:pPr>
      <w:r>
        <w:rPr/>
        <w:pict>
          <v:group style="position:absolute;margin-left:209pt;margin-top:584.200012pt;width:334pt;height:35.450pt;mso-position-horizontal-relative:page;mso-position-vertical-relative:page;z-index:-871048" coordorigin="4180,11684" coordsize="6680,709">
            <v:shape style="position:absolute;left:4180;top:11684;width:6680;height:709" coordorigin="4180,11684" coordsize="6680,709" path="m4180,11684l10860,11684,10860,12393,4180,12393,4180,11684xe" filled="true" fillcolor="#ffffff" stroked="false">
              <v:path arrowok="t"/>
              <v:fill type="solid"/>
            </v:shape>
            <w10:wrap type="none"/>
          </v:group>
        </w:pict>
      </w:r>
    </w:p>
    <w:p>
      <w:pPr>
        <w:pStyle w:val="Heading4"/>
        <w:spacing w:line="240" w:lineRule="auto" w:before="26"/>
        <w:ind w:left="212"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212" w:right="0"/>
        <w:jc w:val="left"/>
        <w:rPr>
          <w:b w:val="0"/>
          <w:bCs w:val="0"/>
        </w:rPr>
      </w:pPr>
      <w:r>
        <w:rPr/>
        <w:t>1、公司股东数量及持股情况</w:t>
      </w:r>
      <w:r>
        <w:rPr>
          <w:b w:val="0"/>
          <w:bCs w:val="0"/>
        </w:rPr>
      </w:r>
    </w:p>
    <w:p>
      <w:pPr>
        <w:spacing w:line="240" w:lineRule="auto" w:before="2"/>
        <w:rPr>
          <w:rFonts w:ascii="宋体" w:hAnsi="宋体" w:cs="宋体" w:eastAsia="宋体" w:hint="default"/>
          <w:b/>
          <w:bCs/>
          <w:sz w:val="24"/>
          <w:szCs w:val="24"/>
        </w:rPr>
      </w:pPr>
    </w:p>
    <w:p>
      <w:pPr>
        <w:spacing w:before="44"/>
        <w:ind w:left="0" w:right="212" w:firstLine="0"/>
        <w:jc w:val="right"/>
        <w:rPr>
          <w:rFonts w:ascii="宋体" w:hAnsi="宋体" w:cs="宋体" w:eastAsia="宋体" w:hint="default"/>
          <w:sz w:val="18"/>
          <w:szCs w:val="18"/>
        </w:rPr>
      </w:pPr>
      <w:r>
        <w:rPr/>
        <w:pict>
          <v:group style="position:absolute;margin-left:507.600006pt;margin-top:19.721704pt;width:35.4pt;height:51.05pt;mso-position-horizontal-relative:page;mso-position-vertical-relative:paragraph;z-index:-871072" coordorigin="10152,394" coordsize="708,1021">
            <v:shape style="position:absolute;left:10152;top:394;width:708;height:1021" coordorigin="10152,394" coordsize="708,1021" path="m10152,394l10860,394,10860,1415,10152,1415,10152,394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07"/>
        <w:gridCol w:w="850"/>
        <w:gridCol w:w="226"/>
        <w:gridCol w:w="1050"/>
        <w:gridCol w:w="142"/>
        <w:gridCol w:w="509"/>
        <w:gridCol w:w="341"/>
        <w:gridCol w:w="651"/>
        <w:gridCol w:w="927"/>
        <w:gridCol w:w="199"/>
        <w:gridCol w:w="1034"/>
        <w:gridCol w:w="109"/>
        <w:gridCol w:w="1209"/>
        <w:gridCol w:w="140"/>
        <w:gridCol w:w="711"/>
        <w:gridCol w:w="713"/>
      </w:tblGrid>
      <w:tr>
        <w:trPr>
          <w:trHeight w:val="1026" w:hRule="exact"/>
        </w:trPr>
        <w:tc>
          <w:tcPr>
            <w:tcW w:w="10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71"/>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sz w:val="18"/>
              </w:rPr>
              <w:t>50,545</w:t>
            </w:r>
          </w:p>
        </w:tc>
        <w:tc>
          <w:tcPr>
            <w:tcW w:w="14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2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sz w:val="18"/>
              </w:rPr>
              <w:t>49,650</w:t>
            </w:r>
          </w:p>
        </w:tc>
        <w:tc>
          <w:tcPr>
            <w:tcW w:w="17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报告期末表决权恢复 </w:t>
            </w:r>
            <w:r>
              <w:rPr>
                <w:rFonts w:ascii="宋体" w:hAnsi="宋体" w:cs="宋体" w:eastAsia="宋体" w:hint="default"/>
                <w:spacing w:val="-8"/>
                <w:sz w:val="18"/>
                <w:szCs w:val="18"/>
              </w:rPr>
              <w:t>的优先股股东总数（如</w:t>
            </w:r>
            <w:r>
              <w:rPr>
                <w:rFonts w:ascii="宋体" w:hAnsi="宋体" w:cs="宋体" w:eastAsia="宋体" w:hint="default"/>
                <w:sz w:val="18"/>
                <w:szCs w:val="18"/>
              </w:rPr>
              <w:t> </w:t>
            </w:r>
            <w:r>
              <w:rPr>
                <w:rFonts w:ascii="宋体" w:hAnsi="宋体" w:cs="宋体" w:eastAsia="宋体" w:hint="default"/>
                <w:spacing w:val="-15"/>
                <w:sz w:val="18"/>
                <w:szCs w:val="18"/>
              </w:rPr>
              <w:t>有）（参见注</w:t>
            </w:r>
            <w:r>
              <w:rPr>
                <w:rFonts w:ascii="宋体" w:hAnsi="宋体" w:cs="宋体" w:eastAsia="宋体" w:hint="default"/>
                <w:spacing w:val="-44"/>
                <w:sz w:val="18"/>
                <w:szCs w:val="18"/>
              </w:rPr>
              <w:t> </w:t>
            </w:r>
            <w:r>
              <w:rPr>
                <w:rFonts w:ascii="宋体" w:hAnsi="宋体" w:cs="宋体" w:eastAsia="宋体" w:hint="default"/>
                <w:spacing w:val="-1"/>
                <w:sz w:val="18"/>
                <w:szCs w:val="18"/>
              </w:rPr>
              <w:t>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64"/>
              <w:jc w:val="right"/>
              <w:rPr>
                <w:rFonts w:ascii="宋体" w:hAnsi="宋体" w:cs="宋体" w:eastAsia="宋体" w:hint="default"/>
                <w:sz w:val="18"/>
                <w:szCs w:val="18"/>
              </w:rPr>
            </w:pPr>
            <w:r>
              <w:rPr>
                <w:rFonts w:ascii="宋体"/>
                <w:sz w:val="18"/>
              </w:rPr>
              <w:t>0</w:t>
            </w:r>
          </w:p>
        </w:tc>
        <w:tc>
          <w:tcPr>
            <w:tcW w:w="21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0" w:right="-27"/>
              <w:jc w:val="left"/>
              <w:rPr>
                <w:rFonts w:ascii="宋体" w:hAnsi="宋体" w:cs="宋体" w:eastAsia="宋体" w:hint="default"/>
                <w:sz w:val="18"/>
                <w:szCs w:val="18"/>
              </w:rPr>
            </w:pPr>
            <w:r>
              <w:rPr>
                <w:rFonts w:ascii="宋体" w:hAnsi="宋体" w:cs="宋体" w:eastAsia="宋体" w:hint="default"/>
                <w:sz w:val="18"/>
                <w:szCs w:val="18"/>
              </w:rPr>
              <w:t>年度报告披露日前上一月 末表决权恢复的优先股股 </w:t>
            </w:r>
            <w:r>
              <w:rPr>
                <w:rFonts w:ascii="宋体" w:hAnsi="宋体" w:cs="宋体" w:eastAsia="宋体" w:hint="default"/>
                <w:spacing w:val="-9"/>
                <w:sz w:val="18"/>
                <w:szCs w:val="18"/>
              </w:rPr>
              <w:t>东总数（如有）（参见注</w:t>
            </w:r>
            <w:r>
              <w:rPr>
                <w:rFonts w:ascii="宋体" w:hAnsi="宋体" w:cs="宋体" w:eastAsia="宋体" w:hint="default"/>
                <w:spacing w:val="-36"/>
                <w:sz w:val="18"/>
                <w:szCs w:val="18"/>
              </w:rPr>
              <w:t> </w:t>
            </w:r>
            <w:r>
              <w:rPr>
                <w:rFonts w:ascii="宋体" w:hAnsi="宋体" w:cs="宋体" w:eastAsia="宋体" w:hint="default"/>
                <w:sz w:val="18"/>
                <w:szCs w:val="18"/>
              </w:rPr>
              <w:t>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r>
      <w:tr>
        <w:trPr>
          <w:trHeight w:val="402" w:hRule="exact"/>
        </w:trPr>
        <w:tc>
          <w:tcPr>
            <w:tcW w:w="9818" w:type="dxa"/>
            <w:gridSpan w:val="1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宋体" w:hAnsi="宋体" w:cs="宋体" w:eastAsia="宋体" w:hint="default"/>
                <w:sz w:val="18"/>
                <w:szCs w:val="18"/>
              </w:rPr>
              <w:t>5%以上的股东或前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名股东持股情况</w:t>
            </w:r>
          </w:p>
        </w:tc>
      </w:tr>
      <w:tr>
        <w:trPr>
          <w:trHeight w:val="402" w:hRule="exact"/>
        </w:trPr>
        <w:tc>
          <w:tcPr>
            <w:tcW w:w="208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7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9"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1"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98" w:right="9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2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2" w:right="48"/>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31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34" w:right="92"/>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56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2083" w:type="dxa"/>
            <w:gridSpan w:val="3"/>
            <w:vMerge/>
            <w:tcBorders>
              <w:left w:val="single" w:sz="4" w:space="0" w:color="000000"/>
              <w:bottom w:val="single" w:sz="4" w:space="0" w:color="000000"/>
              <w:right w:val="single" w:sz="4" w:space="0" w:color="000000"/>
            </w:tcBorders>
            <w:shd w:val="clear" w:color="auto" w:fill="D3D3D3"/>
          </w:tcPr>
          <w:p>
            <w:pPr/>
          </w:p>
        </w:tc>
        <w:tc>
          <w:tcPr>
            <w:tcW w:w="1050" w:type="dxa"/>
            <w:vMerge/>
            <w:tcBorders>
              <w:left w:val="single" w:sz="4" w:space="0" w:color="000000"/>
              <w:bottom w:val="single" w:sz="4" w:space="0" w:color="000000"/>
              <w:right w:val="single" w:sz="4" w:space="0" w:color="000000"/>
            </w:tcBorders>
            <w:shd w:val="clear" w:color="auto" w:fill="D3D3D3"/>
          </w:tcPr>
          <w:p>
            <w:pPr/>
          </w:p>
        </w:tc>
        <w:tc>
          <w:tcPr>
            <w:tcW w:w="651" w:type="dxa"/>
            <w:gridSpan w:val="2"/>
            <w:vMerge/>
            <w:tcBorders>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927" w:type="dxa"/>
            <w:vMerge/>
            <w:tcBorders>
              <w:left w:val="single" w:sz="4" w:space="0" w:color="000000"/>
              <w:bottom w:val="single" w:sz="4" w:space="0" w:color="000000"/>
              <w:right w:val="single" w:sz="4" w:space="0" w:color="000000"/>
            </w:tcBorders>
            <w:shd w:val="clear" w:color="auto" w:fill="D3D3D3"/>
          </w:tcPr>
          <w:p>
            <w:pPr/>
          </w:p>
        </w:tc>
        <w:tc>
          <w:tcPr>
            <w:tcW w:w="1233" w:type="dxa"/>
            <w:gridSpan w:val="2"/>
            <w:vMerge/>
            <w:tcBorders>
              <w:left w:val="single" w:sz="4" w:space="0" w:color="000000"/>
              <w:bottom w:val="single" w:sz="4" w:space="0" w:color="000000"/>
              <w:right w:val="single" w:sz="4" w:space="0" w:color="000000"/>
            </w:tcBorders>
            <w:shd w:val="clear" w:color="auto" w:fill="D3D3D3"/>
          </w:tcPr>
          <w:p>
            <w:pPr/>
          </w:p>
        </w:tc>
        <w:tc>
          <w:tcPr>
            <w:tcW w:w="1318" w:type="dxa"/>
            <w:gridSpan w:val="2"/>
            <w:vMerge/>
            <w:tcBorders>
              <w:left w:val="single" w:sz="4" w:space="0" w:color="000000"/>
              <w:bottom w:val="single" w:sz="4" w:space="0" w:color="000000"/>
              <w:right w:val="single" w:sz="4" w:space="0" w:color="000000"/>
            </w:tcBorders>
            <w:shd w:val="clear" w:color="auto" w:fill="D3D3D3"/>
          </w:tcPr>
          <w:p>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7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8" w:right="0"/>
              <w:jc w:val="left"/>
              <w:rPr>
                <w:rFonts w:ascii="宋体" w:hAnsi="宋体" w:cs="宋体" w:eastAsia="宋体" w:hint="default"/>
                <w:sz w:val="18"/>
                <w:szCs w:val="18"/>
              </w:rPr>
            </w:pPr>
            <w:r>
              <w:rPr>
                <w:rFonts w:ascii="宋体"/>
                <w:sz w:val="18"/>
              </w:rPr>
              <w:t>10.00%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 w:right="0"/>
              <w:jc w:val="left"/>
              <w:rPr>
                <w:rFonts w:ascii="宋体" w:hAnsi="宋体" w:cs="宋体" w:eastAsia="宋体" w:hint="default"/>
                <w:sz w:val="18"/>
                <w:szCs w:val="18"/>
              </w:rPr>
            </w:pPr>
            <w:r>
              <w:rPr>
                <w:rFonts w:ascii="宋体"/>
                <w:sz w:val="18"/>
              </w:rPr>
              <w:t>29,205,340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2,423,015</w:t>
            </w:r>
          </w:p>
        </w:tc>
        <w:tc>
          <w:tcPr>
            <w:tcW w:w="1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2" w:right="-21"/>
              <w:jc w:val="left"/>
              <w:rPr>
                <w:rFonts w:ascii="宋体" w:hAnsi="宋体" w:cs="宋体" w:eastAsia="宋体" w:hint="default"/>
                <w:sz w:val="18"/>
                <w:szCs w:val="18"/>
              </w:rPr>
            </w:pPr>
            <w:r>
              <w:rPr>
                <w:rFonts w:ascii="宋体"/>
                <w:sz w:val="18"/>
              </w:rPr>
              <w:t>24,904,006</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sz w:val="18"/>
              </w:rPr>
              <w:t>4,301,334</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7" w:right="0"/>
              <w:jc w:val="left"/>
              <w:rPr>
                <w:rFonts w:ascii="宋体" w:hAnsi="宋体" w:cs="宋体" w:eastAsia="宋体" w:hint="default"/>
                <w:sz w:val="18"/>
                <w:szCs w:val="18"/>
              </w:rPr>
            </w:pPr>
            <w:r>
              <w:rPr>
                <w:rFonts w:ascii="宋体"/>
                <w:sz w:val="18"/>
              </w:rPr>
              <w:t>8.50%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 w:right="0"/>
              <w:jc w:val="left"/>
              <w:rPr>
                <w:rFonts w:ascii="宋体" w:hAnsi="宋体" w:cs="宋体" w:eastAsia="宋体" w:hint="default"/>
                <w:sz w:val="18"/>
                <w:szCs w:val="18"/>
              </w:rPr>
            </w:pPr>
            <w:r>
              <w:rPr>
                <w:rFonts w:ascii="宋体"/>
                <w:sz w:val="18"/>
              </w:rPr>
              <w:t>24,828,341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4,138,057</w:t>
            </w:r>
          </w:p>
        </w:tc>
        <w:tc>
          <w:tcPr>
            <w:tcW w:w="1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2" w:right="-21"/>
              <w:jc w:val="left"/>
              <w:rPr>
                <w:rFonts w:ascii="宋体" w:hAnsi="宋体" w:cs="宋体" w:eastAsia="宋体" w:hint="default"/>
                <w:sz w:val="18"/>
                <w:szCs w:val="18"/>
              </w:rPr>
            </w:pPr>
            <w:r>
              <w:rPr>
                <w:rFonts w:ascii="宋体"/>
                <w:sz w:val="18"/>
              </w:rPr>
              <w:t>18,621,256</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5" w:right="0"/>
              <w:jc w:val="left"/>
              <w:rPr>
                <w:rFonts w:ascii="宋体" w:hAnsi="宋体" w:cs="宋体" w:eastAsia="宋体" w:hint="default"/>
                <w:sz w:val="18"/>
                <w:szCs w:val="18"/>
              </w:rPr>
            </w:pPr>
            <w:r>
              <w:rPr>
                <w:rFonts w:ascii="宋体"/>
                <w:sz w:val="18"/>
              </w:rPr>
              <w:t>6,207,085</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sz w:val="18"/>
              </w:rPr>
              <w:t>6.35%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 w:right="0"/>
              <w:jc w:val="left"/>
              <w:rPr>
                <w:rFonts w:ascii="宋体" w:hAnsi="宋体" w:cs="宋体" w:eastAsia="宋体" w:hint="default"/>
                <w:sz w:val="18"/>
                <w:szCs w:val="18"/>
              </w:rPr>
            </w:pPr>
            <w:r>
              <w:rPr>
                <w:rFonts w:ascii="宋体"/>
                <w:sz w:val="18"/>
              </w:rPr>
              <w:t>18,534,656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3,089,109</w:t>
            </w:r>
          </w:p>
        </w:tc>
        <w:tc>
          <w:tcPr>
            <w:tcW w:w="1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2" w:right="-21"/>
              <w:jc w:val="left"/>
              <w:rPr>
                <w:rFonts w:ascii="宋体" w:hAnsi="宋体" w:cs="宋体" w:eastAsia="宋体" w:hint="default"/>
                <w:sz w:val="18"/>
                <w:szCs w:val="18"/>
              </w:rPr>
            </w:pPr>
            <w:r>
              <w:rPr>
                <w:rFonts w:ascii="宋体"/>
                <w:sz w:val="18"/>
              </w:rPr>
              <w:t>13,900,992</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sz w:val="18"/>
              </w:rPr>
              <w:t>4,633,664</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7" w:right="0"/>
              <w:jc w:val="left"/>
              <w:rPr>
                <w:rFonts w:ascii="宋体" w:hAnsi="宋体" w:cs="宋体" w:eastAsia="宋体" w:hint="default"/>
                <w:sz w:val="18"/>
                <w:szCs w:val="18"/>
              </w:rPr>
            </w:pPr>
            <w:r>
              <w:rPr>
                <w:rFonts w:ascii="宋体"/>
                <w:sz w:val="18"/>
              </w:rPr>
              <w:t>2.25%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9" w:right="0"/>
              <w:jc w:val="left"/>
              <w:rPr>
                <w:rFonts w:ascii="宋体" w:hAnsi="宋体" w:cs="宋体" w:eastAsia="宋体" w:hint="default"/>
                <w:sz w:val="18"/>
                <w:szCs w:val="18"/>
              </w:rPr>
            </w:pPr>
            <w:r>
              <w:rPr>
                <w:rFonts w:ascii="宋体"/>
                <w:sz w:val="18"/>
              </w:rPr>
              <w:t>6,582,839</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1,263,806</w:t>
            </w:r>
          </w:p>
        </w:tc>
        <w:tc>
          <w:tcPr>
            <w:tcW w:w="1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1" w:right="-18"/>
              <w:jc w:val="left"/>
              <w:rPr>
                <w:rFonts w:ascii="宋体" w:hAnsi="宋体" w:cs="宋体" w:eastAsia="宋体" w:hint="default"/>
                <w:sz w:val="18"/>
                <w:szCs w:val="18"/>
              </w:rPr>
            </w:pPr>
            <w:r>
              <w:rPr>
                <w:rFonts w:ascii="宋体"/>
                <w:sz w:val="18"/>
              </w:rPr>
              <w:t>4,937,129</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5" w:right="0"/>
              <w:jc w:val="left"/>
              <w:rPr>
                <w:rFonts w:ascii="宋体" w:hAnsi="宋体" w:cs="宋体" w:eastAsia="宋体" w:hint="default"/>
                <w:sz w:val="18"/>
                <w:szCs w:val="18"/>
              </w:rPr>
            </w:pPr>
            <w:r>
              <w:rPr>
                <w:rFonts w:ascii="宋体"/>
                <w:sz w:val="18"/>
              </w:rPr>
              <w:t>1,645,710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中国对外经济贸易信托有 限公司－昀沣证券投资集 合资金信托计划</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sz w:val="18"/>
              </w:rPr>
              <w:t>1.47%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9" w:right="0"/>
              <w:jc w:val="left"/>
              <w:rPr>
                <w:rFonts w:ascii="宋体" w:hAnsi="宋体" w:cs="宋体" w:eastAsia="宋体" w:hint="default"/>
                <w:sz w:val="18"/>
                <w:szCs w:val="18"/>
              </w:rPr>
            </w:pPr>
            <w:r>
              <w:rPr>
                <w:rFonts w:ascii="宋体"/>
                <w:sz w:val="18"/>
              </w:rPr>
              <w:t>4,300,100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4,300,100</w:t>
            </w:r>
          </w:p>
        </w:tc>
        <w:tc>
          <w:tcPr>
            <w:tcW w:w="1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5" w:right="0"/>
              <w:jc w:val="left"/>
              <w:rPr>
                <w:rFonts w:ascii="宋体" w:hAnsi="宋体" w:cs="宋体" w:eastAsia="宋体" w:hint="default"/>
                <w:sz w:val="18"/>
                <w:szCs w:val="18"/>
              </w:rPr>
            </w:pPr>
            <w:r>
              <w:rPr>
                <w:rFonts w:ascii="宋体"/>
                <w:sz w:val="18"/>
              </w:rPr>
              <w:t>4,300,100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7"/>
              <w:jc w:val="left"/>
              <w:rPr>
                <w:rFonts w:ascii="宋体" w:hAnsi="宋体" w:cs="宋体" w:eastAsia="宋体" w:hint="default"/>
                <w:sz w:val="18"/>
                <w:szCs w:val="18"/>
              </w:rPr>
            </w:pPr>
            <w:r>
              <w:rPr>
                <w:rFonts w:ascii="宋体" w:hAnsi="宋体" w:cs="宋体" w:eastAsia="宋体" w:hint="default"/>
                <w:sz w:val="18"/>
                <w:szCs w:val="18"/>
              </w:rPr>
              <w:t>华夏人寿保险股份有限公 司－万能保险产品</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sz w:val="18"/>
              </w:rPr>
              <w:t>1.03%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sz w:val="18"/>
              </w:rPr>
              <w:t>3,009,994</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3,009,994</w:t>
            </w:r>
          </w:p>
        </w:tc>
        <w:tc>
          <w:tcPr>
            <w:tcW w:w="1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sz w:val="18"/>
              </w:rPr>
              <w:t>3,009,994</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中铁宝盈资产－招商银行</w:t>
            </w:r>
          </w:p>
          <w:p>
            <w:pPr>
              <w:pStyle w:val="TableParagraph"/>
              <w:spacing w:line="316" w:lineRule="auto" w:before="76"/>
              <w:ind w:left="23" w:right="67"/>
              <w:jc w:val="left"/>
              <w:rPr>
                <w:rFonts w:ascii="宋体" w:hAnsi="宋体" w:cs="宋体" w:eastAsia="宋体" w:hint="default"/>
                <w:sz w:val="18"/>
                <w:szCs w:val="18"/>
              </w:rPr>
            </w:pPr>
            <w:r>
              <w:rPr>
                <w:rFonts w:ascii="宋体" w:hAnsi="宋体" w:cs="宋体" w:eastAsia="宋体" w:hint="default"/>
                <w:sz w:val="18"/>
                <w:szCs w:val="18"/>
              </w:rPr>
              <w:t>－外贸信托－昀沣</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号证</w:t>
            </w:r>
            <w:r>
              <w:rPr>
                <w:rFonts w:ascii="宋体" w:hAnsi="宋体" w:cs="宋体" w:eastAsia="宋体" w:hint="default"/>
                <w:sz w:val="18"/>
                <w:szCs w:val="18"/>
              </w:rPr>
              <w:t> 券投资集合资金信托计划</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sz w:val="18"/>
              </w:rPr>
              <w:t>0.90%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9" w:right="0"/>
              <w:jc w:val="left"/>
              <w:rPr>
                <w:rFonts w:ascii="宋体" w:hAnsi="宋体" w:cs="宋体" w:eastAsia="宋体" w:hint="default"/>
                <w:sz w:val="18"/>
                <w:szCs w:val="18"/>
              </w:rPr>
            </w:pPr>
            <w:r>
              <w:rPr>
                <w:rFonts w:ascii="宋体"/>
                <w:sz w:val="18"/>
              </w:rPr>
              <w:t>2,642,000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2,642,000</w:t>
            </w:r>
          </w:p>
        </w:tc>
        <w:tc>
          <w:tcPr>
            <w:tcW w:w="1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5" w:right="0"/>
              <w:jc w:val="left"/>
              <w:rPr>
                <w:rFonts w:ascii="宋体" w:hAnsi="宋体" w:cs="宋体" w:eastAsia="宋体" w:hint="default"/>
                <w:sz w:val="18"/>
                <w:szCs w:val="18"/>
              </w:rPr>
            </w:pPr>
            <w:r>
              <w:rPr>
                <w:rFonts w:ascii="宋体"/>
                <w:sz w:val="18"/>
              </w:rPr>
              <w:t>2,642,000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阮大铭</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7" w:right="0"/>
              <w:jc w:val="left"/>
              <w:rPr>
                <w:rFonts w:ascii="宋体" w:hAnsi="宋体" w:cs="宋体" w:eastAsia="宋体" w:hint="default"/>
                <w:sz w:val="18"/>
                <w:szCs w:val="18"/>
              </w:rPr>
            </w:pPr>
            <w:r>
              <w:rPr>
                <w:rFonts w:ascii="宋体"/>
                <w:sz w:val="18"/>
              </w:rPr>
              <w:t>0.90%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9" w:right="0"/>
              <w:jc w:val="left"/>
              <w:rPr>
                <w:rFonts w:ascii="宋体" w:hAnsi="宋体" w:cs="宋体" w:eastAsia="宋体" w:hint="default"/>
                <w:sz w:val="18"/>
                <w:szCs w:val="18"/>
              </w:rPr>
            </w:pPr>
            <w:r>
              <w:rPr>
                <w:rFonts w:ascii="宋体"/>
                <w:sz w:val="18"/>
              </w:rPr>
              <w:t>2,632,000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485,884</w:t>
            </w:r>
          </w:p>
        </w:tc>
        <w:tc>
          <w:tcPr>
            <w:tcW w:w="1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5" w:right="0"/>
              <w:jc w:val="left"/>
              <w:rPr>
                <w:rFonts w:ascii="宋体" w:hAnsi="宋体" w:cs="宋体" w:eastAsia="宋体" w:hint="default"/>
                <w:sz w:val="18"/>
                <w:szCs w:val="18"/>
              </w:rPr>
            </w:pPr>
            <w:r>
              <w:rPr>
                <w:rFonts w:ascii="宋体"/>
                <w:sz w:val="18"/>
              </w:rPr>
              <w:t>2,632,000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全国社保基金六零二组合</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sz w:val="18"/>
              </w:rPr>
              <w:t>0.83%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9" w:right="0"/>
              <w:jc w:val="left"/>
              <w:rPr>
                <w:rFonts w:ascii="宋体" w:hAnsi="宋体" w:cs="宋体" w:eastAsia="宋体" w:hint="default"/>
                <w:sz w:val="18"/>
                <w:szCs w:val="18"/>
              </w:rPr>
            </w:pPr>
            <w:r>
              <w:rPr>
                <w:rFonts w:ascii="宋体"/>
                <w:sz w:val="18"/>
              </w:rPr>
              <w:t>2,412,143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2,412,143</w:t>
            </w:r>
          </w:p>
        </w:tc>
        <w:tc>
          <w:tcPr>
            <w:tcW w:w="1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sz w:val="18"/>
              </w:rPr>
              <w:t>2,412,143</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北京千石创富－光大银行</w:t>
            </w:r>
          </w:p>
          <w:p>
            <w:pPr>
              <w:pStyle w:val="TableParagraph"/>
              <w:spacing w:line="316" w:lineRule="auto" w:before="76"/>
              <w:ind w:left="23" w:right="67"/>
              <w:jc w:val="left"/>
              <w:rPr>
                <w:rFonts w:ascii="宋体" w:hAnsi="宋体" w:cs="宋体" w:eastAsia="宋体" w:hint="default"/>
                <w:sz w:val="18"/>
                <w:szCs w:val="18"/>
              </w:rPr>
            </w:pPr>
            <w:r>
              <w:rPr>
                <w:rFonts w:ascii="宋体" w:hAnsi="宋体" w:cs="宋体" w:eastAsia="宋体" w:hint="default"/>
                <w:sz w:val="18"/>
                <w:szCs w:val="18"/>
              </w:rPr>
              <w:t>－千石资本－千纸鹤</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z w:val="18"/>
                <w:szCs w:val="18"/>
              </w:rPr>
              <w:t> 资产管理计划</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sz w:val="18"/>
              </w:rPr>
              <w:t>0.78%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9" w:right="0"/>
              <w:jc w:val="left"/>
              <w:rPr>
                <w:rFonts w:ascii="宋体" w:hAnsi="宋体" w:cs="宋体" w:eastAsia="宋体" w:hint="default"/>
                <w:sz w:val="18"/>
                <w:szCs w:val="18"/>
              </w:rPr>
            </w:pPr>
            <w:r>
              <w:rPr>
                <w:rFonts w:ascii="宋体"/>
                <w:sz w:val="18"/>
              </w:rPr>
              <w:t>2,280,000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2,280,000</w:t>
            </w:r>
          </w:p>
        </w:tc>
        <w:tc>
          <w:tcPr>
            <w:tcW w:w="1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0</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75" w:right="0"/>
              <w:jc w:val="left"/>
              <w:rPr>
                <w:rFonts w:ascii="宋体" w:hAnsi="宋体" w:cs="宋体" w:eastAsia="宋体" w:hint="default"/>
                <w:sz w:val="18"/>
                <w:szCs w:val="18"/>
              </w:rPr>
            </w:pPr>
            <w:r>
              <w:rPr>
                <w:rFonts w:ascii="宋体"/>
                <w:sz w:val="18"/>
              </w:rPr>
              <w:t>2,280,000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3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9"/>
                <w:sz w:val="18"/>
                <w:szCs w:val="18"/>
              </w:rPr>
              <w:t>名股东的情况（如有）（参见注</w:t>
            </w:r>
            <w:r>
              <w:rPr>
                <w:rFonts w:ascii="宋体" w:hAnsi="宋体" w:cs="宋体" w:eastAsia="宋体" w:hint="default"/>
                <w:spacing w:val="-43"/>
                <w:sz w:val="18"/>
                <w:szCs w:val="18"/>
              </w:rPr>
              <w:t> </w:t>
            </w:r>
            <w:r>
              <w:rPr>
                <w:rFonts w:ascii="宋体" w:hAnsi="宋体" w:cs="宋体" w:eastAsia="宋体" w:hint="default"/>
                <w:sz w:val="18"/>
                <w:szCs w:val="18"/>
              </w:rPr>
              <w:t>3</w:t>
            </w:r>
          </w:p>
        </w:tc>
        <w:tc>
          <w:tcPr>
            <w:tcW w:w="668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13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68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王中胜、杨世宁、杨新子为一致行动人，为公司实际控制人。</w:t>
            </w:r>
          </w:p>
        </w:tc>
      </w:tr>
      <w:tr>
        <w:trPr>
          <w:trHeight w:val="402" w:hRule="exact"/>
        </w:trPr>
        <w:tc>
          <w:tcPr>
            <w:tcW w:w="9818" w:type="dxa"/>
            <w:gridSpan w:val="1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402" w:hRule="exact"/>
        </w:trPr>
        <w:tc>
          <w:tcPr>
            <w:tcW w:w="3784" w:type="dxa"/>
            <w:gridSpan w:val="6"/>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61" w:type="dxa"/>
            <w:gridSpan w:val="6"/>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3784" w:type="dxa"/>
            <w:gridSpan w:val="6"/>
            <w:vMerge/>
            <w:tcBorders>
              <w:left w:val="single" w:sz="4" w:space="0" w:color="000000"/>
              <w:bottom w:val="single" w:sz="4" w:space="0" w:color="000000"/>
              <w:right w:val="single" w:sz="4" w:space="0" w:color="000000"/>
            </w:tcBorders>
            <w:shd w:val="clear" w:color="auto" w:fill="D3D3D3"/>
          </w:tcPr>
          <w:p>
            <w:pPr/>
          </w:p>
        </w:tc>
        <w:tc>
          <w:tcPr>
            <w:tcW w:w="3261" w:type="dxa"/>
            <w:gridSpan w:val="6"/>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37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32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6,207,085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2" w:right="0"/>
              <w:jc w:val="left"/>
              <w:rPr>
                <w:rFonts w:ascii="宋体" w:hAnsi="宋体" w:cs="宋体" w:eastAsia="宋体" w:hint="default"/>
                <w:sz w:val="18"/>
                <w:szCs w:val="18"/>
              </w:rPr>
            </w:pPr>
            <w:r>
              <w:rPr>
                <w:rFonts w:ascii="宋体"/>
                <w:sz w:val="18"/>
              </w:rPr>
              <w:t>6,207,085</w:t>
            </w:r>
          </w:p>
        </w:tc>
      </w:tr>
      <w:tr>
        <w:trPr>
          <w:trHeight w:val="402" w:hRule="exact"/>
        </w:trPr>
        <w:tc>
          <w:tcPr>
            <w:tcW w:w="37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32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4,633,664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2" w:right="0"/>
              <w:jc w:val="left"/>
              <w:rPr>
                <w:rFonts w:ascii="宋体" w:hAnsi="宋体" w:cs="宋体" w:eastAsia="宋体" w:hint="default"/>
                <w:sz w:val="18"/>
                <w:szCs w:val="18"/>
              </w:rPr>
            </w:pPr>
            <w:r>
              <w:rPr>
                <w:rFonts w:ascii="宋体"/>
                <w:sz w:val="18"/>
              </w:rPr>
              <w:t>4,633,664</w:t>
            </w:r>
          </w:p>
        </w:tc>
      </w:tr>
      <w:tr>
        <w:trPr>
          <w:trHeight w:val="400" w:hRule="exact"/>
        </w:trPr>
        <w:tc>
          <w:tcPr>
            <w:tcW w:w="37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32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4,301,334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2" w:right="0"/>
              <w:jc w:val="left"/>
              <w:rPr>
                <w:rFonts w:ascii="宋体" w:hAnsi="宋体" w:cs="宋体" w:eastAsia="宋体" w:hint="default"/>
                <w:sz w:val="18"/>
                <w:szCs w:val="18"/>
              </w:rPr>
            </w:pPr>
            <w:r>
              <w:rPr>
                <w:rFonts w:ascii="宋体"/>
                <w:sz w:val="18"/>
              </w:rPr>
              <w:t>4,301,334</w:t>
            </w:r>
          </w:p>
        </w:tc>
      </w:tr>
    </w:tbl>
    <w:p>
      <w:pPr>
        <w:spacing w:after="0" w:line="240" w:lineRule="auto"/>
        <w:jc w:val="left"/>
        <w:rPr>
          <w:rFonts w:ascii="宋体" w:hAnsi="宋体" w:cs="宋体" w:eastAsia="宋体" w:hint="default"/>
          <w:sz w:val="18"/>
          <w:szCs w:val="18"/>
        </w:rPr>
        <w:sectPr>
          <w:pgSz w:w="11910" w:h="16840"/>
          <w:pgMar w:header="746" w:footer="978" w:top="1040" w:bottom="116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0" w:right="99" w:firstLine="0"/>
        <w:jc w:val="right"/>
        <w:rPr>
          <w:rFonts w:ascii="宋体" w:hAnsi="宋体" w:cs="宋体" w:eastAsia="宋体" w:hint="default"/>
          <w:sz w:val="18"/>
          <w:szCs w:val="18"/>
        </w:rPr>
      </w:pPr>
      <w:r>
        <w:rPr/>
        <w:pict>
          <v:shape style="position:absolute;margin-left:51.959999pt;margin-top:-213.938263pt;width:491.65pt;height:27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3261"/>
                    <w:gridCol w:w="1349"/>
                    <w:gridCol w:w="1424"/>
                  </w:tblGrid>
                  <w:tr>
                    <w:trPr>
                      <w:trHeight w:val="714" w:hRule="exact"/>
                    </w:trPr>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48"/>
                          <w:jc w:val="left"/>
                          <w:rPr>
                            <w:rFonts w:ascii="宋体" w:hAnsi="宋体" w:cs="宋体" w:eastAsia="宋体" w:hint="default"/>
                            <w:sz w:val="18"/>
                            <w:szCs w:val="18"/>
                          </w:rPr>
                        </w:pPr>
                        <w:r>
                          <w:rPr>
                            <w:rFonts w:ascii="宋体" w:hAnsi="宋体" w:cs="宋体" w:eastAsia="宋体" w:hint="default"/>
                            <w:sz w:val="18"/>
                            <w:szCs w:val="18"/>
                          </w:rPr>
                          <w:t>中国对外经济贸易信托有限公司－昀沣证券投 资集合资金信托计划</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4,300,100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4,300,100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华夏人寿保险股份有限公司－万能保险产品</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3,009,994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3,009,994</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95"/>
                          <w:jc w:val="left"/>
                          <w:rPr>
                            <w:rFonts w:ascii="宋体" w:hAnsi="宋体" w:cs="宋体" w:eastAsia="宋体" w:hint="default"/>
                            <w:sz w:val="18"/>
                            <w:szCs w:val="18"/>
                          </w:rPr>
                        </w:pPr>
                        <w:r>
                          <w:rPr>
                            <w:rFonts w:ascii="宋体" w:hAnsi="宋体" w:cs="宋体" w:eastAsia="宋体" w:hint="default"/>
                            <w:sz w:val="18"/>
                            <w:szCs w:val="18"/>
                          </w:rPr>
                          <w:t>中铁宝盈资产－招商银行－外贸信托－昀沣</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z w:val="18"/>
                            <w:szCs w:val="18"/>
                          </w:rPr>
                          <w:t> 号证券投资集合资金信托计划</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2,642,000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2,642,000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阮大铭</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2,632,000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2,632,000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全国社保基金六零二组合</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2,412,143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2,412,143</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北京千石创富－光大银行－千石资本－千纸鹤</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z w:val="18"/>
                            <w:szCs w:val="18"/>
                          </w:rPr>
                          <w:t> 号资产管理计划</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2,280,000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1,645,710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1,645,710</w:t>
                        </w:r>
                      </w:p>
                    </w:tc>
                  </w:tr>
                  <w:tr>
                    <w:trPr>
                      <w:trHeight w:val="1026"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4"/>
                            <w:sz w:val="18"/>
                            <w:szCs w:val="18"/>
                          </w:rPr>
                          <w:t>名无限售流通股股东之间，以及前</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名无</w:t>
                        </w:r>
                        <w:r>
                          <w:rPr>
                            <w:rFonts w:ascii="宋体" w:hAnsi="宋体" w:cs="宋体" w:eastAsia="宋体" w:hint="default"/>
                            <w:sz w:val="18"/>
                            <w:szCs w:val="18"/>
                          </w:rPr>
                          <w:t> 限售流通股股东和前</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名股东之间关联关系或</w:t>
                        </w:r>
                        <w:r>
                          <w:rPr>
                            <w:rFonts w:ascii="宋体" w:hAnsi="宋体" w:cs="宋体" w:eastAsia="宋体" w:hint="default"/>
                            <w:sz w:val="18"/>
                            <w:szCs w:val="18"/>
                          </w:rPr>
                          <w:t> 一致行动的说明</w:t>
                        </w:r>
                      </w:p>
                    </w:tc>
                    <w:tc>
                      <w:tcPr>
                        <w:tcW w:w="60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firstLine="360"/>
                          <w:jc w:val="left"/>
                          <w:rPr>
                            <w:rFonts w:ascii="宋体" w:hAnsi="宋体" w:cs="宋体" w:eastAsia="宋体" w:hint="default"/>
                            <w:sz w:val="18"/>
                            <w:szCs w:val="18"/>
                          </w:rPr>
                        </w:pPr>
                        <w:r>
                          <w:rPr>
                            <w:rFonts w:ascii="宋体" w:hAnsi="宋体" w:cs="宋体" w:eastAsia="宋体" w:hint="default"/>
                            <w:sz w:val="18"/>
                            <w:szCs w:val="18"/>
                          </w:rPr>
                          <w:t>公司前十名股东和前十名无限售条件股东中，王中胜、杨世宁、杨新子 </w:t>
                        </w:r>
                        <w:r>
                          <w:rPr>
                            <w:rFonts w:ascii="宋体" w:hAnsi="宋体" w:cs="宋体" w:eastAsia="宋体" w:hint="default"/>
                            <w:spacing w:val="-2"/>
                            <w:sz w:val="18"/>
                            <w:szCs w:val="18"/>
                          </w:rPr>
                          <w:t>和陈新为公司发起人股东，四名发起人股东与其他股东之间不存在关联关系</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名普通股股东参与融资融券业务情况说明</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宋体" w:hAnsi="宋体" w:cs="宋体" w:eastAsia="宋体" w:hint="default"/>
                            <w:spacing w:val="-2"/>
                            <w:sz w:val="18"/>
                            <w:szCs w:val="18"/>
                          </w:rPr>
                          <w:t>4</w:t>
                        </w:r>
                        <w:r>
                          <w:rPr>
                            <w:rFonts w:ascii="宋体" w:hAnsi="宋体" w:cs="宋体" w:eastAsia="宋体" w:hint="default"/>
                            <w:sz w:val="18"/>
                            <w:szCs w:val="18"/>
                          </w:rPr>
                          <w:t>）</w:t>
                        </w:r>
                      </w:p>
                    </w:tc>
                    <w:tc>
                      <w:tcPr>
                        <w:tcW w:w="60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名无限售条件普通股股东在报告期内是否进行约定购回交易</w:t>
      </w:r>
    </w:p>
    <w:p>
      <w:pPr>
        <w:spacing w:before="117"/>
        <w:ind w:left="2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5"/>
        <w:ind w:left="2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6"/>
        <w:spacing w:line="240" w:lineRule="auto" w:before="118"/>
        <w:ind w:left="212" w:right="0"/>
        <w:jc w:val="left"/>
        <w:rPr>
          <w:b w:val="0"/>
          <w:bCs w:val="0"/>
        </w:rPr>
      </w:pPr>
      <w:r>
        <w:rPr/>
        <w:t>2、公司控股股东情况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212" w:right="77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0" w:right="288" w:firstLine="0"/>
        <w:jc w:val="right"/>
        <w:rPr>
          <w:rFonts w:ascii="宋体" w:hAnsi="宋体" w:cs="宋体" w:eastAsia="宋体" w:hint="default"/>
          <w:sz w:val="18"/>
          <w:szCs w:val="18"/>
        </w:rPr>
      </w:pPr>
      <w:r>
        <w:rPr/>
        <w:pict>
          <v:shape style="position:absolute;margin-left:55.060001pt;margin-top:-81.247787pt;width:479.15pt;height:27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3310"/>
                    <w:gridCol w:w="3848"/>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0" w:right="0"/>
                          <w:jc w:val="left"/>
                          <w:rPr>
                            <w:rFonts w:ascii="宋体" w:hAnsi="宋体" w:cs="宋体" w:eastAsia="宋体" w:hint="default"/>
                            <w:sz w:val="18"/>
                            <w:szCs w:val="18"/>
                          </w:rPr>
                        </w:pPr>
                        <w:r>
                          <w:rPr>
                            <w:rFonts w:ascii="宋体" w:hAnsi="宋体" w:cs="宋体" w:eastAsia="宋体" w:hint="default"/>
                            <w:sz w:val="18"/>
                            <w:szCs w:val="18"/>
                          </w:rPr>
                          <w:t>控股股东姓名</w:t>
                        </w:r>
                      </w:p>
                    </w:tc>
                    <w:tc>
                      <w:tcPr>
                        <w:tcW w:w="3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杨世宁</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2410" w:type="dxa"/>
                        <w:tcBorders>
                          <w:top w:val="single" w:sz="4" w:space="0" w:color="000000"/>
                          <w:left w:val="single" w:sz="4" w:space="0" w:color="000000"/>
                          <w:bottom w:val="nil" w:sz="6" w:space="0" w:color="auto"/>
                          <w:right w:val="single" w:sz="4" w:space="0" w:color="000000"/>
                        </w:tcBorders>
                        <w:shd w:val="clear" w:color="auto" w:fill="D3D3D3"/>
                      </w:tcPr>
                      <w:p>
                        <w:pPr/>
                      </w:p>
                    </w:tc>
                    <w:tc>
                      <w:tcPr>
                        <w:tcW w:w="7158"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2"/>
                            <w:sz w:val="18"/>
                            <w:szCs w:val="18"/>
                          </w:rPr>
                          <w:t>王中胜先生：1963</w:t>
                        </w:r>
                        <w:r>
                          <w:rPr>
                            <w:rFonts w:ascii="宋体" w:hAnsi="宋体" w:cs="宋体" w:eastAsia="宋体" w:hint="default"/>
                            <w:spacing w:val="-24"/>
                            <w:sz w:val="18"/>
                            <w:szCs w:val="18"/>
                          </w:rPr>
                          <w:t> </w:t>
                        </w:r>
                        <w:r>
                          <w:rPr>
                            <w:rFonts w:ascii="宋体" w:hAnsi="宋体" w:cs="宋体" w:eastAsia="宋体" w:hint="default"/>
                            <w:spacing w:val="-2"/>
                            <w:sz w:val="18"/>
                            <w:szCs w:val="18"/>
                          </w:rPr>
                          <w:t>年生，中国国籍，无境外永久居留权，工学硕士。现任公司董事长</w:t>
                        </w:r>
                      </w:p>
                    </w:tc>
                  </w:tr>
                  <w:tr>
                    <w:trPr>
                      <w:trHeight w:val="312" w:hRule="exact"/>
                    </w:trPr>
                    <w:tc>
                      <w:tcPr>
                        <w:tcW w:w="2410" w:type="dxa"/>
                        <w:tcBorders>
                          <w:top w:val="nil" w:sz="6" w:space="0" w:color="auto"/>
                          <w:left w:val="single" w:sz="4" w:space="0" w:color="000000"/>
                          <w:bottom w:val="nil" w:sz="6" w:space="0" w:color="auto"/>
                          <w:right w:val="single" w:sz="4" w:space="0" w:color="000000"/>
                        </w:tcBorders>
                        <w:shd w:val="clear" w:color="auto" w:fill="D3D3D3"/>
                      </w:tcPr>
                      <w:p>
                        <w:pPr/>
                      </w:p>
                    </w:tc>
                    <w:tc>
                      <w:tcPr>
                        <w:tcW w:w="715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子公司天津市天安怡和信息技术有限公司董事、天津信息港甲子科技有限公司董事、安徽</w:t>
                        </w:r>
                      </w:p>
                    </w:tc>
                  </w:tr>
                  <w:tr>
                    <w:trPr>
                      <w:trHeight w:val="312" w:hRule="exact"/>
                    </w:trPr>
                    <w:tc>
                      <w:tcPr>
                        <w:tcW w:w="2410" w:type="dxa"/>
                        <w:tcBorders>
                          <w:top w:val="nil" w:sz="6" w:space="0" w:color="auto"/>
                          <w:left w:val="single" w:sz="4" w:space="0" w:color="000000"/>
                          <w:bottom w:val="nil" w:sz="6" w:space="0" w:color="auto"/>
                          <w:right w:val="single" w:sz="4" w:space="0" w:color="000000"/>
                        </w:tcBorders>
                        <w:shd w:val="clear" w:color="auto" w:fill="D3D3D3"/>
                      </w:tcPr>
                      <w:p>
                        <w:pPr/>
                      </w:p>
                    </w:tc>
                    <w:tc>
                      <w:tcPr>
                        <w:tcW w:w="715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行云天下科技有限公司董事长、参股公司安徽高速物流股份有限公司董事、武汉宏途科技</w:t>
                        </w:r>
                      </w:p>
                    </w:tc>
                  </w:tr>
                  <w:tr>
                    <w:trPr>
                      <w:trHeight w:val="332" w:hRule="exact"/>
                    </w:trPr>
                    <w:tc>
                      <w:tcPr>
                        <w:tcW w:w="2410" w:type="dxa"/>
                        <w:tcBorders>
                          <w:top w:val="nil" w:sz="6" w:space="0" w:color="auto"/>
                          <w:left w:val="single" w:sz="4" w:space="0" w:color="000000"/>
                          <w:bottom w:val="nil" w:sz="6" w:space="0" w:color="auto"/>
                          <w:right w:val="single" w:sz="4" w:space="0" w:color="000000"/>
                        </w:tcBorders>
                        <w:shd w:val="clear" w:color="auto" w:fill="D3D3D3"/>
                      </w:tcPr>
                      <w:p>
                        <w:pPr/>
                      </w:p>
                    </w:tc>
                    <w:tc>
                      <w:tcPr>
                        <w:tcW w:w="715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有限公司董事。</w:t>
                        </w:r>
                      </w:p>
                    </w:tc>
                  </w:tr>
                  <w:tr>
                    <w:trPr>
                      <w:trHeight w:val="332" w:hRule="exact"/>
                    </w:trPr>
                    <w:tc>
                      <w:tcPr>
                        <w:tcW w:w="2410" w:type="dxa"/>
                        <w:tcBorders>
                          <w:top w:val="nil" w:sz="6" w:space="0" w:color="auto"/>
                          <w:left w:val="single" w:sz="4" w:space="0" w:color="000000"/>
                          <w:bottom w:val="nil" w:sz="6" w:space="0" w:color="auto"/>
                          <w:right w:val="single" w:sz="4" w:space="0" w:color="000000"/>
                        </w:tcBorders>
                        <w:shd w:val="clear" w:color="auto" w:fill="D3D3D3"/>
                      </w:tcPr>
                      <w:p>
                        <w:pPr/>
                      </w:p>
                    </w:tc>
                    <w:tc>
                      <w:tcPr>
                        <w:tcW w:w="715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383" w:right="0"/>
                          <w:jc w:val="left"/>
                          <w:rPr>
                            <w:rFonts w:ascii="宋体" w:hAnsi="宋体" w:cs="宋体" w:eastAsia="宋体" w:hint="default"/>
                            <w:sz w:val="18"/>
                            <w:szCs w:val="18"/>
                          </w:rPr>
                        </w:pPr>
                        <w:r>
                          <w:rPr>
                            <w:rFonts w:ascii="宋体" w:hAnsi="宋体" w:cs="宋体" w:eastAsia="宋体" w:hint="default"/>
                            <w:sz w:val="18"/>
                            <w:szCs w:val="18"/>
                          </w:rPr>
                          <w:t>杨世宁先生：1964</w:t>
                        </w:r>
                        <w:r>
                          <w:rPr>
                            <w:rFonts w:ascii="宋体" w:hAnsi="宋体" w:cs="宋体" w:eastAsia="宋体" w:hint="default"/>
                            <w:spacing w:val="-48"/>
                            <w:sz w:val="18"/>
                            <w:szCs w:val="18"/>
                          </w:rPr>
                          <w:t> </w:t>
                        </w:r>
                        <w:r>
                          <w:rPr>
                            <w:rFonts w:ascii="宋体" w:hAnsi="宋体" w:cs="宋体" w:eastAsia="宋体" w:hint="default"/>
                            <w:sz w:val="18"/>
                            <w:szCs w:val="18"/>
                          </w:rPr>
                          <w:t>年生，中国国籍，无境外永久居留权，工学硕士。现任公司董事、</w:t>
                        </w:r>
                      </w:p>
                    </w:tc>
                  </w:tr>
                  <w:tr>
                    <w:trPr>
                      <w:trHeight w:val="643" w:hRule="exact"/>
                    </w:trPr>
                    <w:tc>
                      <w:tcPr>
                        <w:tcW w:w="24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58" w:type="dxa"/>
                        <w:gridSpan w:val="2"/>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2"/>
                          <w:jc w:val="left"/>
                          <w:rPr>
                            <w:rFonts w:ascii="宋体" w:hAnsi="宋体" w:cs="宋体" w:eastAsia="宋体" w:hint="default"/>
                            <w:sz w:val="18"/>
                            <w:szCs w:val="18"/>
                          </w:rPr>
                        </w:pPr>
                        <w:r>
                          <w:rPr>
                            <w:rFonts w:ascii="宋体" w:hAnsi="宋体" w:cs="宋体" w:eastAsia="宋体" w:hint="default"/>
                            <w:sz w:val="18"/>
                            <w:szCs w:val="18"/>
                          </w:rPr>
                          <w:t>副董事长、总经理、子公司天津市天安怡和信息技术有限公司董事长、控股公司天津信息 港甲子科技有限公司董事长。</w:t>
                        </w:r>
                      </w:p>
                    </w:tc>
                  </w:tr>
                  <w:tr>
                    <w:trPr>
                      <w:trHeight w:val="331" w:hRule="exact"/>
                    </w:trPr>
                    <w:tc>
                      <w:tcPr>
                        <w:tcW w:w="2410" w:type="dxa"/>
                        <w:tcBorders>
                          <w:top w:val="nil" w:sz="6" w:space="0" w:color="auto"/>
                          <w:left w:val="single" w:sz="4" w:space="0" w:color="000000"/>
                          <w:bottom w:val="nil" w:sz="6" w:space="0" w:color="auto"/>
                          <w:right w:val="single" w:sz="4" w:space="0" w:color="000000"/>
                        </w:tcBorders>
                        <w:shd w:val="clear" w:color="auto" w:fill="D3D3D3"/>
                      </w:tcPr>
                      <w:p>
                        <w:pPr/>
                      </w:p>
                    </w:tc>
                    <w:tc>
                      <w:tcPr>
                        <w:tcW w:w="715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3" w:right="0"/>
                          <w:jc w:val="left"/>
                          <w:rPr>
                            <w:rFonts w:ascii="宋体" w:hAnsi="宋体" w:cs="宋体" w:eastAsia="宋体" w:hint="default"/>
                            <w:sz w:val="18"/>
                            <w:szCs w:val="18"/>
                          </w:rPr>
                        </w:pPr>
                        <w:r>
                          <w:rPr>
                            <w:rFonts w:ascii="宋体" w:hAnsi="宋体" w:cs="宋体" w:eastAsia="宋体" w:hint="default"/>
                            <w:spacing w:val="-2"/>
                            <w:sz w:val="18"/>
                            <w:szCs w:val="18"/>
                          </w:rPr>
                          <w:t>杨新子先生：1969</w:t>
                        </w:r>
                        <w:r>
                          <w:rPr>
                            <w:rFonts w:ascii="宋体" w:hAnsi="宋体" w:cs="宋体" w:eastAsia="宋体" w:hint="default"/>
                            <w:spacing w:val="-24"/>
                            <w:sz w:val="18"/>
                            <w:szCs w:val="18"/>
                          </w:rPr>
                          <w:t> </w:t>
                        </w:r>
                        <w:r>
                          <w:rPr>
                            <w:rFonts w:ascii="宋体" w:hAnsi="宋体" w:cs="宋体" w:eastAsia="宋体" w:hint="default"/>
                            <w:spacing w:val="-2"/>
                            <w:sz w:val="18"/>
                            <w:szCs w:val="18"/>
                          </w:rPr>
                          <w:t>年生，中国国籍，无境外永久居留权，管理学博士。现任公司董事</w:t>
                        </w:r>
                      </w:p>
                    </w:tc>
                  </w:tr>
                  <w:tr>
                    <w:trPr>
                      <w:trHeight w:val="312" w:hRule="exact"/>
                    </w:trPr>
                    <w:tc>
                      <w:tcPr>
                        <w:tcW w:w="2410" w:type="dxa"/>
                        <w:tcBorders>
                          <w:top w:val="nil" w:sz="6" w:space="0" w:color="auto"/>
                          <w:left w:val="single" w:sz="4" w:space="0" w:color="000000"/>
                          <w:bottom w:val="nil" w:sz="6" w:space="0" w:color="auto"/>
                          <w:right w:val="single" w:sz="4" w:space="0" w:color="000000"/>
                        </w:tcBorders>
                        <w:shd w:val="clear" w:color="auto" w:fill="D3D3D3"/>
                      </w:tcPr>
                      <w:p>
                        <w:pPr/>
                      </w:p>
                    </w:tc>
                    <w:tc>
                      <w:tcPr>
                        <w:tcW w:w="715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副总经理、子公司天津市金飞博光通讯有限公司董事长、天津市天安怡和信息技术有限公</w:t>
                        </w:r>
                      </w:p>
                    </w:tc>
                  </w:tr>
                  <w:tr>
                    <w:trPr>
                      <w:trHeight w:val="312" w:hRule="exact"/>
                    </w:trPr>
                    <w:tc>
                      <w:tcPr>
                        <w:tcW w:w="2410" w:type="dxa"/>
                        <w:tcBorders>
                          <w:top w:val="nil" w:sz="6" w:space="0" w:color="auto"/>
                          <w:left w:val="single" w:sz="4" w:space="0" w:color="000000"/>
                          <w:bottom w:val="nil" w:sz="6" w:space="0" w:color="auto"/>
                          <w:right w:val="single" w:sz="4" w:space="0" w:color="000000"/>
                        </w:tcBorders>
                        <w:shd w:val="clear" w:color="auto" w:fill="D3D3D3"/>
                      </w:tcPr>
                      <w:p>
                        <w:pPr/>
                      </w:p>
                    </w:tc>
                    <w:tc>
                      <w:tcPr>
                        <w:tcW w:w="715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司总经理、烟台华东电子软件技术有限公司董事、安徽行云天下科技有限公司董事、总经</w:t>
                        </w:r>
                      </w:p>
                    </w:tc>
                  </w:tr>
                  <w:tr>
                    <w:trPr>
                      <w:trHeight w:val="312" w:hRule="exact"/>
                    </w:trPr>
                    <w:tc>
                      <w:tcPr>
                        <w:tcW w:w="2410" w:type="dxa"/>
                        <w:tcBorders>
                          <w:top w:val="nil" w:sz="6" w:space="0" w:color="auto"/>
                          <w:left w:val="single" w:sz="4" w:space="0" w:color="000000"/>
                          <w:bottom w:val="nil" w:sz="6" w:space="0" w:color="auto"/>
                          <w:right w:val="single" w:sz="4" w:space="0" w:color="000000"/>
                        </w:tcBorders>
                        <w:shd w:val="clear" w:color="auto" w:fill="D3D3D3"/>
                      </w:tcPr>
                      <w:p>
                        <w:pPr/>
                      </w:p>
                    </w:tc>
                    <w:tc>
                      <w:tcPr>
                        <w:tcW w:w="715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理、控股公司天津信息港甲子科技有限公司总经理、参股公司天津玺朗文化传媒有限公司</w:t>
                        </w:r>
                      </w:p>
                    </w:tc>
                  </w:tr>
                  <w:tr>
                    <w:trPr>
                      <w:trHeight w:val="355" w:hRule="exact"/>
                    </w:trPr>
                    <w:tc>
                      <w:tcPr>
                        <w:tcW w:w="2410" w:type="dxa"/>
                        <w:tcBorders>
                          <w:top w:val="nil" w:sz="6" w:space="0" w:color="auto"/>
                          <w:left w:val="single" w:sz="4" w:space="0" w:color="000000"/>
                          <w:bottom w:val="single" w:sz="4" w:space="0" w:color="000000"/>
                          <w:right w:val="single" w:sz="4" w:space="0" w:color="000000"/>
                        </w:tcBorders>
                        <w:shd w:val="clear" w:color="auto" w:fill="D3D3D3"/>
                      </w:tcPr>
                      <w:p>
                        <w:pPr/>
                      </w:p>
                    </w:tc>
                    <w:tc>
                      <w:tcPr>
                        <w:tcW w:w="7158"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董事长、武汉宏途科技有限公司董事。</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0" w:right="28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40" w:bottom="1160" w:left="920" w:right="880"/>
        </w:sectPr>
      </w:pPr>
    </w:p>
    <w:p>
      <w:pPr>
        <w:spacing w:line="240" w:lineRule="auto" w:before="10"/>
        <w:rPr>
          <w:rFonts w:ascii="宋体" w:hAnsi="宋体" w:cs="宋体" w:eastAsia="宋体" w:hint="default"/>
          <w:sz w:val="28"/>
          <w:szCs w:val="28"/>
        </w:rPr>
      </w:pPr>
    </w:p>
    <w:p>
      <w:pPr>
        <w:spacing w:line="728" w:lineRule="exact"/>
        <w:ind w:left="116"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4pt;height:36.450pt;mso-position-horizontal-relative:char;mso-position-vertical-relative:line" coordorigin="0,0" coordsize="9588,729">
            <v:group style="position:absolute;left:13;top:13;width:2405;height:709" coordorigin="13,13" coordsize="2405,709">
              <v:shape style="position:absolute;left:13;top:13;width:2405;height:709" coordorigin="13,13" coordsize="2405,709" path="m13,13l2418,13,2418,722,13,722,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724;width:9578;height:2" coordorigin="5,724" coordsize="9578,2">
              <v:shape style="position:absolute;left:5;top:724;width:9578;height:2" coordorigin="5,724" coordsize="9578,0" path="m5,724l9582,724e" filled="false" stroked="true" strokeweight=".48pt" strokecolor="#000000">
                <v:path arrowok="t"/>
              </v:shape>
            </v:group>
            <v:group style="position:absolute;left:10;top:5;width:2;height:714" coordorigin="10,5" coordsize="2,714">
              <v:shape style="position:absolute;left:10;top:5;width:2;height:714" coordorigin="10,5" coordsize="0,714" path="m10,5l10,719e" filled="false" stroked="true" strokeweight=".48pt" strokecolor="#000000">
                <v:path arrowok="t"/>
              </v:shape>
            </v:group>
            <v:group style="position:absolute;left:2420;top:5;width:2;height:714" coordorigin="2420,5" coordsize="2,714">
              <v:shape style="position:absolute;left:2420;top:5;width:2;height:714" coordorigin="2420,5" coordsize="0,714" path="m2420,5l2420,719e" filled="false" stroked="true" strokeweight=".48pt" strokecolor="#000000">
                <v:path arrowok="t"/>
              </v:shape>
            </v:group>
            <v:group style="position:absolute;left:9578;top:5;width:2;height:714" coordorigin="9578,5" coordsize="2,714">
              <v:shape style="position:absolute;left:9578;top:5;width:2;height:714" coordorigin="9578,5" coordsize="0,714" path="m9578,5l9578,719e" filled="false" stroked="true" strokeweight=".48pt" strokecolor="#000000">
                <v:path arrowok="t"/>
              </v:shape>
              <v:shape style="position:absolute;left:10;top:10;width:2410;height:714" type="#_x0000_t202" filled="false" stroked="false">
                <v:textbox inset="0,0,0,0">
                  <w:txbxContent>
                    <w:p>
                      <w:pPr>
                        <w:spacing w:line="316" w:lineRule="auto" w:before="54"/>
                        <w:ind w:left="26" w:right="41" w:firstLine="0"/>
                        <w:jc w:val="left"/>
                        <w:rPr>
                          <w:rFonts w:ascii="宋体" w:hAnsi="宋体" w:cs="宋体" w:eastAsia="宋体" w:hint="default"/>
                          <w:sz w:val="18"/>
                          <w:szCs w:val="18"/>
                        </w:rPr>
                      </w:pPr>
                      <w:r>
                        <w:rPr>
                          <w:rFonts w:ascii="宋体" w:hAnsi="宋体" w:cs="宋体" w:eastAsia="宋体" w:hint="default"/>
                          <w:sz w:val="18"/>
                          <w:szCs w:val="18"/>
                        </w:rPr>
                        <w:t>报告期内控股和参股的其他境 内外上市公司的股权情况</w:t>
                      </w:r>
                    </w:p>
                  </w:txbxContent>
                </v:textbox>
                <w10:wrap type="none"/>
              </v:shape>
              <v:shape style="position:absolute;left:2448;top:27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14"/>
          <w:sz w:val="20"/>
          <w:szCs w:val="20"/>
        </w:rPr>
      </w:r>
    </w:p>
    <w:p>
      <w:pPr>
        <w:spacing w:before="51"/>
        <w:ind w:left="152" w:right="703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57" w:lineRule="auto" w:before="117"/>
        <w:ind w:left="15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3"/>
        <w:rPr>
          <w:rFonts w:ascii="宋体" w:hAnsi="宋体" w:cs="宋体" w:eastAsia="宋体" w:hint="default"/>
          <w:sz w:val="20"/>
          <w:szCs w:val="20"/>
        </w:rPr>
      </w:pPr>
    </w:p>
    <w:p>
      <w:pPr>
        <w:pStyle w:val="Heading6"/>
        <w:spacing w:line="240" w:lineRule="auto"/>
        <w:ind w:left="152" w:right="7034"/>
        <w:jc w:val="left"/>
        <w:rPr>
          <w:b w:val="0"/>
          <w:bCs w:val="0"/>
        </w:rPr>
      </w:pPr>
      <w:r>
        <w:rPr/>
        <w:t>3、公司实际控制人情况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52" w:right="739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21" w:type="dxa"/>
        <w:tblLayout w:type="fixed"/>
        <w:tblCellMar>
          <w:top w:w="0" w:type="dxa"/>
          <w:left w:w="0" w:type="dxa"/>
          <w:bottom w:w="0" w:type="dxa"/>
          <w:right w:w="0" w:type="dxa"/>
        </w:tblCellMar>
        <w:tblLook w:val="01E0"/>
      </w:tblPr>
      <w:tblGrid>
        <w:gridCol w:w="3418"/>
        <w:gridCol w:w="3109"/>
        <w:gridCol w:w="304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1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杨世宁</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请参阅“公司控股股东情况”描述。</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7034"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15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11"/>
        <w:rPr>
          <w:rFonts w:ascii="宋体" w:hAnsi="宋体" w:cs="宋体" w:eastAsia="宋体" w:hint="default"/>
          <w:sz w:val="21"/>
          <w:szCs w:val="21"/>
        </w:rPr>
      </w:pPr>
    </w:p>
    <w:p>
      <w:pPr>
        <w:spacing w:line="1965" w:lineRule="exact"/>
        <w:ind w:left="2970"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2545888" cy="12477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0" cstate="print"/>
                    <a:stretch>
                      <a:fillRect/>
                    </a:stretch>
                  </pic:blipFill>
                  <pic:spPr>
                    <a:xfrm>
                      <a:off x="0" y="0"/>
                      <a:ext cx="2545888" cy="1247775"/>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8"/>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5"/>
        <w:ind w:left="15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left="152" w:right="5774"/>
        <w:jc w:val="left"/>
        <w:rPr>
          <w:b w:val="0"/>
          <w:bCs w:val="0"/>
        </w:rPr>
      </w:pPr>
      <w:r>
        <w:rPr/>
        <w:t>4、其他持股在</w:t>
      </w:r>
      <w:r>
        <w:rPr>
          <w:spacing w:val="-62"/>
        </w:rPr>
        <w:t> </w:t>
      </w:r>
      <w:r>
        <w:rPr/>
        <w:t>10%以上的法人股东</w:t>
      </w:r>
      <w:r>
        <w:rPr>
          <w:b w:val="0"/>
          <w:bCs w:val="0"/>
        </w:rPr>
      </w:r>
    </w:p>
    <w:p>
      <w:pPr>
        <w:spacing w:line="240" w:lineRule="auto" w:before="9"/>
        <w:rPr>
          <w:rFonts w:ascii="宋体" w:hAnsi="宋体" w:cs="宋体" w:eastAsia="宋体" w:hint="default"/>
          <w:b/>
          <w:bCs/>
          <w:sz w:val="27"/>
          <w:szCs w:val="27"/>
        </w:rPr>
      </w:pPr>
    </w:p>
    <w:p>
      <w:pPr>
        <w:spacing w:before="0"/>
        <w:ind w:left="15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left="152" w:right="0"/>
        <w:jc w:val="left"/>
        <w:rPr>
          <w:b w:val="0"/>
          <w:bCs w:val="0"/>
        </w:rPr>
      </w:pPr>
      <w:r>
        <w:rPr/>
        <w:t>5、控股股东、实际控制人、重组方及其他承诺主体股份限制减持情况</w:t>
      </w:r>
      <w:r>
        <w:rPr>
          <w:b w:val="0"/>
          <w:bCs w:val="0"/>
        </w:rPr>
      </w:r>
    </w:p>
    <w:p>
      <w:pPr>
        <w:spacing w:line="240" w:lineRule="auto" w:before="9"/>
        <w:rPr>
          <w:rFonts w:ascii="宋体" w:hAnsi="宋体" w:cs="宋体" w:eastAsia="宋体" w:hint="default"/>
          <w:b/>
          <w:bCs/>
          <w:sz w:val="27"/>
          <w:szCs w:val="27"/>
        </w:rPr>
      </w:pPr>
    </w:p>
    <w:p>
      <w:pPr>
        <w:spacing w:before="0"/>
        <w:ind w:left="15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40" w:bottom="116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247" w:right="0"/>
        <w:jc w:val="left"/>
        <w:rPr>
          <w:b w:val="0"/>
          <w:bCs w:val="0"/>
        </w:rPr>
      </w:pPr>
      <w:bookmarkStart w:name="_bookmark6" w:id="7"/>
      <w:bookmarkEnd w:id="7"/>
      <w:r>
        <w:rPr>
          <w:b w:val="0"/>
          <w:bCs w:val="0"/>
        </w:rPr>
      </w:r>
      <w:r>
        <w:rPr/>
        <w:t>第七节</w:t>
      </w:r>
      <w:r>
        <w:rPr>
          <w:spacing w:val="-7"/>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60" w:lineRule="auto" w:before="44"/>
        <w:ind w:left="112" w:right="757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宋体" w:hAnsi="宋体" w:cs="宋体" w:eastAsia="宋体" w:hint="default"/>
          <w:sz w:val="20"/>
          <w:szCs w:val="20"/>
        </w:rPr>
      </w:pPr>
      <w:r>
        <w:rPr/>
        <w:pict>
          <v:group style="position:absolute;margin-left:130.199997pt;margin-top:298.800018pt;width:39.6pt;height:55.05pt;mso-position-horizontal-relative:page;mso-position-vertical-relative:page;z-index:-870904" coordorigin="2604,5976" coordsize="792,1101">
            <v:shape style="position:absolute;left:2604;top:5976;width:792;height:1101" coordorigin="2604,5976" coordsize="792,1101" path="m2604,5976l3396,5976,3396,7077,2604,7077,2604,5976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1844" w:right="0"/>
        <w:jc w:val="left"/>
        <w:rPr>
          <w:b w:val="0"/>
          <w:bCs w:val="0"/>
        </w:rPr>
      </w:pPr>
      <w:bookmarkStart w:name="_bookmark7" w:id="8"/>
      <w:bookmarkEnd w:id="8"/>
      <w:r>
        <w:rPr>
          <w:b w:val="0"/>
          <w:bCs w:val="0"/>
        </w:rPr>
      </w:r>
      <w:r>
        <w:rPr/>
        <w:t>第八节</w:t>
      </w:r>
      <w:r>
        <w:rPr>
          <w:spacing w:val="-15"/>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left="312"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798"/>
        <w:gridCol w:w="873"/>
        <w:gridCol w:w="797"/>
        <w:gridCol w:w="443"/>
        <w:gridCol w:w="567"/>
        <w:gridCol w:w="851"/>
        <w:gridCol w:w="850"/>
        <w:gridCol w:w="1277"/>
        <w:gridCol w:w="892"/>
        <w:gridCol w:w="874"/>
        <w:gridCol w:w="798"/>
        <w:gridCol w:w="1026"/>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9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0" w:right="8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7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1" w:right="7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1" w:firstLine="12"/>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  （股）</w:t>
            </w:r>
          </w:p>
        </w:tc>
      </w:tr>
      <w:tr>
        <w:trPr>
          <w:trHeight w:val="75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王中胜</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0"/>
              <w:ind w:left="160" w:right="160"/>
              <w:jc w:val="left"/>
              <w:rPr>
                <w:rFonts w:ascii="宋体" w:hAnsi="宋体" w:cs="宋体" w:eastAsia="宋体" w:hint="default"/>
                <w:sz w:val="18"/>
                <w:szCs w:val="18"/>
              </w:rPr>
            </w:pPr>
            <w:r>
              <w:rPr>
                <w:rFonts w:ascii="宋体" w:hAnsi="宋体" w:cs="宋体" w:eastAsia="宋体" w:hint="default"/>
                <w:sz w:val="18"/>
                <w:szCs w:val="18"/>
              </w:rPr>
              <w:t>董事、 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26,782,325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1,066,550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29,205,340</w:t>
            </w:r>
          </w:p>
        </w:tc>
      </w:tr>
      <w:tr>
        <w:trPr>
          <w:trHeight w:val="75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王志洁</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0"/>
              <w:ind w:left="72" w:right="69" w:firstLine="88"/>
              <w:jc w:val="left"/>
              <w:rPr>
                <w:rFonts w:ascii="宋体" w:hAnsi="宋体" w:cs="宋体" w:eastAsia="宋体" w:hint="default"/>
                <w:sz w:val="18"/>
                <w:szCs w:val="18"/>
              </w:rPr>
            </w:pPr>
            <w:r>
              <w:rPr>
                <w:rFonts w:ascii="宋体" w:hAnsi="宋体" w:cs="宋体" w:eastAsia="宋体" w:hint="default"/>
                <w:sz w:val="18"/>
                <w:szCs w:val="18"/>
              </w:rPr>
              <w:t>董事、 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1,631,164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1,090,849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866,547</w:t>
            </w:r>
          </w:p>
        </w:tc>
      </w:tr>
      <w:tr>
        <w:trPr>
          <w:trHeight w:val="110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杨世宁</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4" w:right="117" w:firstLine="93"/>
              <w:jc w:val="center"/>
              <w:rPr>
                <w:rFonts w:ascii="宋体" w:hAnsi="宋体" w:cs="宋体" w:eastAsia="宋体" w:hint="default"/>
                <w:sz w:val="18"/>
                <w:szCs w:val="18"/>
              </w:rPr>
            </w:pPr>
            <w:r>
              <w:rPr>
                <w:rFonts w:ascii="宋体" w:hAnsi="宋体" w:cs="宋体" w:eastAsia="宋体" w:hint="default"/>
                <w:sz w:val="18"/>
                <w:szCs w:val="18"/>
              </w:rPr>
              <w:t>董事、 副董事长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20,690,284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24,828,341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陈  新</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1"/>
              <w:jc w:val="center"/>
              <w:rPr>
                <w:rFonts w:ascii="宋体" w:hAnsi="宋体" w:cs="宋体" w:eastAsia="宋体" w:hint="default"/>
                <w:sz w:val="18"/>
                <w:szCs w:val="18"/>
              </w:rPr>
            </w:pPr>
            <w:r>
              <w:rPr>
                <w:rFonts w:ascii="宋体" w:hAnsi="宋体" w:cs="宋体" w:eastAsia="宋体" w:hint="default"/>
                <w:spacing w:val="-17"/>
                <w:sz w:val="18"/>
                <w:szCs w:val="18"/>
              </w:rPr>
              <w:t>董事、副总</w:t>
            </w:r>
            <w:r>
              <w:rPr>
                <w:rFonts w:ascii="宋体" w:hAnsi="宋体" w:cs="宋体" w:eastAsia="宋体" w:hint="default"/>
                <w:sz w:val="18"/>
                <w:szCs w:val="18"/>
              </w:rPr>
              <w:t> </w:t>
            </w:r>
            <w:r>
              <w:rPr>
                <w:rFonts w:ascii="宋体" w:hAnsi="宋体" w:cs="宋体" w:eastAsia="宋体" w:hint="default"/>
                <w:spacing w:val="-17"/>
                <w:sz w:val="18"/>
                <w:szCs w:val="18"/>
              </w:rPr>
              <w:t>经理、董事</w:t>
            </w:r>
            <w:r>
              <w:rPr>
                <w:rFonts w:ascii="宋体" w:hAnsi="宋体" w:cs="宋体" w:eastAsia="宋体" w:hint="default"/>
                <w:sz w:val="18"/>
                <w:szCs w:val="18"/>
              </w:rPr>
              <w:t>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5,319,033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6,582,839</w:t>
            </w:r>
          </w:p>
        </w:tc>
      </w:tr>
      <w:tr>
        <w:trPr>
          <w:trHeight w:val="75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杨新子</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72" w:right="69" w:firstLine="88"/>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15,445,547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18,534,656</w:t>
            </w:r>
          </w:p>
        </w:tc>
      </w:tr>
      <w:tr>
        <w:trPr>
          <w:trHeight w:val="75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郑  槐</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72" w:right="69" w:firstLine="88"/>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1,147,721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344,316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1,032,949</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姚禄仕</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陈结淼</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李洪峰</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5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李天华</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52" w:right="160" w:hanging="92"/>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陈延风</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竺  进</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5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孙  胜</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72" w:right="69" w:firstLine="88"/>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40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孔  梅</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6" w:footer="978" w:top="1040" w:bottom="1160" w:left="820" w:right="820"/>
        </w:sectPr>
      </w:pPr>
    </w:p>
    <w:p>
      <w:pPr>
        <w:spacing w:line="240" w:lineRule="auto" w:before="2"/>
        <w:rPr>
          <w:rFonts w:ascii="宋体" w:hAnsi="宋体" w:cs="宋体" w:eastAsia="宋体" w:hint="default"/>
          <w:b/>
          <w:bCs/>
          <w:sz w:val="29"/>
          <w:szCs w:val="29"/>
        </w:rPr>
      </w:pPr>
    </w:p>
    <w:tbl>
      <w:tblPr>
        <w:tblW w:w="0" w:type="auto"/>
        <w:jc w:val="left"/>
        <w:tblInd w:w="105" w:type="dxa"/>
        <w:tblLayout w:type="fixed"/>
        <w:tblCellMar>
          <w:top w:w="0" w:type="dxa"/>
          <w:left w:w="0" w:type="dxa"/>
          <w:bottom w:w="0" w:type="dxa"/>
          <w:right w:w="0" w:type="dxa"/>
        </w:tblCellMar>
        <w:tblLook w:val="01E0"/>
      </w:tblPr>
      <w:tblGrid>
        <w:gridCol w:w="798"/>
        <w:gridCol w:w="873"/>
        <w:gridCol w:w="797"/>
        <w:gridCol w:w="443"/>
        <w:gridCol w:w="567"/>
        <w:gridCol w:w="851"/>
        <w:gridCol w:w="850"/>
        <w:gridCol w:w="1277"/>
        <w:gridCol w:w="892"/>
        <w:gridCol w:w="874"/>
        <w:gridCol w:w="798"/>
        <w:gridCol w:w="1026"/>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卢玉平</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340" w:right="69" w:hanging="269"/>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王夕众</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1,223,375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1,223,375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72,239,449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1,366,550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6,658,540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81,150,672</w:t>
            </w:r>
          </w:p>
        </w:tc>
      </w:tr>
    </w:tbl>
    <w:p>
      <w:pPr>
        <w:spacing w:line="240" w:lineRule="auto" w:before="1"/>
        <w:rPr>
          <w:rFonts w:ascii="宋体" w:hAnsi="宋体" w:cs="宋体" w:eastAsia="宋体" w:hint="default"/>
          <w:b/>
          <w:bCs/>
          <w:sz w:val="18"/>
          <w:szCs w:val="18"/>
        </w:rPr>
      </w:pPr>
    </w:p>
    <w:p>
      <w:pPr>
        <w:pStyle w:val="Heading4"/>
        <w:spacing w:line="240" w:lineRule="auto" w:before="26"/>
        <w:ind w:left="312" w:right="0"/>
        <w:jc w:val="left"/>
        <w:rPr>
          <w:b w:val="0"/>
          <w:bCs w:val="0"/>
        </w:rPr>
      </w:pPr>
      <w:r>
        <w:rPr/>
        <w:t>二、公司董事、监事、高级管理人员变动情况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281" w:type="dxa"/>
        <w:tblLayout w:type="fixed"/>
        <w:tblCellMar>
          <w:top w:w="0" w:type="dxa"/>
          <w:left w:w="0" w:type="dxa"/>
          <w:bottom w:w="0" w:type="dxa"/>
          <w:right w:w="0" w:type="dxa"/>
        </w:tblCellMar>
        <w:tblLook w:val="01E0"/>
      </w:tblPr>
      <w:tblGrid>
        <w:gridCol w:w="1330"/>
        <w:gridCol w:w="1492"/>
        <w:gridCol w:w="1168"/>
        <w:gridCol w:w="2312"/>
        <w:gridCol w:w="3265"/>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王志洁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董事、副董事长</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郑  槐</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个人原因辞职</w:t>
            </w:r>
          </w:p>
        </w:tc>
      </w:tr>
    </w:tbl>
    <w:p>
      <w:pPr>
        <w:spacing w:line="240" w:lineRule="auto" w:before="1"/>
        <w:rPr>
          <w:rFonts w:ascii="宋体" w:hAnsi="宋体" w:cs="宋体" w:eastAsia="宋体" w:hint="default"/>
          <w:b/>
          <w:bCs/>
          <w:sz w:val="18"/>
          <w:szCs w:val="18"/>
        </w:rPr>
      </w:pPr>
    </w:p>
    <w:p>
      <w:pPr>
        <w:pStyle w:val="Heading4"/>
        <w:spacing w:line="240" w:lineRule="auto" w:before="26"/>
        <w:ind w:left="312" w:right="0"/>
        <w:jc w:val="left"/>
        <w:rPr>
          <w:b w:val="0"/>
          <w:bCs w:val="0"/>
        </w:rPr>
      </w:pPr>
      <w:r>
        <w:rPr/>
        <w:t>三、任职情况</w:t>
      </w:r>
      <w:r>
        <w:rPr>
          <w:b w:val="0"/>
          <w:bCs w:val="0"/>
        </w:rPr>
      </w:r>
    </w:p>
    <w:p>
      <w:pPr>
        <w:spacing w:line="240" w:lineRule="auto" w:before="9"/>
        <w:rPr>
          <w:rFonts w:ascii="宋体" w:hAnsi="宋体" w:cs="宋体" w:eastAsia="宋体" w:hint="default"/>
          <w:b/>
          <w:bCs/>
          <w:sz w:val="26"/>
          <w:szCs w:val="26"/>
        </w:rPr>
      </w:pPr>
    </w:p>
    <w:p>
      <w:pPr>
        <w:spacing w:before="0"/>
        <w:ind w:left="31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393" w:lineRule="auto" w:before="89"/>
        <w:ind w:left="732" w:right="4894" w:hanging="113"/>
        <w:jc w:val="left"/>
      </w:pPr>
      <w:r>
        <w:rPr>
          <w:rFonts w:ascii="宋体" w:hAnsi="宋体" w:cs="宋体" w:eastAsia="宋体" w:hint="default"/>
          <w:b/>
          <w:bCs/>
        </w:rPr>
        <w:t>（一）董事会成员</w:t>
      </w:r>
      <w:r>
        <w:rPr>
          <w:rFonts w:ascii="宋体" w:hAnsi="宋体" w:cs="宋体" w:eastAsia="宋体" w:hint="default"/>
          <w:b/>
          <w:bCs/>
          <w:w w:val="99"/>
        </w:rPr>
        <w:t> </w:t>
      </w:r>
      <w:r>
        <w:rPr/>
        <w:t>王中胜先生：请参阅“公司控股股东情况”描述。</w:t>
      </w:r>
      <w:r>
        <w:rPr>
          <w:w w:val="99"/>
        </w:rPr>
        <w:t> </w:t>
      </w:r>
      <w:r>
        <w:rPr/>
        <w:t>杨世宁先生：请参阅“公司控股股东情况”描述。</w:t>
      </w:r>
    </w:p>
    <w:p>
      <w:pPr>
        <w:pStyle w:val="BodyText"/>
        <w:spacing w:line="408" w:lineRule="auto" w:before="58"/>
        <w:ind w:left="312" w:right="312" w:firstLine="420"/>
        <w:jc w:val="both"/>
      </w:pPr>
      <w:r>
        <w:rPr>
          <w:w w:val="95"/>
        </w:rPr>
        <w:t>陈新先生：1969年生，中国国籍，无境外永久居留权，理学学士，高级工程师。曾任安徽皖通科技发</w:t>
      </w:r>
      <w:r>
        <w:rPr>
          <w:w w:val="99"/>
        </w:rPr>
        <w:t> </w:t>
      </w:r>
      <w:r>
        <w:rPr>
          <w:w w:val="95"/>
        </w:rPr>
        <w:t>展有限公司北京办事处主任。现任公司董事、副总经理、董事会秘书、子公司烟台华东电子软件技术有限</w:t>
      </w:r>
      <w:r>
        <w:rPr>
          <w:spacing w:val="41"/>
          <w:w w:val="95"/>
        </w:rPr>
        <w:t> </w:t>
      </w:r>
      <w:r>
        <w:rPr>
          <w:spacing w:val="41"/>
          <w:w w:val="95"/>
        </w:rPr>
      </w:r>
      <w:r>
        <w:rPr/>
        <w:t>公司董事、安徽汉高信息科技有限公司董事、安徽皖通城市智能交通科技有限公司董事。</w:t>
      </w:r>
    </w:p>
    <w:p>
      <w:pPr>
        <w:pStyle w:val="BodyText"/>
        <w:spacing w:line="408" w:lineRule="auto" w:before="46"/>
        <w:ind w:left="732" w:right="0"/>
        <w:jc w:val="left"/>
      </w:pPr>
      <w:r>
        <w:rPr/>
        <w:t>杨新子先生：请参阅“公司控股股东情况”描述。</w:t>
      </w:r>
      <w:r>
        <w:rPr>
          <w:w w:val="99"/>
        </w:rPr>
        <w:t> </w:t>
      </w:r>
      <w:r>
        <w:rPr>
          <w:w w:val="95"/>
        </w:rPr>
        <w:t>孙胜先生：1971年生，中国国籍，无境外永久居留权，本科学历，工程师。曾任安徽皖通科技发展有</w:t>
      </w:r>
      <w:r>
        <w:rPr/>
      </w:r>
    </w:p>
    <w:p>
      <w:pPr>
        <w:pStyle w:val="BodyText"/>
        <w:spacing w:line="408" w:lineRule="auto" w:before="46"/>
        <w:ind w:left="312" w:right="0"/>
        <w:jc w:val="left"/>
      </w:pPr>
      <w:r>
        <w:rPr>
          <w:w w:val="95"/>
        </w:rPr>
        <w:t>限公司市场部经理和公司职工代表监事。现任公司董事、副总经理、子公司安徽汉高信息科技有限公司执</w:t>
      </w:r>
      <w:r>
        <w:rPr>
          <w:spacing w:val="43"/>
          <w:w w:val="95"/>
        </w:rPr>
        <w:t> </w:t>
      </w:r>
      <w:r>
        <w:rPr>
          <w:spacing w:val="43"/>
          <w:w w:val="95"/>
        </w:rPr>
      </w:r>
      <w:r>
        <w:rPr/>
        <w:t>行监事。</w:t>
      </w:r>
    </w:p>
    <w:p>
      <w:pPr>
        <w:pStyle w:val="BodyText"/>
        <w:spacing w:line="408" w:lineRule="auto" w:before="46"/>
        <w:ind w:left="312" w:right="307" w:firstLine="420"/>
        <w:jc w:val="both"/>
      </w:pPr>
      <w:r>
        <w:rPr>
          <w:w w:val="95"/>
        </w:rPr>
        <w:t>王夕众先生：1968年生，中国国籍，无境外永久居留权，本科学历，高级工程师。现任公司董事、子</w:t>
      </w:r>
      <w:r>
        <w:rPr>
          <w:spacing w:val="-94"/>
          <w:w w:val="95"/>
        </w:rPr>
        <w:t> </w:t>
      </w:r>
      <w:r>
        <w:rPr>
          <w:spacing w:val="-94"/>
          <w:w w:val="95"/>
        </w:rPr>
      </w:r>
      <w:r>
        <w:rPr>
          <w:w w:val="95"/>
        </w:rPr>
        <w:t>公司烟台华东电子软件技术有限公司董事、副总经理、控股公司烟台华东电子科技有限公司执行董事、总</w:t>
      </w:r>
      <w:r>
        <w:rPr>
          <w:spacing w:val="43"/>
          <w:w w:val="95"/>
        </w:rPr>
        <w:t> </w:t>
      </w:r>
      <w:r>
        <w:rPr>
          <w:spacing w:val="43"/>
          <w:w w:val="95"/>
        </w:rPr>
      </w:r>
      <w:r>
        <w:rPr/>
        <w:t>经理、控股公司烟台华东数据科技有限公司董事长。</w:t>
      </w:r>
    </w:p>
    <w:p>
      <w:pPr>
        <w:pStyle w:val="BodyText"/>
        <w:spacing w:line="408" w:lineRule="auto" w:before="46"/>
        <w:ind w:left="312" w:right="292" w:firstLine="420"/>
        <w:jc w:val="both"/>
      </w:pPr>
      <w:r>
        <w:rPr>
          <w:w w:val="95"/>
        </w:rPr>
        <w:t>姚禄仕先生：1962年生，中国国籍，无境外永久居留权，博士学位，会计学专业教授，硕士生导师。</w:t>
      </w:r>
      <w:r>
        <w:rPr>
          <w:spacing w:val="-79"/>
          <w:w w:val="95"/>
        </w:rPr>
        <w:t> </w:t>
      </w:r>
      <w:r>
        <w:rPr>
          <w:spacing w:val="-79"/>
          <w:w w:val="95"/>
        </w:rPr>
      </w:r>
      <w:r>
        <w:rPr>
          <w:w w:val="95"/>
        </w:rPr>
        <w:t>现任中国会计学会工科院校秘书长、合肥工业大学金融证券研究所所长、安徽鑫龙电器股份有限公司独立</w:t>
      </w:r>
      <w:r>
        <w:rPr>
          <w:spacing w:val="37"/>
          <w:w w:val="95"/>
        </w:rPr>
        <w:t> </w:t>
      </w:r>
      <w:r>
        <w:rPr>
          <w:spacing w:val="37"/>
          <w:w w:val="95"/>
        </w:rPr>
      </w:r>
      <w:r>
        <w:rPr/>
        <w:t>董事、加加食品集团股份有限公司独立董事、安徽国风塑业股份有限公司独立董事和本公司独立董事。</w:t>
      </w:r>
    </w:p>
    <w:p>
      <w:pPr>
        <w:pStyle w:val="BodyText"/>
        <w:spacing w:line="408" w:lineRule="auto" w:before="46"/>
        <w:ind w:left="312" w:right="312" w:firstLine="420"/>
        <w:jc w:val="both"/>
      </w:pPr>
      <w:r>
        <w:rPr>
          <w:w w:val="95"/>
        </w:rPr>
        <w:t>陈结淼先生：1966年生，中国国籍，无境外永久居留权，工学学士、法学硕士。现任安徽大学法学教</w:t>
      </w:r>
      <w:r>
        <w:rPr>
          <w:w w:val="99"/>
        </w:rPr>
        <w:t> </w:t>
      </w:r>
      <w:r>
        <w:rPr>
          <w:w w:val="95"/>
        </w:rPr>
        <w:t>授、硕士生导师、安徽华茂纺织股份有限公司独立董事、合肥百货大楼集团股份有限公司独立董事和本公</w:t>
      </w:r>
      <w:r>
        <w:rPr/>
      </w:r>
    </w:p>
    <w:p>
      <w:pPr>
        <w:spacing w:after="0" w:line="408" w:lineRule="auto"/>
        <w:jc w:val="both"/>
        <w:sectPr>
          <w:pgSz w:w="11910" w:h="16840"/>
          <w:pgMar w:header="746" w:footer="978" w:top="1040" w:bottom="1160" w:left="820" w:right="8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0"/>
        <w:ind w:right="104"/>
        <w:jc w:val="left"/>
      </w:pPr>
      <w:r>
        <w:rPr/>
        <w:t>司独立董事。</w:t>
      </w:r>
    </w:p>
    <w:p>
      <w:pPr>
        <w:spacing w:line="240" w:lineRule="auto" w:before="10"/>
        <w:rPr>
          <w:rFonts w:ascii="宋体" w:hAnsi="宋体" w:cs="宋体" w:eastAsia="宋体" w:hint="default"/>
          <w:sz w:val="14"/>
          <w:szCs w:val="14"/>
        </w:rPr>
      </w:pPr>
    </w:p>
    <w:p>
      <w:pPr>
        <w:pStyle w:val="BodyText"/>
        <w:spacing w:line="408" w:lineRule="auto" w:before="0"/>
        <w:ind w:right="130" w:firstLine="420"/>
        <w:jc w:val="both"/>
      </w:pPr>
      <w:r>
        <w:rPr>
          <w:w w:val="95"/>
        </w:rPr>
        <w:t>李洪峰先生：1954年生，中国国籍，无境外永久居留权，本科学历，副教授。现任中国科技大学管理</w:t>
      </w:r>
      <w:r>
        <w:rPr>
          <w:spacing w:val="-97"/>
          <w:w w:val="95"/>
        </w:rPr>
        <w:t> </w:t>
      </w:r>
      <w:r>
        <w:rPr>
          <w:spacing w:val="-97"/>
          <w:w w:val="95"/>
        </w:rPr>
      </w:r>
      <w:r>
        <w:rPr>
          <w:w w:val="95"/>
        </w:rPr>
        <w:t>学院副教授、华帝股份有限公司独立董事、安徽马鞍山农村商业银行股份有限公司独立董事、安徽安凯汽</w:t>
      </w:r>
      <w:r>
        <w:rPr>
          <w:spacing w:val="40"/>
          <w:w w:val="95"/>
        </w:rPr>
        <w:t> </w:t>
      </w:r>
      <w:r>
        <w:rPr>
          <w:spacing w:val="40"/>
          <w:w w:val="95"/>
        </w:rPr>
      </w:r>
      <w:r>
        <w:rPr/>
        <w:t>车股份有限公司独立董事和本公司独立董事。</w:t>
      </w:r>
    </w:p>
    <w:p>
      <w:pPr>
        <w:pStyle w:val="BodyText"/>
        <w:spacing w:line="408" w:lineRule="auto" w:before="46"/>
        <w:ind w:left="532" w:right="104" w:hanging="111"/>
        <w:jc w:val="left"/>
      </w:pPr>
      <w:r>
        <w:rPr>
          <w:rFonts w:ascii="宋体" w:hAnsi="宋体" w:cs="宋体" w:eastAsia="宋体" w:hint="default"/>
          <w:b/>
          <w:bCs/>
        </w:rPr>
        <w:t>（二）监事会成员</w:t>
      </w:r>
      <w:r>
        <w:rPr>
          <w:rFonts w:ascii="宋体" w:hAnsi="宋体" w:cs="宋体" w:eastAsia="宋体" w:hint="default"/>
          <w:b/>
          <w:bCs/>
          <w:w w:val="99"/>
        </w:rPr>
        <w:t> </w:t>
      </w:r>
      <w:r>
        <w:rPr>
          <w:w w:val="95"/>
        </w:rPr>
        <w:t>李天华先生：1971年生，中国国籍，无境外永久居留权，本科学历，高级经济师。曾任安徽皖通科技</w:t>
      </w:r>
      <w:r>
        <w:rPr/>
      </w:r>
    </w:p>
    <w:p>
      <w:pPr>
        <w:pStyle w:val="BodyText"/>
        <w:spacing w:line="408" w:lineRule="auto" w:before="46"/>
        <w:ind w:right="104"/>
        <w:jc w:val="left"/>
      </w:pPr>
      <w:r>
        <w:rPr>
          <w:w w:val="95"/>
        </w:rPr>
        <w:t>发展有限公司财务部信息主管、本公司内部审计部负责人，现任公司监事会主席、子公司天津市天安怡和</w:t>
      </w:r>
      <w:r>
        <w:rPr>
          <w:spacing w:val="43"/>
          <w:w w:val="95"/>
        </w:rPr>
        <w:t> </w:t>
      </w:r>
      <w:r>
        <w:rPr>
          <w:spacing w:val="43"/>
          <w:w w:val="95"/>
        </w:rPr>
      </w:r>
      <w:r>
        <w:rPr/>
        <w:t>信息技术有限公司、控股公司天津信息港甲子科技有限公司董事。</w:t>
      </w:r>
    </w:p>
    <w:p>
      <w:pPr>
        <w:pStyle w:val="BodyText"/>
        <w:spacing w:line="408" w:lineRule="auto" w:before="46"/>
        <w:ind w:right="130" w:firstLine="420"/>
        <w:jc w:val="both"/>
      </w:pPr>
      <w:r>
        <w:rPr>
          <w:w w:val="95"/>
        </w:rPr>
        <w:t>陈延风先生：1964年生，中国国籍，无境外永久居留权，本科学历，高级经济师。曾任本公司董事会</w:t>
      </w:r>
      <w:r>
        <w:rPr>
          <w:spacing w:val="-97"/>
          <w:w w:val="95"/>
        </w:rPr>
        <w:t> </w:t>
      </w:r>
      <w:r>
        <w:rPr>
          <w:spacing w:val="-97"/>
          <w:w w:val="95"/>
        </w:rPr>
      </w:r>
      <w:r>
        <w:rPr/>
        <w:t>办公室主任、证券事务代表。现任公司监事。</w:t>
      </w:r>
    </w:p>
    <w:p>
      <w:pPr>
        <w:pStyle w:val="BodyText"/>
        <w:spacing w:line="408" w:lineRule="auto" w:before="46"/>
        <w:ind w:right="132" w:firstLine="420"/>
        <w:jc w:val="both"/>
      </w:pPr>
      <w:r>
        <w:rPr>
          <w:w w:val="95"/>
        </w:rPr>
        <w:t>竺进先生：1959年生，中国国籍，无境外永久居留权，大专学历。曾任合肥安曼制版有限公司生产调</w:t>
      </w:r>
      <w:r>
        <w:rPr>
          <w:w w:val="99"/>
        </w:rPr>
        <w:t> </w:t>
      </w:r>
      <w:r>
        <w:rPr/>
        <w:t>度。现任公司总经理办公室副主任和公司职工代表监事。</w:t>
      </w:r>
    </w:p>
    <w:p>
      <w:pPr>
        <w:pStyle w:val="BodyText"/>
        <w:spacing w:line="408" w:lineRule="auto" w:before="46"/>
        <w:ind w:left="532" w:right="5234" w:hanging="104"/>
        <w:jc w:val="left"/>
      </w:pPr>
      <w:r>
        <w:rPr>
          <w:rFonts w:ascii="宋体" w:hAnsi="宋体" w:cs="宋体" w:eastAsia="宋体" w:hint="default"/>
          <w:b/>
          <w:bCs/>
        </w:rPr>
        <w:t>（三）高级管理人员</w:t>
      </w:r>
      <w:r>
        <w:rPr>
          <w:rFonts w:ascii="宋体" w:hAnsi="宋体" w:cs="宋体" w:eastAsia="宋体" w:hint="default"/>
          <w:b/>
          <w:bCs/>
          <w:w w:val="99"/>
        </w:rPr>
        <w:t> </w:t>
      </w:r>
      <w:r>
        <w:rPr/>
        <w:t>杨世宁先生：总经理，见董事会成员简历。</w:t>
      </w:r>
      <w:r>
        <w:rPr>
          <w:w w:val="99"/>
        </w:rPr>
        <w:t> </w:t>
      </w:r>
      <w:r>
        <w:rPr/>
        <w:t>陈新先生：副总经理，见董事会成员简历。</w:t>
      </w:r>
      <w:r>
        <w:rPr>
          <w:w w:val="99"/>
        </w:rPr>
        <w:t> </w:t>
      </w:r>
      <w:r>
        <w:rPr>
          <w:w w:val="95"/>
        </w:rPr>
        <w:t>杨新子先生：副总经理，见董事会成员简历。</w:t>
      </w:r>
      <w:r>
        <w:rPr>
          <w:spacing w:val="-6"/>
          <w:w w:val="95"/>
        </w:rPr>
        <w:t> </w:t>
      </w:r>
      <w:r>
        <w:rPr>
          <w:spacing w:val="-6"/>
          <w:w w:val="95"/>
        </w:rPr>
      </w:r>
      <w:r>
        <w:rPr/>
        <w:t>孙胜先生：副总经理，见董事会成员简历。</w:t>
      </w:r>
    </w:p>
    <w:p>
      <w:pPr>
        <w:pStyle w:val="BodyText"/>
        <w:spacing w:line="408" w:lineRule="auto" w:before="46"/>
        <w:ind w:right="132" w:firstLine="420"/>
        <w:jc w:val="both"/>
      </w:pPr>
      <w:r>
        <w:rPr>
          <w:w w:val="95"/>
        </w:rPr>
        <w:t>孔梅女士：1969年生，中国国籍，无境外永久居留权，大专学历。曾任安徽皖通科技发展有限公司总</w:t>
      </w:r>
      <w:r>
        <w:rPr>
          <w:w w:val="99"/>
        </w:rPr>
        <w:t> </w:t>
      </w:r>
      <w:r>
        <w:rPr/>
        <w:t>经理助理。现任公司副总经理、子公司安徽皖通城市智能交通科技有限公司董事长。</w:t>
      </w:r>
    </w:p>
    <w:p>
      <w:pPr>
        <w:pStyle w:val="BodyText"/>
        <w:spacing w:line="408" w:lineRule="auto" w:before="46"/>
        <w:ind w:right="112" w:firstLine="420"/>
        <w:jc w:val="both"/>
      </w:pPr>
      <w:r>
        <w:rPr>
          <w:w w:val="95"/>
        </w:rPr>
        <w:t>卢玉平先生：1985年生，中国国籍，无境外永久居留权，本科学历，中国注册会计师协会会员（非执</w:t>
      </w:r>
      <w:r>
        <w:rPr>
          <w:w w:val="99"/>
        </w:rPr>
        <w:t> </w:t>
      </w:r>
      <w:r>
        <w:rPr>
          <w:w w:val="95"/>
        </w:rPr>
        <w:t>业）。曾任华普天健会计师事务所（特殊普通合伙）审计职务和公司财务部经理。现任公司财务负责人、</w:t>
      </w:r>
      <w:r>
        <w:rPr>
          <w:spacing w:val="61"/>
          <w:w w:val="95"/>
        </w:rPr>
        <w:t> </w:t>
      </w:r>
      <w:r>
        <w:rPr>
          <w:spacing w:val="61"/>
          <w:w w:val="95"/>
        </w:rPr>
      </w:r>
      <w:r>
        <w:rPr/>
        <w:t>子公司重庆皖通科技有限责任公司董事。</w:t>
      </w:r>
    </w:p>
    <w:p>
      <w:pPr>
        <w:spacing w:before="33"/>
        <w:ind w:left="112" w:right="104"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60" w:lineRule="auto" w:before="117"/>
        <w:ind w:left="112" w:right="8134" w:firstLine="0"/>
        <w:jc w:val="left"/>
        <w:rPr>
          <w:rFonts w:ascii="宋体" w:hAnsi="宋体" w:cs="宋体" w:eastAsia="宋体" w:hint="default"/>
          <w:sz w:val="18"/>
          <w:szCs w:val="18"/>
        </w:rPr>
      </w:pPr>
      <w:r>
        <w:rPr>
          <w:rFonts w:ascii="宋体" w:hAnsi="宋体" w:cs="宋体" w:eastAsia="宋体" w:hint="default"/>
          <w:sz w:val="18"/>
          <w:szCs w:val="18"/>
        </w:rPr>
        <w:t>□ 适用 √ 不适用 在其他单位任职情况</w:t>
      </w:r>
    </w:p>
    <w:p>
      <w:pPr>
        <w:spacing w:before="25"/>
        <w:ind w:left="11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884"/>
        <w:gridCol w:w="3195"/>
        <w:gridCol w:w="1440"/>
        <w:gridCol w:w="1620"/>
        <w:gridCol w:w="1590"/>
        <w:gridCol w:w="838"/>
      </w:tblGrid>
      <w:tr>
        <w:trPr>
          <w:trHeight w:val="358" w:hRule="exact"/>
        </w:trPr>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0" w:type="dxa"/>
            <w:tcBorders>
              <w:top w:val="single" w:sz="4" w:space="0" w:color="000000"/>
              <w:left w:val="single" w:sz="4" w:space="0" w:color="000000"/>
              <w:bottom w:val="nil" w:sz="6" w:space="0" w:color="auto"/>
              <w:right w:val="single" w:sz="4" w:space="0" w:color="000000"/>
            </w:tcBorders>
            <w:shd w:val="clear" w:color="auto" w:fill="D3D3D3"/>
          </w:tcPr>
          <w:p>
            <w:pPr/>
          </w:p>
        </w:tc>
        <w:tc>
          <w:tcPr>
            <w:tcW w:w="83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在其他单</w:t>
            </w:r>
          </w:p>
        </w:tc>
      </w:tr>
      <w:tr>
        <w:trPr>
          <w:trHeight w:val="624" w:hRule="exact"/>
        </w:trPr>
        <w:tc>
          <w:tcPr>
            <w:tcW w:w="8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56" w:right="75"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44" w:right="83"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54" w:right="51"/>
              <w:jc w:val="left"/>
              <w:rPr>
                <w:rFonts w:ascii="宋体" w:hAnsi="宋体" w:cs="宋体" w:eastAsia="宋体" w:hint="default"/>
                <w:sz w:val="18"/>
                <w:szCs w:val="18"/>
              </w:rPr>
            </w:pPr>
            <w:r>
              <w:rPr>
                <w:rFonts w:ascii="宋体" w:hAnsi="宋体" w:cs="宋体" w:eastAsia="宋体" w:hint="default"/>
                <w:sz w:val="18"/>
                <w:szCs w:val="18"/>
              </w:rPr>
              <w:t>位是否领 取报酬津</w:t>
            </w:r>
          </w:p>
        </w:tc>
      </w:tr>
      <w:tr>
        <w:trPr>
          <w:trHeight w:val="356" w:hRule="exact"/>
        </w:trPr>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0" w:type="dxa"/>
            <w:tcBorders>
              <w:top w:val="nil" w:sz="6" w:space="0" w:color="auto"/>
              <w:left w:val="single" w:sz="4" w:space="0" w:color="000000"/>
              <w:bottom w:val="single" w:sz="4" w:space="0" w:color="000000"/>
              <w:right w:val="single" w:sz="4" w:space="0" w:color="000000"/>
            </w:tcBorders>
            <w:shd w:val="clear" w:color="auto" w:fill="D3D3D3"/>
          </w:tcPr>
          <w:p>
            <w:pPr/>
          </w:p>
        </w:tc>
        <w:tc>
          <w:tcPr>
            <w:tcW w:w="83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贴</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6" w:footer="978" w:top="1040" w:bottom="1160" w:left="1020" w:right="10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884"/>
        <w:gridCol w:w="3195"/>
        <w:gridCol w:w="1440"/>
        <w:gridCol w:w="1620"/>
        <w:gridCol w:w="1590"/>
        <w:gridCol w:w="838"/>
      </w:tblGrid>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安徽高速物流股份有限公司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王中胜</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武汉宏途科技有限公司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杨世宁</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杨世宁</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陈  新</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陈  新</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陈  新</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天津市金飞博光通讯有限公司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天津玺朗文化传媒有限公司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武汉宏途科技有限公司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杨新子</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陈结淼</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安徽华茂纺织股份有限公司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陈结淼</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合肥百货大楼集团股份有限公司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合肥工业大学金融证券研究所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所长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中国会计学会工科院校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秘书长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安徽鑫龙电器股份有限公司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安徽国风塑业股份有限公司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加加食品集团股份有限公司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李洪峰</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华帝股份有限公司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李洪峰</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安徽马鞍山农村商业银行股份有限公司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李洪峰</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中国科技大学管理学院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副教授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李洪峰</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安徽安凯汽车股份有限公司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李天华</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李天华</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孙  胜</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执行监事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孔  梅</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王夕众</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王夕众</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烟台华东电子科技有限公司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7"/>
                <w:sz w:val="18"/>
                <w:szCs w:val="18"/>
              </w:rPr>
              <w:t>执行董事、总经理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王夕众</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卢玉平</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6" w:footer="978" w:top="10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p>
      <w:pPr>
        <w:spacing w:line="1040" w:lineRule="exact"/>
        <w:ind w:left="13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pict>
          <v:group style="width:479.35pt;height:52.05pt;mso-position-horizontal-relative:char;mso-position-vertical-relative:line" coordorigin="0,0" coordsize="9587,1041">
            <v:group style="position:absolute;left:13;top:13;width:879;height:1021" coordorigin="13,13" coordsize="879,1021">
              <v:shape style="position:absolute;left:13;top:13;width:879;height:1021" coordorigin="13,13" coordsize="879,1021" path="m13,13l892,13,892,1034,13,1034,13,13xe" filled="true" fillcolor="#d3d3d3" stroked="false">
                <v:path arrowok="t"/>
                <v:fill type="solid"/>
              </v:shape>
            </v:group>
            <v:group style="position:absolute;left:5;top:10;width:9577;height:2" coordorigin="5,10" coordsize="9577,2">
              <v:shape style="position:absolute;left:5;top:10;width:9577;height:2" coordorigin="5,10" coordsize="9577,0" path="m5,10l9581,10e" filled="false" stroked="true" strokeweight=".48pt" strokecolor="#000000">
                <v:path arrowok="t"/>
              </v:shape>
            </v:group>
            <v:group style="position:absolute;left:5;top:1036;width:9577;height:2" coordorigin="5,1036" coordsize="9577,2">
              <v:shape style="position:absolute;left:5;top:1036;width:9577;height:2" coordorigin="5,1036" coordsize="9577,0" path="m5,1036l9581,1036e" filled="false" stroked="true" strokeweight=".48pt" strokecolor="#000000">
                <v:path arrowok="t"/>
              </v:shape>
            </v:group>
            <v:group style="position:absolute;left:10;top:5;width:2;height:1026" coordorigin="10,5" coordsize="2,1026">
              <v:shape style="position:absolute;left:10;top:5;width:2;height:1026" coordorigin="10,5" coordsize="0,1026" path="m10,5l10,1031e" filled="false" stroked="true" strokeweight=".48pt" strokecolor="#000000">
                <v:path arrowok="t"/>
              </v:shape>
            </v:group>
            <v:group style="position:absolute;left:894;top:5;width:2;height:1026" coordorigin="894,5" coordsize="2,1026">
              <v:shape style="position:absolute;left:894;top:5;width:2;height:1026" coordorigin="894,5" coordsize="0,1026" path="m894,5l894,1031e" filled="false" stroked="true" strokeweight=".48pt" strokecolor="#000000">
                <v:path arrowok="t"/>
              </v:shape>
            </v:group>
            <v:group style="position:absolute;left:9577;top:5;width:2;height:1026" coordorigin="9577,5" coordsize="2,1026">
              <v:shape style="position:absolute;left:9577;top:5;width:2;height:1026" coordorigin="9577,5" coordsize="0,1026" path="m9577,5l9577,1031e" filled="false" stroked="true" strokeweight=".48pt" strokecolor="#000000">
                <v:path arrowok="t"/>
              </v:shape>
              <v:shape style="position:absolute;left:10;top:10;width:884;height:1026" type="#_x0000_t202" filled="false" stroked="false">
                <v:textbox inset="0,0,0,0">
                  <w:txbxContent>
                    <w:p>
                      <w:pPr>
                        <w:spacing w:line="316" w:lineRule="auto" w:before="54"/>
                        <w:ind w:left="28" w:right="133" w:firstLine="0"/>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xbxContent>
                </v:textbox>
                <w10:wrap type="none"/>
              </v:shape>
              <v:shape style="position:absolute;left:921;top:43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Times New Roman" w:hAnsi="Times New Roman" w:cs="Times New Roman" w:eastAsia="Times New Roman" w:hint="default"/>
          <w:position w:val="-20"/>
          <w:sz w:val="20"/>
          <w:szCs w:val="20"/>
        </w:rPr>
      </w:r>
    </w:p>
    <w:p>
      <w:pPr>
        <w:spacing w:before="51"/>
        <w:ind w:left="112" w:right="105"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2" w:right="562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left="112" w:right="105"/>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2"/>
        <w:rPr>
          <w:rFonts w:ascii="宋体" w:hAnsi="宋体" w:cs="宋体" w:eastAsia="宋体" w:hint="default"/>
          <w:sz w:val="12"/>
          <w:szCs w:val="12"/>
        </w:rPr>
      </w:pPr>
    </w:p>
    <w:p>
      <w:pPr>
        <w:pStyle w:val="BodyText"/>
        <w:spacing w:line="408" w:lineRule="auto" w:before="0"/>
        <w:ind w:right="105" w:firstLine="420"/>
        <w:jc w:val="left"/>
      </w:pPr>
      <w:r>
        <w:rPr/>
        <w:t>公司对高级管理人员的聘任公开、透明，符合法律法规的规定。公司董事会薪酬与考核委员会负责对</w:t>
      </w:r>
      <w:r>
        <w:rPr>
          <w:w w:val="99"/>
        </w:rPr>
        <w:t> </w:t>
      </w:r>
      <w:r>
        <w:rPr>
          <w:spacing w:val="-3"/>
        </w:rPr>
        <w:t>高级管理人员的工作能力、履职情况、责任目标完成情况等进行考评，并制定薪酬方案报公司董事会审批。</w:t>
      </w:r>
      <w:r>
        <w:rPr>
          <w:w w:val="99"/>
        </w:rPr>
        <w:t> </w:t>
      </w:r>
      <w:r>
        <w:rPr/>
        <w:t>公司建立了完善的高级管理人员绩效考评体系和薪酬制度，通过加大对公司高级管理人员的激励考核，强</w:t>
      </w:r>
      <w:r>
        <w:rPr>
          <w:w w:val="99"/>
        </w:rPr>
        <w:t> </w:t>
      </w:r>
      <w:r>
        <w:rPr/>
        <w:t>化责任目标约束，工作绩效与其收入直接挂钩等方式，充分发挥和调动公司高级管理人员的工作积极性和</w:t>
      </w:r>
      <w:r>
        <w:rPr>
          <w:w w:val="99"/>
        </w:rPr>
        <w:t> </w:t>
      </w:r>
      <w:r>
        <w:rPr/>
        <w:t>创造性，提高了企业的管理水平、营运能力和经济效益。</w:t>
      </w:r>
    </w:p>
    <w:p>
      <w:pPr>
        <w:spacing w:before="33"/>
        <w:ind w:left="112" w:right="5624"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30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2" w:type="dxa"/>
        <w:tblLayout w:type="fixed"/>
        <w:tblCellMar>
          <w:top w:w="0" w:type="dxa"/>
          <w:left w:w="0" w:type="dxa"/>
          <w:bottom w:w="0" w:type="dxa"/>
          <w:right w:w="0" w:type="dxa"/>
        </w:tblCellMar>
        <w:tblLook w:val="01E0"/>
      </w:tblPr>
      <w:tblGrid>
        <w:gridCol w:w="1369"/>
        <w:gridCol w:w="2607"/>
        <w:gridCol w:w="915"/>
        <w:gridCol w:w="810"/>
        <w:gridCol w:w="1136"/>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46"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王中胜</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董事、董事长</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5"/>
              <w:jc w:val="right"/>
              <w:rPr>
                <w:rFonts w:ascii="宋体" w:hAnsi="宋体" w:cs="宋体" w:eastAsia="宋体" w:hint="default"/>
                <w:sz w:val="18"/>
                <w:szCs w:val="18"/>
              </w:rPr>
            </w:pPr>
            <w:r>
              <w:rPr>
                <w:rFonts w:ascii="宋体"/>
                <w:sz w:val="18"/>
              </w:rPr>
              <w:t>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7"/>
              <w:jc w:val="right"/>
              <w:rPr>
                <w:rFonts w:ascii="宋体" w:hAnsi="宋体" w:cs="宋体" w:eastAsia="宋体" w:hint="default"/>
                <w:sz w:val="18"/>
                <w:szCs w:val="18"/>
              </w:rPr>
            </w:pPr>
            <w:r>
              <w:rPr>
                <w:rFonts w:ascii="宋体" w:hAnsi="宋体" w:cs="宋体" w:eastAsia="宋体" w:hint="default"/>
                <w:sz w:val="18"/>
                <w:szCs w:val="18"/>
              </w:rPr>
              <w:t>王志洁</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董事、副董事长</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5"/>
              <w:jc w:val="right"/>
              <w:rPr>
                <w:rFonts w:ascii="宋体" w:hAnsi="宋体" w:cs="宋体" w:eastAsia="宋体" w:hint="default"/>
                <w:sz w:val="18"/>
                <w:szCs w:val="18"/>
              </w:rPr>
            </w:pPr>
            <w:r>
              <w:rPr>
                <w:rFonts w:ascii="宋体"/>
                <w:sz w:val="18"/>
              </w:rPr>
              <w:t>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杨世宁</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5"/>
              <w:jc w:val="right"/>
              <w:rPr>
                <w:rFonts w:ascii="宋体" w:hAnsi="宋体" w:cs="宋体" w:eastAsia="宋体" w:hint="default"/>
                <w:sz w:val="18"/>
                <w:szCs w:val="18"/>
              </w:rPr>
            </w:pPr>
            <w:r>
              <w:rPr>
                <w:rFonts w:ascii="宋体"/>
                <w:sz w:val="18"/>
              </w:rPr>
              <w:t>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7"/>
              <w:jc w:val="right"/>
              <w:rPr>
                <w:rFonts w:ascii="宋体" w:hAnsi="宋体" w:cs="宋体" w:eastAsia="宋体" w:hint="default"/>
                <w:sz w:val="18"/>
                <w:szCs w:val="18"/>
              </w:rPr>
            </w:pPr>
            <w:r>
              <w:rPr>
                <w:rFonts w:ascii="宋体" w:hAnsi="宋体" w:cs="宋体" w:eastAsia="宋体" w:hint="default"/>
                <w:sz w:val="18"/>
                <w:szCs w:val="18"/>
              </w:rPr>
              <w:t>陈  新</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董事、副总经理、董事会秘书</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spacing w:val="-1"/>
                <w:sz w:val="18"/>
              </w:rPr>
              <w:t>28.82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杨新子</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1"/>
              <w:jc w:val="right"/>
              <w:rPr>
                <w:rFonts w:ascii="宋体" w:hAnsi="宋体" w:cs="宋体" w:eastAsia="宋体" w:hint="default"/>
                <w:sz w:val="18"/>
                <w:szCs w:val="18"/>
              </w:rPr>
            </w:pPr>
            <w:r>
              <w:rPr>
                <w:rFonts w:ascii="宋体"/>
                <w:spacing w:val="-1"/>
                <w:sz w:val="18"/>
              </w:rPr>
              <w:t>30.13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7"/>
              <w:jc w:val="right"/>
              <w:rPr>
                <w:rFonts w:ascii="宋体" w:hAnsi="宋体" w:cs="宋体" w:eastAsia="宋体" w:hint="default"/>
                <w:sz w:val="18"/>
                <w:szCs w:val="18"/>
              </w:rPr>
            </w:pPr>
            <w:r>
              <w:rPr>
                <w:rFonts w:ascii="宋体" w:hAnsi="宋体" w:cs="宋体" w:eastAsia="宋体" w:hint="default"/>
                <w:sz w:val="18"/>
                <w:szCs w:val="18"/>
              </w:rPr>
              <w:t>郑  槐</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spacing w:val="-1"/>
                <w:sz w:val="18"/>
              </w:rPr>
              <w:t>27.86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姚禄仕</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7"/>
              <w:jc w:val="right"/>
              <w:rPr>
                <w:rFonts w:ascii="宋体" w:hAnsi="宋体" w:cs="宋体" w:eastAsia="宋体" w:hint="default"/>
                <w:sz w:val="18"/>
                <w:szCs w:val="18"/>
              </w:rPr>
            </w:pPr>
            <w:r>
              <w:rPr>
                <w:rFonts w:ascii="宋体" w:hAnsi="宋体" w:cs="宋体" w:eastAsia="宋体" w:hint="default"/>
                <w:sz w:val="18"/>
                <w:szCs w:val="18"/>
              </w:rPr>
              <w:t>陈结淼</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李洪峰</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5"/>
              <w:jc w:val="right"/>
              <w:rPr>
                <w:rFonts w:ascii="宋体" w:hAnsi="宋体" w:cs="宋体" w:eastAsia="宋体" w:hint="default"/>
                <w:sz w:val="18"/>
                <w:szCs w:val="18"/>
              </w:rPr>
            </w:pPr>
            <w:r>
              <w:rPr>
                <w:rFonts w:ascii="宋体"/>
                <w:sz w:val="18"/>
              </w:rPr>
              <w:t>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7"/>
              <w:jc w:val="right"/>
              <w:rPr>
                <w:rFonts w:ascii="宋体" w:hAnsi="宋体" w:cs="宋体" w:eastAsia="宋体" w:hint="default"/>
                <w:sz w:val="18"/>
                <w:szCs w:val="18"/>
              </w:rPr>
            </w:pPr>
            <w:r>
              <w:rPr>
                <w:rFonts w:ascii="宋体" w:hAnsi="宋体" w:cs="宋体" w:eastAsia="宋体" w:hint="default"/>
                <w:sz w:val="18"/>
                <w:szCs w:val="18"/>
              </w:rPr>
              <w:t>李天华</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spacing w:val="-1"/>
                <w:sz w:val="18"/>
              </w:rPr>
              <w:t>17.02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陈延风</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1"/>
              <w:jc w:val="right"/>
              <w:rPr>
                <w:rFonts w:ascii="宋体" w:hAnsi="宋体" w:cs="宋体" w:eastAsia="宋体" w:hint="default"/>
                <w:sz w:val="18"/>
                <w:szCs w:val="18"/>
              </w:rPr>
            </w:pPr>
            <w:r>
              <w:rPr>
                <w:rFonts w:ascii="宋体"/>
                <w:spacing w:val="-1"/>
                <w:sz w:val="18"/>
              </w:rPr>
              <w:t>12.72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7"/>
              <w:jc w:val="right"/>
              <w:rPr>
                <w:rFonts w:ascii="宋体" w:hAnsi="宋体" w:cs="宋体" w:eastAsia="宋体" w:hint="default"/>
                <w:sz w:val="18"/>
                <w:szCs w:val="18"/>
              </w:rPr>
            </w:pPr>
            <w:r>
              <w:rPr>
                <w:rFonts w:ascii="宋体" w:hAnsi="宋体" w:cs="宋体" w:eastAsia="宋体" w:hint="default"/>
                <w:sz w:val="18"/>
                <w:szCs w:val="18"/>
              </w:rPr>
              <w:t>竺  进</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spacing w:val="-1"/>
                <w:sz w:val="18"/>
              </w:rPr>
              <w:t>11.85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孙  胜</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1"/>
              <w:jc w:val="right"/>
              <w:rPr>
                <w:rFonts w:ascii="宋体" w:hAnsi="宋体" w:cs="宋体" w:eastAsia="宋体" w:hint="default"/>
                <w:sz w:val="18"/>
                <w:szCs w:val="18"/>
              </w:rPr>
            </w:pPr>
            <w:r>
              <w:rPr>
                <w:rFonts w:ascii="宋体"/>
                <w:spacing w:val="-1"/>
                <w:sz w:val="18"/>
              </w:rPr>
              <w:t>37.55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7"/>
              <w:jc w:val="right"/>
              <w:rPr>
                <w:rFonts w:ascii="宋体" w:hAnsi="宋体" w:cs="宋体" w:eastAsia="宋体" w:hint="default"/>
                <w:sz w:val="18"/>
                <w:szCs w:val="18"/>
              </w:rPr>
            </w:pPr>
            <w:r>
              <w:rPr>
                <w:rFonts w:ascii="宋体" w:hAnsi="宋体" w:cs="宋体" w:eastAsia="宋体" w:hint="default"/>
                <w:sz w:val="18"/>
                <w:szCs w:val="18"/>
              </w:rPr>
              <w:t>孔  梅</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spacing w:val="-1"/>
                <w:sz w:val="18"/>
              </w:rPr>
              <w:t>27.86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卢玉平</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1"/>
              <w:jc w:val="right"/>
              <w:rPr>
                <w:rFonts w:ascii="宋体" w:hAnsi="宋体" w:cs="宋体" w:eastAsia="宋体" w:hint="default"/>
                <w:sz w:val="18"/>
                <w:szCs w:val="18"/>
              </w:rPr>
            </w:pPr>
            <w:r>
              <w:rPr>
                <w:rFonts w:ascii="宋体"/>
                <w:spacing w:val="-1"/>
                <w:sz w:val="18"/>
              </w:rPr>
              <w:t>21.51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7"/>
              <w:jc w:val="right"/>
              <w:rPr>
                <w:rFonts w:ascii="宋体" w:hAnsi="宋体" w:cs="宋体" w:eastAsia="宋体" w:hint="default"/>
                <w:sz w:val="18"/>
                <w:szCs w:val="18"/>
              </w:rPr>
            </w:pPr>
            <w:r>
              <w:rPr>
                <w:rFonts w:ascii="宋体" w:hAnsi="宋体" w:cs="宋体" w:eastAsia="宋体" w:hint="default"/>
                <w:sz w:val="18"/>
                <w:szCs w:val="18"/>
              </w:rPr>
              <w:t>王夕众</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spacing w:val="-1"/>
                <w:sz w:val="18"/>
              </w:rPr>
              <w:t>21.68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1"/>
              <w:jc w:val="right"/>
              <w:rPr>
                <w:rFonts w:ascii="宋体" w:hAnsi="宋体" w:cs="宋体" w:eastAsia="宋体" w:hint="default"/>
                <w:sz w:val="18"/>
                <w:szCs w:val="18"/>
              </w:rPr>
            </w:pPr>
            <w:r>
              <w:rPr>
                <w:rFonts w:ascii="宋体"/>
                <w:spacing w:val="-1"/>
                <w:sz w:val="18"/>
              </w:rPr>
              <w:t>325.15</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85"/>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746" w:footer="978" w:top="1040" w:bottom="1160" w:left="1020" w:right="920"/>
        </w:sectPr>
      </w:pPr>
    </w:p>
    <w:p>
      <w:pPr>
        <w:spacing w:line="240" w:lineRule="auto" w:before="9"/>
        <w:rPr>
          <w:rFonts w:ascii="宋体" w:hAnsi="宋体" w:cs="宋体" w:eastAsia="宋体" w:hint="default"/>
          <w:sz w:val="26"/>
          <w:szCs w:val="26"/>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3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7034"/>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5774"/>
        <w:jc w:val="left"/>
        <w:rPr>
          <w:b w:val="0"/>
          <w:bCs w:val="0"/>
        </w:rPr>
      </w:pPr>
      <w:r>
        <w:rPr/>
        <w:t>1、员工数量、专业构成及教育程度</w:t>
      </w:r>
      <w:r>
        <w:rPr>
          <w:b w:val="0"/>
          <w:bCs w:val="0"/>
        </w:rPr>
      </w:r>
    </w:p>
    <w:p>
      <w:pPr>
        <w:spacing w:line="240" w:lineRule="auto" w:before="13"/>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1,058</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609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94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1,058</w:t>
            </w:r>
          </w:p>
        </w:tc>
      </w:tr>
    </w:tbl>
    <w:p>
      <w:pPr>
        <w:spacing w:line="240" w:lineRule="auto" w:before="3"/>
        <w:rPr>
          <w:rFonts w:ascii="宋体" w:hAnsi="宋体" w:cs="宋体" w:eastAsia="宋体" w:hint="default"/>
          <w:b/>
          <w:bCs/>
          <w:sz w:val="19"/>
          <w:szCs w:val="19"/>
        </w:rPr>
      </w:pPr>
    </w:p>
    <w:p>
      <w:pPr>
        <w:pStyle w:val="Heading6"/>
        <w:spacing w:line="240" w:lineRule="auto" w:before="34"/>
        <w:ind w:right="7034"/>
        <w:jc w:val="left"/>
        <w:rPr>
          <w:b w:val="0"/>
          <w:bCs w:val="0"/>
        </w:rPr>
      </w:pPr>
      <w:r>
        <w:rPr/>
        <w:t>2、薪酬政策</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left="132" w:right="112" w:firstLine="376"/>
        <w:jc w:val="both"/>
      </w:pPr>
      <w:r>
        <w:rPr/>
        <w:t>公司依照《劳动法》、《劳动合同法》等相关法律法规和《公司章程》的规定，制定了《安徽皖通科</w:t>
      </w:r>
      <w:r>
        <w:rPr>
          <w:w w:val="99"/>
        </w:rPr>
        <w:t> </w:t>
      </w:r>
      <w:r>
        <w:rPr>
          <w:w w:val="95"/>
        </w:rPr>
        <w:t>技股份有限公司薪资管理制度》，根据公司实际经营需要，基于员工岗位和技能，按照工作职能分为五个</w:t>
      </w:r>
      <w:r>
        <w:rPr>
          <w:spacing w:val="39"/>
          <w:w w:val="95"/>
        </w:rPr>
        <w:t> </w:t>
      </w:r>
      <w:r>
        <w:rPr>
          <w:spacing w:val="39"/>
          <w:w w:val="95"/>
        </w:rPr>
      </w:r>
      <w:r>
        <w:rPr>
          <w:w w:val="95"/>
        </w:rPr>
        <w:t>岗位系列：管理系列、管理辅助系列、市场销售系列、软件设计系列、项目管理系列；每个系列设定为：</w:t>
      </w:r>
      <w:r>
        <w:rPr>
          <w:spacing w:val="61"/>
          <w:w w:val="95"/>
        </w:rPr>
        <w:t> </w:t>
      </w:r>
      <w:r>
        <w:rPr>
          <w:spacing w:val="61"/>
          <w:w w:val="95"/>
        </w:rPr>
      </w:r>
      <w:r>
        <w:rPr/>
        <w:t>初级、中级、高级等级别，对应不同的薪资档位。</w:t>
      </w:r>
    </w:p>
    <w:p>
      <w:pPr>
        <w:pStyle w:val="BodyText"/>
        <w:spacing w:line="408" w:lineRule="auto" w:before="46"/>
        <w:ind w:left="132" w:right="132" w:firstLine="420"/>
        <w:jc w:val="both"/>
      </w:pPr>
      <w:r>
        <w:rPr>
          <w:w w:val="95"/>
        </w:rPr>
        <w:t>薪酬考核发放原则：综合考量个人绩效和团队绩效，实行动态管理的薪酬制度，实现个人能力与岗位</w:t>
      </w:r>
      <w:r>
        <w:rPr>
          <w:w w:val="99"/>
        </w:rPr>
        <w:t> </w:t>
      </w:r>
      <w:r>
        <w:rPr>
          <w:w w:val="95"/>
        </w:rPr>
        <w:t>职级匹配，岗位薪资与个人工作绩效挂钩；公司结合员工工作业绩和专业委员会评审意见，适时对个人薪</w:t>
      </w:r>
      <w:r>
        <w:rPr/>
      </w:r>
    </w:p>
    <w:p>
      <w:pPr>
        <w:spacing w:after="0" w:line="408" w:lineRule="auto"/>
        <w:jc w:val="both"/>
        <w:sectPr>
          <w:footerReference w:type="default" r:id="rId21"/>
          <w:pgSz w:w="11910" w:h="16840"/>
          <w:pgMar w:footer="978" w:header="746" w:top="1040" w:bottom="1160" w:left="1000" w:right="1000"/>
          <w:pgNumType w:start="5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08" w:lineRule="auto" w:before="0"/>
        <w:ind w:left="532" w:right="105" w:hanging="420"/>
        <w:jc w:val="left"/>
      </w:pPr>
      <w:r>
        <w:rPr/>
        <w:t>资级别进行调整。</w:t>
      </w:r>
      <w:r>
        <w:rPr>
          <w:w w:val="99"/>
        </w:rPr>
        <w:t> </w:t>
      </w:r>
      <w:r>
        <w:rPr>
          <w:w w:val="95"/>
        </w:rPr>
        <w:t>公司通过完善的薪酬制度和行之有效的管理措施，保障全员薪资水平稳步增长，为员工提供畅通的晋</w:t>
      </w:r>
      <w:r>
        <w:rPr/>
      </w:r>
    </w:p>
    <w:p>
      <w:pPr>
        <w:spacing w:line="604" w:lineRule="auto" w:before="46"/>
        <w:ind w:left="112" w:right="7944" w:firstLine="0"/>
        <w:jc w:val="left"/>
        <w:rPr>
          <w:rFonts w:ascii="宋体" w:hAnsi="宋体" w:cs="宋体" w:eastAsia="宋体" w:hint="default"/>
          <w:sz w:val="21"/>
          <w:szCs w:val="21"/>
        </w:rPr>
      </w:pPr>
      <w:r>
        <w:rPr>
          <w:rFonts w:ascii="宋体" w:hAnsi="宋体" w:cs="宋体" w:eastAsia="宋体" w:hint="default"/>
          <w:sz w:val="21"/>
          <w:szCs w:val="21"/>
        </w:rPr>
        <w:t>升渠道和职业平台。</w:t>
      </w:r>
      <w:r>
        <w:rPr>
          <w:rFonts w:ascii="宋体" w:hAnsi="宋体" w:cs="宋体" w:eastAsia="宋体" w:hint="default"/>
          <w:w w:val="99"/>
          <w:sz w:val="21"/>
          <w:szCs w:val="21"/>
        </w:rPr>
        <w:t> </w:t>
      </w:r>
      <w:r>
        <w:rPr>
          <w:rFonts w:ascii="宋体" w:hAnsi="宋体" w:cs="宋体" w:eastAsia="宋体" w:hint="default"/>
          <w:b/>
          <w:bCs/>
          <w:sz w:val="21"/>
          <w:szCs w:val="21"/>
        </w:rPr>
        <w:t>3、培训计划</w:t>
      </w:r>
      <w:r>
        <w:rPr>
          <w:rFonts w:ascii="宋体" w:hAnsi="宋体" w:cs="宋体" w:eastAsia="宋体" w:hint="default"/>
          <w:sz w:val="21"/>
          <w:szCs w:val="21"/>
        </w:rPr>
      </w:r>
    </w:p>
    <w:p>
      <w:pPr>
        <w:pStyle w:val="BodyText"/>
        <w:spacing w:line="408" w:lineRule="auto" w:before="97"/>
        <w:ind w:right="105" w:firstLine="420"/>
        <w:jc w:val="left"/>
      </w:pPr>
      <w:r>
        <w:rPr>
          <w:w w:val="95"/>
        </w:rPr>
        <w:t>公司遵循“系统性、制度化、主动性、多样化”原则，以内部培训、外派培训、员工自我学习培训等</w:t>
      </w:r>
      <w:r>
        <w:rPr>
          <w:w w:val="99"/>
        </w:rPr>
        <w:t> </w:t>
      </w:r>
      <w:r>
        <w:rPr/>
        <w:t>多种形式，提升全体员工岗位技能和专业知识。</w:t>
      </w:r>
    </w:p>
    <w:p>
      <w:pPr>
        <w:pStyle w:val="BodyText"/>
        <w:spacing w:line="408" w:lineRule="auto" w:before="46"/>
        <w:ind w:right="105" w:firstLine="420"/>
        <w:jc w:val="left"/>
      </w:pPr>
      <w:r>
        <w:rPr/>
        <w:t>公司根据员工岗位性质和入职年限，有针对性地制定专项培训计划：对新员工进行入职培训，让其了</w:t>
      </w:r>
      <w:r>
        <w:rPr>
          <w:w w:val="99"/>
        </w:rPr>
        <w:t> </w:t>
      </w:r>
      <w:r>
        <w:rPr>
          <w:spacing w:val="-3"/>
        </w:rPr>
        <w:t>解岗位职能，熟悉企业规章制度和运行流程；对在岗员工进行技能提升培训，增强其专业素质和管理能力；</w:t>
      </w:r>
      <w:r>
        <w:rPr>
          <w:w w:val="99"/>
        </w:rPr>
        <w:t> </w:t>
      </w:r>
      <w:r>
        <w:rPr/>
        <w:t>对专业技术及管理人员进行继续教育培训，帮助其实现职称晋升。</w:t>
      </w:r>
    </w:p>
    <w:p>
      <w:pPr>
        <w:pStyle w:val="BodyText"/>
        <w:spacing w:line="408" w:lineRule="auto" w:before="46"/>
        <w:ind w:right="212" w:firstLine="420"/>
        <w:jc w:val="both"/>
      </w:pPr>
      <w:r>
        <w:rPr>
          <w:w w:val="95"/>
        </w:rPr>
        <w:t>公司与各类大专院校、咨询公司和政府劳动人事管理部门、专业培训组织机构建立长期合作关系，通</w:t>
      </w:r>
      <w:r>
        <w:rPr>
          <w:w w:val="99"/>
        </w:rPr>
        <w:t> </w:t>
      </w:r>
      <w:r>
        <w:rPr>
          <w:w w:val="95"/>
        </w:rPr>
        <w:t>过组织参加公开课、进修培训、企业经理人培训等方式，拓展员工知识面，提升综合管理能力、创新能力</w:t>
      </w:r>
      <w:r>
        <w:rPr>
          <w:spacing w:val="38"/>
          <w:w w:val="95"/>
        </w:rPr>
        <w:t> </w:t>
      </w:r>
      <w:r>
        <w:rPr>
          <w:spacing w:val="38"/>
          <w:w w:val="95"/>
        </w:rPr>
      </w:r>
      <w:r>
        <w:rPr/>
        <w:t>和执行能力。</w:t>
      </w:r>
    </w:p>
    <w:p>
      <w:pPr>
        <w:spacing w:line="240" w:lineRule="auto" w:before="8"/>
        <w:rPr>
          <w:rFonts w:ascii="宋体" w:hAnsi="宋体" w:cs="宋体" w:eastAsia="宋体" w:hint="default"/>
          <w:sz w:val="20"/>
          <w:szCs w:val="20"/>
        </w:rPr>
      </w:pPr>
    </w:p>
    <w:p>
      <w:pPr>
        <w:pStyle w:val="Heading6"/>
        <w:spacing w:line="240" w:lineRule="auto"/>
        <w:ind w:left="112" w:right="5624"/>
        <w:jc w:val="left"/>
        <w:rPr>
          <w:b w:val="0"/>
          <w:bCs w:val="0"/>
        </w:rPr>
      </w:pPr>
      <w:r>
        <w:rPr/>
        <w:t>4、劳务外包情况</w:t>
      </w:r>
      <w:r>
        <w:rPr>
          <w:b w:val="0"/>
          <w:bCs w:val="0"/>
        </w:rPr>
      </w:r>
    </w:p>
    <w:p>
      <w:pPr>
        <w:spacing w:line="240" w:lineRule="auto" w:before="7"/>
        <w:rPr>
          <w:rFonts w:ascii="宋体" w:hAnsi="宋体" w:cs="宋体" w:eastAsia="宋体" w:hint="default"/>
          <w:b/>
          <w:bCs/>
          <w:sz w:val="27"/>
          <w:szCs w:val="27"/>
        </w:rPr>
      </w:pPr>
    </w:p>
    <w:p>
      <w:pPr>
        <w:spacing w:before="0"/>
        <w:ind w:left="112" w:right="562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40" w:bottom="116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3468"/>
        <w:jc w:val="center"/>
        <w:rPr>
          <w:b w:val="0"/>
          <w:bCs w:val="0"/>
        </w:rPr>
      </w:pPr>
      <w:bookmarkStart w:name="_bookmark8" w:id="9"/>
      <w:bookmarkEnd w:id="9"/>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96"/>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32" w:right="96" w:firstLine="525"/>
        <w:jc w:val="left"/>
      </w:pPr>
      <w:r>
        <w:rPr/>
        <w:t>报告期内，公司严格按照《公司法》、《证券法》、《上市公司治理准则》、《深圳证券交易所股</w:t>
      </w:r>
      <w:r>
        <w:rPr>
          <w:w w:val="99"/>
        </w:rPr>
        <w:t> </w:t>
      </w:r>
      <w:r>
        <w:rPr>
          <w:w w:val="95"/>
        </w:rPr>
        <w:t>票上市规则》、《深圳证券交易所中小企业板上市公司规范运作指引》等法律法规和规范性文件要求，不</w:t>
      </w:r>
      <w:r>
        <w:rPr>
          <w:spacing w:val="41"/>
          <w:w w:val="95"/>
        </w:rPr>
        <w:t> </w:t>
      </w:r>
      <w:r>
        <w:rPr>
          <w:spacing w:val="41"/>
          <w:w w:val="95"/>
        </w:rPr>
      </w:r>
      <w:r>
        <w:rPr>
          <w:w w:val="95"/>
        </w:rPr>
        <w:t>断完善公司治理，健全内部管理和控制制度，加强信息披露工作，积极开展投资者关系管理，进一步提高</w:t>
      </w:r>
      <w:r>
        <w:rPr>
          <w:spacing w:val="40"/>
          <w:w w:val="95"/>
        </w:rPr>
        <w:t> </w:t>
      </w:r>
      <w:r>
        <w:rPr>
          <w:spacing w:val="40"/>
          <w:w w:val="95"/>
        </w:rPr>
      </w:r>
      <w:r>
        <w:rPr>
          <w:w w:val="95"/>
        </w:rPr>
        <w:t>公司治理水平。截止报告期末，公司整体运作规范，信息披露规范，公司治理实际情况基本符合中国证监</w:t>
      </w:r>
      <w:r>
        <w:rPr>
          <w:spacing w:val="38"/>
          <w:w w:val="95"/>
        </w:rPr>
        <w:t> </w:t>
      </w:r>
      <w:r>
        <w:rPr>
          <w:spacing w:val="38"/>
          <w:w w:val="95"/>
        </w:rPr>
      </w:r>
      <w:r>
        <w:rPr/>
        <w:t>会发布的有关上市公司治理规范性文件的要求。</w:t>
      </w:r>
    </w:p>
    <w:p>
      <w:pPr>
        <w:pStyle w:val="BodyText"/>
        <w:spacing w:line="240" w:lineRule="auto" w:before="46"/>
        <w:ind w:left="552" w:right="96"/>
        <w:jc w:val="left"/>
      </w:pPr>
      <w:r>
        <w:rPr/>
        <w:t>报告期内，公司建立和修订的治理制度：</w:t>
      </w:r>
    </w:p>
    <w:p>
      <w:pPr>
        <w:spacing w:line="240" w:lineRule="auto" w:before="0"/>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799"/>
        <w:gridCol w:w="4875"/>
        <w:gridCol w:w="2940"/>
      </w:tblGrid>
      <w:tr>
        <w:trPr>
          <w:trHeight w:val="427" w:hRule="exact"/>
        </w:trPr>
        <w:tc>
          <w:tcPr>
            <w:tcW w:w="1799"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875"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94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427"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2015-04-27</w:t>
            </w:r>
          </w:p>
        </w:tc>
        <w:tc>
          <w:tcPr>
            <w:tcW w:w="4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《安徽皖通科技股份有限公司章程》</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sz w:val="18"/>
              </w:rPr>
            </w:r>
            <w:hyperlink r:id="rId12">
              <w:r>
                <w:rPr>
                  <w:rFonts w:ascii="宋体"/>
                  <w:sz w:val="18"/>
                  <w:u w:val="single" w:color="000000"/>
                </w:rPr>
                <w:t>http://www.cninfo.com.cn</w:t>
              </w:r>
              <w:r>
                <w:rPr>
                  <w:rFonts w:ascii="宋体"/>
                  <w:sz w:val="18"/>
                </w:rPr>
              </w:r>
            </w:hyperlink>
          </w:p>
        </w:tc>
      </w:tr>
      <w:tr>
        <w:trPr>
          <w:trHeight w:val="427"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2015-08-28</w:t>
            </w:r>
          </w:p>
        </w:tc>
        <w:tc>
          <w:tcPr>
            <w:tcW w:w="4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《安徽皖通科技股份有限公司内部控制缺陷认定标准》</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sz w:val="18"/>
              </w:rPr>
            </w:r>
            <w:hyperlink r:id="rId12">
              <w:r>
                <w:rPr>
                  <w:rFonts w:ascii="宋体"/>
                  <w:sz w:val="18"/>
                  <w:u w:val="single" w:color="000000"/>
                </w:rPr>
                <w:t>http://www.cninfo.com.cn</w:t>
              </w:r>
              <w:r>
                <w:rPr>
                  <w:rFonts w:ascii="宋体"/>
                  <w:sz w:val="18"/>
                </w:rPr>
              </w:r>
            </w:hyperlink>
          </w:p>
        </w:tc>
      </w:tr>
    </w:tbl>
    <w:p>
      <w:pPr>
        <w:spacing w:line="408" w:lineRule="auto" w:before="63"/>
        <w:ind w:left="552" w:right="96" w:firstLine="0"/>
        <w:jc w:val="left"/>
        <w:rPr>
          <w:rFonts w:ascii="宋体" w:hAnsi="宋体" w:cs="宋体" w:eastAsia="宋体" w:hint="default"/>
          <w:sz w:val="21"/>
          <w:szCs w:val="21"/>
        </w:rPr>
      </w:pPr>
      <w:r>
        <w:rPr>
          <w:rFonts w:ascii="宋体" w:hAnsi="宋体" w:cs="宋体" w:eastAsia="宋体" w:hint="default"/>
          <w:b/>
          <w:bCs/>
          <w:sz w:val="21"/>
          <w:szCs w:val="21"/>
        </w:rPr>
        <w:t>(一)关于股东与股东大会</w:t>
      </w:r>
      <w:r>
        <w:rPr>
          <w:rFonts w:ascii="宋体" w:hAnsi="宋体" w:cs="宋体" w:eastAsia="宋体" w:hint="default"/>
          <w:b/>
          <w:bCs/>
          <w:w w:val="99"/>
          <w:sz w:val="21"/>
          <w:szCs w:val="21"/>
        </w:rPr>
        <w:t> </w:t>
      </w:r>
      <w:r>
        <w:rPr>
          <w:rFonts w:ascii="宋体" w:hAnsi="宋体" w:cs="宋体" w:eastAsia="宋体" w:hint="default"/>
          <w:w w:val="95"/>
          <w:sz w:val="21"/>
          <w:szCs w:val="21"/>
        </w:rPr>
        <w:t>公司严格按照《公司法》、《证券法》、《深圳证券交易所股票上市规则》、《深圳证券交易所中小</w:t>
      </w:r>
      <w:r>
        <w:rPr>
          <w:rFonts w:ascii="宋体" w:hAnsi="宋体" w:cs="宋体" w:eastAsia="宋体" w:hint="default"/>
          <w:sz w:val="21"/>
          <w:szCs w:val="21"/>
        </w:rPr>
      </w:r>
    </w:p>
    <w:p>
      <w:pPr>
        <w:pStyle w:val="BodyText"/>
        <w:spacing w:line="408" w:lineRule="auto" w:before="46"/>
        <w:ind w:left="132" w:right="192"/>
        <w:jc w:val="both"/>
      </w:pPr>
      <w:r>
        <w:rPr>
          <w:w w:val="95"/>
        </w:rPr>
        <w:t>企业板上市公司规范运作指引》、《公司章程》和《安徽皖通科技股份有限公司股东大会议事规则》等相</w:t>
      </w:r>
      <w:r>
        <w:rPr>
          <w:spacing w:val="43"/>
          <w:w w:val="95"/>
        </w:rPr>
        <w:t> </w:t>
      </w:r>
      <w:r>
        <w:rPr>
          <w:spacing w:val="43"/>
          <w:w w:val="95"/>
        </w:rPr>
      </w:r>
      <w:r>
        <w:rPr>
          <w:w w:val="95"/>
        </w:rPr>
        <w:t>关法律法规要求规范召集、召开股东大会。报告期内，公司总共召开了三次股东大会，采用现场和网络投</w:t>
      </w:r>
      <w:r>
        <w:rPr>
          <w:spacing w:val="45"/>
          <w:w w:val="95"/>
        </w:rPr>
        <w:t> </w:t>
      </w:r>
      <w:r>
        <w:rPr>
          <w:spacing w:val="45"/>
          <w:w w:val="95"/>
        </w:rPr>
      </w:r>
      <w:r>
        <w:rPr>
          <w:w w:val="95"/>
        </w:rPr>
        <w:t>票方式，并聘请律师出席见证，能够确保全体股东尤其是中小股东享有平等地位，充分行使自己的权利。</w:t>
      </w:r>
      <w:r>
        <w:rPr/>
      </w:r>
    </w:p>
    <w:p>
      <w:pPr>
        <w:spacing w:line="408" w:lineRule="auto" w:before="46"/>
        <w:ind w:left="552" w:right="96" w:firstLine="0"/>
        <w:jc w:val="left"/>
        <w:rPr>
          <w:rFonts w:ascii="宋体" w:hAnsi="宋体" w:cs="宋体" w:eastAsia="宋体" w:hint="default"/>
          <w:sz w:val="21"/>
          <w:szCs w:val="21"/>
        </w:rPr>
      </w:pPr>
      <w:r>
        <w:rPr>
          <w:rFonts w:ascii="宋体" w:hAnsi="宋体" w:cs="宋体" w:eastAsia="宋体" w:hint="default"/>
          <w:b/>
          <w:bCs/>
          <w:sz w:val="21"/>
          <w:szCs w:val="21"/>
        </w:rPr>
        <w:t>(二)关于实际控制人与公司</w:t>
      </w:r>
      <w:r>
        <w:rPr>
          <w:rFonts w:ascii="宋体" w:hAnsi="宋体" w:cs="宋体" w:eastAsia="宋体" w:hint="default"/>
          <w:b/>
          <w:bCs/>
          <w:w w:val="99"/>
          <w:sz w:val="21"/>
          <w:szCs w:val="21"/>
        </w:rPr>
        <w:t> </w:t>
      </w:r>
      <w:r>
        <w:rPr>
          <w:rFonts w:ascii="宋体" w:hAnsi="宋体" w:cs="宋体" w:eastAsia="宋体" w:hint="default"/>
          <w:w w:val="95"/>
          <w:sz w:val="21"/>
          <w:szCs w:val="21"/>
        </w:rPr>
        <w:t>公司实际控制人严格按照《公司法》、《证券法》、《深圳证券交易所股票上市规则》、《深圳证券</w:t>
      </w:r>
      <w:r>
        <w:rPr>
          <w:rFonts w:ascii="宋体" w:hAnsi="宋体" w:cs="宋体" w:eastAsia="宋体" w:hint="default"/>
          <w:sz w:val="21"/>
          <w:szCs w:val="21"/>
        </w:rPr>
      </w:r>
    </w:p>
    <w:p>
      <w:pPr>
        <w:pStyle w:val="BodyText"/>
        <w:spacing w:line="408" w:lineRule="auto" w:before="46"/>
        <w:ind w:left="132" w:right="108"/>
        <w:jc w:val="both"/>
      </w:pPr>
      <w:r>
        <w:rPr/>
        <w:t>交易所中小企业板上市公司规范运作指引》、《公司章程》的规定和要求，严格规范自己的行为。公司实</w:t>
      </w:r>
      <w:r>
        <w:rPr>
          <w:w w:val="99"/>
        </w:rPr>
        <w:t> </w:t>
      </w:r>
      <w:r>
        <w:rPr/>
        <w:t>际控制人通过股东大会依法行使出资人的权利，并承担相应义务，没有超越股东大会直接或间接干预公司</w:t>
      </w:r>
      <w:r>
        <w:rPr>
          <w:w w:val="99"/>
        </w:rPr>
        <w:t> </w:t>
      </w:r>
      <w:r>
        <w:rPr>
          <w:spacing w:val="-3"/>
        </w:rPr>
        <w:t>的决策和经营活动，公司未与控股股东进行关联交易，不存在控股股东非经营性占用上市公司资金的情况。</w:t>
      </w:r>
    </w:p>
    <w:p>
      <w:pPr>
        <w:spacing w:line="408" w:lineRule="auto" w:before="46"/>
        <w:ind w:left="552" w:right="96" w:firstLine="0"/>
        <w:jc w:val="left"/>
        <w:rPr>
          <w:rFonts w:ascii="宋体" w:hAnsi="宋体" w:cs="宋体" w:eastAsia="宋体" w:hint="default"/>
          <w:sz w:val="21"/>
          <w:szCs w:val="21"/>
        </w:rPr>
      </w:pPr>
      <w:r>
        <w:rPr>
          <w:rFonts w:ascii="宋体" w:hAnsi="宋体" w:cs="宋体" w:eastAsia="宋体" w:hint="default"/>
          <w:b/>
          <w:bCs/>
          <w:sz w:val="21"/>
          <w:szCs w:val="21"/>
        </w:rPr>
        <w:t>(三)关于董事与董事会</w:t>
      </w:r>
      <w:r>
        <w:rPr>
          <w:rFonts w:ascii="宋体" w:hAnsi="宋体" w:cs="宋体" w:eastAsia="宋体" w:hint="default"/>
          <w:b/>
          <w:bCs/>
          <w:w w:val="99"/>
          <w:sz w:val="21"/>
          <w:szCs w:val="21"/>
        </w:rPr>
        <w:t> </w:t>
      </w:r>
      <w:r>
        <w:rPr>
          <w:rFonts w:ascii="宋体" w:hAnsi="宋体" w:cs="宋体" w:eastAsia="宋体" w:hint="default"/>
          <w:w w:val="95"/>
          <w:sz w:val="21"/>
          <w:szCs w:val="21"/>
        </w:rPr>
        <w:t>公司严格按照法律法规和《公司章程》规定的选聘程序选举董事，董事会的人数及人员构成符合法律</w:t>
      </w:r>
      <w:r>
        <w:rPr>
          <w:rFonts w:ascii="宋体" w:hAnsi="宋体" w:cs="宋体" w:eastAsia="宋体" w:hint="default"/>
          <w:sz w:val="21"/>
          <w:szCs w:val="21"/>
        </w:rPr>
      </w:r>
    </w:p>
    <w:p>
      <w:pPr>
        <w:pStyle w:val="BodyText"/>
        <w:spacing w:line="408" w:lineRule="auto" w:before="46"/>
        <w:ind w:left="132" w:right="210"/>
        <w:jc w:val="both"/>
      </w:pPr>
      <w:r>
        <w:rPr>
          <w:w w:val="95"/>
        </w:rPr>
        <w:t>法规和《公司章程》的要求。报告期内，董事会严格按照《公司章程》、《安徽皖通科技股份有限公司董</w:t>
      </w:r>
      <w:r>
        <w:rPr>
          <w:spacing w:val="38"/>
          <w:w w:val="95"/>
        </w:rPr>
        <w:t> </w:t>
      </w:r>
      <w:r>
        <w:rPr>
          <w:spacing w:val="38"/>
          <w:w w:val="95"/>
        </w:rPr>
      </w:r>
      <w:r>
        <w:rPr>
          <w:w w:val="95"/>
        </w:rPr>
        <w:t>事会议事规则》、《安徽皖通科技股份有限公司独立董事年报工作制度》等制度开展工作，总共召开了八</w:t>
      </w:r>
      <w:r>
        <w:rPr>
          <w:spacing w:val="43"/>
          <w:w w:val="95"/>
        </w:rPr>
        <w:t> </w:t>
      </w:r>
      <w:r>
        <w:rPr>
          <w:spacing w:val="43"/>
          <w:w w:val="95"/>
        </w:rPr>
      </w:r>
      <w:r>
        <w:rPr/>
        <w:t>次董事会，各位董事认真审议各项议案，履行自身应尽的职责。</w:t>
      </w:r>
    </w:p>
    <w:p>
      <w:pPr>
        <w:spacing w:line="408" w:lineRule="auto" w:before="46"/>
        <w:ind w:left="552" w:right="96" w:firstLine="0"/>
        <w:jc w:val="left"/>
        <w:rPr>
          <w:rFonts w:ascii="宋体" w:hAnsi="宋体" w:cs="宋体" w:eastAsia="宋体" w:hint="default"/>
          <w:sz w:val="21"/>
          <w:szCs w:val="21"/>
        </w:rPr>
      </w:pPr>
      <w:r>
        <w:rPr>
          <w:rFonts w:ascii="宋体" w:hAnsi="宋体" w:cs="宋体" w:eastAsia="宋体" w:hint="default"/>
          <w:b/>
          <w:bCs/>
          <w:sz w:val="21"/>
          <w:szCs w:val="21"/>
        </w:rPr>
        <w:t>（四）关于监事与监事会</w:t>
      </w:r>
      <w:r>
        <w:rPr>
          <w:rFonts w:ascii="宋体" w:hAnsi="宋体" w:cs="宋体" w:eastAsia="宋体" w:hint="default"/>
          <w:b/>
          <w:bCs/>
          <w:w w:val="99"/>
          <w:sz w:val="21"/>
          <w:szCs w:val="21"/>
        </w:rPr>
        <w:t> </w:t>
      </w:r>
      <w:r>
        <w:rPr>
          <w:rFonts w:ascii="宋体" w:hAnsi="宋体" w:cs="宋体" w:eastAsia="宋体" w:hint="default"/>
          <w:w w:val="95"/>
          <w:sz w:val="21"/>
          <w:szCs w:val="21"/>
        </w:rPr>
        <w:t>公司监事会由3名监事组成，其中职工监事1名，监事会人员构成符合法律、法规的要求。报告期内，</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746" w:footer="978" w:top="1040" w:bottom="1160" w:left="1000" w:right="9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08" w:lineRule="auto" w:before="0"/>
        <w:ind w:right="104"/>
        <w:jc w:val="left"/>
      </w:pPr>
      <w:r>
        <w:rPr>
          <w:w w:val="95"/>
        </w:rPr>
        <w:t>公司总共召开了七次监事会，全体监事认真审议各项议案，认真履行职责，有效维护了公司及股东的合法  </w:t>
      </w:r>
      <w:r>
        <w:rPr>
          <w:spacing w:val="40"/>
          <w:w w:val="95"/>
        </w:rPr>
        <w:t> </w:t>
      </w:r>
      <w:r>
        <w:rPr>
          <w:spacing w:val="40"/>
          <w:w w:val="95"/>
        </w:rPr>
      </w:r>
      <w:r>
        <w:rPr/>
        <w:t>权益。</w:t>
      </w:r>
    </w:p>
    <w:p>
      <w:pPr>
        <w:spacing w:line="408" w:lineRule="auto" w:before="46"/>
        <w:ind w:left="532" w:right="104" w:firstLine="0"/>
        <w:jc w:val="left"/>
        <w:rPr>
          <w:rFonts w:ascii="宋体" w:hAnsi="宋体" w:cs="宋体" w:eastAsia="宋体" w:hint="default"/>
          <w:sz w:val="21"/>
          <w:szCs w:val="21"/>
        </w:rPr>
      </w:pPr>
      <w:r>
        <w:rPr>
          <w:rFonts w:ascii="宋体" w:hAnsi="宋体" w:cs="宋体" w:eastAsia="宋体" w:hint="default"/>
          <w:b/>
          <w:bCs/>
          <w:sz w:val="21"/>
          <w:szCs w:val="21"/>
        </w:rPr>
        <w:t>（五）关于信息披露与透明度</w:t>
      </w:r>
      <w:r>
        <w:rPr>
          <w:rFonts w:ascii="宋体" w:hAnsi="宋体" w:cs="宋体" w:eastAsia="宋体" w:hint="default"/>
          <w:b/>
          <w:bCs/>
          <w:w w:val="99"/>
          <w:sz w:val="21"/>
          <w:szCs w:val="21"/>
        </w:rPr>
        <w:t> </w:t>
      </w:r>
      <w:r>
        <w:rPr>
          <w:rFonts w:ascii="宋体" w:hAnsi="宋体" w:cs="宋体" w:eastAsia="宋体" w:hint="default"/>
          <w:w w:val="95"/>
          <w:sz w:val="21"/>
          <w:szCs w:val="21"/>
        </w:rPr>
        <w:t>公司严格按照有关法律法规的规定和《安徽皖通科技股份有限公司信息披露管理制度》的规定，对外</w:t>
      </w:r>
      <w:r>
        <w:rPr>
          <w:rFonts w:ascii="宋体" w:hAnsi="宋体" w:cs="宋体" w:eastAsia="宋体" w:hint="default"/>
          <w:sz w:val="21"/>
          <w:szCs w:val="21"/>
        </w:rPr>
      </w:r>
    </w:p>
    <w:p>
      <w:pPr>
        <w:pStyle w:val="BodyText"/>
        <w:spacing w:line="240" w:lineRule="auto" w:before="46"/>
        <w:ind w:right="0"/>
        <w:jc w:val="both"/>
      </w:pPr>
      <w:r>
        <w:rPr/>
        <w:t>进行信息披露，公司董事会秘书为信息披露负责人，负责公司的信息披露与投资者关系的管理。公司指定</w:t>
      </w:r>
    </w:p>
    <w:p>
      <w:pPr>
        <w:spacing w:line="240" w:lineRule="auto" w:before="10"/>
        <w:rPr>
          <w:rFonts w:ascii="宋体" w:hAnsi="宋体" w:cs="宋体" w:eastAsia="宋体" w:hint="default"/>
          <w:sz w:val="14"/>
          <w:szCs w:val="14"/>
        </w:rPr>
      </w:pPr>
    </w:p>
    <w:p>
      <w:pPr>
        <w:pStyle w:val="BodyText"/>
        <w:spacing w:line="408" w:lineRule="auto" w:before="0"/>
        <w:ind w:right="112"/>
        <w:jc w:val="both"/>
      </w:pPr>
      <w:r>
        <w:rPr>
          <w:w w:val="95"/>
        </w:rPr>
        <w:t>《证券时报》、《中国证券报》和巨潮资讯网为公司信息披露的报纸与网站，真实、准确、完整、及时、</w:t>
      </w:r>
      <w:r>
        <w:rPr>
          <w:spacing w:val="61"/>
          <w:w w:val="95"/>
        </w:rPr>
        <w:t> </w:t>
      </w:r>
      <w:r>
        <w:rPr>
          <w:spacing w:val="61"/>
          <w:w w:val="95"/>
        </w:rPr>
      </w:r>
      <w:r>
        <w:rPr>
          <w:w w:val="95"/>
        </w:rPr>
        <w:t>公平地进行信息披露，确保所有投资者公平获取公司信息；严格做好未公开信息的保密工作，在重大事项</w:t>
      </w:r>
      <w:r>
        <w:rPr>
          <w:spacing w:val="40"/>
          <w:w w:val="95"/>
        </w:rPr>
        <w:t> </w:t>
      </w:r>
      <w:r>
        <w:rPr>
          <w:spacing w:val="40"/>
          <w:w w:val="95"/>
        </w:rPr>
      </w:r>
      <w:r>
        <w:rPr>
          <w:w w:val="95"/>
        </w:rPr>
        <w:t>公布前未出现内幕信息泄露情况保证信息披露的公开、公平。公司网站“投资者关系”栏目中也会转载相</w:t>
      </w:r>
      <w:r>
        <w:rPr>
          <w:spacing w:val="44"/>
          <w:w w:val="95"/>
        </w:rPr>
        <w:t> </w:t>
      </w:r>
      <w:r>
        <w:rPr>
          <w:spacing w:val="44"/>
          <w:w w:val="95"/>
        </w:rPr>
      </w:r>
      <w:r>
        <w:rPr/>
        <w:t>关公告内容，以保持与投资者的良好沟通和透明度。</w:t>
      </w:r>
    </w:p>
    <w:p>
      <w:pPr>
        <w:pStyle w:val="BodyText"/>
        <w:spacing w:line="408" w:lineRule="auto" w:before="46"/>
        <w:ind w:right="104" w:firstLine="420"/>
        <w:jc w:val="left"/>
      </w:pPr>
      <w:r>
        <w:rPr>
          <w:w w:val="95"/>
        </w:rPr>
        <w:t>报告期内，公司未发现内幕信息知情人在影响公司股价的重大敏感信息披露前利用内幕信息买卖公司</w:t>
      </w:r>
      <w:r>
        <w:rPr>
          <w:w w:val="99"/>
        </w:rPr>
        <w:t> </w:t>
      </w:r>
      <w:r>
        <w:rPr/>
        <w:t>股份的情况。</w:t>
      </w:r>
    </w:p>
    <w:p>
      <w:pPr>
        <w:pStyle w:val="BodyText"/>
        <w:spacing w:line="408" w:lineRule="auto" w:before="46"/>
        <w:ind w:left="532" w:right="104"/>
        <w:jc w:val="left"/>
      </w:pPr>
      <w:r>
        <w:rPr>
          <w:rFonts w:ascii="宋体" w:hAnsi="宋体" w:cs="宋体" w:eastAsia="宋体" w:hint="default"/>
          <w:b/>
          <w:bCs/>
        </w:rPr>
        <w:t>（六）关于相关利益者</w:t>
      </w:r>
      <w:r>
        <w:rPr>
          <w:rFonts w:ascii="宋体" w:hAnsi="宋体" w:cs="宋体" w:eastAsia="宋体" w:hint="default"/>
          <w:b/>
          <w:bCs/>
          <w:w w:val="99"/>
        </w:rPr>
        <w:t> </w:t>
      </w:r>
      <w:r>
        <w:rPr>
          <w:w w:val="95"/>
        </w:rPr>
        <w:t>公司能够充分尊重和维护相关利益者的合法权益，实现社会、股东、员工、供应商、客户等各方利益</w:t>
      </w:r>
      <w:r>
        <w:rPr/>
      </w:r>
    </w:p>
    <w:p>
      <w:pPr>
        <w:pStyle w:val="BodyText"/>
        <w:spacing w:line="240" w:lineRule="auto" w:before="46"/>
        <w:ind w:right="0"/>
        <w:jc w:val="both"/>
      </w:pPr>
      <w:r>
        <w:rPr/>
        <w:t>的协调平衡，加强与各方建立良好的合作关系，共同推动公司持续、健康的发展。</w:t>
      </w:r>
    </w:p>
    <w:p>
      <w:pPr>
        <w:spacing w:line="240" w:lineRule="auto" w:before="10"/>
        <w:rPr>
          <w:rFonts w:ascii="宋体" w:hAnsi="宋体" w:cs="宋体" w:eastAsia="宋体" w:hint="default"/>
          <w:sz w:val="13"/>
          <w:szCs w:val="13"/>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60" w:lineRule="auto" w:before="117"/>
        <w:ind w:left="112" w:right="2554"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4"/>
        <w:spacing w:line="240" w:lineRule="auto"/>
        <w:ind w:left="112" w:right="0"/>
        <w:jc w:val="both"/>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4" w:firstLine="420"/>
        <w:jc w:val="left"/>
      </w:pPr>
      <w:r>
        <w:rPr>
          <w:w w:val="95"/>
        </w:rPr>
        <w:t>公司在业务、资产、人员、财务、机构等方面完全独立，具有完整的业务体系及面向市场的独立经营</w:t>
      </w:r>
      <w:r>
        <w:rPr>
          <w:w w:val="99"/>
        </w:rPr>
        <w:t> </w:t>
      </w:r>
      <w:r>
        <w:rPr/>
        <w:t>能力，具备完整的供应、生产、销售系统。</w:t>
      </w:r>
    </w:p>
    <w:p>
      <w:pPr>
        <w:pStyle w:val="BodyText"/>
        <w:spacing w:line="444" w:lineRule="auto" w:before="84"/>
        <w:ind w:left="532" w:right="104"/>
        <w:jc w:val="left"/>
      </w:pPr>
      <w:r>
        <w:rPr>
          <w:rFonts w:ascii="宋体" w:hAnsi="宋体" w:cs="宋体" w:eastAsia="宋体" w:hint="default"/>
          <w:b/>
          <w:bCs/>
        </w:rPr>
        <w:t>（一）业务独立情况</w:t>
      </w:r>
      <w:r>
        <w:rPr>
          <w:rFonts w:ascii="宋体" w:hAnsi="宋体" w:cs="宋体" w:eastAsia="宋体" w:hint="default"/>
          <w:b/>
          <w:bCs/>
          <w:w w:val="99"/>
        </w:rPr>
        <w:t> </w:t>
      </w:r>
      <w:r>
        <w:rPr>
          <w:w w:val="95"/>
        </w:rPr>
        <w:t>公司在业务方面有独立的采购、生产、销售系统，具有面向市场独立开展业务的能力，与实际控制人</w:t>
      </w:r>
      <w:r>
        <w:rPr/>
      </w:r>
    </w:p>
    <w:p>
      <w:pPr>
        <w:pStyle w:val="BodyText"/>
        <w:spacing w:line="240" w:lineRule="auto" w:before="14"/>
        <w:ind w:right="0"/>
        <w:jc w:val="both"/>
      </w:pPr>
      <w:r>
        <w:rPr/>
        <w:t>不存在同业竞争或业务上的依赖关系；</w:t>
      </w:r>
    </w:p>
    <w:p>
      <w:pPr>
        <w:spacing w:line="240" w:lineRule="auto" w:before="12"/>
        <w:rPr>
          <w:rFonts w:ascii="宋体" w:hAnsi="宋体" w:cs="宋体" w:eastAsia="宋体" w:hint="default"/>
          <w:sz w:val="17"/>
          <w:szCs w:val="17"/>
        </w:rPr>
      </w:pPr>
    </w:p>
    <w:p>
      <w:pPr>
        <w:pStyle w:val="BodyText"/>
        <w:spacing w:line="441" w:lineRule="auto" w:before="0"/>
        <w:ind w:left="532" w:right="104"/>
        <w:jc w:val="left"/>
      </w:pPr>
      <w:r>
        <w:rPr>
          <w:rFonts w:ascii="宋体" w:hAnsi="宋体" w:cs="宋体" w:eastAsia="宋体" w:hint="default"/>
          <w:b/>
          <w:bCs/>
        </w:rPr>
        <w:t>（二）人员独立情况</w:t>
      </w:r>
      <w:r>
        <w:rPr>
          <w:rFonts w:ascii="宋体" w:hAnsi="宋体" w:cs="宋体" w:eastAsia="宋体" w:hint="default"/>
          <w:b/>
          <w:bCs/>
          <w:w w:val="99"/>
        </w:rPr>
        <w:t> </w:t>
      </w:r>
      <w:r>
        <w:rPr>
          <w:w w:val="95"/>
        </w:rPr>
        <w:t>公司在劳动、人事及工资等管理体系方面完全独立，公司与全体员工实行全员聘用考核制，公司总经</w:t>
      </w:r>
      <w:r>
        <w:rPr/>
      </w:r>
    </w:p>
    <w:p>
      <w:pPr>
        <w:pStyle w:val="BodyText"/>
        <w:spacing w:line="240" w:lineRule="auto" w:before="16"/>
        <w:ind w:right="0"/>
        <w:jc w:val="both"/>
      </w:pPr>
      <w:r>
        <w:rPr/>
        <w:t>理及其他高级管理人员均在公司领取报酬；</w:t>
      </w:r>
    </w:p>
    <w:p>
      <w:pPr>
        <w:spacing w:line="240" w:lineRule="auto" w:before="12"/>
        <w:rPr>
          <w:rFonts w:ascii="宋体" w:hAnsi="宋体" w:cs="宋体" w:eastAsia="宋体" w:hint="default"/>
          <w:sz w:val="17"/>
          <w:szCs w:val="17"/>
        </w:rPr>
      </w:pPr>
    </w:p>
    <w:p>
      <w:pPr>
        <w:pStyle w:val="BodyText"/>
        <w:spacing w:line="444" w:lineRule="auto" w:before="0"/>
        <w:ind w:left="532" w:right="104"/>
        <w:jc w:val="left"/>
      </w:pPr>
      <w:r>
        <w:rPr>
          <w:rFonts w:ascii="宋体" w:hAnsi="宋体" w:cs="宋体" w:eastAsia="宋体" w:hint="default"/>
          <w:b/>
          <w:bCs/>
        </w:rPr>
        <w:t>（三）机构独立情况</w:t>
      </w:r>
      <w:r>
        <w:rPr>
          <w:rFonts w:ascii="宋体" w:hAnsi="宋体" w:cs="宋体" w:eastAsia="宋体" w:hint="default"/>
          <w:b/>
          <w:bCs/>
          <w:w w:val="99"/>
        </w:rPr>
        <w:t> </w:t>
      </w:r>
      <w:r>
        <w:rPr>
          <w:w w:val="95"/>
        </w:rPr>
        <w:t>公司法人治理结构完善，股东大会、董事会、监事会严格按照《公司章程》规范运作。公司组织结构</w:t>
      </w:r>
      <w:r>
        <w:rPr/>
      </w:r>
    </w:p>
    <w:p>
      <w:pPr>
        <w:pStyle w:val="BodyText"/>
        <w:spacing w:line="240" w:lineRule="auto" w:before="14"/>
        <w:ind w:right="0"/>
        <w:jc w:val="both"/>
      </w:pPr>
      <w:r>
        <w:rPr/>
        <w:t>健全，拥有独立决策机构、完整的组织机构并独立运作，不存在合署办公的情况；</w:t>
      </w:r>
    </w:p>
    <w:p>
      <w:pPr>
        <w:spacing w:after="0" w:line="240" w:lineRule="auto"/>
        <w:jc w:val="both"/>
        <w:sectPr>
          <w:pgSz w:w="11910" w:h="16840"/>
          <w:pgMar w:header="746" w:footer="978" w:top="1040" w:bottom="1160" w:left="1020" w:right="10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44" w:lineRule="auto" w:before="0"/>
        <w:ind w:left="552" w:right="99"/>
        <w:jc w:val="left"/>
      </w:pPr>
      <w:r>
        <w:rPr>
          <w:rFonts w:ascii="宋体" w:hAnsi="宋体" w:cs="宋体" w:eastAsia="宋体" w:hint="default"/>
          <w:b/>
          <w:bCs/>
        </w:rPr>
        <w:t>（四）资产独立情况</w:t>
      </w:r>
      <w:r>
        <w:rPr>
          <w:rFonts w:ascii="宋体" w:hAnsi="宋体" w:cs="宋体" w:eastAsia="宋体" w:hint="default"/>
          <w:b/>
          <w:bCs/>
          <w:w w:val="99"/>
        </w:rPr>
        <w:t> </w:t>
      </w:r>
      <w:r>
        <w:rPr>
          <w:spacing w:val="-3"/>
        </w:rPr>
        <w:t>公司资产独立完整，具有完整的产品开发、采购、生产、销售及客户服务部门，拥有独立的生产系统、</w:t>
      </w:r>
    </w:p>
    <w:p>
      <w:pPr>
        <w:pStyle w:val="BodyText"/>
        <w:spacing w:line="240" w:lineRule="auto" w:before="14"/>
        <w:ind w:left="132" w:right="96"/>
        <w:jc w:val="left"/>
      </w:pPr>
      <w:r>
        <w:rPr/>
        <w:t>辅助生产系统和配套设施、房屋所有权、专利所有权、计算机软件著作权、非专利技术等资产；</w:t>
      </w:r>
    </w:p>
    <w:p>
      <w:pPr>
        <w:spacing w:line="240" w:lineRule="auto" w:before="12"/>
        <w:rPr>
          <w:rFonts w:ascii="宋体" w:hAnsi="宋体" w:cs="宋体" w:eastAsia="宋体" w:hint="default"/>
          <w:sz w:val="17"/>
          <w:szCs w:val="17"/>
        </w:rPr>
      </w:pPr>
    </w:p>
    <w:p>
      <w:pPr>
        <w:pStyle w:val="BodyText"/>
        <w:spacing w:line="441" w:lineRule="auto" w:before="0"/>
        <w:ind w:left="552" w:right="96"/>
        <w:jc w:val="left"/>
      </w:pPr>
      <w:r>
        <w:rPr>
          <w:rFonts w:ascii="宋体" w:hAnsi="宋体" w:cs="宋体" w:eastAsia="宋体" w:hint="default"/>
          <w:b/>
          <w:bCs/>
        </w:rPr>
        <w:t>（五）财务独立情况</w:t>
      </w:r>
      <w:r>
        <w:rPr>
          <w:rFonts w:ascii="宋体" w:hAnsi="宋体" w:cs="宋体" w:eastAsia="宋体" w:hint="default"/>
          <w:b/>
          <w:bCs/>
          <w:w w:val="99"/>
        </w:rPr>
        <w:t> </w:t>
      </w:r>
      <w:r>
        <w:rPr>
          <w:w w:val="95"/>
        </w:rPr>
        <w:t>公司设立了独立的财务部门作为公司的财务管理机构，建立了独立的会计核算体系和财务管理制度，</w:t>
      </w:r>
      <w:r>
        <w:rPr/>
      </w:r>
    </w:p>
    <w:p>
      <w:pPr>
        <w:pStyle w:val="BodyText"/>
        <w:spacing w:line="240" w:lineRule="auto" w:before="16"/>
        <w:ind w:left="132" w:right="96"/>
        <w:jc w:val="left"/>
      </w:pPr>
      <w:r>
        <w:rPr/>
        <w:t>并根据上市公司有关会计制度的要求，独立进行财务决策；公司在银行设立了独立账号，依法独立纳税。</w:t>
      </w:r>
    </w:p>
    <w:p>
      <w:pPr>
        <w:spacing w:line="240" w:lineRule="auto" w:before="0"/>
        <w:rPr>
          <w:rFonts w:ascii="宋体" w:hAnsi="宋体" w:cs="宋体" w:eastAsia="宋体" w:hint="default"/>
          <w:sz w:val="20"/>
          <w:szCs w:val="20"/>
        </w:rPr>
      </w:pPr>
    </w:p>
    <w:p>
      <w:pPr>
        <w:pStyle w:val="Heading4"/>
        <w:spacing w:line="240" w:lineRule="auto" w:before="131"/>
        <w:ind w:right="96"/>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32" w:right="96"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96"/>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96"/>
        <w:jc w:val="left"/>
        <w:rPr>
          <w:b w:val="0"/>
          <w:bCs w:val="0"/>
        </w:rPr>
      </w:pPr>
      <w:r>
        <w:rPr/>
        <w:t>1、本报告期股东大会情况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before="44"/>
        <w:ind w:left="0" w:right="253" w:firstLine="0"/>
        <w:jc w:val="right"/>
        <w:rPr>
          <w:rFonts w:ascii="宋体" w:hAnsi="宋体" w:cs="宋体" w:eastAsia="宋体" w:hint="default"/>
          <w:sz w:val="18"/>
          <w:szCs w:val="18"/>
        </w:rPr>
      </w:pPr>
      <w:r>
        <w:rPr/>
        <w:pict>
          <v:shape style="position:absolute;margin-left:55.060001pt;margin-top:-52.057789pt;width:479.05pt;height:143.3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1276"/>
                    <w:gridCol w:w="851"/>
                    <w:gridCol w:w="1701"/>
                    <w:gridCol w:w="1701"/>
                    <w:gridCol w:w="1769"/>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50" w:right="58" w:hanging="89"/>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年年度股东大会决议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0.16%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178"/>
                            <w:sz w:val="18"/>
                            <w:szCs w:val="18"/>
                          </w:rPr>
                          <w:t>、</w:t>
                        </w:r>
                        <w:r>
                          <w:rPr>
                            <w:rFonts w:ascii="宋体" w:hAnsi="宋体" w:cs="宋体" w:eastAsia="宋体" w:hint="default"/>
                            <w:sz w:val="18"/>
                            <w:szCs w:val="18"/>
                          </w:rPr>
                          <w:t>《中国证</w:t>
                        </w:r>
                        <w:r>
                          <w:rPr>
                            <w:rFonts w:ascii="宋体" w:hAnsi="宋体" w:cs="宋体" w:eastAsia="宋体" w:hint="default"/>
                            <w:sz w:val="18"/>
                            <w:szCs w:val="18"/>
                          </w:rPr>
                          <w:t> 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《巨潮资讯网</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年第一次临时股东大会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178"/>
                            <w:sz w:val="18"/>
                            <w:szCs w:val="18"/>
                          </w:rPr>
                          <w:t>、</w:t>
                        </w:r>
                        <w:r>
                          <w:rPr>
                            <w:rFonts w:ascii="宋体" w:hAnsi="宋体" w:cs="宋体" w:eastAsia="宋体" w:hint="default"/>
                            <w:sz w:val="18"/>
                            <w:szCs w:val="18"/>
                          </w:rPr>
                          <w:t>《中国证</w:t>
                        </w:r>
                        <w:r>
                          <w:rPr>
                            <w:rFonts w:ascii="宋体" w:hAnsi="宋体" w:cs="宋体" w:eastAsia="宋体" w:hint="default"/>
                            <w:sz w:val="18"/>
                            <w:szCs w:val="18"/>
                          </w:rPr>
                          <w:t> 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《巨潮资讯网</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年第二次临时股东大会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178"/>
                            <w:sz w:val="18"/>
                            <w:szCs w:val="18"/>
                          </w:rPr>
                          <w:t>、</w:t>
                        </w:r>
                        <w:r>
                          <w:rPr>
                            <w:rFonts w:ascii="宋体" w:hAnsi="宋体" w:cs="宋体" w:eastAsia="宋体" w:hint="default"/>
                            <w:sz w:val="18"/>
                            <w:szCs w:val="18"/>
                          </w:rPr>
                          <w:t>《中国证</w:t>
                        </w:r>
                        <w:r>
                          <w:rPr>
                            <w:rFonts w:ascii="宋体" w:hAnsi="宋体" w:cs="宋体" w:eastAsia="宋体" w:hint="default"/>
                            <w:sz w:val="18"/>
                            <w:szCs w:val="18"/>
                          </w:rPr>
                          <w:t> 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《巨潮资讯网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2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2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3"/>
        <w:rPr>
          <w:rFonts w:ascii="宋体" w:hAnsi="宋体" w:cs="宋体" w:eastAsia="宋体" w:hint="default"/>
          <w:sz w:val="28"/>
          <w:szCs w:val="28"/>
        </w:rPr>
      </w:pPr>
    </w:p>
    <w:p>
      <w:pPr>
        <w:pStyle w:val="Heading6"/>
        <w:spacing w:line="240" w:lineRule="auto" w:before="34"/>
        <w:ind w:right="96"/>
        <w:jc w:val="left"/>
        <w:rPr>
          <w:b w:val="0"/>
          <w:bCs w:val="0"/>
        </w:rPr>
      </w:pPr>
      <w:r>
        <w:rPr/>
        <w:t>2、表决权恢复的优先股股东请求召开临时股东大会</w:t>
      </w:r>
      <w:r>
        <w:rPr>
          <w:b w:val="0"/>
          <w:bCs w:val="0"/>
        </w:rPr>
      </w:r>
    </w:p>
    <w:p>
      <w:pPr>
        <w:spacing w:line="240" w:lineRule="auto" w:before="9"/>
        <w:rPr>
          <w:rFonts w:ascii="宋体" w:hAnsi="宋体" w:cs="宋体" w:eastAsia="宋体" w:hint="default"/>
          <w:b/>
          <w:bCs/>
          <w:sz w:val="27"/>
          <w:szCs w:val="27"/>
        </w:rPr>
      </w:pPr>
    </w:p>
    <w:p>
      <w:pPr>
        <w:spacing w:before="0"/>
        <w:ind w:left="132" w:right="96"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96"/>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96"/>
        <w:jc w:val="left"/>
        <w:rPr>
          <w:b w:val="0"/>
          <w:bCs w:val="0"/>
        </w:rPr>
      </w:pPr>
      <w:r>
        <w:rPr/>
        <w:t>1、独立董事出席董事会及股东大会的情况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1624"/>
        <w:gridCol w:w="1324"/>
        <w:gridCol w:w="1324"/>
        <w:gridCol w:w="1682"/>
        <w:gridCol w:w="1276"/>
        <w:gridCol w:w="101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07"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以通讯方式参加次数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7" w:right="25"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陈结淼</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李洪峰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6" w:footer="978" w:top="1040" w:bottom="1160" w:left="1000" w:right="920"/>
        </w:sectPr>
      </w:pPr>
    </w:p>
    <w:p>
      <w:pPr>
        <w:spacing w:line="240" w:lineRule="auto" w:before="10"/>
        <w:rPr>
          <w:rFonts w:ascii="宋体" w:hAnsi="宋体" w:cs="宋体" w:eastAsia="宋体" w:hint="default"/>
          <w:b/>
          <w:bCs/>
          <w:sz w:val="28"/>
          <w:szCs w:val="28"/>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2943;height:397" coordorigin="13,13" coordsize="2943,397">
              <v:shape style="position:absolute;left:13;top:13;width:2943;height:397" coordorigin="13,13" coordsize="2943,397" path="m13,13l2956,13,2956,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2958;top:5;width:2;height:402" coordorigin="2958,5" coordsize="2,402">
              <v:shape style="position:absolute;left:2958;top:5;width:2;height:402" coordorigin="2958,5" coordsize="0,402" path="m2958,5l2958,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2948;height:402" type="#_x0000_t202" filled="false" stroked="false">
                <v:textbox inset="0,0,0,0">
                  <w:txbxContent>
                    <w:p>
                      <w:pPr>
                        <w:spacing w:before="54"/>
                        <w:ind w:left="26" w:right="0" w:firstLine="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xbxContent>
                </v:textbox>
                <w10:wrap type="none"/>
              </v:shape>
              <v:shape style="position:absolute;left:9459;top:120;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w:t>
                      </w:r>
                    </w:p>
                  </w:txbxContent>
                </v:textbox>
                <w10:wrap type="none"/>
              </v:shape>
            </v:group>
          </v:group>
        </w:pict>
      </w:r>
      <w:r>
        <w:rPr>
          <w:rFonts w:ascii="宋体" w:hAnsi="宋体" w:cs="宋体" w:eastAsia="宋体" w:hint="default"/>
          <w:position w:val="-7"/>
          <w:sz w:val="20"/>
          <w:szCs w:val="20"/>
        </w:rPr>
      </w:r>
    </w:p>
    <w:p>
      <w:pPr>
        <w:spacing w:line="360" w:lineRule="auto" w:before="51"/>
        <w:ind w:left="152" w:right="713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2"/>
        <w:rPr>
          <w:rFonts w:ascii="宋体" w:hAnsi="宋体" w:cs="宋体" w:eastAsia="宋体" w:hint="default"/>
          <w:sz w:val="19"/>
          <w:szCs w:val="19"/>
        </w:rPr>
      </w:pPr>
    </w:p>
    <w:p>
      <w:pPr>
        <w:pStyle w:val="Heading6"/>
        <w:spacing w:line="240" w:lineRule="auto"/>
        <w:ind w:left="152" w:right="0"/>
        <w:jc w:val="left"/>
        <w:rPr>
          <w:b w:val="0"/>
          <w:bCs w:val="0"/>
        </w:rPr>
      </w:pPr>
      <w:r>
        <w:rPr/>
        <w:t>2、独立董事对公司有关事项提出异议的情况</w:t>
      </w:r>
      <w:r>
        <w:rPr>
          <w:b w:val="0"/>
          <w:bCs w:val="0"/>
        </w:rPr>
      </w:r>
    </w:p>
    <w:p>
      <w:pPr>
        <w:spacing w:line="240" w:lineRule="auto" w:before="9"/>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57" w:lineRule="auto" w:before="117"/>
        <w:ind w:left="152" w:right="6054"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3"/>
        <w:rPr>
          <w:rFonts w:ascii="宋体" w:hAnsi="宋体" w:cs="宋体" w:eastAsia="宋体" w:hint="default"/>
          <w:sz w:val="20"/>
          <w:szCs w:val="20"/>
        </w:rPr>
      </w:pPr>
    </w:p>
    <w:p>
      <w:pPr>
        <w:pStyle w:val="Heading6"/>
        <w:spacing w:line="240" w:lineRule="auto"/>
        <w:ind w:left="152" w:right="0"/>
        <w:jc w:val="left"/>
        <w:rPr>
          <w:b w:val="0"/>
          <w:bCs w:val="0"/>
        </w:rPr>
      </w:pPr>
      <w:r>
        <w:rPr/>
        <w:t>3、独立董事履行职责的其他说明</w:t>
      </w:r>
      <w:r>
        <w:rPr>
          <w:b w:val="0"/>
          <w:bCs w:val="0"/>
        </w:rPr>
      </w:r>
    </w:p>
    <w:p>
      <w:pPr>
        <w:spacing w:line="240" w:lineRule="auto" w:before="9"/>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5"/>
        <w:ind w:left="152" w:right="5874"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pStyle w:val="BodyText"/>
        <w:spacing w:line="408" w:lineRule="auto" w:before="78"/>
        <w:ind w:left="152" w:right="253" w:firstLine="360"/>
        <w:jc w:val="both"/>
      </w:pPr>
      <w:r>
        <w:rPr>
          <w:w w:val="95"/>
        </w:rPr>
        <w:t>独立董事对公司的发展战略提出了建设性意见：融入“一带一路”，做大做强主营业务；布局“互联</w:t>
      </w:r>
      <w:r>
        <w:rPr>
          <w:spacing w:val="-22"/>
          <w:w w:val="95"/>
        </w:rPr>
        <w:t> </w:t>
      </w:r>
      <w:r>
        <w:rPr>
          <w:spacing w:val="-22"/>
          <w:w w:val="95"/>
        </w:rPr>
      </w:r>
      <w:r>
        <w:rPr/>
        <w:t>网+”业务领域，优化产业链布局；加强内部管理，持续推进规范运作等，上述建议得到公司的重视与采</w:t>
      </w:r>
      <w:r>
        <w:rPr>
          <w:w w:val="99"/>
        </w:rPr>
        <w:t> </w:t>
      </w:r>
      <w:r>
        <w:rPr/>
        <w:t>纳。</w:t>
      </w:r>
    </w:p>
    <w:p>
      <w:pPr>
        <w:spacing w:line="240" w:lineRule="auto" w:before="11"/>
        <w:rPr>
          <w:rFonts w:ascii="宋体" w:hAnsi="宋体" w:cs="宋体" w:eastAsia="宋体" w:hint="default"/>
          <w:sz w:val="18"/>
          <w:szCs w:val="18"/>
        </w:rPr>
      </w:pPr>
    </w:p>
    <w:p>
      <w:pPr>
        <w:pStyle w:val="Heading4"/>
        <w:spacing w:line="240" w:lineRule="auto"/>
        <w:ind w:left="152" w:right="0"/>
        <w:jc w:val="left"/>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2" w:right="99" w:firstLine="420"/>
        <w:jc w:val="left"/>
      </w:pPr>
      <w:r>
        <w:rPr>
          <w:spacing w:val="-3"/>
        </w:rPr>
        <w:t>公司董事会下设四个专门委员会，分别为战略委员会、提名委员会、薪酬与考核委员会、审计委员会。</w:t>
      </w:r>
      <w:r>
        <w:rPr>
          <w:w w:val="99"/>
        </w:rPr>
        <w:t> </w:t>
      </w:r>
      <w:r>
        <w:rPr/>
        <w:t>2015年公司董事会专门委员会各委员本着勤勉尽职的原则，恪尽职守、诚实守信地履行职责。发挥各自专</w:t>
      </w:r>
      <w:r>
        <w:rPr>
          <w:w w:val="99"/>
        </w:rPr>
        <w:t> </w:t>
      </w:r>
      <w:r>
        <w:rPr/>
        <w:t>业特长，积极参加董事会和股东大会，切实维护公司及股东特别是社会公众股股东的权益。报告期内，各</w:t>
      </w:r>
      <w:r>
        <w:rPr>
          <w:w w:val="99"/>
        </w:rPr>
        <w:t> </w:t>
      </w:r>
      <w:r>
        <w:rPr/>
        <w:t>专门委员会履职情况如下：</w:t>
      </w:r>
    </w:p>
    <w:p>
      <w:pPr>
        <w:spacing w:line="408" w:lineRule="auto" w:before="46"/>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（一）董事会战略委员会履职情况</w:t>
      </w:r>
      <w:r>
        <w:rPr>
          <w:rFonts w:ascii="宋体" w:hAnsi="宋体" w:cs="宋体" w:eastAsia="宋体" w:hint="default"/>
          <w:b/>
          <w:bCs/>
          <w:w w:val="99"/>
          <w:sz w:val="21"/>
          <w:szCs w:val="21"/>
        </w:rPr>
        <w:t> </w:t>
      </w:r>
      <w:r>
        <w:rPr>
          <w:rFonts w:ascii="宋体" w:hAnsi="宋体" w:cs="宋体" w:eastAsia="宋体" w:hint="default"/>
          <w:w w:val="95"/>
          <w:sz w:val="21"/>
          <w:szCs w:val="21"/>
        </w:rPr>
        <w:t>报告期内，战略委员会讨论了公司2014年度终止重大资产重组、参与互联网产业基金开展“互联网+”</w:t>
      </w:r>
      <w:r>
        <w:rPr>
          <w:rFonts w:ascii="宋体" w:hAnsi="宋体" w:cs="宋体" w:eastAsia="宋体" w:hint="default"/>
          <w:sz w:val="21"/>
          <w:szCs w:val="21"/>
        </w:rPr>
      </w:r>
    </w:p>
    <w:p>
      <w:pPr>
        <w:pStyle w:val="BodyText"/>
        <w:spacing w:line="240" w:lineRule="auto" w:before="46"/>
        <w:ind w:left="152" w:right="0"/>
        <w:jc w:val="left"/>
      </w:pPr>
      <w:r>
        <w:rPr/>
        <w:t>业务等资本运作事宜，并对公司战略执行情况进行实时监督和检查。</w:t>
      </w:r>
    </w:p>
    <w:p>
      <w:pPr>
        <w:spacing w:line="240" w:lineRule="auto" w:before="10"/>
        <w:rPr>
          <w:rFonts w:ascii="宋体" w:hAnsi="宋体" w:cs="宋体" w:eastAsia="宋体" w:hint="default"/>
          <w:sz w:val="14"/>
          <w:szCs w:val="14"/>
        </w:rPr>
      </w:pPr>
    </w:p>
    <w:p>
      <w:pPr>
        <w:spacing w:line="408" w:lineRule="auto" w:before="0"/>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（二）董事会提名委员会履职情况</w:t>
      </w:r>
      <w:r>
        <w:rPr>
          <w:rFonts w:ascii="宋体" w:hAnsi="宋体" w:cs="宋体" w:eastAsia="宋体" w:hint="default"/>
          <w:b/>
          <w:bCs/>
          <w:w w:val="99"/>
          <w:sz w:val="21"/>
          <w:szCs w:val="21"/>
        </w:rPr>
        <w:t> </w:t>
      </w:r>
      <w:r>
        <w:rPr>
          <w:rFonts w:ascii="宋体" w:hAnsi="宋体" w:cs="宋体" w:eastAsia="宋体" w:hint="default"/>
          <w:w w:val="95"/>
          <w:sz w:val="21"/>
          <w:szCs w:val="21"/>
        </w:rPr>
        <w:t>报告期内，董事会提名委员会根据有关规定积极开展相关工作，认真履行职责。报告期内，提名委员</w:t>
      </w:r>
      <w:r>
        <w:rPr>
          <w:rFonts w:ascii="宋体" w:hAnsi="宋体" w:cs="宋体" w:eastAsia="宋体" w:hint="default"/>
          <w:sz w:val="21"/>
          <w:szCs w:val="21"/>
        </w:rPr>
      </w:r>
    </w:p>
    <w:p>
      <w:pPr>
        <w:pStyle w:val="BodyText"/>
        <w:spacing w:line="408" w:lineRule="auto" w:before="46"/>
        <w:ind w:left="152" w:right="204"/>
        <w:jc w:val="left"/>
      </w:pPr>
      <w:r>
        <w:rPr>
          <w:spacing w:val="4"/>
        </w:rPr>
        <w:t>会关于选举孙胜先生和王夕众先生担任公司第三届董事会董事候选人进行资格审查并向董事会作提名声</w:t>
      </w:r>
      <w:r>
        <w:rPr>
          <w:w w:val="99"/>
        </w:rPr>
        <w:t> </w:t>
      </w:r>
      <w:r>
        <w:rPr/>
        <w:t>明。</w:t>
      </w:r>
    </w:p>
    <w:p>
      <w:pPr>
        <w:spacing w:line="408" w:lineRule="auto" w:before="46"/>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（三）董事会薪酬与考核委员会履职情况</w:t>
      </w:r>
      <w:r>
        <w:rPr>
          <w:rFonts w:ascii="宋体" w:hAnsi="宋体" w:cs="宋体" w:eastAsia="宋体" w:hint="default"/>
          <w:b/>
          <w:bCs/>
          <w:w w:val="99"/>
          <w:sz w:val="21"/>
          <w:szCs w:val="21"/>
        </w:rPr>
        <w:t> </w:t>
      </w:r>
      <w:r>
        <w:rPr>
          <w:rFonts w:ascii="宋体" w:hAnsi="宋体" w:cs="宋体" w:eastAsia="宋体" w:hint="default"/>
          <w:w w:val="95"/>
          <w:sz w:val="21"/>
          <w:szCs w:val="21"/>
        </w:rPr>
        <w:t>报告期内，董事会薪酬与考核委员会根据有关规定积极开展相关工作，认真履行职责。报告期内，薪</w:t>
      </w:r>
      <w:r>
        <w:rPr>
          <w:rFonts w:ascii="宋体" w:hAnsi="宋体" w:cs="宋体" w:eastAsia="宋体" w:hint="default"/>
          <w:sz w:val="21"/>
          <w:szCs w:val="21"/>
        </w:rPr>
      </w:r>
    </w:p>
    <w:p>
      <w:pPr>
        <w:pStyle w:val="BodyText"/>
        <w:spacing w:line="240" w:lineRule="auto" w:before="46"/>
        <w:ind w:left="152" w:right="0"/>
        <w:jc w:val="left"/>
      </w:pPr>
      <w:r>
        <w:rPr/>
        <w:t>酬与考核委员会对公司现行的董事、监事及高级管理人员2015年度薪酬发放情况进行了审核，认为其薪酬</w:t>
      </w:r>
    </w:p>
    <w:p>
      <w:pPr>
        <w:spacing w:after="0" w:line="240" w:lineRule="auto"/>
        <w:jc w:val="left"/>
        <w:sectPr>
          <w:pgSz w:w="11910" w:h="16840"/>
          <w:pgMar w:header="746" w:footer="978" w:top="1040" w:bottom="1160" w:left="980" w:right="9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0"/>
        <w:ind w:left="132" w:right="96"/>
        <w:jc w:val="left"/>
      </w:pPr>
      <w:r>
        <w:rPr/>
        <w:t>标准和年度薪酬总额的确定、发放与各自的岗位履职情况相结合，符合公司的薪酬管理规定。</w:t>
      </w:r>
    </w:p>
    <w:p>
      <w:pPr>
        <w:spacing w:line="240" w:lineRule="auto" w:before="10"/>
        <w:rPr>
          <w:rFonts w:ascii="宋体" w:hAnsi="宋体" w:cs="宋体" w:eastAsia="宋体" w:hint="default"/>
          <w:sz w:val="14"/>
          <w:szCs w:val="14"/>
        </w:rPr>
      </w:pPr>
    </w:p>
    <w:p>
      <w:pPr>
        <w:spacing w:line="408" w:lineRule="auto" w:before="0"/>
        <w:ind w:left="552" w:right="96" w:firstLine="0"/>
        <w:jc w:val="left"/>
        <w:rPr>
          <w:rFonts w:ascii="宋体" w:hAnsi="宋体" w:cs="宋体" w:eastAsia="宋体" w:hint="default"/>
          <w:sz w:val="21"/>
          <w:szCs w:val="21"/>
        </w:rPr>
      </w:pPr>
      <w:r>
        <w:rPr>
          <w:rFonts w:ascii="宋体" w:hAnsi="宋体" w:cs="宋体" w:eastAsia="宋体" w:hint="default"/>
          <w:b/>
          <w:bCs/>
          <w:sz w:val="21"/>
          <w:szCs w:val="21"/>
        </w:rPr>
        <w:t>（四）董事会审计委员会履职情况</w:t>
      </w:r>
      <w:r>
        <w:rPr>
          <w:rFonts w:ascii="宋体" w:hAnsi="宋体" w:cs="宋体" w:eastAsia="宋体" w:hint="default"/>
          <w:b/>
          <w:bCs/>
          <w:w w:val="99"/>
          <w:sz w:val="21"/>
          <w:szCs w:val="21"/>
        </w:rPr>
        <w:t> </w:t>
      </w:r>
      <w:r>
        <w:rPr>
          <w:rFonts w:ascii="宋体" w:hAnsi="宋体" w:cs="宋体" w:eastAsia="宋体" w:hint="default"/>
          <w:w w:val="95"/>
          <w:sz w:val="21"/>
          <w:szCs w:val="21"/>
        </w:rPr>
        <w:t>董事会审计委员会定期了解公司财务状况与经营情况，审查公司内部控制制度执行情况，在年度财务</w:t>
      </w:r>
      <w:r>
        <w:rPr>
          <w:rFonts w:ascii="宋体" w:hAnsi="宋体" w:cs="宋体" w:eastAsia="宋体" w:hint="default"/>
          <w:sz w:val="21"/>
          <w:szCs w:val="21"/>
        </w:rPr>
      </w:r>
    </w:p>
    <w:p>
      <w:pPr>
        <w:pStyle w:val="BodyText"/>
        <w:spacing w:line="408" w:lineRule="auto" w:before="46"/>
        <w:ind w:left="132" w:right="105"/>
        <w:jc w:val="left"/>
      </w:pPr>
      <w:r>
        <w:rPr/>
        <w:t>报告审计过程中，与会计师事务所及时进行沟通与交流，确保审计的独立性并保质保量完成审计工作。对</w:t>
      </w:r>
      <w:r>
        <w:rPr>
          <w:w w:val="99"/>
        </w:rPr>
        <w:t> </w:t>
      </w:r>
      <w:r>
        <w:rPr/>
        <w:t>会计师事务所的工作进行评价与总结，对公司下年度聘请会计师事务所提出建议。报告期内，董事会审计</w:t>
      </w:r>
      <w:r>
        <w:rPr>
          <w:w w:val="99"/>
        </w:rPr>
        <w:t> </w:t>
      </w:r>
      <w:r>
        <w:rPr/>
        <w:t>委员会召开了五次会议，审议内审部门提交的2014年度、2015年第一季度、半年度和第三季度内部审计报</w:t>
      </w:r>
      <w:r>
        <w:rPr>
          <w:w w:val="99"/>
        </w:rPr>
        <w:t> </w:t>
      </w:r>
      <w:r>
        <w:rPr>
          <w:spacing w:val="-3"/>
        </w:rPr>
        <w:t>告，审议内审部门工作总结和工作计划事项，每季度对公司财务报告、募集资金存放与使用情况进行审核，</w:t>
      </w:r>
      <w:r>
        <w:rPr>
          <w:w w:val="99"/>
        </w:rPr>
        <w:t> </w:t>
      </w:r>
      <w:r>
        <w:rPr/>
        <w:t>并形成相关决议，对公司健康运行及内部规章制度的贯彻执行实施了有效监督。</w:t>
      </w:r>
    </w:p>
    <w:p>
      <w:pPr>
        <w:spacing w:line="240" w:lineRule="auto" w:before="11"/>
        <w:rPr>
          <w:rFonts w:ascii="宋体" w:hAnsi="宋体" w:cs="宋体" w:eastAsia="宋体" w:hint="default"/>
          <w:sz w:val="18"/>
          <w:szCs w:val="18"/>
        </w:rPr>
      </w:pPr>
    </w:p>
    <w:p>
      <w:pPr>
        <w:pStyle w:val="Heading4"/>
        <w:spacing w:line="240" w:lineRule="auto"/>
        <w:ind w:right="96"/>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32" w:right="96"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57" w:lineRule="auto" w:before="117"/>
        <w:ind w:left="132" w:right="6774"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7"/>
        <w:rPr>
          <w:rFonts w:ascii="宋体" w:hAnsi="宋体" w:cs="宋体" w:eastAsia="宋体" w:hint="default"/>
          <w:sz w:val="18"/>
          <w:szCs w:val="18"/>
        </w:rPr>
      </w:pPr>
    </w:p>
    <w:p>
      <w:pPr>
        <w:pStyle w:val="Heading4"/>
        <w:spacing w:line="240" w:lineRule="auto"/>
        <w:ind w:right="96"/>
        <w:jc w:val="left"/>
        <w:rPr>
          <w:b w:val="0"/>
          <w:bCs w:val="0"/>
        </w:rPr>
      </w:pPr>
      <w:r>
        <w:rPr/>
        <w:t>八、高级管理人员的考评及激励情况</w:t>
      </w:r>
      <w:r>
        <w:rPr>
          <w:b w:val="0"/>
          <w:bCs w:val="0"/>
        </w:rPr>
      </w:r>
    </w:p>
    <w:p>
      <w:pPr>
        <w:spacing w:line="240" w:lineRule="auto" w:before="5"/>
        <w:rPr>
          <w:rFonts w:ascii="宋体" w:hAnsi="宋体" w:cs="宋体" w:eastAsia="宋体" w:hint="default"/>
          <w:b/>
          <w:bCs/>
          <w:sz w:val="30"/>
          <w:szCs w:val="30"/>
        </w:rPr>
      </w:pPr>
    </w:p>
    <w:p>
      <w:pPr>
        <w:pStyle w:val="BodyText"/>
        <w:spacing w:line="408" w:lineRule="auto" w:before="0"/>
        <w:ind w:left="132" w:right="212" w:firstLine="420"/>
        <w:jc w:val="both"/>
      </w:pPr>
      <w:r>
        <w:rPr>
          <w:w w:val="95"/>
        </w:rPr>
        <w:t>公司高级管理人员按其行政岗位及职务，根据公司董事会与其签订的2015年度经营业绩责任书，由薪</w:t>
      </w:r>
      <w:r>
        <w:rPr>
          <w:w w:val="99"/>
        </w:rPr>
        <w:t> </w:t>
      </w:r>
      <w:r>
        <w:rPr>
          <w:w w:val="95"/>
        </w:rPr>
        <w:t>酬与考核委员会绩效考核小组结合公司2015年度经营业绩预计完成情况，对其进行考核，年薪与年度经营</w:t>
      </w:r>
      <w:r>
        <w:rPr>
          <w:spacing w:val="40"/>
          <w:w w:val="95"/>
        </w:rPr>
        <w:t> </w:t>
      </w:r>
      <w:r>
        <w:rPr>
          <w:spacing w:val="40"/>
          <w:w w:val="95"/>
        </w:rPr>
      </w:r>
      <w:r>
        <w:rPr/>
        <w:t>指标完成情况挂钩。</w:t>
      </w:r>
    </w:p>
    <w:p>
      <w:pPr>
        <w:spacing w:line="240" w:lineRule="auto" w:before="11"/>
        <w:rPr>
          <w:rFonts w:ascii="宋体" w:hAnsi="宋体" w:cs="宋体" w:eastAsia="宋体" w:hint="default"/>
          <w:sz w:val="18"/>
          <w:szCs w:val="18"/>
        </w:rPr>
      </w:pPr>
    </w:p>
    <w:p>
      <w:pPr>
        <w:pStyle w:val="Heading4"/>
        <w:spacing w:line="240" w:lineRule="auto"/>
        <w:ind w:right="96"/>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96"/>
        <w:jc w:val="left"/>
        <w:rPr>
          <w:b w:val="0"/>
          <w:bCs w:val="0"/>
        </w:rPr>
      </w:pPr>
      <w:r>
        <w:rPr/>
        <w:t>1、报告期内发现的内部控制重大缺陷的具体情况</w:t>
      </w:r>
      <w:r>
        <w:rPr>
          <w:b w:val="0"/>
          <w:bCs w:val="0"/>
        </w:rPr>
      </w:r>
    </w:p>
    <w:p>
      <w:pPr>
        <w:spacing w:line="240" w:lineRule="auto" w:before="9"/>
        <w:rPr>
          <w:rFonts w:ascii="宋体" w:hAnsi="宋体" w:cs="宋体" w:eastAsia="宋体" w:hint="default"/>
          <w:b/>
          <w:bCs/>
          <w:sz w:val="27"/>
          <w:szCs w:val="27"/>
        </w:rPr>
      </w:pPr>
    </w:p>
    <w:p>
      <w:pPr>
        <w:spacing w:before="0"/>
        <w:ind w:left="132" w:right="96"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6"/>
        <w:spacing w:line="240" w:lineRule="auto" w:before="118"/>
        <w:ind w:right="96"/>
        <w:jc w:val="left"/>
        <w:rPr>
          <w:b w:val="0"/>
          <w:bCs w:val="0"/>
        </w:rPr>
      </w:pPr>
      <w:r>
        <w:rPr/>
        <w:t>2、内控自我评价报告</w:t>
      </w:r>
      <w:r>
        <w:rPr>
          <w:b w:val="0"/>
          <w:bCs w:val="0"/>
        </w:rPr>
      </w:r>
    </w:p>
    <w:p>
      <w:pPr>
        <w:spacing w:line="240" w:lineRule="auto" w:before="10"/>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3194"/>
        <w:gridCol w:w="6374"/>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日巨潮资讯</w:t>
            </w:r>
            <w:r>
              <w:rPr>
                <w:rFonts w:ascii="宋体" w:hAnsi="宋体" w:cs="宋体" w:eastAsia="宋体" w:hint="default"/>
                <w:spacing w:val="-15"/>
                <w:sz w:val="18"/>
                <w:szCs w:val="18"/>
              </w:rPr>
              <w:t>网</w:t>
            </w:r>
            <w:hyperlink r:id="rId12">
              <w:r>
                <w:rPr>
                  <w:rFonts w:ascii="宋体" w:hAnsi="宋体" w:cs="宋体" w:eastAsia="宋体" w:hint="default"/>
                  <w:sz w:val="18"/>
                  <w:szCs w:val="18"/>
                </w:rPr>
                <w:t>（</w:t>
              </w:r>
              <w:r>
                <w:rPr>
                  <w:rFonts w:ascii="宋体" w:hAnsi="宋体" w:cs="宋体" w:eastAsia="宋体" w:hint="default"/>
                  <w:spacing w:val="1"/>
                  <w:sz w:val="18"/>
                  <w:szCs w:val="18"/>
                </w:rPr>
                <w:t>h</w:t>
              </w:r>
              <w:r>
                <w:rPr>
                  <w:rFonts w:ascii="宋体" w:hAnsi="宋体" w:cs="宋体" w:eastAsia="宋体" w:hint="default"/>
                  <w:spacing w:val="-2"/>
                  <w:sz w:val="18"/>
                  <w:szCs w:val="18"/>
                </w:rPr>
                <w:t>t</w:t>
              </w:r>
              <w:r>
                <w:rPr>
                  <w:rFonts w:ascii="宋体" w:hAnsi="宋体" w:cs="宋体" w:eastAsia="宋体" w:hint="default"/>
                  <w:spacing w:val="1"/>
                  <w:sz w:val="18"/>
                  <w:szCs w:val="18"/>
                </w:rPr>
                <w:t>t</w:t>
              </w:r>
              <w:r>
                <w:rPr>
                  <w:rFonts w:ascii="宋体" w:hAnsi="宋体" w:cs="宋体" w:eastAsia="宋体" w:hint="default"/>
                  <w:spacing w:val="-2"/>
                  <w:sz w:val="18"/>
                  <w:szCs w:val="18"/>
                </w:rPr>
                <w:t>p</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w:t>
              </w:r>
              <w:r>
                <w:rPr>
                  <w:rFonts w:ascii="宋体" w:hAnsi="宋体" w:cs="宋体" w:eastAsia="宋体" w:hint="default"/>
                  <w:spacing w:val="-2"/>
                  <w:sz w:val="18"/>
                  <w:szCs w:val="18"/>
                </w:rPr>
                <w:t>w</w:t>
              </w:r>
              <w:r>
                <w:rPr>
                  <w:rFonts w:ascii="宋体" w:hAnsi="宋体" w:cs="宋体" w:eastAsia="宋体" w:hint="default"/>
                  <w:spacing w:val="1"/>
                  <w:sz w:val="18"/>
                  <w:szCs w:val="18"/>
                </w:rPr>
                <w:t>w</w:t>
              </w:r>
              <w:r>
                <w:rPr>
                  <w:rFonts w:ascii="宋体" w:hAnsi="宋体" w:cs="宋体" w:eastAsia="宋体" w:hint="default"/>
                  <w:spacing w:val="-2"/>
                  <w:sz w:val="18"/>
                  <w:szCs w:val="18"/>
                </w:rPr>
                <w:t>w</w:t>
              </w:r>
              <w:r>
                <w:rPr>
                  <w:rFonts w:ascii="宋体" w:hAnsi="宋体" w:cs="宋体" w:eastAsia="宋体" w:hint="default"/>
                  <w:spacing w:val="1"/>
                  <w:sz w:val="18"/>
                  <w:szCs w:val="18"/>
                </w:rPr>
                <w:t>.</w:t>
              </w:r>
              <w:r>
                <w:rPr>
                  <w:rFonts w:ascii="宋体" w:hAnsi="宋体" w:cs="宋体" w:eastAsia="宋体" w:hint="default"/>
                  <w:spacing w:val="-2"/>
                  <w:sz w:val="18"/>
                  <w:szCs w:val="18"/>
                </w:rPr>
                <w:t>c</w:t>
              </w:r>
              <w:r>
                <w:rPr>
                  <w:rFonts w:ascii="宋体" w:hAnsi="宋体" w:cs="宋体" w:eastAsia="宋体" w:hint="default"/>
                  <w:spacing w:val="1"/>
                  <w:sz w:val="18"/>
                  <w:szCs w:val="18"/>
                </w:rPr>
                <w:t>n</w:t>
              </w:r>
              <w:r>
                <w:rPr>
                  <w:rFonts w:ascii="宋体" w:hAnsi="宋体" w:cs="宋体" w:eastAsia="宋体" w:hint="default"/>
                  <w:spacing w:val="-2"/>
                  <w:sz w:val="18"/>
                  <w:szCs w:val="18"/>
                </w:rPr>
                <w:t>i</w:t>
              </w:r>
              <w:r>
                <w:rPr>
                  <w:rFonts w:ascii="宋体" w:hAnsi="宋体" w:cs="宋体" w:eastAsia="宋体" w:hint="default"/>
                  <w:spacing w:val="1"/>
                  <w:sz w:val="18"/>
                  <w:szCs w:val="18"/>
                </w:rPr>
                <w:t>n</w:t>
              </w:r>
              <w:r>
                <w:rPr>
                  <w:rFonts w:ascii="宋体" w:hAnsi="宋体" w:cs="宋体" w:eastAsia="宋体" w:hint="default"/>
                  <w:spacing w:val="-2"/>
                  <w:sz w:val="18"/>
                  <w:szCs w:val="18"/>
                </w:rPr>
                <w:t>f</w:t>
              </w:r>
              <w:r>
                <w:rPr>
                  <w:rFonts w:ascii="宋体" w:hAnsi="宋体" w:cs="宋体" w:eastAsia="宋体" w:hint="default"/>
                  <w:spacing w:val="1"/>
                  <w:sz w:val="18"/>
                  <w:szCs w:val="18"/>
                </w:rPr>
                <w:t>o</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o</w:t>
              </w:r>
              <w:r>
                <w:rPr>
                  <w:rFonts w:ascii="宋体" w:hAnsi="宋体" w:cs="宋体" w:eastAsia="宋体" w:hint="default"/>
                  <w:spacing w:val="1"/>
                  <w:sz w:val="18"/>
                  <w:szCs w:val="18"/>
                </w:rPr>
                <w:t>m</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1"/>
                  <w:sz w:val="18"/>
                  <w:szCs w:val="18"/>
                </w:rPr>
                <w:t>n</w:t>
              </w:r>
            </w:hyperlink>
            <w:r>
              <w:rPr>
                <w:rFonts w:ascii="宋体" w:hAnsi="宋体" w:cs="宋体" w:eastAsia="宋体" w:hint="default"/>
                <w:spacing w:val="-104"/>
                <w:sz w:val="18"/>
                <w:szCs w:val="18"/>
              </w:rPr>
              <w:t>）</w:t>
            </w:r>
            <w:r>
              <w:rPr>
                <w:rFonts w:ascii="宋体" w:hAnsi="宋体" w:cs="宋体" w:eastAsia="宋体" w:hint="default"/>
                <w:sz w:val="18"/>
                <w:szCs w:val="18"/>
              </w:rPr>
              <w:t>《安徽皖通科技股份</w:t>
            </w:r>
            <w:r>
              <w:rPr>
                <w:rFonts w:ascii="宋体" w:hAnsi="宋体" w:cs="宋体" w:eastAsia="宋体" w:hint="default"/>
                <w:sz w:val="18"/>
                <w:szCs w:val="18"/>
              </w:rPr>
              <w:t> 有限公司</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年度内部控制自我评价报告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100.00%</w:t>
            </w:r>
          </w:p>
        </w:tc>
      </w:tr>
      <w:tr>
        <w:trPr>
          <w:trHeight w:val="400"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6" w:footer="978" w:top="1040" w:bottom="1160" w:left="1000" w:right="920"/>
        </w:sectPr>
      </w:pPr>
    </w:p>
    <w:p>
      <w:pPr>
        <w:spacing w:line="240" w:lineRule="auto" w:before="2"/>
        <w:rPr>
          <w:rFonts w:ascii="宋体" w:hAnsi="宋体" w:cs="宋体" w:eastAsia="宋体" w:hint="default"/>
          <w:b/>
          <w:bCs/>
          <w:sz w:val="29"/>
          <w:szCs w:val="29"/>
        </w:rPr>
      </w:pPr>
      <w:r>
        <w:rPr/>
        <w:pict>
          <v:group style="position:absolute;margin-left:381.299988pt;margin-top:92.500023pt;width:152.3pt;height:238.25pt;mso-position-horizontal-relative:page;mso-position-vertical-relative:page;z-index:-870712" coordorigin="7626,1850" coordsize="3046,4765">
            <v:shape style="position:absolute;left:7626;top:1850;width:3046;height:4765" coordorigin="7626,1850" coordsize="3046,4765" path="m7626,1850l10672,1850,10672,6615,7626,6615,7626,1850xe" filled="true" fillcolor="#ffffff" stroked="false">
              <v:path arrowok="t"/>
              <v:fill type="solid"/>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8"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pacing w:val="-4"/>
                <w:sz w:val="18"/>
                <w:szCs w:val="18"/>
              </w:rPr>
              <w:t>A、可认定重大缺陷的迹象：a.公司董事</w:t>
            </w: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监事和高级管理人员的舞弊行为；b.公司</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更正已公布的财务报告；c.注册会计师发</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现的却未被公司内部控制识别的当期财务</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报告中的重大错报；d.审计委员会和内部</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审计部门对公司的对外财务报告和财务报</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告内部控制监督无效。</w:t>
            </w:r>
            <w:r>
              <w:rPr>
                <w:rFonts w:ascii="宋体" w:hAnsi="宋体" w:cs="宋体" w:eastAsia="宋体" w:hint="default"/>
                <w:spacing w:val="-1"/>
                <w:sz w:val="18"/>
                <w:szCs w:val="18"/>
              </w:rPr>
              <w:t> </w:t>
            </w:r>
            <w:r>
              <w:rPr>
                <w:rFonts w:ascii="宋体" w:hAnsi="宋体" w:cs="宋体" w:eastAsia="宋体" w:hint="default"/>
                <w:sz w:val="18"/>
                <w:szCs w:val="18"/>
              </w:rPr>
              <w:t>B、可认定重要缺</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陷的迹象：a.未依照公认会计准则选择和</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务流程有效性的影响程度、发生的可能</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应用会计政策；b.未建立反舞弊程序和控</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性作判定。</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制措施；c.对于非常规或特殊交易的账务</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处理没有建立相应的控制机制或没有实施</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且没有相应的补偿性控制；d.对于期末财</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务报告过程的控制存在一项或多项缺陷且</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不能合理保证编制的财务报表达到真实、</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完整的目标。</w:t>
            </w:r>
          </w:p>
        </w:tc>
        <w:tc>
          <w:tcPr>
            <w:tcW w:w="3051"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9"/>
              <w:jc w:val="left"/>
              <w:rPr>
                <w:rFonts w:ascii="宋体" w:hAnsi="宋体" w:cs="宋体" w:eastAsia="宋体" w:hint="default"/>
                <w:sz w:val="18"/>
                <w:szCs w:val="18"/>
              </w:rPr>
            </w:pPr>
            <w:r>
              <w:rPr>
                <w:rFonts w:ascii="宋体" w:hAnsi="宋体" w:cs="宋体" w:eastAsia="宋体" w:hint="default"/>
                <w:sz w:val="18"/>
                <w:szCs w:val="18"/>
              </w:rPr>
              <w:t>以财务报告营业收入、资产总额作为衡量 指标。</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pacing w:val="-4"/>
                <w:sz w:val="18"/>
                <w:szCs w:val="18"/>
              </w:rPr>
              <w:t>以财务报告营业收入、资产总额作为衡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量指标。</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b/>
          <w:bCs/>
          <w:sz w:val="18"/>
          <w:szCs w:val="18"/>
        </w:rPr>
      </w:pPr>
    </w:p>
    <w:p>
      <w:pPr>
        <w:pStyle w:val="Heading4"/>
        <w:spacing w:line="240" w:lineRule="auto" w:before="26"/>
        <w:ind w:right="104"/>
        <w:jc w:val="left"/>
        <w:rPr>
          <w:b w:val="0"/>
          <w:bCs w:val="0"/>
        </w:rPr>
      </w:pP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731" w:right="3711"/>
        <w:jc w:val="center"/>
        <w:rPr>
          <w:b w:val="0"/>
          <w:bCs w:val="0"/>
        </w:rPr>
      </w:pPr>
      <w:bookmarkStart w:name="_bookmark9" w:id="10"/>
      <w:bookmarkEnd w:id="10"/>
      <w:r>
        <w:rPr>
          <w:b w:val="0"/>
          <w:bCs w:val="0"/>
        </w:rPr>
      </w:r>
      <w:r>
        <w:rPr/>
        <w:t>第十节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104"/>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大华审字[2016]003238</w:t>
            </w:r>
            <w:r>
              <w:rPr>
                <w:rFonts w:ascii="宋体" w:hAnsi="宋体" w:cs="宋体" w:eastAsia="宋体" w:hint="default"/>
                <w:spacing w:val="-50"/>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tabs>
                <w:tab w:pos="653" w:val="left" w:leader="none"/>
              </w:tabs>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李静</w:t>
              <w:tab/>
              <w:t>王原</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before="52"/>
        <w:ind w:left="0" w:right="0" w:firstLine="0"/>
        <w:jc w:val="right"/>
        <w:rPr>
          <w:rFonts w:ascii="宋体" w:hAnsi="宋体" w:cs="宋体" w:eastAsia="宋体" w:hint="default"/>
          <w:sz w:val="32"/>
          <w:szCs w:val="32"/>
        </w:rPr>
      </w:pPr>
      <w:r>
        <w:rPr>
          <w:rFonts w:ascii="宋体" w:hAnsi="宋体" w:cs="宋体" w:eastAsia="宋体" w:hint="default"/>
          <w:b/>
          <w:bCs/>
          <w:w w:val="95"/>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6"/>
          <w:szCs w:val="26"/>
        </w:rPr>
      </w:pPr>
    </w:p>
    <w:p>
      <w:pPr>
        <w:pStyle w:val="Heading6"/>
        <w:spacing w:line="240" w:lineRule="auto"/>
        <w:ind w:left="1827" w:right="0"/>
        <w:jc w:val="left"/>
        <w:rPr>
          <w:b w:val="0"/>
          <w:bCs w:val="0"/>
        </w:rPr>
      </w:pPr>
      <w:r>
        <w:rPr/>
        <w:t>大华审字[2016]003238号</w:t>
      </w:r>
      <w:r>
        <w:rPr>
          <w:b w:val="0"/>
          <w:bCs w:val="0"/>
        </w:rPr>
      </w:r>
    </w:p>
    <w:p>
      <w:pPr>
        <w:spacing w:after="0" w:line="240" w:lineRule="auto"/>
        <w:jc w:val="left"/>
        <w:sectPr>
          <w:type w:val="continuous"/>
          <w:pgSz w:w="11910" w:h="16840"/>
          <w:pgMar w:top="1040" w:bottom="1160" w:left="1000" w:right="1020"/>
          <w:cols w:num="2" w:equalWidth="0">
            <w:col w:w="5595" w:space="40"/>
            <w:col w:w="4255"/>
          </w:cols>
        </w:sectPr>
      </w:pPr>
    </w:p>
    <w:p>
      <w:pPr>
        <w:spacing w:line="240" w:lineRule="auto" w:before="0"/>
        <w:rPr>
          <w:rFonts w:ascii="宋体" w:hAnsi="宋体" w:cs="宋体" w:eastAsia="宋体" w:hint="default"/>
          <w:b/>
          <w:bCs/>
          <w:sz w:val="20"/>
          <w:szCs w:val="20"/>
        </w:rPr>
      </w:pPr>
    </w:p>
    <w:p>
      <w:pPr>
        <w:spacing w:line="408" w:lineRule="auto" w:before="188"/>
        <w:ind w:left="694" w:right="104" w:hanging="562"/>
        <w:jc w:val="left"/>
        <w:rPr>
          <w:rFonts w:ascii="宋体" w:hAnsi="宋体" w:cs="宋体" w:eastAsia="宋体" w:hint="default"/>
          <w:sz w:val="28"/>
          <w:szCs w:val="28"/>
        </w:rPr>
      </w:pPr>
      <w:r>
        <w:rPr>
          <w:rFonts w:ascii="宋体" w:hAnsi="宋体" w:cs="宋体" w:eastAsia="宋体" w:hint="default"/>
          <w:b/>
          <w:bCs/>
          <w:sz w:val="28"/>
          <w:szCs w:val="28"/>
        </w:rPr>
        <w:t>安徽皖通科技股份有限公司全体股东：</w:t>
      </w:r>
      <w:r>
        <w:rPr>
          <w:rFonts w:ascii="宋体" w:hAnsi="宋体" w:cs="宋体" w:eastAsia="宋体" w:hint="default"/>
          <w:b/>
          <w:bCs/>
          <w:w w:val="99"/>
          <w:sz w:val="28"/>
          <w:szCs w:val="28"/>
        </w:rPr>
        <w:t> </w:t>
      </w:r>
      <w:r>
        <w:rPr>
          <w:rFonts w:ascii="宋体" w:hAnsi="宋体" w:cs="宋体" w:eastAsia="宋体" w:hint="default"/>
          <w:spacing w:val="2"/>
          <w:sz w:val="28"/>
          <w:szCs w:val="28"/>
        </w:rPr>
        <w:t>我们审计了后附的安徽皖通科技股份有限公司(以下简称皖通科技公司)财</w:t>
      </w:r>
    </w:p>
    <w:p>
      <w:pPr>
        <w:pStyle w:val="Heading3"/>
        <w:spacing w:line="408" w:lineRule="auto"/>
        <w:ind w:left="132" w:right="112"/>
        <w:jc w:val="both"/>
      </w:pPr>
      <w:r>
        <w:rPr/>
        <w:t>务报表，包括2015年12月31日的合并及母公司资产负债表，2015年度的合并及</w:t>
      </w:r>
      <w:r>
        <w:rPr>
          <w:spacing w:val="-36"/>
        </w:rPr>
        <w:t> </w:t>
      </w:r>
      <w:r>
        <w:rPr>
          <w:spacing w:val="-36"/>
        </w:rPr>
      </w:r>
      <w:r>
        <w:rPr>
          <w:spacing w:val="2"/>
        </w:rPr>
        <w:t>母公司利润表、合并及母公司现金流量表、合并及母公司股东权益变动表，以</w:t>
      </w:r>
      <w:r>
        <w:rPr>
          <w:spacing w:val="-99"/>
        </w:rPr>
        <w:t> </w:t>
      </w:r>
      <w:r>
        <w:rPr>
          <w:spacing w:val="-99"/>
        </w:rPr>
      </w:r>
      <w:r>
        <w:rPr/>
        <w:t>及财务报表附注。</w:t>
      </w:r>
    </w:p>
    <w:p>
      <w:pPr>
        <w:pStyle w:val="Heading2"/>
        <w:spacing w:line="240" w:lineRule="auto" w:before="61"/>
        <w:ind w:left="132" w:right="0"/>
        <w:jc w:val="both"/>
        <w:rPr>
          <w:b w:val="0"/>
          <w:bCs w:val="0"/>
        </w:rPr>
      </w:pPr>
      <w:r>
        <w:rPr/>
        <w:t>1.对财务报表出具的审计报告</w:t>
      </w:r>
      <w:r>
        <w:rPr>
          <w:b w:val="0"/>
          <w:bCs w:val="0"/>
        </w:rPr>
      </w:r>
    </w:p>
    <w:p>
      <w:pPr>
        <w:spacing w:line="240" w:lineRule="auto" w:before="9"/>
        <w:rPr>
          <w:rFonts w:ascii="宋体" w:hAnsi="宋体" w:cs="宋体" w:eastAsia="宋体" w:hint="default"/>
          <w:b/>
          <w:bCs/>
          <w:sz w:val="19"/>
          <w:szCs w:val="19"/>
        </w:rPr>
      </w:pPr>
    </w:p>
    <w:p>
      <w:pPr>
        <w:spacing w:line="408" w:lineRule="auto" w:before="0"/>
        <w:ind w:left="694" w:right="104" w:firstLine="2"/>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2"/>
          <w:sz w:val="28"/>
          <w:szCs w:val="28"/>
        </w:rPr>
        <w:t>编制和公允列报财务报表是皖通科技公司管理层的责任，这种责任包括：</w:t>
      </w:r>
    </w:p>
    <w:p>
      <w:pPr>
        <w:pStyle w:val="Heading3"/>
        <w:spacing w:line="408" w:lineRule="auto"/>
        <w:ind w:left="132" w:right="112"/>
        <w:jc w:val="both"/>
      </w:pPr>
      <w:r>
        <w:rPr>
          <w:spacing w:val="2"/>
        </w:rPr>
        <w:t>（1）按照企业会计准则的规定编制财务报表，并使其实现公允反映；（2）设</w:t>
      </w:r>
      <w:r>
        <w:rPr>
          <w:spacing w:val="-101"/>
        </w:rPr>
        <w:t> </w:t>
      </w:r>
      <w:r>
        <w:rPr>
          <w:spacing w:val="-101"/>
        </w:rPr>
      </w:r>
      <w:r>
        <w:rPr>
          <w:spacing w:val="2"/>
        </w:rPr>
        <w:t>计、执行和维护必要的内部控制，以使财务报表不存在由于舞弊或错误导致的</w:t>
      </w:r>
      <w:r>
        <w:rPr>
          <w:spacing w:val="-99"/>
        </w:rPr>
        <w:t> </w:t>
      </w:r>
      <w:r>
        <w:rPr>
          <w:spacing w:val="-99"/>
        </w:rPr>
      </w:r>
      <w:r>
        <w:rPr/>
        <w:t>重大错报。</w:t>
      </w:r>
    </w:p>
    <w:p>
      <w:pPr>
        <w:spacing w:line="408" w:lineRule="auto" w:before="61"/>
        <w:ind w:left="694" w:right="104" w:firstLine="2"/>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2"/>
          <w:sz w:val="28"/>
          <w:szCs w:val="28"/>
        </w:rPr>
        <w:t>我们的责任是在执行审计工作的基础上对财务报表发表审计意见。我们按</w:t>
      </w:r>
    </w:p>
    <w:p>
      <w:pPr>
        <w:pStyle w:val="Heading3"/>
        <w:spacing w:line="240" w:lineRule="auto"/>
        <w:ind w:left="132" w:right="0"/>
        <w:jc w:val="both"/>
      </w:pPr>
      <w:r>
        <w:rPr>
          <w:spacing w:val="2"/>
        </w:rPr>
        <w:t>照中国注册会计师审计准则的规定执行了审计工作。中国注册会计师审计准则</w:t>
      </w:r>
    </w:p>
    <w:p>
      <w:pPr>
        <w:spacing w:after="0" w:line="240" w:lineRule="auto"/>
        <w:jc w:val="both"/>
        <w:sectPr>
          <w:type w:val="continuous"/>
          <w:pgSz w:w="11910" w:h="16840"/>
          <w:pgMar w:top="1040" w:bottom="1160" w:left="1000" w:right="10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408" w:lineRule="auto" w:before="14"/>
        <w:ind w:right="0"/>
        <w:jc w:val="left"/>
      </w:pPr>
      <w:r>
        <w:rPr>
          <w:spacing w:val="2"/>
        </w:rPr>
        <w:t>要求我们遵守职业道德守则，计划和执行审计工作以对财务报表是否不存在重</w:t>
      </w:r>
      <w:r>
        <w:rPr>
          <w:spacing w:val="-99"/>
        </w:rPr>
        <w:t> </w:t>
      </w:r>
      <w:r>
        <w:rPr>
          <w:spacing w:val="-99"/>
        </w:rPr>
      </w:r>
      <w:r>
        <w:rPr/>
        <w:t>大错报获取合理保证。</w:t>
      </w:r>
    </w:p>
    <w:p>
      <w:pPr>
        <w:pStyle w:val="Heading3"/>
        <w:spacing w:line="408" w:lineRule="auto"/>
        <w:ind w:right="0" w:firstLine="561"/>
        <w:jc w:val="left"/>
      </w:pPr>
      <w:r>
        <w:rPr>
          <w:spacing w:val="-3"/>
        </w:rPr>
        <w:t>审计工作涉及实施审计程序，以获取有关财务报表金额和披露的审计证据。</w:t>
      </w:r>
      <w:r>
        <w:rPr>
          <w:w w:val="100"/>
        </w:rPr>
        <w:t> </w:t>
      </w:r>
      <w:r>
        <w:rPr>
          <w:spacing w:val="2"/>
        </w:rPr>
        <w:t>选择的审计程序取决于注册会计师的判断，包括对由于舞弊或错误导致的财务</w:t>
      </w:r>
      <w:r>
        <w:rPr>
          <w:spacing w:val="-99"/>
        </w:rPr>
        <w:t> </w:t>
      </w:r>
      <w:r>
        <w:rPr>
          <w:spacing w:val="-99"/>
        </w:rPr>
      </w:r>
      <w:r>
        <w:rPr>
          <w:spacing w:val="2"/>
        </w:rPr>
        <w:t>报表重大错报风险的评估。在进行风险评估时，注册会计师考虑与财务报表编</w:t>
      </w:r>
      <w:r>
        <w:rPr>
          <w:spacing w:val="-99"/>
        </w:rPr>
        <w:t> </w:t>
      </w:r>
      <w:r>
        <w:rPr>
          <w:spacing w:val="-99"/>
        </w:rPr>
      </w:r>
      <w:r>
        <w:rPr>
          <w:spacing w:val="2"/>
        </w:rPr>
        <w:t>制和公允列报相关的内部控制，以设计恰当的审计程序，但目的并非对内部控</w:t>
      </w:r>
      <w:r>
        <w:rPr>
          <w:spacing w:val="-99"/>
        </w:rPr>
        <w:t> </w:t>
      </w:r>
      <w:r>
        <w:rPr>
          <w:spacing w:val="-99"/>
        </w:rPr>
      </w:r>
      <w:r>
        <w:rPr>
          <w:spacing w:val="2"/>
        </w:rPr>
        <w:t>制的有效性发表意见。审计工作还包括评价管理层选用会计政策的恰当性和作</w:t>
      </w:r>
      <w:r>
        <w:rPr>
          <w:spacing w:val="-99"/>
        </w:rPr>
        <w:t> </w:t>
      </w:r>
      <w:r>
        <w:rPr>
          <w:spacing w:val="-99"/>
        </w:rPr>
      </w:r>
      <w:r>
        <w:rPr/>
        <w:t>出会计估计的合理性，以及评价财务报表的总体列报。</w:t>
      </w:r>
    </w:p>
    <w:p>
      <w:pPr>
        <w:pStyle w:val="Heading3"/>
        <w:spacing w:line="408" w:lineRule="auto"/>
        <w:ind w:right="0" w:firstLine="561"/>
        <w:jc w:val="left"/>
      </w:pPr>
      <w:r>
        <w:rPr>
          <w:spacing w:val="2"/>
        </w:rPr>
        <w:t>我们相信，我们获取的审计证据是充分、适当的，为发表审计意见提供了</w:t>
      </w:r>
      <w:r>
        <w:rPr>
          <w:w w:val="100"/>
        </w:rPr>
        <w:t> </w:t>
      </w:r>
      <w:r>
        <w:rPr/>
        <w:t>基础。</w:t>
      </w:r>
    </w:p>
    <w:p>
      <w:pPr>
        <w:pStyle w:val="Heading3"/>
        <w:spacing w:line="408" w:lineRule="auto"/>
        <w:ind w:left="674" w:right="0"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我们认为，皖通科技公司的财务报表在所有重大方面按照企业会计准则的</w:t>
      </w:r>
    </w:p>
    <w:p>
      <w:pPr>
        <w:pStyle w:val="Heading3"/>
        <w:spacing w:line="408" w:lineRule="auto"/>
        <w:ind w:right="0"/>
        <w:jc w:val="left"/>
      </w:pPr>
      <w:r>
        <w:rPr/>
        <w:t>规定编制，公允反映了皖通科技公司2015年12月31日的合并及母公司财务状况</w:t>
      </w:r>
      <w:r>
        <w:rPr>
          <w:spacing w:val="-34"/>
        </w:rPr>
        <w:t> </w:t>
      </w:r>
      <w:r>
        <w:rPr>
          <w:spacing w:val="-34"/>
        </w:rPr>
      </w:r>
      <w:r>
        <w:rPr/>
        <w:t>以及2015年度的合并及母公司经营成果和现金流量。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tabs>
          <w:tab w:pos="5260" w:val="left" w:leader="none"/>
        </w:tabs>
        <w:spacing w:line="422" w:lineRule="auto" w:before="220"/>
        <w:ind w:left="1766" w:right="2501" w:hanging="1400"/>
        <w:jc w:val="left"/>
      </w:pPr>
      <w:r>
        <w:rPr>
          <w:spacing w:val="-2"/>
        </w:rPr>
        <w:t>大华会计师事务所(特殊普通合伙)</w:t>
        <w:tab/>
        <w:t>中国注册会计师：</w:t>
      </w:r>
      <w:r>
        <w:rPr>
          <w:spacing w:val="-127"/>
        </w:rPr>
        <w:t> </w:t>
      </w:r>
      <w:r>
        <w:rPr>
          <w:spacing w:val="-127"/>
        </w:rPr>
      </w:r>
      <w:r>
        <w:rPr/>
        <w:t>中国</w:t>
      </w:r>
      <w:r>
        <w:rPr>
          <w:rFonts w:ascii="宋体" w:hAnsi="宋体" w:cs="宋体" w:eastAsia="宋体" w:hint="default"/>
          <w:b/>
          <w:bCs/>
        </w:rPr>
        <w:t>·</w:t>
      </w:r>
      <w:r>
        <w:rPr/>
        <w:t>北京</w:t>
      </w:r>
    </w:p>
    <w:p>
      <w:pPr>
        <w:pStyle w:val="Heading3"/>
        <w:spacing w:line="240" w:lineRule="auto" w:before="64"/>
        <w:ind w:left="5260" w:right="0"/>
        <w:jc w:val="left"/>
      </w:pPr>
      <w:r>
        <w:rPr/>
        <w:t>中国注册会计师：</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spacing w:line="240" w:lineRule="auto" w:before="189"/>
        <w:ind w:left="5820" w:right="0"/>
        <w:jc w:val="left"/>
      </w:pPr>
      <w:r>
        <w:rPr/>
        <w:t>二〇一六年三月二十一日</w:t>
      </w:r>
    </w:p>
    <w:p>
      <w:pPr>
        <w:spacing w:after="0" w:line="240" w:lineRule="auto"/>
        <w:jc w:val="left"/>
        <w:sectPr>
          <w:pgSz w:w="11910" w:h="16840"/>
          <w:pgMar w:header="746" w:footer="978" w:top="1040" w:bottom="1160" w:left="1020" w:right="880"/>
        </w:sectPr>
      </w:pPr>
    </w:p>
    <w:p>
      <w:pPr>
        <w:spacing w:line="240" w:lineRule="auto" w:before="5"/>
        <w:rPr>
          <w:rFonts w:ascii="宋体" w:hAnsi="宋体" w:cs="宋体" w:eastAsia="宋体" w:hint="default"/>
          <w:sz w:val="24"/>
          <w:szCs w:val="24"/>
        </w:rPr>
      </w:pPr>
    </w:p>
    <w:p>
      <w:pPr>
        <w:pStyle w:val="Heading4"/>
        <w:spacing w:line="240" w:lineRule="auto" w:before="26"/>
        <w:ind w:right="104"/>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1、合并资产负债表</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22"/>
          <w:pgSz w:w="11910" w:h="16840"/>
          <w:pgMar w:footer="978" w:header="746" w:top="1040" w:bottom="1160" w:left="1000" w:right="1020"/>
          <w:pgNumType w:start="60"/>
        </w:sectPr>
      </w:pPr>
    </w:p>
    <w:p>
      <w:pPr>
        <w:spacing w:before="44"/>
        <w:ind w:left="132" w:right="-20" w:firstLine="0"/>
        <w:jc w:val="left"/>
        <w:rPr>
          <w:rFonts w:ascii="宋体" w:hAnsi="宋体" w:cs="宋体" w:eastAsia="宋体" w:hint="default"/>
          <w:sz w:val="18"/>
          <w:szCs w:val="18"/>
        </w:rPr>
      </w:pPr>
      <w:r>
        <w:rPr>
          <w:rFonts w:ascii="宋体" w:hAnsi="宋体" w:cs="宋体" w:eastAsia="宋体" w:hint="default"/>
          <w:sz w:val="18"/>
          <w:szCs w:val="18"/>
        </w:rPr>
        <w:t>编制单位：安徽皖通科技股份有限公司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32" w:right="-14" w:firstLine="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160" w:left="1000" w:right="1020"/>
          <w:cols w:num="3" w:equalWidth="0">
            <w:col w:w="3193" w:space="884"/>
            <w:col w:w="1619" w:space="3133"/>
            <w:col w:w="1061"/>
          </w:cols>
        </w:sectPr>
      </w:pP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759,567,616.21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569,000,171.04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23,025,032.85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6,269,199.25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189,358,992.68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268,259,344.63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87,054,401.11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54,079,708.92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67,733,892.76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69,530,928.79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281,109,973.90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162,592,296.62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1,200,342.86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1,409,050,252.37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1,255,731,649.25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6,083,692.58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6,503,548.97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1,553,996.80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122,330,246.16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130,616,875.99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1,214,730.91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1,026,727.45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61,325,960.01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47,398,089.00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43,041,882.55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30,205,510.48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88,317,730.47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88,317,730.47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861,197.00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7,091,050.85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7,018,534.65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45,320,000.00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378,586,490.53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312,641,013.81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1,787,636,742.90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1,568,372,663.06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23,906,543.86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15,440,560.01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336,629,385.75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237,944,496.21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114,777,238.22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59,707,027.31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15,906,112.39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13,751,452.71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9,950,065.04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15,606,575.80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16,250.00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3,801,181.87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7,566,134.01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478,800.00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514,986,777.13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360,495,046.05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4,497,770.00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2,670,957.95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295,573.94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1,227,204.80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4,793,343.94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3,898,162.75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519,780,121.07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364,393,208.80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291,939,213.00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243,282,678.00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602,155,311.75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650,811,846.75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33,688,232.52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28,962,449.46</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301,892,391.10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249,287,881.43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1,229,675,148.37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1,172,344,855.64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38,181,473.46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31,634,598.62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1,267,856,621.83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1,203,979,454.26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1,787,636,742.90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1,568,372,663.06</w:t>
            </w:r>
          </w:p>
        </w:tc>
      </w:tr>
    </w:tbl>
    <w:p>
      <w:pPr>
        <w:spacing w:line="240" w:lineRule="auto" w:before="1"/>
        <w:rPr>
          <w:rFonts w:ascii="Times New Roman" w:hAnsi="Times New Roman" w:cs="Times New Roman" w:eastAsia="Times New Roman" w:hint="default"/>
          <w:sz w:val="23"/>
          <w:szCs w:val="23"/>
        </w:rPr>
      </w:pPr>
    </w:p>
    <w:p>
      <w:pPr>
        <w:tabs>
          <w:tab w:pos="3419" w:val="left" w:leader="none"/>
          <w:tab w:pos="7559" w:val="left" w:leader="none"/>
        </w:tabs>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法定代表人：王中胜</w:t>
        <w:tab/>
        <w:t>主管会计工作负责人：卢玉平</w:t>
        <w:tab/>
        <w:t>会计机构负责人：诸黎明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2、母公司资产负债表</w:t>
      </w:r>
      <w:r>
        <w:rPr>
          <w:b w:val="0"/>
          <w:bCs w:val="0"/>
        </w:rPr>
      </w:r>
    </w:p>
    <w:p>
      <w:pPr>
        <w:spacing w:line="240" w:lineRule="auto" w:before="9"/>
        <w:rPr>
          <w:rFonts w:ascii="宋体" w:hAnsi="宋体" w:cs="宋体" w:eastAsia="宋体" w:hint="default"/>
          <w:b/>
          <w:bCs/>
          <w:sz w:val="27"/>
          <w:szCs w:val="27"/>
        </w:rPr>
      </w:pPr>
    </w:p>
    <w:p>
      <w:pPr>
        <w:spacing w:before="0"/>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479,147,288.73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430,218,143.22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870,000.00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121,975,304.36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181,116,434.73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62,229,626.17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34,519,686.71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60,458,055.84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61,837,587.97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197,209,343.67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89,231,688.67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1,200,342.86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121,000,000.00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923,089,961.63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921,123,541.30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432,904,131.41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276,465,451.51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67,224,339.85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69,103,271.26</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539,046.91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655,077.11</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50,774,803.85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37,986,454.74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30,120,604.36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25,827,771.99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861,197.00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5,318,177.08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4,985,002.13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590,742,300.46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415,023,028.74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1,513,832,262.09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1,336,146,570.04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1,690,744.38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7,167,175.54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265,239,393.34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171,849,279.26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103,598,925.46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43,689,896.16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5,804,870.38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3,951,081.03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4,462,788.71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14,460,426.75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511,016.42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1,616,854.64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478,800.00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381,307,738.69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243,213,513.38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4,497,770.00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4,497,770.00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385,805,508.69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243,213,513.38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291,939,213.00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243,282,678.00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602,155,311.75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650,811,846.75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33,254,412.81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28,528,629.75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200,677,815.84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170,309,902.16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1,128,026,753.40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1,092,933,056.66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1,513,832,262.09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1,336,146,570.04</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4"/>
        <w:ind w:right="104"/>
        <w:jc w:val="left"/>
        <w:rPr>
          <w:b w:val="0"/>
          <w:bCs w:val="0"/>
        </w:rPr>
      </w:pPr>
      <w:r>
        <w:rPr/>
        <w:t>3、合并利润表</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882,037,006.51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781,300,863.63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882,037,006.51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781,300,863.63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820,119,412.62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727,166,523.14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699,061,084.88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617,541,170.84</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10,327,962.04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11,844,688.15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28,849,368.24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26,300,628.22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82,995,569.60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68,001,005.94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-4,567,987.85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-921,900.54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3,453,415.71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4,400,930.53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6"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11,091,965.50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3,469,926.95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-419,856.39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-859,507.75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汇兑收益（损失以“-”号填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73,009,559.39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57,604,267.44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15,139,242.09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15,016,573.97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7,383.67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236,569.69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174,267.08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115,830.71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156,383.67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87,912,231.79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72,446,574.33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13,057,550.12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11,744,119.35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12"/>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74,854,681.67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60,702,454.98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69,494,426.63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57,132,485.37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5,360,255.04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3,569,969.61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22" w:right="0"/>
              <w:jc w:val="left"/>
              <w:rPr>
                <w:rFonts w:ascii="宋体" w:hAnsi="宋体" w:cs="宋体" w:eastAsia="宋体" w:hint="default"/>
                <w:sz w:val="18"/>
                <w:szCs w:val="18"/>
              </w:rPr>
            </w:pPr>
            <w:r>
              <w:rPr>
                <w:rFonts w:ascii="宋体" w:hAnsi="宋体" w:cs="宋体" w:eastAsia="宋体" w:hint="default"/>
                <w:sz w:val="18"/>
                <w:szCs w:val="18"/>
              </w:rPr>
              <w:t>1.重新计量设定受益计划</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080"/>
        <w:gridCol w:w="3210"/>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6" w:firstLine="900"/>
              <w:jc w:val="both"/>
              <w:rPr>
                <w:rFonts w:ascii="宋体" w:hAnsi="宋体" w:cs="宋体" w:eastAsia="宋体" w:hint="default"/>
                <w:sz w:val="18"/>
                <w:szCs w:val="18"/>
              </w:rPr>
            </w:pPr>
            <w:r>
              <w:rPr>
                <w:rFonts w:ascii="宋体" w:hAnsi="宋体" w:cs="宋体" w:eastAsia="宋体" w:hint="default"/>
                <w:sz w:val="18"/>
                <w:szCs w:val="18"/>
              </w:rPr>
              <w:t>2.权益法下在被投资单位 不能重分类进损益的其他综合收益中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6" w:firstLine="900"/>
              <w:jc w:val="both"/>
              <w:rPr>
                <w:rFonts w:ascii="宋体" w:hAnsi="宋体" w:cs="宋体" w:eastAsia="宋体" w:hint="default"/>
                <w:sz w:val="18"/>
                <w:szCs w:val="18"/>
              </w:rPr>
            </w:pPr>
            <w:r>
              <w:rPr>
                <w:rFonts w:ascii="宋体" w:hAnsi="宋体" w:cs="宋体" w:eastAsia="宋体" w:hint="default"/>
                <w:sz w:val="18"/>
                <w:szCs w:val="18"/>
              </w:rPr>
              <w:t>1.权益法下在被投资单位 以后将重分类进损益的其他综合收益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6" w:firstLine="900"/>
              <w:jc w:val="left"/>
              <w:rPr>
                <w:rFonts w:ascii="宋体" w:hAnsi="宋体" w:cs="宋体" w:eastAsia="宋体" w:hint="default"/>
                <w:sz w:val="18"/>
                <w:szCs w:val="18"/>
              </w:rPr>
            </w:pPr>
            <w:r>
              <w:rPr>
                <w:rFonts w:ascii="宋体" w:hAnsi="宋体" w:cs="宋体" w:eastAsia="宋体" w:hint="default"/>
                <w:sz w:val="18"/>
                <w:szCs w:val="18"/>
              </w:rPr>
              <w:t>2.可供出售金融资产公允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6" w:firstLine="900"/>
              <w:jc w:val="left"/>
              <w:rPr>
                <w:rFonts w:ascii="宋体" w:hAnsi="宋体" w:cs="宋体" w:eastAsia="宋体" w:hint="default"/>
                <w:sz w:val="18"/>
                <w:szCs w:val="18"/>
              </w:rPr>
            </w:pPr>
            <w:r>
              <w:rPr>
                <w:rFonts w:ascii="宋体" w:hAnsi="宋体" w:cs="宋体" w:eastAsia="宋体" w:hint="default"/>
                <w:sz w:val="18"/>
                <w:szCs w:val="18"/>
              </w:rPr>
              <w:t>3.持有至到期投资重分类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4.现金流量套期损益的有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66"/>
              <w:jc w:val="right"/>
              <w:rPr>
                <w:rFonts w:ascii="宋体" w:hAnsi="宋体" w:cs="宋体" w:eastAsia="宋体" w:hint="default"/>
                <w:sz w:val="18"/>
                <w:szCs w:val="18"/>
              </w:rPr>
            </w:pPr>
            <w:r>
              <w:rPr>
                <w:rFonts w:ascii="宋体" w:hAnsi="宋体" w:cs="宋体" w:eastAsia="宋体" w:hint="default"/>
                <w:spacing w:val="-1"/>
                <w:sz w:val="18"/>
                <w:szCs w:val="18"/>
              </w:rPr>
              <w:t>5.外币财务报表折算差额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74,854,681.67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60,702,454.98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69,494,426.63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57,132,485.37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5,360,255.04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3,569,969.61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0.2380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0.2149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0.2380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0.2149</w:t>
            </w:r>
          </w:p>
        </w:tc>
      </w:tr>
    </w:tbl>
    <w:p>
      <w:pPr>
        <w:tabs>
          <w:tab w:pos="3552" w:val="left" w:leader="none"/>
          <w:tab w:pos="7692" w:val="left" w:leader="none"/>
        </w:tabs>
        <w:spacing w:line="609" w:lineRule="auto" w:before="51"/>
        <w:ind w:left="132" w:right="211"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本期发生同一控制下企业合并的，被合并方在合并前实现的净利润为：元，上期被合并方实现的净利润为：元。 法定代表人：王中胜</w:t>
        <w:tab/>
        <w:t>主管会计工作负责人：卢玉平</w:t>
        <w:tab/>
        <w:t>会计机构负责人：诸黎明 </w:t>
      </w:r>
      <w:r>
        <w:rPr>
          <w:rFonts w:ascii="宋体" w:hAnsi="宋体" w:cs="宋体" w:eastAsia="宋体" w:hint="default"/>
          <w:b/>
          <w:bCs/>
          <w:sz w:val="21"/>
          <w:szCs w:val="21"/>
        </w:rPr>
        <w:t>4、母公司利润表</w:t>
      </w:r>
      <w:r>
        <w:rPr>
          <w:rFonts w:ascii="宋体" w:hAnsi="宋体" w:cs="宋体" w:eastAsia="宋体" w:hint="default"/>
          <w:sz w:val="21"/>
          <w:szCs w:val="21"/>
        </w:rPr>
      </w:r>
    </w:p>
    <w:p>
      <w:pPr>
        <w:spacing w:before="39"/>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585,560,141.69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496,146,744.30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489,148,077.08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410,314,816.69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5,847,030.73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8,907,512.68</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12,962,357.19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9,186,017.45</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r>
        <w:rPr/>
        <w:pict>
          <v:group style="position:absolute;margin-left:203.800003pt;margin-top:239.800018pt;width:164.75pt;height:19.850pt;mso-position-horizontal-relative:page;mso-position-vertical-relative:page;z-index:-870688" coordorigin="4076,4796" coordsize="3295,397">
            <v:shape style="position:absolute;left:4076;top:4796;width:3295;height:397" coordorigin="4076,4796" coordsize="3295,397" path="m4076,4796l7371,4796,7371,5193,4076,5193,4076,4796xe" filled="true" fillcolor="#ffffff" stroked="false">
              <v:path arrowok="t"/>
              <v:fill type="solid"/>
            </v:shape>
            <w10:wrap type="none"/>
          </v:group>
        </w:pict>
      </w:r>
      <w:r>
        <w:rPr/>
        <w:pict>
          <v:group style="position:absolute;margin-left:203.800003pt;margin-top:396.100037pt;width:164.75pt;height:19.850pt;mso-position-horizontal-relative:page;mso-position-vertical-relative:page;z-index:-870664" coordorigin="4076,7922" coordsize="3295,397">
            <v:shape style="position:absolute;left:4076;top:7922;width:3295;height:397" coordorigin="4076,7922" coordsize="3295,397" path="m4076,7922l7371,7922,7371,8319,4076,8319,4076,7922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34,631,348.63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27,518,842.70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-4,255,062.89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-1,713,074.21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2,532,472.37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4,970,369.09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5,171,367.14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10,400,198.49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-163,684.24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-943,010.63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tabs>
                <w:tab w:pos="2097" w:val="left" w:leader="none"/>
              </w:tabs>
              <w:spacing w:line="240" w:lineRule="auto" w:before="50"/>
              <w:ind w:left="-123" w:right="21"/>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49,865,285.72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47,362,458.39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4,622,111.60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4,506,190.58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7,383.67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70,367.05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48,744.74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59,792.07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33,213.56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54,417,030.27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51,819,904.23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7,159,199.63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7,298,262.08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tabs>
                <w:tab w:pos="2097" w:val="left" w:leader="none"/>
              </w:tabs>
              <w:spacing w:line="240" w:lineRule="auto" w:before="51"/>
              <w:ind w:left="-123" w:right="21"/>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47,257,830.64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44,521,642.15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900"/>
              <w:jc w:val="left"/>
              <w:rPr>
                <w:rFonts w:ascii="宋体" w:hAnsi="宋体" w:cs="宋体" w:eastAsia="宋体" w:hint="default"/>
                <w:sz w:val="18"/>
                <w:szCs w:val="18"/>
              </w:rPr>
            </w:pPr>
            <w:r>
              <w:rPr>
                <w:rFonts w:ascii="宋体" w:hAnsi="宋体" w:cs="宋体" w:eastAsia="宋体" w:hint="default"/>
                <w:sz w:val="18"/>
                <w:szCs w:val="18"/>
              </w:rPr>
              <w:t>1.重新计量设定受益计划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900"/>
              <w:jc w:val="both"/>
              <w:rPr>
                <w:rFonts w:ascii="宋体" w:hAnsi="宋体" w:cs="宋体" w:eastAsia="宋体" w:hint="default"/>
                <w:sz w:val="18"/>
                <w:szCs w:val="18"/>
              </w:rPr>
            </w:pPr>
            <w:r>
              <w:rPr>
                <w:rFonts w:ascii="宋体" w:hAnsi="宋体" w:cs="宋体" w:eastAsia="宋体" w:hint="default"/>
                <w:sz w:val="18"/>
                <w:szCs w:val="18"/>
              </w:rPr>
              <w:t>2.权益法下在被投资单位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900"/>
              <w:jc w:val="both"/>
              <w:rPr>
                <w:rFonts w:ascii="宋体" w:hAnsi="宋体" w:cs="宋体" w:eastAsia="宋体" w:hint="default"/>
                <w:sz w:val="18"/>
                <w:szCs w:val="18"/>
              </w:rPr>
            </w:pPr>
            <w:r>
              <w:rPr>
                <w:rFonts w:ascii="宋体" w:hAnsi="宋体" w:cs="宋体" w:eastAsia="宋体" w:hint="default"/>
                <w:sz w:val="18"/>
                <w:szCs w:val="18"/>
              </w:rPr>
              <w:t>1.权益法下在被投资单位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900"/>
              <w:jc w:val="left"/>
              <w:rPr>
                <w:rFonts w:ascii="宋体" w:hAnsi="宋体" w:cs="宋体" w:eastAsia="宋体" w:hint="default"/>
                <w:sz w:val="18"/>
                <w:szCs w:val="18"/>
              </w:rPr>
            </w:pPr>
            <w:r>
              <w:rPr>
                <w:rFonts w:ascii="宋体" w:hAnsi="宋体" w:cs="宋体" w:eastAsia="宋体" w:hint="default"/>
                <w:sz w:val="18"/>
                <w:szCs w:val="18"/>
              </w:rPr>
              <w:t>2.可供出售金融资产公允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900"/>
              <w:jc w:val="left"/>
              <w:rPr>
                <w:rFonts w:ascii="宋体" w:hAnsi="宋体" w:cs="宋体" w:eastAsia="宋体" w:hint="default"/>
                <w:sz w:val="18"/>
                <w:szCs w:val="18"/>
              </w:rPr>
            </w:pPr>
            <w:r>
              <w:rPr>
                <w:rFonts w:ascii="宋体" w:hAnsi="宋体" w:cs="宋体" w:eastAsia="宋体" w:hint="default"/>
                <w:sz w:val="18"/>
                <w:szCs w:val="18"/>
              </w:rPr>
              <w:t>3.持有至到期投资重分类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4.现金流量套期损益的有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5.外币财务报表折算差额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97" w:right="0"/>
              <w:jc w:val="left"/>
              <w:rPr>
                <w:rFonts w:ascii="宋体" w:hAnsi="宋体" w:cs="宋体" w:eastAsia="宋体" w:hint="default"/>
                <w:sz w:val="18"/>
                <w:szCs w:val="18"/>
              </w:rPr>
            </w:pPr>
            <w:r>
              <w:rPr>
                <w:rFonts w:ascii="宋体"/>
                <w:sz w:val="18"/>
              </w:rPr>
              <w:t>47,257,830.64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97" w:right="0"/>
              <w:jc w:val="left"/>
              <w:rPr>
                <w:rFonts w:ascii="宋体" w:hAnsi="宋体" w:cs="宋体" w:eastAsia="宋体" w:hint="default"/>
                <w:sz w:val="18"/>
                <w:szCs w:val="18"/>
              </w:rPr>
            </w:pPr>
            <w:r>
              <w:rPr>
                <w:rFonts w:ascii="宋体"/>
                <w:sz w:val="18"/>
              </w:rPr>
              <w:t>44,521,642.15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4"/>
        <w:ind w:right="104"/>
        <w:jc w:val="left"/>
        <w:rPr>
          <w:b w:val="0"/>
          <w:bCs w:val="0"/>
        </w:rPr>
      </w:pPr>
      <w:r>
        <w:rPr/>
        <w:t>5、合并现金流量表</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1,058,468,893.83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736,858,137.04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3,278,965.80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4,680,686.04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185,803,745.67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151,238,629.63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1,247,551,605.30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892,777,452.71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770,716,728.56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640,185,615.09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89,021,947.36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72,779,817.61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42,326,555.80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36,388,157.61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221,558,199.14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152,516,448.82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1,123,623,430.86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901,870,039.13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123,928,174.44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-9,092,586.42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379,895,550.44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567,340,000.00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13,258,624.24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4,329,434.70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1,206,773.03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134,599.92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121,000,000.00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515,360,947.71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571,804,034.62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71,281,195.22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26,766,309.93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567,340,000.00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121,000,000.00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446,281,195.22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715,106,309.93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69,079,752.49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-143,302,275.31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363,629,014.58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12,081,044.12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1,090,034.35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23,581,044.12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374,719,048.93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13,151,568.39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5,605,721.06</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2"/>
              <w:jc w:val="right"/>
              <w:rPr>
                <w:rFonts w:ascii="宋体" w:hAnsi="宋体" w:cs="宋体" w:eastAsia="宋体" w:hint="default"/>
                <w:sz w:val="18"/>
                <w:szCs w:val="18"/>
              </w:rPr>
            </w:pPr>
            <w:r>
              <w:rPr>
                <w:rFonts w:ascii="宋体" w:hAnsi="宋体" w:cs="宋体" w:eastAsia="宋体" w:hint="default"/>
                <w:sz w:val="18"/>
                <w:szCs w:val="18"/>
              </w:rPr>
              <w:t>其中：子公司支付给少数股东的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268,751.13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footerReference w:type="default" r:id="rId23"/>
          <w:pgSz w:w="11910" w:h="16840"/>
          <w:pgMar w:footer="978" w:header="746" w:top="1040" w:bottom="1160" w:left="1000" w:right="102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11,028,781.08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23,151,568.39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21,634,502.14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429,475.73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353,084,546.79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-155,484.53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-350,370.53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193,281,918.13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200,339,314.53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556,426,288.97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356,086,974.44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749,708,207.10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556,426,288.97</w:t>
            </w:r>
          </w:p>
        </w:tc>
      </w:tr>
    </w:tbl>
    <w:p>
      <w:pPr>
        <w:spacing w:line="240" w:lineRule="auto" w:before="0"/>
        <w:rPr>
          <w:rFonts w:ascii="Times New Roman" w:hAnsi="Times New Roman" w:cs="Times New Roman" w:eastAsia="Times New Roman" w:hint="default"/>
          <w:sz w:val="22"/>
          <w:szCs w:val="22"/>
        </w:rPr>
      </w:pPr>
    </w:p>
    <w:p>
      <w:pPr>
        <w:pStyle w:val="Heading6"/>
        <w:spacing w:line="240" w:lineRule="auto" w:before="34"/>
        <w:ind w:right="104"/>
        <w:jc w:val="left"/>
        <w:rPr>
          <w:b w:val="0"/>
          <w:bCs w:val="0"/>
        </w:rPr>
      </w:pPr>
      <w:r>
        <w:rPr/>
        <w:t>6、母公司现金流量表</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750,368,698.35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462,165,918.26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450,581.58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333,520.50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128,387,047.19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123,660,565.07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879,206,327.12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586,160,003.83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573,834,607.07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421,159,835.83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30,826,566.49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21,022,725.12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24,965,136.74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17,465,330.73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138,396,032.44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127,703,952.06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768,022,342.74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587,351,843.74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111,183,984.38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-1,191,839.91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5,335,051.38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11,343,209.12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1,568.93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50,238.38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121,000,000.00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126,336,620.31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11,393,447.50</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2"/>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20,498,445.48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21,778,173.44</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159,602,364.14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121,000,000.00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180,100,809.62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142,778,173.44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-53,764,189.31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-131,384,725.94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363,629,014.58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6,434,325.31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1,090,034.35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6,434,325.31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364,719,048.93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12,164,133.90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4,285,132.40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3,258,279.19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12,164,133.90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7,543,411.59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-5,729,808.59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357,175,637.34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51,689,986.48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224,599,071.49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422,251,227.47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197,652,155.98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473,941,213.95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422,251,227.47</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7、合并所有者权益变动表</w:t>
      </w:r>
      <w:r>
        <w:rPr>
          <w:b w:val="0"/>
          <w:bCs w:val="0"/>
        </w:rPr>
      </w:r>
    </w:p>
    <w:p>
      <w:pPr>
        <w:spacing w:line="240" w:lineRule="auto" w:before="4"/>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5"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3" w:right="5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4"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8"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8" w:right="54"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57"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9" w:right="7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宋体" w:hAnsi="宋体" w:cs="宋体" w:eastAsia="宋体" w:hint="default"/>
                <w:sz w:val="18"/>
                <w:szCs w:val="18"/>
              </w:rPr>
            </w:pPr>
            <w:r>
              <w:rPr>
                <w:rFonts w:ascii="宋体"/>
                <w:sz w:val="18"/>
              </w:rPr>
              <w:t>243,2</w:t>
            </w:r>
          </w:p>
          <w:p>
            <w:pPr>
              <w:pStyle w:val="TableParagraph"/>
              <w:spacing w:line="240" w:lineRule="auto" w:before="76"/>
              <w:ind w:left="79" w:right="0"/>
              <w:jc w:val="left"/>
              <w:rPr>
                <w:rFonts w:ascii="宋体" w:hAnsi="宋体" w:cs="宋体" w:eastAsia="宋体" w:hint="default"/>
                <w:sz w:val="18"/>
                <w:szCs w:val="18"/>
              </w:rPr>
            </w:pPr>
            <w:r>
              <w:rPr>
                <w:rFonts w:ascii="宋体"/>
                <w:sz w:val="18"/>
              </w:rPr>
              <w:t>82,67</w:t>
            </w:r>
          </w:p>
          <w:p>
            <w:pPr>
              <w:pStyle w:val="TableParagraph"/>
              <w:spacing w:line="240" w:lineRule="auto" w:before="76"/>
              <w:ind w:left="168" w:right="0"/>
              <w:jc w:val="left"/>
              <w:rPr>
                <w:rFonts w:ascii="宋体" w:hAnsi="宋体" w:cs="宋体" w:eastAsia="宋体" w:hint="default"/>
                <w:sz w:val="18"/>
                <w:szCs w:val="18"/>
              </w:rPr>
            </w:pPr>
            <w:r>
              <w:rPr>
                <w:rFonts w:ascii="宋体"/>
                <w:sz w:val="18"/>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650,81</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1,846.</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28,962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,449.4</w:t>
            </w:r>
          </w:p>
          <w:p>
            <w:pPr>
              <w:pStyle w:val="TableParagraph"/>
              <w:spacing w:line="240" w:lineRule="auto" w:before="76"/>
              <w:ind w:right="22"/>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249,28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7,881.</w:t>
            </w:r>
          </w:p>
          <w:p>
            <w:pPr>
              <w:pStyle w:val="TableParagraph"/>
              <w:spacing w:line="240" w:lineRule="auto" w:before="76"/>
              <w:ind w:right="20"/>
              <w:jc w:val="right"/>
              <w:rPr>
                <w:rFonts w:ascii="宋体" w:hAnsi="宋体" w:cs="宋体" w:eastAsia="宋体" w:hint="default"/>
                <w:sz w:val="18"/>
                <w:szCs w:val="18"/>
              </w:rPr>
            </w:pPr>
            <w:r>
              <w:rPr>
                <w:rFonts w:ascii="宋体"/>
                <w:sz w:val="18"/>
              </w:rPr>
              <w:t>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31,634</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,598.6</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 w:right="0"/>
              <w:jc w:val="center"/>
              <w:rPr>
                <w:rFonts w:ascii="宋体" w:hAnsi="宋体" w:cs="宋体" w:eastAsia="宋体" w:hint="default"/>
                <w:sz w:val="18"/>
                <w:szCs w:val="18"/>
              </w:rPr>
            </w:pPr>
            <w:r>
              <w:rPr>
                <w:rFonts w:ascii="宋体"/>
                <w:sz w:val="18"/>
              </w:rPr>
              <w:t>1,203,</w:t>
            </w:r>
          </w:p>
          <w:p>
            <w:pPr>
              <w:pStyle w:val="TableParagraph"/>
              <w:spacing w:line="240" w:lineRule="auto" w:before="76"/>
              <w:ind w:left="65" w:right="0"/>
              <w:jc w:val="center"/>
              <w:rPr>
                <w:rFonts w:ascii="宋体" w:hAnsi="宋体" w:cs="宋体" w:eastAsia="宋体" w:hint="default"/>
                <w:sz w:val="18"/>
                <w:szCs w:val="18"/>
              </w:rPr>
            </w:pPr>
            <w:r>
              <w:rPr>
                <w:rFonts w:ascii="宋体"/>
                <w:sz w:val="18"/>
              </w:rPr>
              <w:t>979,45</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4.26</w:t>
            </w:r>
          </w:p>
        </w:tc>
      </w:tr>
    </w:tbl>
    <w:p>
      <w:pPr>
        <w:spacing w:after="0" w:line="240" w:lineRule="auto"/>
        <w:jc w:val="center"/>
        <w:rPr>
          <w:rFonts w:ascii="宋体" w:hAnsi="宋体" w:cs="宋体" w:eastAsia="宋体" w:hint="default"/>
          <w:sz w:val="18"/>
          <w:szCs w:val="18"/>
        </w:rPr>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r>
        <w:rPr/>
        <w:pict>
          <v:group style="position:absolute;margin-left:127.349998pt;margin-top:250.900024pt;width:27.85pt;height:51.05pt;mso-position-horizontal-relative:page;mso-position-vertical-relative:page;z-index:-870640" coordorigin="2547,5018" coordsize="557,1021">
            <v:shape style="position:absolute;left:2547;top:5018;width:557;height:1021" coordorigin="2547,5018" coordsize="557,1021" path="m2547,5018l3104,5018,3104,6039,2547,6039,2547,5018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44"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宋体" w:hAnsi="宋体" w:cs="宋体" w:eastAsia="宋体" w:hint="default"/>
                <w:sz w:val="18"/>
                <w:szCs w:val="18"/>
              </w:rPr>
            </w:pPr>
            <w:r>
              <w:rPr>
                <w:rFonts w:ascii="宋体"/>
                <w:sz w:val="18"/>
              </w:rPr>
              <w:t>243,2</w:t>
            </w:r>
          </w:p>
          <w:p>
            <w:pPr>
              <w:pStyle w:val="TableParagraph"/>
              <w:spacing w:line="240" w:lineRule="auto" w:before="76"/>
              <w:ind w:left="79" w:right="0"/>
              <w:jc w:val="left"/>
              <w:rPr>
                <w:rFonts w:ascii="宋体" w:hAnsi="宋体" w:cs="宋体" w:eastAsia="宋体" w:hint="default"/>
                <w:sz w:val="18"/>
                <w:szCs w:val="18"/>
              </w:rPr>
            </w:pPr>
            <w:r>
              <w:rPr>
                <w:rFonts w:ascii="宋体"/>
                <w:sz w:val="18"/>
              </w:rPr>
              <w:t>82,67</w:t>
            </w:r>
          </w:p>
          <w:p>
            <w:pPr>
              <w:pStyle w:val="TableParagraph"/>
              <w:spacing w:line="240" w:lineRule="auto" w:before="76"/>
              <w:ind w:left="168" w:right="0"/>
              <w:jc w:val="left"/>
              <w:rPr>
                <w:rFonts w:ascii="宋体" w:hAnsi="宋体" w:cs="宋体" w:eastAsia="宋体" w:hint="default"/>
                <w:sz w:val="18"/>
                <w:szCs w:val="18"/>
              </w:rPr>
            </w:pPr>
            <w:r>
              <w:rPr>
                <w:rFonts w:ascii="宋体"/>
                <w:sz w:val="18"/>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650,81</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1,846.</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28,962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,449.4</w:t>
            </w:r>
          </w:p>
          <w:p>
            <w:pPr>
              <w:pStyle w:val="TableParagraph"/>
              <w:spacing w:line="240" w:lineRule="auto" w:before="76"/>
              <w:ind w:right="22"/>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249,28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7,881.</w:t>
            </w:r>
          </w:p>
          <w:p>
            <w:pPr>
              <w:pStyle w:val="TableParagraph"/>
              <w:spacing w:line="240" w:lineRule="auto" w:before="76"/>
              <w:ind w:right="20"/>
              <w:jc w:val="right"/>
              <w:rPr>
                <w:rFonts w:ascii="宋体" w:hAnsi="宋体" w:cs="宋体" w:eastAsia="宋体" w:hint="default"/>
                <w:sz w:val="18"/>
                <w:szCs w:val="18"/>
              </w:rPr>
            </w:pPr>
            <w:r>
              <w:rPr>
                <w:rFonts w:ascii="宋体"/>
                <w:sz w:val="18"/>
              </w:rPr>
              <w:t>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31,634</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,598.6</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 w:right="0"/>
              <w:jc w:val="center"/>
              <w:rPr>
                <w:rFonts w:ascii="宋体" w:hAnsi="宋体" w:cs="宋体" w:eastAsia="宋体" w:hint="default"/>
                <w:sz w:val="18"/>
                <w:szCs w:val="18"/>
              </w:rPr>
            </w:pPr>
            <w:r>
              <w:rPr>
                <w:rFonts w:ascii="宋体"/>
                <w:sz w:val="18"/>
              </w:rPr>
              <w:t>1,203,</w:t>
            </w:r>
          </w:p>
          <w:p>
            <w:pPr>
              <w:pStyle w:val="TableParagraph"/>
              <w:spacing w:line="240" w:lineRule="auto" w:before="76"/>
              <w:ind w:left="65" w:right="0"/>
              <w:jc w:val="center"/>
              <w:rPr>
                <w:rFonts w:ascii="宋体" w:hAnsi="宋体" w:cs="宋体" w:eastAsia="宋体" w:hint="default"/>
                <w:sz w:val="18"/>
                <w:szCs w:val="18"/>
              </w:rPr>
            </w:pPr>
            <w:r>
              <w:rPr>
                <w:rFonts w:ascii="宋体"/>
                <w:sz w:val="18"/>
              </w:rPr>
              <w:t>979,45</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4.26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sz w:val="18"/>
              </w:rPr>
              <w:t>48,65</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z w:val="18"/>
                <w:szCs w:val="18"/>
              </w:rPr>
              <w:t>6,535</w:t>
            </w:r>
          </w:p>
          <w:p>
            <w:pPr>
              <w:pStyle w:val="TableParagraph"/>
              <w:spacing w:line="240" w:lineRule="auto" w:before="76"/>
              <w:ind w:left="235"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-48,65</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6,535.</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4,725,</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783.06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52,604</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,509.6</w:t>
            </w:r>
          </w:p>
          <w:p>
            <w:pPr>
              <w:pStyle w:val="TableParagraph"/>
              <w:spacing w:line="240" w:lineRule="auto" w:before="76"/>
              <w:ind w:right="22"/>
              <w:jc w:val="right"/>
              <w:rPr>
                <w:rFonts w:ascii="宋体" w:hAnsi="宋体" w:cs="宋体" w:eastAsia="宋体" w:hint="default"/>
                <w:sz w:val="18"/>
                <w:szCs w:val="18"/>
              </w:rPr>
            </w:pPr>
            <w:r>
              <w:rPr>
                <w:rFonts w:ascii="宋体"/>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6,546,</w:t>
            </w:r>
          </w:p>
          <w:p>
            <w:pPr>
              <w:pStyle w:val="TableParagraph"/>
              <w:spacing w:line="240" w:lineRule="auto" w:before="76"/>
              <w:ind w:left="91" w:right="0"/>
              <w:jc w:val="left"/>
              <w:rPr>
                <w:rFonts w:ascii="宋体" w:hAnsi="宋体" w:cs="宋体" w:eastAsia="宋体" w:hint="default"/>
                <w:sz w:val="18"/>
                <w:szCs w:val="18"/>
              </w:rPr>
            </w:pPr>
            <w:r>
              <w:rPr>
                <w:rFonts w:ascii="宋体"/>
                <w:sz w:val="18"/>
              </w:rPr>
              <w:t>874.84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63,877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,167.5</w:t>
            </w:r>
          </w:p>
          <w:p>
            <w:pPr>
              <w:pStyle w:val="TableParagraph"/>
              <w:spacing w:line="240" w:lineRule="auto" w:before="76"/>
              <w:ind w:right="21"/>
              <w:jc w:val="right"/>
              <w:rPr>
                <w:rFonts w:ascii="宋体" w:hAnsi="宋体" w:cs="宋体" w:eastAsia="宋体" w:hint="default"/>
                <w:sz w:val="18"/>
                <w:szCs w:val="18"/>
              </w:rPr>
            </w:pPr>
            <w:r>
              <w:rPr>
                <w:rFonts w:ascii="宋体"/>
                <w:sz w:val="18"/>
              </w:rPr>
              <w:t>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69,494</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,426.6</w:t>
            </w:r>
          </w:p>
          <w:p>
            <w:pPr>
              <w:pStyle w:val="TableParagraph"/>
              <w:spacing w:line="240" w:lineRule="auto" w:before="76"/>
              <w:ind w:right="22"/>
              <w:jc w:val="right"/>
              <w:rPr>
                <w:rFonts w:ascii="宋体" w:hAnsi="宋体" w:cs="宋体" w:eastAsia="宋体" w:hint="default"/>
                <w:sz w:val="18"/>
                <w:szCs w:val="18"/>
              </w:rPr>
            </w:pPr>
            <w:r>
              <w:rPr>
                <w:rFonts w:ascii="宋体"/>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5,360,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255.04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74,854</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,681.6</w:t>
            </w:r>
          </w:p>
          <w:p>
            <w:pPr>
              <w:pStyle w:val="TableParagraph"/>
              <w:spacing w:line="240" w:lineRule="auto" w:before="76"/>
              <w:ind w:right="21"/>
              <w:jc w:val="right"/>
              <w:rPr>
                <w:rFonts w:ascii="宋体" w:hAnsi="宋体" w:cs="宋体" w:eastAsia="宋体" w:hint="default"/>
                <w:sz w:val="18"/>
                <w:szCs w:val="18"/>
              </w:rPr>
            </w:pPr>
            <w:r>
              <w:rPr>
                <w:rFonts w:ascii="宋体"/>
                <w:sz w:val="18"/>
              </w:rPr>
              <w:t>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4,616,</w:t>
            </w:r>
          </w:p>
          <w:p>
            <w:pPr>
              <w:pStyle w:val="TableParagraph"/>
              <w:spacing w:line="240" w:lineRule="auto" w:before="76"/>
              <w:ind w:left="91" w:right="0"/>
              <w:jc w:val="left"/>
              <w:rPr>
                <w:rFonts w:ascii="宋体" w:hAnsi="宋体" w:cs="宋体" w:eastAsia="宋体" w:hint="default"/>
                <w:sz w:val="18"/>
                <w:szCs w:val="18"/>
              </w:rPr>
            </w:pPr>
            <w:r>
              <w:rPr>
                <w:rFonts w:ascii="宋体"/>
                <w:sz w:val="18"/>
              </w:rPr>
              <w:t>545.85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4,616,</w:t>
            </w:r>
          </w:p>
          <w:p>
            <w:pPr>
              <w:pStyle w:val="TableParagraph"/>
              <w:spacing w:line="240" w:lineRule="auto" w:before="76"/>
              <w:ind w:left="86" w:right="0"/>
              <w:jc w:val="left"/>
              <w:rPr>
                <w:rFonts w:ascii="宋体" w:hAnsi="宋体" w:cs="宋体" w:eastAsia="宋体" w:hint="default"/>
                <w:sz w:val="18"/>
                <w:szCs w:val="18"/>
              </w:rPr>
            </w:pPr>
            <w:r>
              <w:rPr>
                <w:rFonts w:ascii="宋体"/>
                <w:sz w:val="18"/>
              </w:rPr>
              <w:t>545.85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1．股东投入的普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宋体" w:hAnsi="宋体" w:cs="宋体" w:eastAsia="宋体" w:hint="default"/>
                <w:sz w:val="18"/>
                <w:szCs w:val="18"/>
              </w:rPr>
            </w:pPr>
            <w:r>
              <w:rPr>
                <w:rFonts w:ascii="宋体"/>
                <w:sz w:val="18"/>
              </w:rPr>
              <w:t>1,500,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宋体" w:hAnsi="宋体" w:cs="宋体" w:eastAsia="宋体" w:hint="default"/>
                <w:sz w:val="18"/>
                <w:szCs w:val="18"/>
              </w:rPr>
            </w:pPr>
            <w:r>
              <w:rPr>
                <w:rFonts w:ascii="宋体"/>
                <w:sz w:val="18"/>
              </w:rPr>
              <w:t>1,500,</w:t>
            </w:r>
          </w:p>
          <w:p>
            <w:pPr>
              <w:pStyle w:val="TableParagraph"/>
              <w:spacing w:line="240" w:lineRule="auto" w:before="76"/>
              <w:ind w:left="86" w:right="0"/>
              <w:jc w:val="left"/>
              <w:rPr>
                <w:rFonts w:ascii="宋体" w:hAnsi="宋体" w:cs="宋体" w:eastAsia="宋体" w:hint="default"/>
                <w:sz w:val="18"/>
                <w:szCs w:val="18"/>
              </w:rPr>
            </w:pPr>
            <w:r>
              <w:rPr>
                <w:rFonts w:ascii="宋体"/>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3,116,</w:t>
            </w:r>
          </w:p>
          <w:p>
            <w:pPr>
              <w:pStyle w:val="TableParagraph"/>
              <w:spacing w:line="240" w:lineRule="auto" w:before="76"/>
              <w:ind w:left="91" w:right="0"/>
              <w:jc w:val="left"/>
              <w:rPr>
                <w:rFonts w:ascii="宋体" w:hAnsi="宋体" w:cs="宋体" w:eastAsia="宋体" w:hint="default"/>
                <w:sz w:val="18"/>
                <w:szCs w:val="18"/>
              </w:rPr>
            </w:pPr>
            <w:r>
              <w:rPr>
                <w:rFonts w:ascii="宋体"/>
                <w:sz w:val="18"/>
              </w:rPr>
              <w:t>545.85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3,116,</w:t>
            </w:r>
          </w:p>
          <w:p>
            <w:pPr>
              <w:pStyle w:val="TableParagraph"/>
              <w:spacing w:line="240" w:lineRule="auto" w:before="76"/>
              <w:ind w:left="86" w:right="0"/>
              <w:jc w:val="left"/>
              <w:rPr>
                <w:rFonts w:ascii="宋体" w:hAnsi="宋体" w:cs="宋体" w:eastAsia="宋体" w:hint="default"/>
                <w:sz w:val="18"/>
                <w:szCs w:val="18"/>
              </w:rPr>
            </w:pPr>
            <w:r>
              <w:rPr>
                <w:rFonts w:ascii="宋体"/>
                <w:sz w:val="18"/>
              </w:rPr>
              <w:t>545.85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4,725,</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783.06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-16,88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9,916.</w:t>
            </w:r>
          </w:p>
          <w:p>
            <w:pPr>
              <w:pStyle w:val="TableParagraph"/>
              <w:spacing w:line="240" w:lineRule="auto" w:before="76"/>
              <w:ind w:right="20"/>
              <w:jc w:val="right"/>
              <w:rPr>
                <w:rFonts w:ascii="宋体" w:hAnsi="宋体" w:cs="宋体" w:eastAsia="宋体" w:hint="default"/>
                <w:sz w:val="18"/>
                <w:szCs w:val="18"/>
              </w:rPr>
            </w:pPr>
            <w:r>
              <w:rPr>
                <w:rFonts w:ascii="宋体"/>
                <w:sz w:val="18"/>
              </w:rPr>
              <w:t>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-3,429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,926.0</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-15,59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4,059.</w:t>
            </w:r>
          </w:p>
          <w:p>
            <w:pPr>
              <w:pStyle w:val="TableParagraph"/>
              <w:spacing w:line="240" w:lineRule="auto" w:before="76"/>
              <w:ind w:right="19"/>
              <w:jc w:val="right"/>
              <w:rPr>
                <w:rFonts w:ascii="宋体" w:hAnsi="宋体" w:cs="宋体" w:eastAsia="宋体" w:hint="default"/>
                <w:sz w:val="18"/>
                <w:szCs w:val="18"/>
              </w:rPr>
            </w:pPr>
            <w:r>
              <w:rPr>
                <w:rFonts w:ascii="宋体"/>
                <w:sz w:val="18"/>
              </w:rPr>
              <w:t>95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4,725,</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783.06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-4,725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,783.0</w:t>
            </w:r>
          </w:p>
          <w:p>
            <w:pPr>
              <w:pStyle w:val="TableParagraph"/>
              <w:spacing w:line="240" w:lineRule="auto" w:before="76"/>
              <w:ind w:right="22"/>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2．提取一般风险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3．对所有者（或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-12,16</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4,133.</w:t>
            </w:r>
          </w:p>
          <w:p>
            <w:pPr>
              <w:pStyle w:val="TableParagraph"/>
              <w:spacing w:line="240" w:lineRule="auto" w:before="76"/>
              <w:ind w:right="20"/>
              <w:jc w:val="right"/>
              <w:rPr>
                <w:rFonts w:ascii="宋体" w:hAnsi="宋体" w:cs="宋体" w:eastAsia="宋体" w:hint="default"/>
                <w:sz w:val="18"/>
                <w:szCs w:val="18"/>
              </w:rPr>
            </w:pPr>
            <w:r>
              <w:rPr>
                <w:rFonts w:ascii="宋体"/>
                <w:sz w:val="18"/>
              </w:rPr>
              <w:t>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-3,385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,296.9</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-15,54</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9,430.</w:t>
            </w:r>
          </w:p>
          <w:p>
            <w:pPr>
              <w:pStyle w:val="TableParagraph"/>
              <w:spacing w:line="240" w:lineRule="auto" w:before="76"/>
              <w:ind w:right="19"/>
              <w:jc w:val="right"/>
              <w:rPr>
                <w:rFonts w:ascii="宋体" w:hAnsi="宋体" w:cs="宋体" w:eastAsia="宋体" w:hint="default"/>
                <w:sz w:val="18"/>
                <w:szCs w:val="18"/>
              </w:rPr>
            </w:pPr>
            <w:r>
              <w:rPr>
                <w:rFonts w:ascii="宋体"/>
                <w:sz w:val="18"/>
              </w:rPr>
              <w:t>88</w:t>
            </w:r>
          </w:p>
        </w:tc>
      </w:tr>
      <w:tr>
        <w:trPr>
          <w:trHeight w:val="400"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1" w:right="0"/>
              <w:jc w:val="left"/>
              <w:rPr>
                <w:rFonts w:ascii="宋体" w:hAnsi="宋体" w:cs="宋体" w:eastAsia="宋体" w:hint="default"/>
                <w:sz w:val="18"/>
                <w:szCs w:val="18"/>
              </w:rPr>
            </w:pPr>
            <w:r>
              <w:rPr>
                <w:rFonts w:ascii="宋体"/>
                <w:sz w:val="18"/>
              </w:rPr>
              <w:t>-44,62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6" w:right="0"/>
              <w:jc w:val="left"/>
              <w:rPr>
                <w:rFonts w:ascii="宋体" w:hAnsi="宋体" w:cs="宋体" w:eastAsia="宋体" w:hint="default"/>
                <w:sz w:val="18"/>
                <w:szCs w:val="18"/>
              </w:rPr>
            </w:pPr>
            <w:r>
              <w:rPr>
                <w:rFonts w:ascii="宋体"/>
                <w:sz w:val="18"/>
              </w:rPr>
              <w:t>-44,62</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1" w:right="0"/>
              <w:jc w:val="left"/>
              <w:rPr>
                <w:rFonts w:ascii="宋体" w:hAnsi="宋体" w:cs="宋体" w:eastAsia="宋体" w:hint="default"/>
                <w:sz w:val="18"/>
                <w:szCs w:val="18"/>
              </w:rPr>
            </w:pPr>
            <w:r>
              <w:rPr>
                <w:rFonts w:ascii="宋体"/>
                <w:sz w:val="18"/>
              </w:rPr>
              <w:t>9.07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6" w:right="0"/>
              <w:jc w:val="left"/>
              <w:rPr>
                <w:rFonts w:ascii="宋体" w:hAnsi="宋体" w:cs="宋体" w:eastAsia="宋体" w:hint="default"/>
                <w:sz w:val="18"/>
                <w:szCs w:val="18"/>
              </w:rPr>
            </w:pPr>
            <w:r>
              <w:rPr>
                <w:rFonts w:ascii="宋体"/>
                <w:sz w:val="18"/>
              </w:rPr>
              <w:t>9.07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宋体" w:hAnsi="宋体" w:cs="宋体" w:eastAsia="宋体" w:hint="default"/>
                <w:sz w:val="18"/>
                <w:szCs w:val="18"/>
              </w:rPr>
            </w:pPr>
            <w:r>
              <w:rPr>
                <w:rFonts w:ascii="宋体"/>
                <w:sz w:val="18"/>
              </w:rPr>
              <w:t>48,65</w:t>
            </w:r>
          </w:p>
          <w:p>
            <w:pPr>
              <w:pStyle w:val="TableParagraph"/>
              <w:spacing w:line="240" w:lineRule="auto" w:before="76"/>
              <w:ind w:left="55" w:right="0"/>
              <w:jc w:val="center"/>
              <w:rPr>
                <w:rFonts w:ascii="宋体" w:hAnsi="宋体" w:cs="宋体" w:eastAsia="宋体" w:hint="default"/>
                <w:sz w:val="18"/>
                <w:szCs w:val="18"/>
              </w:rPr>
            </w:pPr>
            <w:r>
              <w:rPr>
                <w:rFonts w:ascii="宋体"/>
                <w:sz w:val="18"/>
              </w:rPr>
              <w:t>6,535</w:t>
            </w:r>
          </w:p>
          <w:p>
            <w:pPr>
              <w:pStyle w:val="TableParagraph"/>
              <w:spacing w:line="240" w:lineRule="auto" w:before="76"/>
              <w:ind w:left="235"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-48,65</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6,535.</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宋体" w:hAnsi="宋体" w:cs="宋体" w:eastAsia="宋体" w:hint="default"/>
                <w:sz w:val="18"/>
                <w:szCs w:val="18"/>
              </w:rPr>
            </w:pPr>
            <w:r>
              <w:rPr>
                <w:rFonts w:ascii="宋体"/>
                <w:sz w:val="18"/>
              </w:rPr>
              <w:t>48,65</w:t>
            </w:r>
          </w:p>
          <w:p>
            <w:pPr>
              <w:pStyle w:val="TableParagraph"/>
              <w:spacing w:line="240" w:lineRule="auto" w:before="76"/>
              <w:ind w:left="55" w:right="0"/>
              <w:jc w:val="center"/>
              <w:rPr>
                <w:rFonts w:ascii="宋体" w:hAnsi="宋体" w:cs="宋体" w:eastAsia="宋体" w:hint="default"/>
                <w:sz w:val="18"/>
                <w:szCs w:val="18"/>
              </w:rPr>
            </w:pPr>
            <w:r>
              <w:rPr>
                <w:rFonts w:ascii="宋体"/>
                <w:sz w:val="18"/>
              </w:rPr>
              <w:t>6,535</w:t>
            </w:r>
          </w:p>
          <w:p>
            <w:pPr>
              <w:pStyle w:val="TableParagraph"/>
              <w:spacing w:line="240" w:lineRule="auto" w:before="76"/>
              <w:ind w:left="235"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-48,65</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6,535.</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2．盈余公积转增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291,9</w:t>
            </w:r>
          </w:p>
          <w:p>
            <w:pPr>
              <w:pStyle w:val="TableParagraph"/>
              <w:spacing w:line="240" w:lineRule="auto" w:before="76"/>
              <w:ind w:left="79" w:right="0"/>
              <w:jc w:val="left"/>
              <w:rPr>
                <w:rFonts w:ascii="宋体" w:hAnsi="宋体" w:cs="宋体" w:eastAsia="宋体" w:hint="default"/>
                <w:sz w:val="18"/>
                <w:szCs w:val="18"/>
              </w:rPr>
            </w:pPr>
            <w:r>
              <w:rPr>
                <w:rFonts w:ascii="宋体"/>
                <w:sz w:val="18"/>
              </w:rPr>
              <w:t>39,21</w:t>
            </w:r>
          </w:p>
          <w:p>
            <w:pPr>
              <w:pStyle w:val="TableParagraph"/>
              <w:spacing w:line="240" w:lineRule="auto" w:before="76"/>
              <w:ind w:left="168" w:right="0"/>
              <w:jc w:val="left"/>
              <w:rPr>
                <w:rFonts w:ascii="宋体" w:hAnsi="宋体" w:cs="宋体" w:eastAsia="宋体" w:hint="default"/>
                <w:sz w:val="18"/>
                <w:szCs w:val="18"/>
              </w:rPr>
            </w:pPr>
            <w:r>
              <w:rPr>
                <w:rFonts w:ascii="宋体"/>
                <w:sz w:val="18"/>
              </w:rPr>
              <w:t>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602,15</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5,311.</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33,688</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,232.5</w:t>
            </w:r>
          </w:p>
          <w:p>
            <w:pPr>
              <w:pStyle w:val="TableParagraph"/>
              <w:spacing w:line="240" w:lineRule="auto" w:before="76"/>
              <w:ind w:right="22"/>
              <w:jc w:val="right"/>
              <w:rPr>
                <w:rFonts w:ascii="宋体" w:hAnsi="宋体" w:cs="宋体" w:eastAsia="宋体" w:hint="default"/>
                <w:sz w:val="18"/>
                <w:szCs w:val="18"/>
              </w:rPr>
            </w:pPr>
            <w:r>
              <w:rPr>
                <w:rFonts w:ascii="宋体"/>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301,89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2,391.</w:t>
            </w:r>
          </w:p>
          <w:p>
            <w:pPr>
              <w:pStyle w:val="TableParagraph"/>
              <w:spacing w:line="240" w:lineRule="auto" w:before="76"/>
              <w:ind w:right="20"/>
              <w:jc w:val="right"/>
              <w:rPr>
                <w:rFonts w:ascii="宋体" w:hAnsi="宋体" w:cs="宋体" w:eastAsia="宋体" w:hint="default"/>
                <w:sz w:val="18"/>
                <w:szCs w:val="18"/>
              </w:rPr>
            </w:pPr>
            <w:r>
              <w:rPr>
                <w:rFonts w:ascii="宋体"/>
                <w:sz w:val="18"/>
              </w:rPr>
              <w:t>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38,181</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,473.4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center"/>
              <w:rPr>
                <w:rFonts w:ascii="宋体" w:hAnsi="宋体" w:cs="宋体" w:eastAsia="宋体" w:hint="default"/>
                <w:sz w:val="18"/>
                <w:szCs w:val="18"/>
              </w:rPr>
            </w:pPr>
            <w:r>
              <w:rPr>
                <w:rFonts w:ascii="宋体"/>
                <w:sz w:val="18"/>
              </w:rPr>
              <w:t>1,267,</w:t>
            </w:r>
          </w:p>
          <w:p>
            <w:pPr>
              <w:pStyle w:val="TableParagraph"/>
              <w:spacing w:line="240" w:lineRule="auto" w:before="76"/>
              <w:ind w:left="65" w:right="0"/>
              <w:jc w:val="center"/>
              <w:rPr>
                <w:rFonts w:ascii="宋体" w:hAnsi="宋体" w:cs="宋体" w:eastAsia="宋体" w:hint="default"/>
                <w:sz w:val="18"/>
                <w:szCs w:val="18"/>
              </w:rPr>
            </w:pPr>
            <w:r>
              <w:rPr>
                <w:rFonts w:ascii="宋体"/>
                <w:sz w:val="18"/>
              </w:rPr>
              <w:t>856,62</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1.83</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1"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4" w:right="5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56"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1"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宋体" w:hAnsi="宋体" w:cs="宋体" w:eastAsia="宋体" w:hint="default"/>
                <w:sz w:val="18"/>
                <w:szCs w:val="18"/>
              </w:rPr>
            </w:pPr>
            <w:r>
              <w:rPr>
                <w:rFonts w:ascii="宋体"/>
                <w:sz w:val="18"/>
              </w:rPr>
              <w:t>214,2</w:t>
            </w:r>
          </w:p>
          <w:p>
            <w:pPr>
              <w:pStyle w:val="TableParagraph"/>
              <w:spacing w:line="240" w:lineRule="auto" w:before="76"/>
              <w:ind w:left="80" w:right="0"/>
              <w:jc w:val="left"/>
              <w:rPr>
                <w:rFonts w:ascii="宋体" w:hAnsi="宋体" w:cs="宋体" w:eastAsia="宋体" w:hint="default"/>
                <w:sz w:val="18"/>
                <w:szCs w:val="18"/>
              </w:rPr>
            </w:pPr>
            <w:r>
              <w:rPr>
                <w:rFonts w:ascii="宋体"/>
                <w:sz w:val="18"/>
              </w:rPr>
              <w:t>56,62</w:t>
            </w:r>
          </w:p>
          <w:p>
            <w:pPr>
              <w:pStyle w:val="TableParagraph"/>
              <w:spacing w:line="240" w:lineRule="auto" w:before="76"/>
              <w:ind w:left="169" w:right="0"/>
              <w:jc w:val="left"/>
              <w:rPr>
                <w:rFonts w:ascii="宋体" w:hAnsi="宋体" w:cs="宋体" w:eastAsia="宋体" w:hint="default"/>
                <w:sz w:val="18"/>
                <w:szCs w:val="18"/>
              </w:rPr>
            </w:pPr>
            <w:r>
              <w:rPr>
                <w:rFonts w:ascii="宋体"/>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317,88</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7,916.</w:t>
            </w:r>
          </w:p>
          <w:p>
            <w:pPr>
              <w:pStyle w:val="TableParagraph"/>
              <w:spacing w:line="240" w:lineRule="auto" w:before="76"/>
              <w:ind w:right="21"/>
              <w:jc w:val="right"/>
              <w:rPr>
                <w:rFonts w:ascii="宋体" w:hAnsi="宋体" w:cs="宋体" w:eastAsia="宋体" w:hint="default"/>
                <w:sz w:val="18"/>
                <w:szCs w:val="18"/>
              </w:rPr>
            </w:pPr>
            <w:r>
              <w:rPr>
                <w:rFonts w:ascii="宋体"/>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24,510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,285.2</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200,89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2,692.</w:t>
            </w:r>
          </w:p>
          <w:p>
            <w:pPr>
              <w:pStyle w:val="TableParagraph"/>
              <w:spacing w:line="240" w:lineRule="auto" w:before="76"/>
              <w:ind w:right="20"/>
              <w:jc w:val="right"/>
              <w:rPr>
                <w:rFonts w:ascii="宋体" w:hAnsi="宋体" w:cs="宋体" w:eastAsia="宋体" w:hint="default"/>
                <w:sz w:val="18"/>
                <w:szCs w:val="18"/>
              </w:rPr>
            </w:pPr>
            <w:r>
              <w:rPr>
                <w:rFonts w:ascii="宋体"/>
                <w:sz w:val="18"/>
              </w:rPr>
              <w:t>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28,749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,301.0</w:t>
            </w:r>
          </w:p>
          <w:p>
            <w:pPr>
              <w:pStyle w:val="TableParagraph"/>
              <w:spacing w:line="240" w:lineRule="auto" w:before="76"/>
              <w:ind w:right="21"/>
              <w:jc w:val="right"/>
              <w:rPr>
                <w:rFonts w:ascii="宋体" w:hAnsi="宋体" w:cs="宋体" w:eastAsia="宋体" w:hint="default"/>
                <w:sz w:val="18"/>
                <w:szCs w:val="18"/>
              </w:rPr>
            </w:pPr>
            <w:r>
              <w:rPr>
                <w:rFonts w:ascii="宋体"/>
                <w:sz w:val="18"/>
              </w:rPr>
              <w:t>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786,29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6,815.</w:t>
            </w:r>
          </w:p>
          <w:p>
            <w:pPr>
              <w:pStyle w:val="TableParagraph"/>
              <w:spacing w:line="240" w:lineRule="auto" w:before="76"/>
              <w:ind w:right="20"/>
              <w:jc w:val="right"/>
              <w:rPr>
                <w:rFonts w:ascii="宋体" w:hAnsi="宋体" w:cs="宋体" w:eastAsia="宋体" w:hint="default"/>
                <w:sz w:val="18"/>
                <w:szCs w:val="18"/>
              </w:rPr>
            </w:pPr>
            <w:r>
              <w:rPr>
                <w:rFonts w:ascii="宋体"/>
                <w:sz w:val="18"/>
              </w:rPr>
              <w:t>16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214,2</w:t>
            </w:r>
          </w:p>
          <w:p>
            <w:pPr>
              <w:pStyle w:val="TableParagraph"/>
              <w:spacing w:line="240" w:lineRule="auto" w:before="76"/>
              <w:ind w:left="80" w:right="0"/>
              <w:jc w:val="left"/>
              <w:rPr>
                <w:rFonts w:ascii="宋体" w:hAnsi="宋体" w:cs="宋体" w:eastAsia="宋体" w:hint="default"/>
                <w:sz w:val="18"/>
                <w:szCs w:val="18"/>
              </w:rPr>
            </w:pPr>
            <w:r>
              <w:rPr>
                <w:rFonts w:ascii="宋体"/>
                <w:sz w:val="18"/>
              </w:rPr>
              <w:t>56,62</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left"/>
              <w:rPr>
                <w:rFonts w:ascii="宋体" w:hAnsi="宋体" w:cs="宋体" w:eastAsia="宋体" w:hint="default"/>
                <w:sz w:val="18"/>
                <w:szCs w:val="18"/>
              </w:rPr>
            </w:pPr>
            <w:r>
              <w:rPr>
                <w:rFonts w:ascii="宋体"/>
                <w:sz w:val="18"/>
              </w:rPr>
              <w:t>317,88</w:t>
            </w:r>
          </w:p>
          <w:p>
            <w:pPr>
              <w:pStyle w:val="TableParagraph"/>
              <w:spacing w:line="240" w:lineRule="auto" w:before="76"/>
              <w:ind w:left="90" w:right="0"/>
              <w:jc w:val="left"/>
              <w:rPr>
                <w:rFonts w:ascii="宋体" w:hAnsi="宋体" w:cs="宋体" w:eastAsia="宋体" w:hint="default"/>
                <w:sz w:val="18"/>
                <w:szCs w:val="18"/>
              </w:rPr>
            </w:pPr>
            <w:r>
              <w:rPr>
                <w:rFonts w:ascii="宋体"/>
                <w:sz w:val="18"/>
              </w:rPr>
              <w:t>7,916.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left"/>
              <w:rPr>
                <w:rFonts w:ascii="宋体" w:hAnsi="宋体" w:cs="宋体" w:eastAsia="宋体" w:hint="default"/>
                <w:sz w:val="18"/>
                <w:szCs w:val="18"/>
              </w:rPr>
            </w:pPr>
            <w:r>
              <w:rPr>
                <w:rFonts w:ascii="宋体"/>
                <w:sz w:val="18"/>
              </w:rPr>
              <w:t>24,510</w:t>
            </w:r>
          </w:p>
          <w:p>
            <w:pPr>
              <w:pStyle w:val="TableParagraph"/>
              <w:spacing w:line="240" w:lineRule="auto" w:before="76"/>
              <w:ind w:left="90" w:right="0"/>
              <w:jc w:val="left"/>
              <w:rPr>
                <w:rFonts w:ascii="宋体" w:hAnsi="宋体" w:cs="宋体" w:eastAsia="宋体" w:hint="default"/>
                <w:sz w:val="18"/>
                <w:szCs w:val="18"/>
              </w:rPr>
            </w:pPr>
            <w:r>
              <w:rPr>
                <w:rFonts w:ascii="宋体"/>
                <w:sz w:val="18"/>
              </w:rPr>
              <w:t>,285.2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sz w:val="18"/>
              </w:rPr>
              <w:t>200,89</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2,692.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28,749</w:t>
            </w:r>
          </w:p>
          <w:p>
            <w:pPr>
              <w:pStyle w:val="TableParagraph"/>
              <w:spacing w:line="240" w:lineRule="auto" w:before="76"/>
              <w:ind w:left="80" w:right="0"/>
              <w:jc w:val="left"/>
              <w:rPr>
                <w:rFonts w:ascii="宋体" w:hAnsi="宋体" w:cs="宋体" w:eastAsia="宋体" w:hint="default"/>
                <w:sz w:val="18"/>
                <w:szCs w:val="18"/>
              </w:rPr>
            </w:pPr>
            <w:r>
              <w:rPr>
                <w:rFonts w:ascii="宋体"/>
                <w:sz w:val="18"/>
              </w:rPr>
              <w:t>,301.0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786,29</w:t>
            </w:r>
          </w:p>
          <w:p>
            <w:pPr>
              <w:pStyle w:val="TableParagraph"/>
              <w:spacing w:line="240" w:lineRule="auto" w:before="76"/>
              <w:ind w:left="85" w:right="0"/>
              <w:jc w:val="left"/>
              <w:rPr>
                <w:rFonts w:ascii="宋体" w:hAnsi="宋体" w:cs="宋体" w:eastAsia="宋体" w:hint="default"/>
                <w:sz w:val="18"/>
                <w:szCs w:val="18"/>
              </w:rPr>
            </w:pPr>
            <w:r>
              <w:rPr>
                <w:rFonts w:ascii="宋体"/>
                <w:sz w:val="18"/>
              </w:rPr>
              <w:t>6,815.</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r>
        <w:rPr/>
        <w:pict>
          <v:group style="position:absolute;margin-left:127.300003pt;margin-top:90.500023pt;width:27.85pt;height:51.05pt;mso-position-horizontal-relative:page;mso-position-vertical-relative:page;z-index:-870616" coordorigin="2546,1810" coordsize="557,1021">
            <v:shape style="position:absolute;left:2546;top:1810;width:557;height:1021" coordorigin="2546,1810" coordsize="557,1021" path="m2546,1810l3103,1810,3103,2831,2546,2831,2546,1810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9" w:right="0"/>
              <w:jc w:val="left"/>
              <w:rPr>
                <w:rFonts w:ascii="宋体" w:hAnsi="宋体" w:cs="宋体" w:eastAsia="宋体" w:hint="default"/>
                <w:sz w:val="18"/>
                <w:szCs w:val="18"/>
              </w:rPr>
            </w:pPr>
            <w:r>
              <w:rPr>
                <w:rFonts w:ascii="宋体"/>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center"/>
              <w:rPr>
                <w:rFonts w:ascii="宋体" w:hAnsi="宋体" w:cs="宋体" w:eastAsia="宋体" w:hint="default"/>
                <w:sz w:val="18"/>
                <w:szCs w:val="18"/>
              </w:rPr>
            </w:pPr>
            <w:r>
              <w:rPr>
                <w:rFonts w:ascii="宋体"/>
                <w:sz w:val="18"/>
              </w:rPr>
              <w:t>29,02</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6,058</w:t>
            </w:r>
          </w:p>
          <w:p>
            <w:pPr>
              <w:pStyle w:val="TableParagraph"/>
              <w:spacing w:line="240" w:lineRule="auto" w:before="76"/>
              <w:ind w:left="237"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332,92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3,930.</w:t>
            </w:r>
          </w:p>
          <w:p>
            <w:pPr>
              <w:pStyle w:val="TableParagraph"/>
              <w:spacing w:line="240" w:lineRule="auto" w:before="76"/>
              <w:ind w:right="21"/>
              <w:jc w:val="right"/>
              <w:rPr>
                <w:rFonts w:ascii="宋体" w:hAnsi="宋体" w:cs="宋体" w:eastAsia="宋体" w:hint="default"/>
                <w:sz w:val="18"/>
                <w:szCs w:val="18"/>
              </w:rPr>
            </w:pPr>
            <w:r>
              <w:rPr>
                <w:rFonts w:ascii="宋体"/>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8"/>
                <w:szCs w:val="18"/>
              </w:rPr>
            </w:pPr>
            <w:r>
              <w:rPr>
                <w:rFonts w:ascii="宋体"/>
                <w:sz w:val="18"/>
              </w:rPr>
              <w:t>4,452,</w:t>
            </w:r>
          </w:p>
          <w:p>
            <w:pPr>
              <w:pStyle w:val="TableParagraph"/>
              <w:spacing w:line="240" w:lineRule="auto" w:before="76"/>
              <w:ind w:left="90" w:right="0"/>
              <w:jc w:val="left"/>
              <w:rPr>
                <w:rFonts w:ascii="宋体" w:hAnsi="宋体" w:cs="宋体" w:eastAsia="宋体" w:hint="default"/>
                <w:sz w:val="18"/>
                <w:szCs w:val="18"/>
              </w:rPr>
            </w:pPr>
            <w:r>
              <w:rPr>
                <w:rFonts w:ascii="宋体"/>
                <w:sz w:val="18"/>
              </w:rPr>
              <w:t>164.22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48,395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,188.7</w:t>
            </w:r>
          </w:p>
          <w:p>
            <w:pPr>
              <w:pStyle w:val="TableParagraph"/>
              <w:spacing w:line="240" w:lineRule="auto" w:before="76"/>
              <w:ind w:right="22"/>
              <w:jc w:val="right"/>
              <w:rPr>
                <w:rFonts w:ascii="宋体" w:hAnsi="宋体" w:cs="宋体" w:eastAsia="宋体" w:hint="default"/>
                <w:sz w:val="18"/>
                <w:szCs w:val="18"/>
              </w:rPr>
            </w:pPr>
            <w:r>
              <w:rPr>
                <w:rFonts w:ascii="宋体"/>
                <w:sz w:val="18"/>
              </w:rPr>
              <w:t>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0" w:right="0"/>
              <w:jc w:val="left"/>
              <w:rPr>
                <w:rFonts w:ascii="宋体" w:hAnsi="宋体" w:cs="宋体" w:eastAsia="宋体" w:hint="default"/>
                <w:sz w:val="18"/>
                <w:szCs w:val="18"/>
              </w:rPr>
            </w:pPr>
            <w:r>
              <w:rPr>
                <w:rFonts w:ascii="宋体"/>
                <w:sz w:val="18"/>
              </w:rPr>
              <w:t>2,885,</w:t>
            </w:r>
          </w:p>
          <w:p>
            <w:pPr>
              <w:pStyle w:val="TableParagraph"/>
              <w:spacing w:line="240" w:lineRule="auto" w:before="76"/>
              <w:ind w:left="80" w:right="0"/>
              <w:jc w:val="left"/>
              <w:rPr>
                <w:rFonts w:ascii="宋体" w:hAnsi="宋体" w:cs="宋体" w:eastAsia="宋体" w:hint="default"/>
                <w:sz w:val="18"/>
                <w:szCs w:val="18"/>
              </w:rPr>
            </w:pPr>
            <w:r>
              <w:rPr>
                <w:rFonts w:ascii="宋体"/>
                <w:sz w:val="18"/>
              </w:rPr>
              <w:t>297.61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417,68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2,639.</w:t>
            </w:r>
          </w:p>
          <w:p>
            <w:pPr>
              <w:pStyle w:val="TableParagraph"/>
              <w:spacing w:line="240" w:lineRule="auto" w:before="76"/>
              <w:ind w:right="20"/>
              <w:jc w:val="right"/>
              <w:rPr>
                <w:rFonts w:ascii="宋体" w:hAnsi="宋体" w:cs="宋体" w:eastAsia="宋体" w:hint="default"/>
                <w:sz w:val="18"/>
                <w:szCs w:val="18"/>
              </w:rPr>
            </w:pPr>
            <w:r>
              <w:rPr>
                <w:rFonts w:ascii="宋体"/>
                <w:sz w:val="18"/>
              </w:rPr>
              <w:t>10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57,132</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,485.3</w:t>
            </w:r>
          </w:p>
          <w:p>
            <w:pPr>
              <w:pStyle w:val="TableParagraph"/>
              <w:spacing w:line="240" w:lineRule="auto" w:before="76"/>
              <w:ind w:right="22"/>
              <w:jc w:val="right"/>
              <w:rPr>
                <w:rFonts w:ascii="宋体" w:hAnsi="宋体" w:cs="宋体" w:eastAsia="宋体" w:hint="default"/>
                <w:sz w:val="18"/>
                <w:szCs w:val="18"/>
              </w:rPr>
            </w:pPr>
            <w:r>
              <w:rPr>
                <w:rFonts w:ascii="宋体"/>
                <w:sz w:val="18"/>
              </w:rPr>
              <w:t>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sz w:val="18"/>
              </w:rPr>
              <w:t>3,569,</w:t>
            </w:r>
          </w:p>
          <w:p>
            <w:pPr>
              <w:pStyle w:val="TableParagraph"/>
              <w:spacing w:line="240" w:lineRule="auto" w:before="76"/>
              <w:ind w:left="80" w:right="0"/>
              <w:jc w:val="left"/>
              <w:rPr>
                <w:rFonts w:ascii="宋体" w:hAnsi="宋体" w:cs="宋体" w:eastAsia="宋体" w:hint="default"/>
                <w:sz w:val="18"/>
                <w:szCs w:val="18"/>
              </w:rPr>
            </w:pPr>
            <w:r>
              <w:rPr>
                <w:rFonts w:ascii="宋体"/>
                <w:sz w:val="18"/>
              </w:rPr>
              <w:t>969.61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60,702</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,454.9</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center"/>
              <w:rPr>
                <w:rFonts w:ascii="宋体" w:hAnsi="宋体" w:cs="宋体" w:eastAsia="宋体" w:hint="default"/>
                <w:sz w:val="18"/>
                <w:szCs w:val="18"/>
              </w:rPr>
            </w:pPr>
            <w:r>
              <w:rPr>
                <w:rFonts w:ascii="宋体"/>
                <w:sz w:val="18"/>
              </w:rPr>
              <w:t>29,02</w:t>
            </w:r>
          </w:p>
          <w:p>
            <w:pPr>
              <w:pStyle w:val="TableParagraph"/>
              <w:spacing w:line="240" w:lineRule="auto" w:before="76"/>
              <w:ind w:left="57" w:right="0"/>
              <w:jc w:val="center"/>
              <w:rPr>
                <w:rFonts w:ascii="宋体" w:hAnsi="宋体" w:cs="宋体" w:eastAsia="宋体" w:hint="default"/>
                <w:sz w:val="18"/>
                <w:szCs w:val="18"/>
              </w:rPr>
            </w:pPr>
            <w:r>
              <w:rPr>
                <w:rFonts w:ascii="宋体"/>
                <w:sz w:val="18"/>
              </w:rPr>
              <w:t>6,058</w:t>
            </w:r>
          </w:p>
          <w:p>
            <w:pPr>
              <w:pStyle w:val="TableParagraph"/>
              <w:spacing w:line="240" w:lineRule="auto" w:before="76"/>
              <w:ind w:left="237"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332,92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3,930.</w:t>
            </w:r>
          </w:p>
          <w:p>
            <w:pPr>
              <w:pStyle w:val="TableParagraph"/>
              <w:spacing w:line="240" w:lineRule="auto" w:before="76"/>
              <w:ind w:right="21"/>
              <w:jc w:val="right"/>
              <w:rPr>
                <w:rFonts w:ascii="宋体" w:hAnsi="宋体" w:cs="宋体" w:eastAsia="宋体" w:hint="default"/>
                <w:sz w:val="18"/>
                <w:szCs w:val="18"/>
              </w:rPr>
            </w:pPr>
            <w:r>
              <w:rPr>
                <w:rFonts w:ascii="宋体"/>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361,94</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9,988.</w:t>
            </w:r>
          </w:p>
          <w:p>
            <w:pPr>
              <w:pStyle w:val="TableParagraph"/>
              <w:spacing w:line="240" w:lineRule="auto" w:before="76"/>
              <w:ind w:right="20"/>
              <w:jc w:val="right"/>
              <w:rPr>
                <w:rFonts w:ascii="宋体" w:hAnsi="宋体" w:cs="宋体" w:eastAsia="宋体" w:hint="default"/>
                <w:sz w:val="18"/>
                <w:szCs w:val="18"/>
              </w:rPr>
            </w:pPr>
            <w:r>
              <w:rPr>
                <w:rFonts w:ascii="宋体"/>
                <w:sz w:val="18"/>
              </w:rPr>
              <w:t>52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2"/>
              <w:jc w:val="left"/>
              <w:rPr>
                <w:rFonts w:ascii="宋体" w:hAnsi="宋体" w:cs="宋体" w:eastAsia="宋体" w:hint="default"/>
                <w:sz w:val="18"/>
                <w:szCs w:val="18"/>
              </w:rPr>
            </w:pPr>
            <w:r>
              <w:rPr>
                <w:rFonts w:ascii="宋体" w:hAnsi="宋体" w:cs="宋体" w:eastAsia="宋体" w:hint="default"/>
                <w:sz w:val="18"/>
                <w:szCs w:val="18"/>
              </w:rPr>
              <w:t>1．股东投入的普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29,02</w:t>
            </w:r>
          </w:p>
          <w:p>
            <w:pPr>
              <w:pStyle w:val="TableParagraph"/>
              <w:spacing w:line="240" w:lineRule="auto" w:before="76"/>
              <w:ind w:left="57" w:right="0"/>
              <w:jc w:val="center"/>
              <w:rPr>
                <w:rFonts w:ascii="宋体" w:hAnsi="宋体" w:cs="宋体" w:eastAsia="宋体" w:hint="default"/>
                <w:sz w:val="18"/>
                <w:szCs w:val="18"/>
              </w:rPr>
            </w:pPr>
            <w:r>
              <w:rPr>
                <w:rFonts w:ascii="宋体"/>
                <w:sz w:val="18"/>
              </w:rPr>
              <w:t>6,058</w:t>
            </w:r>
          </w:p>
          <w:p>
            <w:pPr>
              <w:pStyle w:val="TableParagraph"/>
              <w:spacing w:line="240" w:lineRule="auto" w:before="76"/>
              <w:ind w:left="237"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332,92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3,930.</w:t>
            </w:r>
          </w:p>
          <w:p>
            <w:pPr>
              <w:pStyle w:val="TableParagraph"/>
              <w:spacing w:line="240" w:lineRule="auto" w:before="76"/>
              <w:ind w:right="21"/>
              <w:jc w:val="right"/>
              <w:rPr>
                <w:rFonts w:ascii="宋体" w:hAnsi="宋体" w:cs="宋体" w:eastAsia="宋体" w:hint="default"/>
                <w:sz w:val="18"/>
                <w:szCs w:val="18"/>
              </w:rPr>
            </w:pPr>
            <w:r>
              <w:rPr>
                <w:rFonts w:ascii="宋体"/>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361,94</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9,988.</w:t>
            </w:r>
          </w:p>
          <w:p>
            <w:pPr>
              <w:pStyle w:val="TableParagraph"/>
              <w:spacing w:line="240" w:lineRule="auto" w:before="76"/>
              <w:ind w:right="20"/>
              <w:jc w:val="right"/>
              <w:rPr>
                <w:rFonts w:ascii="宋体" w:hAnsi="宋体" w:cs="宋体" w:eastAsia="宋体" w:hint="default"/>
                <w:sz w:val="18"/>
                <w:szCs w:val="18"/>
              </w:rPr>
            </w:pPr>
            <w:r>
              <w:rPr>
                <w:rFonts w:ascii="宋体"/>
                <w:sz w:val="18"/>
              </w:rPr>
              <w:t>52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宋体" w:hAnsi="宋体" w:cs="宋体" w:eastAsia="宋体" w:hint="default"/>
                <w:sz w:val="18"/>
                <w:szCs w:val="18"/>
              </w:rPr>
            </w:pPr>
            <w:r>
              <w:rPr>
                <w:rFonts w:ascii="宋体"/>
                <w:sz w:val="18"/>
              </w:rPr>
              <w:t>4,452,</w:t>
            </w:r>
          </w:p>
          <w:p>
            <w:pPr>
              <w:pStyle w:val="TableParagraph"/>
              <w:spacing w:line="240" w:lineRule="auto" w:before="76"/>
              <w:ind w:left="90" w:right="0"/>
              <w:jc w:val="left"/>
              <w:rPr>
                <w:rFonts w:ascii="宋体" w:hAnsi="宋体" w:cs="宋体" w:eastAsia="宋体" w:hint="default"/>
                <w:sz w:val="18"/>
                <w:szCs w:val="18"/>
              </w:rPr>
            </w:pPr>
            <w:r>
              <w:rPr>
                <w:rFonts w:ascii="宋体"/>
                <w:sz w:val="18"/>
              </w:rPr>
              <w:t>164.22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-8,737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,296.6</w:t>
            </w:r>
          </w:p>
          <w:p>
            <w:pPr>
              <w:pStyle w:val="TableParagraph"/>
              <w:spacing w:line="240" w:lineRule="auto" w:before="76"/>
              <w:ind w:right="22"/>
              <w:jc w:val="right"/>
              <w:rPr>
                <w:rFonts w:ascii="宋体" w:hAnsi="宋体" w:cs="宋体" w:eastAsia="宋体" w:hint="default"/>
                <w:sz w:val="18"/>
                <w:szCs w:val="18"/>
              </w:rPr>
            </w:pPr>
            <w:r>
              <w:rPr>
                <w:rFonts w:ascii="宋体"/>
                <w:sz w:val="18"/>
              </w:rPr>
              <w:t>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sz w:val="18"/>
              </w:rPr>
              <w:t>-684,6</w:t>
            </w:r>
          </w:p>
          <w:p>
            <w:pPr>
              <w:pStyle w:val="TableParagraph"/>
              <w:spacing w:line="240" w:lineRule="auto" w:before="76"/>
              <w:ind w:left="168" w:right="0"/>
              <w:jc w:val="left"/>
              <w:rPr>
                <w:rFonts w:ascii="宋体" w:hAnsi="宋体" w:cs="宋体" w:eastAsia="宋体" w:hint="default"/>
                <w:sz w:val="18"/>
                <w:szCs w:val="18"/>
              </w:rPr>
            </w:pPr>
            <w:r>
              <w:rPr>
                <w:rFonts w:ascii="宋体"/>
                <w:sz w:val="18"/>
              </w:rPr>
              <w:t>72.00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-4,969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,804.4</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8"/>
                <w:szCs w:val="18"/>
              </w:rPr>
            </w:pPr>
            <w:r>
              <w:rPr>
                <w:rFonts w:ascii="宋体"/>
                <w:sz w:val="18"/>
              </w:rPr>
              <w:t>4,452,</w:t>
            </w:r>
          </w:p>
          <w:p>
            <w:pPr>
              <w:pStyle w:val="TableParagraph"/>
              <w:spacing w:line="240" w:lineRule="auto" w:before="76"/>
              <w:ind w:left="90" w:right="0"/>
              <w:jc w:val="left"/>
              <w:rPr>
                <w:rFonts w:ascii="宋体" w:hAnsi="宋体" w:cs="宋体" w:eastAsia="宋体" w:hint="default"/>
                <w:sz w:val="18"/>
                <w:szCs w:val="18"/>
              </w:rPr>
            </w:pPr>
            <w:r>
              <w:rPr>
                <w:rFonts w:ascii="宋体"/>
                <w:sz w:val="18"/>
              </w:rPr>
              <w:t>164.22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-4,452</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,164.2</w:t>
            </w:r>
          </w:p>
          <w:p>
            <w:pPr>
              <w:pStyle w:val="TableParagraph"/>
              <w:spacing w:line="240" w:lineRule="auto" w:before="76"/>
              <w:ind w:right="22"/>
              <w:jc w:val="right"/>
              <w:rPr>
                <w:rFonts w:ascii="宋体" w:hAnsi="宋体" w:cs="宋体" w:eastAsia="宋体" w:hint="default"/>
                <w:sz w:val="18"/>
                <w:szCs w:val="18"/>
              </w:rPr>
            </w:pPr>
            <w:r>
              <w:rPr>
                <w:rFonts w:ascii="宋体"/>
                <w:sz w:val="18"/>
              </w:rPr>
              <w:t>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2．提取一般风险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52"/>
              <w:jc w:val="left"/>
              <w:rPr>
                <w:rFonts w:ascii="宋体" w:hAnsi="宋体" w:cs="宋体" w:eastAsia="宋体" w:hint="default"/>
                <w:sz w:val="18"/>
                <w:szCs w:val="18"/>
              </w:rPr>
            </w:pPr>
            <w:r>
              <w:rPr>
                <w:rFonts w:ascii="宋体" w:hAnsi="宋体" w:cs="宋体" w:eastAsia="宋体" w:hint="default"/>
                <w:sz w:val="18"/>
                <w:szCs w:val="18"/>
              </w:rPr>
              <w:t>3．对所有者（或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-4,285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,132.4</w:t>
            </w:r>
          </w:p>
          <w:p>
            <w:pPr>
              <w:pStyle w:val="TableParagraph"/>
              <w:spacing w:line="240" w:lineRule="auto" w:before="76"/>
              <w:ind w:right="22"/>
              <w:jc w:val="right"/>
              <w:rPr>
                <w:rFonts w:ascii="宋体" w:hAnsi="宋体" w:cs="宋体" w:eastAsia="宋体" w:hint="default"/>
                <w:sz w:val="18"/>
                <w:szCs w:val="18"/>
              </w:rPr>
            </w:pPr>
            <w:r>
              <w:rPr>
                <w:rFonts w:ascii="宋体"/>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0" w:right="0"/>
              <w:jc w:val="left"/>
              <w:rPr>
                <w:rFonts w:ascii="宋体" w:hAnsi="宋体" w:cs="宋体" w:eastAsia="宋体" w:hint="default"/>
                <w:sz w:val="18"/>
                <w:szCs w:val="18"/>
              </w:rPr>
            </w:pPr>
            <w:r>
              <w:rPr>
                <w:rFonts w:ascii="宋体"/>
                <w:sz w:val="18"/>
              </w:rPr>
              <w:t>-684,6</w:t>
            </w:r>
          </w:p>
          <w:p>
            <w:pPr>
              <w:pStyle w:val="TableParagraph"/>
              <w:spacing w:line="240" w:lineRule="auto" w:before="76"/>
              <w:ind w:left="168" w:right="0"/>
              <w:jc w:val="left"/>
              <w:rPr>
                <w:rFonts w:ascii="宋体" w:hAnsi="宋体" w:cs="宋体" w:eastAsia="宋体" w:hint="default"/>
                <w:sz w:val="18"/>
                <w:szCs w:val="18"/>
              </w:rPr>
            </w:pPr>
            <w:r>
              <w:rPr>
                <w:rFonts w:ascii="宋体"/>
                <w:sz w:val="18"/>
              </w:rPr>
              <w:t>72.00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-4,969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,804.4</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2．盈余公积转增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r>
        <w:rPr/>
        <w:pict>
          <v:group style="position:absolute;margin-left:127.5pt;margin-top:559.950012pt;width:34.3pt;height:51.05pt;mso-position-horizontal-relative:page;mso-position-vertical-relative:page;z-index:-870592" coordorigin="2550,11199" coordsize="686,1021">
            <v:shape style="position:absolute;left:2550;top:11199;width:686;height:1021" coordorigin="2550,11199" coordsize="686,1021" path="m2550,11199l3236,11199,3236,12220,2550,12220,2550,11199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437"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243,2</w:t>
            </w:r>
          </w:p>
        </w:tc>
        <w:tc>
          <w:tcPr>
            <w:tcW w:w="531"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6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650,81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28,962</w:t>
            </w:r>
          </w:p>
        </w:tc>
        <w:tc>
          <w:tcPr>
            <w:tcW w:w="665" w:type="dxa"/>
            <w:vMerge w:val="restart"/>
            <w:tcBorders>
              <w:top w:val="single" w:sz="4" w:space="0" w:color="000000"/>
              <w:left w:val="single" w:sz="4" w:space="0" w:color="000000"/>
              <w:right w:val="single" w:sz="4" w:space="0" w:color="000000"/>
            </w:tcBorders>
          </w:tcPr>
          <w:p>
            <w:pPr/>
          </w:p>
        </w:tc>
        <w:tc>
          <w:tcPr>
            <w:tcW w:w="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249,28</w:t>
            </w:r>
          </w:p>
        </w:tc>
        <w:tc>
          <w:tcPr>
            <w:tcW w:w="6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31,634</w:t>
            </w:r>
          </w:p>
        </w:tc>
        <w:tc>
          <w:tcPr>
            <w:tcW w:w="6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1,203,</w:t>
            </w:r>
          </w:p>
        </w:tc>
      </w:tr>
      <w:tr>
        <w:trPr>
          <w:trHeight w:val="312" w:hRule="exact"/>
        </w:trPr>
        <w:tc>
          <w:tcPr>
            <w:tcW w:w="14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7" w:right="0"/>
              <w:jc w:val="center"/>
              <w:rPr>
                <w:rFonts w:ascii="宋体" w:hAnsi="宋体" w:cs="宋体" w:eastAsia="宋体" w:hint="default"/>
                <w:sz w:val="18"/>
                <w:szCs w:val="18"/>
              </w:rPr>
            </w:pPr>
            <w:r>
              <w:rPr>
                <w:rFonts w:ascii="宋体"/>
                <w:sz w:val="18"/>
              </w:rPr>
              <w:t>82,67</w:t>
            </w:r>
          </w:p>
        </w:tc>
        <w:tc>
          <w:tcPr>
            <w:tcW w:w="531"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1,846.</w:t>
            </w: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,449.4</w:t>
            </w:r>
          </w:p>
        </w:tc>
        <w:tc>
          <w:tcPr>
            <w:tcW w:w="665" w:type="dxa"/>
            <w:vMerge/>
            <w:tcBorders>
              <w:left w:val="single" w:sz="4" w:space="0" w:color="000000"/>
              <w:right w:val="single" w:sz="4" w:space="0" w:color="000000"/>
            </w:tcBorders>
          </w:tcPr>
          <w:p>
            <w:pPr/>
          </w:p>
        </w:tc>
        <w:tc>
          <w:tcPr>
            <w:tcW w:w="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7,881.</w:t>
            </w: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,598.6</w:t>
            </w:r>
          </w:p>
        </w:tc>
        <w:tc>
          <w:tcPr>
            <w:tcW w:w="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979,45</w:t>
            </w:r>
          </w:p>
        </w:tc>
      </w:tr>
      <w:tr>
        <w:trPr>
          <w:trHeight w:val="356" w:hRule="exact"/>
        </w:trPr>
        <w:tc>
          <w:tcPr>
            <w:tcW w:w="1437"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46" w:right="0"/>
              <w:jc w:val="center"/>
              <w:rPr>
                <w:rFonts w:ascii="宋体" w:hAnsi="宋体" w:cs="宋体" w:eastAsia="宋体" w:hint="default"/>
                <w:sz w:val="18"/>
                <w:szCs w:val="18"/>
              </w:rPr>
            </w:pPr>
            <w:r>
              <w:rPr>
                <w:rFonts w:ascii="宋体"/>
                <w:sz w:val="18"/>
              </w:rPr>
              <w:t>8.00</w:t>
            </w:r>
          </w:p>
        </w:tc>
        <w:tc>
          <w:tcPr>
            <w:tcW w:w="531"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6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75</w:t>
            </w: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w:t>
            </w:r>
          </w:p>
        </w:tc>
        <w:tc>
          <w:tcPr>
            <w:tcW w:w="665" w:type="dxa"/>
            <w:vMerge/>
            <w:tcBorders>
              <w:left w:val="single" w:sz="4" w:space="0" w:color="000000"/>
              <w:bottom w:val="single" w:sz="4" w:space="0" w:color="000000"/>
              <w:right w:val="single" w:sz="4" w:space="0" w:color="000000"/>
            </w:tcBorders>
          </w:tcPr>
          <w:p>
            <w:pPr/>
          </w:p>
        </w:tc>
        <w:tc>
          <w:tcPr>
            <w:tcW w:w="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43</w:t>
            </w:r>
          </w:p>
        </w:tc>
        <w:tc>
          <w:tcPr>
            <w:tcW w:w="6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w:t>
            </w:r>
          </w:p>
        </w:tc>
        <w:tc>
          <w:tcPr>
            <w:tcW w:w="6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4.26</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4"/>
        <w:ind w:right="104"/>
        <w:jc w:val="left"/>
        <w:rPr>
          <w:b w:val="0"/>
          <w:bCs w:val="0"/>
        </w:rPr>
      </w:pPr>
      <w:r>
        <w:rPr/>
        <w:t>8、母公司所有者权益变动表</w:t>
      </w:r>
      <w:r>
        <w:rPr>
          <w:b w:val="0"/>
          <w:bCs w:val="0"/>
        </w:rPr>
      </w:r>
    </w:p>
    <w:p>
      <w:pPr>
        <w:spacing w:line="240" w:lineRule="auto" w:before="4"/>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3" w:right="31"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1"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4"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243,282</w:t>
            </w:r>
          </w:p>
          <w:p>
            <w:pPr>
              <w:pStyle w:val="TableParagraph"/>
              <w:spacing w:line="240" w:lineRule="auto" w:before="76"/>
              <w:ind w:left="28" w:right="0"/>
              <w:jc w:val="left"/>
              <w:rPr>
                <w:rFonts w:ascii="宋体" w:hAnsi="宋体" w:cs="宋体" w:eastAsia="宋体" w:hint="default"/>
                <w:sz w:val="18"/>
                <w:szCs w:val="18"/>
              </w:rPr>
            </w:pPr>
            <w:r>
              <w:rPr>
                <w:rFonts w:ascii="宋体"/>
                <w:sz w:val="18"/>
              </w:rPr>
              <w:t>,678.00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sz w:val="18"/>
              </w:rPr>
              <w:t>650,811,</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846.75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28,528,6</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29.75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170,30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9,902.</w:t>
            </w:r>
          </w:p>
          <w:p>
            <w:pPr>
              <w:pStyle w:val="TableParagraph"/>
              <w:spacing w:line="240" w:lineRule="auto" w:before="76"/>
              <w:ind w:right="19"/>
              <w:jc w:val="right"/>
              <w:rPr>
                <w:rFonts w:ascii="宋体" w:hAnsi="宋体" w:cs="宋体" w:eastAsia="宋体" w:hint="default"/>
                <w:sz w:val="18"/>
                <w:szCs w:val="18"/>
              </w:rPr>
            </w:pPr>
            <w:r>
              <w:rPr>
                <w:rFonts w:ascii="宋体"/>
                <w:sz w:val="18"/>
              </w:rPr>
              <w:t>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1,092,93</w:t>
            </w:r>
          </w:p>
          <w:p>
            <w:pPr>
              <w:pStyle w:val="TableParagraph"/>
              <w:spacing w:line="240" w:lineRule="auto" w:before="76"/>
              <w:ind w:left="27" w:right="0"/>
              <w:jc w:val="left"/>
              <w:rPr>
                <w:rFonts w:ascii="宋体" w:hAnsi="宋体" w:cs="宋体" w:eastAsia="宋体" w:hint="default"/>
                <w:sz w:val="18"/>
                <w:szCs w:val="18"/>
              </w:rPr>
            </w:pPr>
            <w:r>
              <w:rPr>
                <w:rFonts w:ascii="宋体"/>
                <w:sz w:val="18"/>
              </w:rPr>
              <w:t>3,056.66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firstLine="360"/>
              <w:jc w:val="left"/>
              <w:rPr>
                <w:rFonts w:ascii="宋体" w:hAnsi="宋体" w:cs="宋体" w:eastAsia="宋体" w:hint="default"/>
                <w:sz w:val="18"/>
                <w:szCs w:val="18"/>
              </w:rPr>
            </w:pPr>
            <w:r>
              <w:rPr>
                <w:rFonts w:ascii="宋体" w:hAnsi="宋体" w:cs="宋体" w:eastAsia="宋体" w:hint="default"/>
                <w:spacing w:val="-9"/>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243,282</w:t>
            </w:r>
          </w:p>
          <w:p>
            <w:pPr>
              <w:pStyle w:val="TableParagraph"/>
              <w:spacing w:line="240" w:lineRule="auto" w:before="76"/>
              <w:ind w:left="28" w:right="0"/>
              <w:jc w:val="left"/>
              <w:rPr>
                <w:rFonts w:ascii="宋体" w:hAnsi="宋体" w:cs="宋体" w:eastAsia="宋体" w:hint="default"/>
                <w:sz w:val="18"/>
                <w:szCs w:val="18"/>
              </w:rPr>
            </w:pPr>
            <w:r>
              <w:rPr>
                <w:rFonts w:ascii="宋体"/>
                <w:sz w:val="18"/>
              </w:rPr>
              <w:t>,678.00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sz w:val="18"/>
              </w:rPr>
              <w:t>650,811,</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846.75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28,528,6</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29.75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170,30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9,902.</w:t>
            </w:r>
          </w:p>
          <w:p>
            <w:pPr>
              <w:pStyle w:val="TableParagraph"/>
              <w:spacing w:line="240" w:lineRule="auto" w:before="76"/>
              <w:ind w:right="19"/>
              <w:jc w:val="right"/>
              <w:rPr>
                <w:rFonts w:ascii="宋体" w:hAnsi="宋体" w:cs="宋体" w:eastAsia="宋体" w:hint="default"/>
                <w:sz w:val="18"/>
                <w:szCs w:val="18"/>
              </w:rPr>
            </w:pPr>
            <w:r>
              <w:rPr>
                <w:rFonts w:ascii="宋体"/>
                <w:sz w:val="18"/>
              </w:rPr>
              <w:t>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1,092,93</w:t>
            </w:r>
          </w:p>
          <w:p>
            <w:pPr>
              <w:pStyle w:val="TableParagraph"/>
              <w:spacing w:line="240" w:lineRule="auto" w:before="76"/>
              <w:ind w:left="27" w:right="0"/>
              <w:jc w:val="left"/>
              <w:rPr>
                <w:rFonts w:ascii="宋体" w:hAnsi="宋体" w:cs="宋体" w:eastAsia="宋体" w:hint="default"/>
                <w:sz w:val="18"/>
                <w:szCs w:val="18"/>
              </w:rPr>
            </w:pPr>
            <w:r>
              <w:rPr>
                <w:rFonts w:ascii="宋体"/>
                <w:sz w:val="18"/>
              </w:rPr>
              <w:t>3,056.66</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158" w:lineRule="auto"/>
              <w:ind w:left="-123" w:right="21" w:firstLine="151"/>
              <w:jc w:val="left"/>
              <w:rPr>
                <w:rFonts w:ascii="宋体" w:hAnsi="宋体" w:cs="宋体" w:eastAsia="宋体" w:hint="default"/>
                <w:sz w:val="18"/>
                <w:szCs w:val="18"/>
              </w:rPr>
            </w:pPr>
            <w:r>
              <w:rPr>
                <w:rFonts w:ascii="宋体" w:hAnsi="宋体" w:cs="宋体" w:eastAsia="宋体" w:hint="default"/>
                <w:sz w:val="18"/>
                <w:szCs w:val="18"/>
              </w:rPr>
              <w:t>48,656, ”</w:t>
            </w:r>
          </w:p>
          <w:p>
            <w:pPr>
              <w:pStyle w:val="TableParagraph"/>
              <w:spacing w:line="165" w:lineRule="exact"/>
              <w:ind w:left="117" w:right="0"/>
              <w:jc w:val="left"/>
              <w:rPr>
                <w:rFonts w:ascii="宋体" w:hAnsi="宋体" w:cs="宋体" w:eastAsia="宋体" w:hint="default"/>
                <w:sz w:val="18"/>
                <w:szCs w:val="18"/>
              </w:rPr>
            </w:pPr>
            <w:r>
              <w:rPr>
                <w:rFonts w:ascii="宋体"/>
                <w:sz w:val="18"/>
              </w:rPr>
              <w:t>535.00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sz w:val="18"/>
              </w:rPr>
              <w:t>-48,656,</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535.00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4,725,78</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3.06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30,367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,913.6</w:t>
            </w:r>
          </w:p>
          <w:p>
            <w:pPr>
              <w:pStyle w:val="TableParagraph"/>
              <w:spacing w:line="240" w:lineRule="auto" w:before="76"/>
              <w:ind w:right="21"/>
              <w:jc w:val="right"/>
              <w:rPr>
                <w:rFonts w:ascii="宋体" w:hAnsi="宋体" w:cs="宋体" w:eastAsia="宋体" w:hint="default"/>
                <w:sz w:val="18"/>
                <w:szCs w:val="18"/>
              </w:rPr>
            </w:pPr>
            <w:r>
              <w:rPr>
                <w:rFonts w:ascii="宋体"/>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35,093,6</w:t>
            </w:r>
          </w:p>
          <w:p>
            <w:pPr>
              <w:pStyle w:val="TableParagraph"/>
              <w:spacing w:line="240" w:lineRule="auto" w:before="76"/>
              <w:ind w:left="299" w:right="0"/>
              <w:jc w:val="left"/>
              <w:rPr>
                <w:rFonts w:ascii="宋体" w:hAnsi="宋体" w:cs="宋体" w:eastAsia="宋体" w:hint="default"/>
                <w:sz w:val="18"/>
                <w:szCs w:val="18"/>
              </w:rPr>
            </w:pPr>
            <w:r>
              <w:rPr>
                <w:rFonts w:ascii="宋体"/>
                <w:sz w:val="18"/>
              </w:rPr>
              <w:t>96.74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47,257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,830.6</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47,257,8</w:t>
            </w:r>
          </w:p>
          <w:p>
            <w:pPr>
              <w:pStyle w:val="TableParagraph"/>
              <w:spacing w:line="240" w:lineRule="auto" w:before="76"/>
              <w:ind w:left="299" w:right="0"/>
              <w:jc w:val="left"/>
              <w:rPr>
                <w:rFonts w:ascii="宋体" w:hAnsi="宋体" w:cs="宋体" w:eastAsia="宋体" w:hint="default"/>
                <w:sz w:val="18"/>
                <w:szCs w:val="18"/>
              </w:rPr>
            </w:pPr>
            <w:r>
              <w:rPr>
                <w:rFonts w:ascii="宋体"/>
                <w:sz w:val="18"/>
              </w:rPr>
              <w:t>30.64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1．股东投入的普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4,725,78</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3.06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-16,88</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9,916.</w:t>
            </w:r>
          </w:p>
          <w:p>
            <w:pPr>
              <w:pStyle w:val="TableParagraph"/>
              <w:spacing w:line="240" w:lineRule="auto" w:before="76"/>
              <w:ind w:right="19"/>
              <w:jc w:val="right"/>
              <w:rPr>
                <w:rFonts w:ascii="宋体" w:hAnsi="宋体" w:cs="宋体" w:eastAsia="宋体" w:hint="default"/>
                <w:sz w:val="18"/>
                <w:szCs w:val="18"/>
              </w:rPr>
            </w:pPr>
            <w:r>
              <w:rPr>
                <w:rFonts w:ascii="宋体"/>
                <w:sz w:val="18"/>
              </w:rPr>
              <w:t>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-12,164,</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133.90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4,725,78</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3.06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-4,725</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,783.0</w:t>
            </w:r>
          </w:p>
          <w:p>
            <w:pPr>
              <w:pStyle w:val="TableParagraph"/>
              <w:spacing w:line="240" w:lineRule="auto" w:before="76"/>
              <w:ind w:right="21"/>
              <w:jc w:val="right"/>
              <w:rPr>
                <w:rFonts w:ascii="宋体" w:hAnsi="宋体" w:cs="宋体" w:eastAsia="宋体" w:hint="default"/>
                <w:sz w:val="18"/>
                <w:szCs w:val="18"/>
              </w:rPr>
            </w:pPr>
            <w:r>
              <w:rPr>
                <w:rFonts w:ascii="宋体"/>
                <w:sz w:val="18"/>
              </w:rPr>
              <w:t>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2．对所有者（或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-12,16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4,133.</w:t>
            </w:r>
          </w:p>
          <w:p>
            <w:pPr>
              <w:pStyle w:val="TableParagraph"/>
              <w:spacing w:line="240" w:lineRule="auto" w:before="76"/>
              <w:ind w:right="19"/>
              <w:jc w:val="right"/>
              <w:rPr>
                <w:rFonts w:ascii="宋体" w:hAnsi="宋体" w:cs="宋体" w:eastAsia="宋体" w:hint="default"/>
                <w:sz w:val="18"/>
                <w:szCs w:val="18"/>
              </w:rPr>
            </w:pPr>
            <w:r>
              <w:rPr>
                <w:rFonts w:ascii="宋体"/>
                <w:sz w:val="18"/>
              </w:rPr>
              <w:t>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-12,164,</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133.90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18"/>
                <w:szCs w:val="18"/>
              </w:rPr>
            </w:pPr>
            <w:r>
              <w:rPr>
                <w:rFonts w:ascii="宋体"/>
                <w:sz w:val="18"/>
              </w:rPr>
              <w:t>48,656,</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535.00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center"/>
              <w:rPr>
                <w:rFonts w:ascii="宋体" w:hAnsi="宋体" w:cs="宋体" w:eastAsia="宋体" w:hint="default"/>
                <w:sz w:val="18"/>
                <w:szCs w:val="18"/>
              </w:rPr>
            </w:pPr>
            <w:r>
              <w:rPr>
                <w:rFonts w:ascii="宋体"/>
                <w:sz w:val="18"/>
              </w:rPr>
              <w:t>-48,656,</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535.00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sz w:val="18"/>
              </w:rPr>
              <w:t>48,656,</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535.00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center"/>
              <w:rPr>
                <w:rFonts w:ascii="宋体" w:hAnsi="宋体" w:cs="宋体" w:eastAsia="宋体" w:hint="default"/>
                <w:sz w:val="18"/>
                <w:szCs w:val="18"/>
              </w:rPr>
            </w:pPr>
            <w:r>
              <w:rPr>
                <w:rFonts w:ascii="宋体"/>
                <w:sz w:val="18"/>
              </w:rPr>
              <w:t>-48,656,</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535.00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2．盈余公积转增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291,939</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sz w:val="18"/>
              </w:rPr>
              <w:t>602,155,</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311.75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33,254,4</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12.81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200,67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7,815.</w:t>
            </w:r>
          </w:p>
          <w:p>
            <w:pPr>
              <w:pStyle w:val="TableParagraph"/>
              <w:spacing w:line="240" w:lineRule="auto" w:before="76"/>
              <w:ind w:right="19"/>
              <w:jc w:val="right"/>
              <w:rPr>
                <w:rFonts w:ascii="宋体" w:hAnsi="宋体" w:cs="宋体" w:eastAsia="宋体" w:hint="default"/>
                <w:sz w:val="18"/>
                <w:szCs w:val="18"/>
              </w:rPr>
            </w:pPr>
            <w:r>
              <w:rPr>
                <w:rFonts w:ascii="宋体"/>
                <w:sz w:val="18"/>
              </w:rPr>
              <w:t>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1,128,02</w:t>
            </w:r>
          </w:p>
          <w:p>
            <w:pPr>
              <w:pStyle w:val="TableParagraph"/>
              <w:spacing w:line="240" w:lineRule="auto" w:before="76"/>
              <w:ind w:left="27" w:right="0"/>
              <w:jc w:val="left"/>
              <w:rPr>
                <w:rFonts w:ascii="宋体" w:hAnsi="宋体" w:cs="宋体" w:eastAsia="宋体" w:hint="default"/>
                <w:sz w:val="18"/>
                <w:szCs w:val="18"/>
              </w:rPr>
            </w:pPr>
            <w:r>
              <w:rPr>
                <w:rFonts w:ascii="宋体"/>
                <w:sz w:val="18"/>
              </w:rPr>
              <w:t>6,753.40</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3" w:right="31"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1"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4"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0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214,256</w:t>
            </w:r>
          </w:p>
          <w:p>
            <w:pPr>
              <w:pStyle w:val="TableParagraph"/>
              <w:spacing w:line="240" w:lineRule="auto" w:before="76"/>
              <w:ind w:left="28" w:right="0"/>
              <w:jc w:val="left"/>
              <w:rPr>
                <w:rFonts w:ascii="宋体" w:hAnsi="宋体" w:cs="宋体" w:eastAsia="宋体" w:hint="default"/>
                <w:sz w:val="18"/>
                <w:szCs w:val="18"/>
              </w:rPr>
            </w:pPr>
            <w:r>
              <w:rPr>
                <w:rFonts w:ascii="宋体"/>
                <w:sz w:val="18"/>
              </w:rPr>
              <w:t>,620.00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sz w:val="18"/>
              </w:rPr>
              <w:t>317,887,</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916.23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24,076,4</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65.53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134,52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5,556.</w:t>
            </w:r>
          </w:p>
          <w:p>
            <w:pPr>
              <w:pStyle w:val="TableParagraph"/>
              <w:spacing w:line="240" w:lineRule="auto" w:before="76"/>
              <w:ind w:right="19"/>
              <w:jc w:val="right"/>
              <w:rPr>
                <w:rFonts w:ascii="宋体" w:hAnsi="宋体" w:cs="宋体" w:eastAsia="宋体" w:hint="default"/>
                <w:sz w:val="18"/>
                <w:szCs w:val="18"/>
              </w:rPr>
            </w:pPr>
            <w:r>
              <w:rPr>
                <w:rFonts w:ascii="宋体"/>
                <w:sz w:val="18"/>
              </w:rPr>
              <w:t>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690,746,</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558.39</w:t>
            </w:r>
          </w:p>
        </w:tc>
      </w:tr>
    </w:tbl>
    <w:p>
      <w:pPr>
        <w:spacing w:after="0" w:line="240" w:lineRule="auto"/>
        <w:jc w:val="center"/>
        <w:rPr>
          <w:rFonts w:ascii="宋体" w:hAnsi="宋体" w:cs="宋体" w:eastAsia="宋体" w:hint="default"/>
          <w:sz w:val="18"/>
          <w:szCs w:val="18"/>
        </w:rPr>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r>
        <w:rPr/>
        <w:pict>
          <v:group style="position:absolute;margin-left:127.5pt;margin-top:215.200027pt;width:34.3pt;height:51.05pt;mso-position-horizontal-relative:page;mso-position-vertical-relative:page;z-index:-870568" coordorigin="2550,4304" coordsize="686,1021">
            <v:shape style="position:absolute;left:2550;top:4304;width:686;height:1021" coordorigin="2550,4304" coordsize="686,1021" path="m2550,4304l3236,4304,3236,5325,2550,5325,2550,4304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firstLine="360"/>
              <w:jc w:val="left"/>
              <w:rPr>
                <w:rFonts w:ascii="宋体" w:hAnsi="宋体" w:cs="宋体" w:eastAsia="宋体" w:hint="default"/>
                <w:sz w:val="18"/>
                <w:szCs w:val="18"/>
              </w:rPr>
            </w:pPr>
            <w:r>
              <w:rPr>
                <w:rFonts w:ascii="宋体" w:hAnsi="宋体" w:cs="宋体" w:eastAsia="宋体" w:hint="default"/>
                <w:spacing w:val="-9"/>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sz w:val="18"/>
              </w:rPr>
              <w:t>214,256</w:t>
            </w:r>
          </w:p>
          <w:p>
            <w:pPr>
              <w:pStyle w:val="TableParagraph"/>
              <w:spacing w:line="240" w:lineRule="auto" w:before="76"/>
              <w:ind w:left="28" w:right="0"/>
              <w:jc w:val="left"/>
              <w:rPr>
                <w:rFonts w:ascii="宋体" w:hAnsi="宋体" w:cs="宋体" w:eastAsia="宋体" w:hint="default"/>
                <w:sz w:val="18"/>
                <w:szCs w:val="18"/>
              </w:rPr>
            </w:pPr>
            <w:r>
              <w:rPr>
                <w:rFonts w:ascii="宋体"/>
                <w:sz w:val="18"/>
              </w:rPr>
              <w:t>,620.00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sz w:val="18"/>
              </w:rPr>
              <w:t>317,887,</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916.23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24,076,4</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65.53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134,52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5,556.</w:t>
            </w:r>
          </w:p>
          <w:p>
            <w:pPr>
              <w:pStyle w:val="TableParagraph"/>
              <w:spacing w:line="240" w:lineRule="auto" w:before="76"/>
              <w:ind w:right="19"/>
              <w:jc w:val="right"/>
              <w:rPr>
                <w:rFonts w:ascii="宋体" w:hAnsi="宋体" w:cs="宋体" w:eastAsia="宋体" w:hint="default"/>
                <w:sz w:val="18"/>
                <w:szCs w:val="18"/>
              </w:rPr>
            </w:pPr>
            <w:r>
              <w:rPr>
                <w:rFonts w:ascii="宋体"/>
                <w:sz w:val="18"/>
              </w:rPr>
              <w:t>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sz w:val="18"/>
              </w:rPr>
              <w:t>690,746,</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558.39</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158" w:lineRule="auto"/>
              <w:ind w:left="-123" w:right="21" w:firstLine="151"/>
              <w:jc w:val="left"/>
              <w:rPr>
                <w:rFonts w:ascii="宋体" w:hAnsi="宋体" w:cs="宋体" w:eastAsia="宋体" w:hint="default"/>
                <w:sz w:val="18"/>
                <w:szCs w:val="18"/>
              </w:rPr>
            </w:pPr>
            <w:r>
              <w:rPr>
                <w:rFonts w:ascii="宋体" w:hAnsi="宋体" w:cs="宋体" w:eastAsia="宋体" w:hint="default"/>
                <w:sz w:val="18"/>
                <w:szCs w:val="18"/>
              </w:rPr>
              <w:t>29,026, ”</w:t>
            </w:r>
          </w:p>
          <w:p>
            <w:pPr>
              <w:pStyle w:val="TableParagraph"/>
              <w:spacing w:line="165" w:lineRule="exact"/>
              <w:ind w:left="117" w:right="0"/>
              <w:jc w:val="left"/>
              <w:rPr>
                <w:rFonts w:ascii="宋体" w:hAnsi="宋体" w:cs="宋体" w:eastAsia="宋体" w:hint="default"/>
                <w:sz w:val="18"/>
                <w:szCs w:val="18"/>
              </w:rPr>
            </w:pPr>
            <w:r>
              <w:rPr>
                <w:rFonts w:ascii="宋体"/>
                <w:sz w:val="18"/>
              </w:rPr>
              <w:t>058.00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宋体" w:hAnsi="宋体" w:cs="宋体" w:eastAsia="宋体" w:hint="default"/>
                <w:sz w:val="18"/>
                <w:szCs w:val="18"/>
              </w:rPr>
            </w:pPr>
            <w:r>
              <w:rPr>
                <w:rFonts w:ascii="宋体"/>
                <w:sz w:val="18"/>
              </w:rPr>
              <w:t>332,923,</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930.52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宋体" w:hAnsi="宋体" w:cs="宋体" w:eastAsia="宋体" w:hint="default"/>
                <w:sz w:val="18"/>
                <w:szCs w:val="18"/>
              </w:rPr>
            </w:pPr>
            <w:r>
              <w:rPr>
                <w:rFonts w:ascii="宋体"/>
                <w:sz w:val="18"/>
              </w:rPr>
              <w:t>4,452,16</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4.22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35,784</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,345.5</w:t>
            </w:r>
          </w:p>
          <w:p>
            <w:pPr>
              <w:pStyle w:val="TableParagraph"/>
              <w:spacing w:line="240" w:lineRule="auto" w:before="76"/>
              <w:ind w:right="21"/>
              <w:jc w:val="right"/>
              <w:rPr>
                <w:rFonts w:ascii="宋体" w:hAnsi="宋体" w:cs="宋体" w:eastAsia="宋体" w:hint="default"/>
                <w:sz w:val="18"/>
                <w:szCs w:val="18"/>
              </w:rPr>
            </w:pPr>
            <w:r>
              <w:rPr>
                <w:rFonts w:ascii="宋体"/>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sz w:val="18"/>
              </w:rPr>
              <w:t>402,186,</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498.27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44,521</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,642.1</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44,521,6</w:t>
            </w:r>
          </w:p>
          <w:p>
            <w:pPr>
              <w:pStyle w:val="TableParagraph"/>
              <w:spacing w:line="240" w:lineRule="auto" w:before="76"/>
              <w:ind w:left="299" w:right="0"/>
              <w:jc w:val="left"/>
              <w:rPr>
                <w:rFonts w:ascii="宋体" w:hAnsi="宋体" w:cs="宋体" w:eastAsia="宋体" w:hint="default"/>
                <w:sz w:val="18"/>
                <w:szCs w:val="18"/>
              </w:rPr>
            </w:pPr>
            <w:r>
              <w:rPr>
                <w:rFonts w:ascii="宋体"/>
                <w:sz w:val="18"/>
              </w:rPr>
              <w:t>42.15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18"/>
                <w:szCs w:val="18"/>
              </w:rPr>
            </w:pPr>
            <w:r>
              <w:rPr>
                <w:rFonts w:ascii="宋体"/>
                <w:sz w:val="18"/>
              </w:rPr>
              <w:t>29,026,</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058.00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center"/>
              <w:rPr>
                <w:rFonts w:ascii="宋体" w:hAnsi="宋体" w:cs="宋体" w:eastAsia="宋体" w:hint="default"/>
                <w:sz w:val="18"/>
                <w:szCs w:val="18"/>
              </w:rPr>
            </w:pPr>
            <w:r>
              <w:rPr>
                <w:rFonts w:ascii="宋体"/>
                <w:sz w:val="18"/>
              </w:rPr>
              <w:t>332,923,</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930.52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宋体" w:hAnsi="宋体" w:cs="宋体" w:eastAsia="宋体" w:hint="default"/>
                <w:sz w:val="18"/>
                <w:szCs w:val="18"/>
              </w:rPr>
            </w:pPr>
            <w:r>
              <w:rPr>
                <w:rFonts w:ascii="宋体"/>
                <w:sz w:val="18"/>
              </w:rPr>
              <w:t>361,949,</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988.52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1．股东投入的普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sz w:val="18"/>
              </w:rPr>
              <w:t>29,026,</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058.00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center"/>
              <w:rPr>
                <w:rFonts w:ascii="宋体" w:hAnsi="宋体" w:cs="宋体" w:eastAsia="宋体" w:hint="default"/>
                <w:sz w:val="18"/>
                <w:szCs w:val="18"/>
              </w:rPr>
            </w:pPr>
            <w:r>
              <w:rPr>
                <w:rFonts w:ascii="宋体"/>
                <w:sz w:val="18"/>
              </w:rPr>
              <w:t>332,923,</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930.52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361,949,</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988.52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4,452,16</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4.22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-8,737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,296.6</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-4,285,1</w:t>
            </w:r>
          </w:p>
          <w:p>
            <w:pPr>
              <w:pStyle w:val="TableParagraph"/>
              <w:spacing w:line="240" w:lineRule="auto" w:before="76"/>
              <w:ind w:left="299" w:right="0"/>
              <w:jc w:val="left"/>
              <w:rPr>
                <w:rFonts w:ascii="宋体" w:hAnsi="宋体" w:cs="宋体" w:eastAsia="宋体" w:hint="default"/>
                <w:sz w:val="18"/>
                <w:szCs w:val="18"/>
              </w:rPr>
            </w:pPr>
            <w:r>
              <w:rPr>
                <w:rFonts w:ascii="宋体"/>
                <w:sz w:val="18"/>
              </w:rPr>
              <w:t>32.40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宋体" w:hAnsi="宋体" w:cs="宋体" w:eastAsia="宋体" w:hint="default"/>
                <w:sz w:val="18"/>
                <w:szCs w:val="18"/>
              </w:rPr>
            </w:pPr>
            <w:r>
              <w:rPr>
                <w:rFonts w:ascii="宋体"/>
                <w:sz w:val="18"/>
              </w:rPr>
              <w:t>4,452,16</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4.22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-4,452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,164.2</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2．对所有者（或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-4,285</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,132.4</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-4,285,1</w:t>
            </w:r>
          </w:p>
          <w:p>
            <w:pPr>
              <w:pStyle w:val="TableParagraph"/>
              <w:spacing w:line="240" w:lineRule="auto" w:before="76"/>
              <w:ind w:left="299" w:right="0"/>
              <w:jc w:val="left"/>
              <w:rPr>
                <w:rFonts w:ascii="宋体" w:hAnsi="宋体" w:cs="宋体" w:eastAsia="宋体" w:hint="default"/>
                <w:sz w:val="18"/>
                <w:szCs w:val="18"/>
              </w:rPr>
            </w:pPr>
            <w:r>
              <w:rPr>
                <w:rFonts w:ascii="宋体"/>
                <w:sz w:val="18"/>
              </w:rPr>
              <w:t>32.40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2．盈余公积转增</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243,282</w:t>
            </w:r>
          </w:p>
          <w:p>
            <w:pPr>
              <w:pStyle w:val="TableParagraph"/>
              <w:spacing w:line="240" w:lineRule="auto" w:before="76"/>
              <w:ind w:left="28" w:right="0"/>
              <w:jc w:val="left"/>
              <w:rPr>
                <w:rFonts w:ascii="宋体" w:hAnsi="宋体" w:cs="宋体" w:eastAsia="宋体" w:hint="default"/>
                <w:sz w:val="18"/>
                <w:szCs w:val="18"/>
              </w:rPr>
            </w:pPr>
            <w:r>
              <w:rPr>
                <w:rFonts w:ascii="宋体"/>
                <w:sz w:val="18"/>
              </w:rPr>
              <w:t>,678.00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宋体" w:hAnsi="宋体" w:cs="宋体" w:eastAsia="宋体" w:hint="default"/>
                <w:sz w:val="18"/>
                <w:szCs w:val="18"/>
              </w:rPr>
            </w:pPr>
            <w:r>
              <w:rPr>
                <w:rFonts w:ascii="宋体"/>
                <w:sz w:val="18"/>
              </w:rPr>
              <w:t>650,811,</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846.75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宋体" w:hAnsi="宋体" w:cs="宋体" w:eastAsia="宋体" w:hint="default"/>
                <w:sz w:val="18"/>
                <w:szCs w:val="18"/>
              </w:rPr>
            </w:pPr>
            <w:r>
              <w:rPr>
                <w:rFonts w:ascii="宋体"/>
                <w:sz w:val="18"/>
              </w:rPr>
              <w:t>28,528,6</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29.75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170,30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9,902.</w:t>
            </w:r>
          </w:p>
          <w:p>
            <w:pPr>
              <w:pStyle w:val="TableParagraph"/>
              <w:spacing w:line="240" w:lineRule="auto" w:before="76"/>
              <w:ind w:right="19"/>
              <w:jc w:val="right"/>
              <w:rPr>
                <w:rFonts w:ascii="宋体" w:hAnsi="宋体" w:cs="宋体" w:eastAsia="宋体" w:hint="default"/>
                <w:sz w:val="18"/>
                <w:szCs w:val="18"/>
              </w:rPr>
            </w:pPr>
            <w:r>
              <w:rPr>
                <w:rFonts w:ascii="宋体"/>
                <w:sz w:val="18"/>
              </w:rPr>
              <w:t>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sz w:val="18"/>
              </w:rPr>
              <w:t>1,092,93</w:t>
            </w:r>
          </w:p>
          <w:p>
            <w:pPr>
              <w:pStyle w:val="TableParagraph"/>
              <w:spacing w:line="240" w:lineRule="auto" w:before="76"/>
              <w:ind w:left="27" w:right="0"/>
              <w:jc w:val="left"/>
              <w:rPr>
                <w:rFonts w:ascii="宋体" w:hAnsi="宋体" w:cs="宋体" w:eastAsia="宋体" w:hint="default"/>
                <w:sz w:val="18"/>
                <w:szCs w:val="18"/>
              </w:rPr>
            </w:pPr>
            <w:r>
              <w:rPr>
                <w:rFonts w:ascii="宋体"/>
                <w:sz w:val="18"/>
              </w:rPr>
              <w:t>3,056.66</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before="26"/>
        <w:ind w:right="0"/>
        <w:jc w:val="both"/>
        <w:rPr>
          <w:b w:val="0"/>
          <w:bCs w:val="0"/>
        </w:rPr>
      </w:pPr>
      <w:r>
        <w:rPr/>
        <w:t>三、公司基本情况</w:t>
      </w:r>
      <w:r>
        <w:rPr>
          <w:b w:val="0"/>
          <w:bCs w:val="0"/>
        </w:rPr>
      </w:r>
    </w:p>
    <w:p>
      <w:pPr>
        <w:spacing w:line="240" w:lineRule="auto" w:before="9"/>
        <w:rPr>
          <w:rFonts w:ascii="宋体" w:hAnsi="宋体" w:cs="宋体" w:eastAsia="宋体" w:hint="default"/>
          <w:b/>
          <w:bCs/>
          <w:sz w:val="24"/>
          <w:szCs w:val="24"/>
        </w:rPr>
      </w:pPr>
    </w:p>
    <w:p>
      <w:pPr>
        <w:spacing w:line="273" w:lineRule="auto" w:before="0"/>
        <w:ind w:left="557" w:right="0" w:hanging="425"/>
        <w:jc w:val="left"/>
        <w:rPr>
          <w:rFonts w:ascii="宋体" w:hAnsi="宋体" w:cs="宋体" w:eastAsia="宋体" w:hint="default"/>
          <w:sz w:val="21"/>
          <w:szCs w:val="21"/>
        </w:rPr>
      </w:pPr>
      <w:r>
        <w:rPr>
          <w:rFonts w:ascii="宋体" w:hAnsi="宋体" w:cs="宋体" w:eastAsia="宋体" w:hint="default"/>
          <w:b/>
          <w:bCs/>
          <w:sz w:val="21"/>
          <w:szCs w:val="21"/>
        </w:rPr>
        <w:t>（一）公司注册地、组织形式和总部地址</w:t>
      </w:r>
      <w:r>
        <w:rPr>
          <w:rFonts w:ascii="宋体" w:hAnsi="宋体" w:cs="宋体" w:eastAsia="宋体" w:hint="default"/>
          <w:b/>
          <w:bCs/>
          <w:w w:val="99"/>
          <w:sz w:val="21"/>
          <w:szCs w:val="21"/>
        </w:rPr>
        <w:t> </w:t>
      </w:r>
      <w:r>
        <w:rPr>
          <w:rFonts w:ascii="宋体" w:hAnsi="宋体" w:cs="宋体" w:eastAsia="宋体" w:hint="default"/>
          <w:w w:val="95"/>
          <w:sz w:val="21"/>
          <w:szCs w:val="21"/>
        </w:rPr>
        <w:t>安徽皖通科技股份有限公司（以下简称“公司”或“本公司”）的前身安徽皖通科技发展有限公司，</w:t>
      </w:r>
      <w:r>
        <w:rPr>
          <w:rFonts w:ascii="宋体" w:hAnsi="宋体" w:cs="宋体" w:eastAsia="宋体" w:hint="default"/>
          <w:sz w:val="21"/>
          <w:szCs w:val="21"/>
        </w:rPr>
      </w:r>
    </w:p>
    <w:p>
      <w:pPr>
        <w:pStyle w:val="BodyText"/>
        <w:spacing w:line="273" w:lineRule="auto"/>
        <w:ind w:left="132" w:right="132"/>
        <w:jc w:val="both"/>
      </w:pPr>
      <w:r>
        <w:rPr>
          <w:w w:val="95"/>
        </w:rPr>
        <w:t>经合肥市高新技术产业开发区管委会合高管（1999)19号文批准，于1999年成立。2007年5月，经安徽皖通</w:t>
      </w:r>
      <w:r>
        <w:rPr>
          <w:spacing w:val="41"/>
          <w:w w:val="95"/>
        </w:rPr>
        <w:t> </w:t>
      </w:r>
      <w:r>
        <w:rPr>
          <w:spacing w:val="41"/>
          <w:w w:val="95"/>
        </w:rPr>
      </w:r>
      <w:r>
        <w:rPr>
          <w:spacing w:val="14"/>
        </w:rPr>
        <w:t>科技发展有限公司股东会决议决定，整体变更为股份有限公司。公司的企业法人营业执照注册号：</w:t>
      </w:r>
      <w:r>
        <w:rPr>
          <w:w w:val="99"/>
        </w:rPr>
        <w:t> </w:t>
      </w:r>
      <w:r>
        <w:rPr/>
        <w:t>91340100711761244Q，并于2010年1月6日在深圳证券交易所上市。</w:t>
      </w:r>
    </w:p>
    <w:p>
      <w:pPr>
        <w:pStyle w:val="BodyText"/>
        <w:spacing w:line="273" w:lineRule="auto"/>
        <w:ind w:left="132" w:right="215" w:firstLine="420"/>
        <w:jc w:val="both"/>
      </w:pPr>
      <w:r>
        <w:rPr>
          <w:w w:val="95"/>
        </w:rPr>
        <w:t>经过历年的转增股本及增发新股，截至2015年12月31日，本公司累计发行股本总数29,193.92万股，</w:t>
      </w:r>
      <w:r>
        <w:rPr>
          <w:spacing w:val="-85"/>
          <w:w w:val="95"/>
        </w:rPr>
        <w:t> </w:t>
      </w:r>
      <w:r>
        <w:rPr>
          <w:spacing w:val="-85"/>
          <w:w w:val="95"/>
        </w:rPr>
      </w:r>
      <w:r>
        <w:rPr>
          <w:w w:val="95"/>
        </w:rPr>
        <w:t>注册资本为29,193.92万元，注册地址：合肥市高新区皖水路589号，总部地址：合肥市高新区皖水路589</w:t>
      </w:r>
      <w:r>
        <w:rPr>
          <w:spacing w:val="57"/>
          <w:w w:val="95"/>
        </w:rPr>
        <w:t> </w:t>
      </w:r>
      <w:r>
        <w:rPr>
          <w:spacing w:val="57"/>
          <w:w w:val="95"/>
        </w:rPr>
      </w:r>
      <w:r>
        <w:rPr/>
        <w:t>号，实际控制人为王中胜、杨世宁、杨新子。</w:t>
      </w:r>
    </w:p>
    <w:p>
      <w:pPr>
        <w:pStyle w:val="BodyText"/>
        <w:spacing w:line="273" w:lineRule="auto" w:before="163"/>
        <w:ind w:left="552" w:right="0" w:hanging="420"/>
        <w:jc w:val="left"/>
      </w:pPr>
      <w:r>
        <w:rPr>
          <w:rFonts w:ascii="宋体" w:hAnsi="宋体" w:cs="宋体" w:eastAsia="宋体" w:hint="default"/>
          <w:b/>
          <w:bCs/>
        </w:rPr>
        <w:t>（二）经营范围</w:t>
      </w:r>
      <w:r>
        <w:rPr>
          <w:rFonts w:ascii="宋体" w:hAnsi="宋体" w:cs="宋体" w:eastAsia="宋体" w:hint="default"/>
          <w:b/>
          <w:bCs/>
          <w:w w:val="99"/>
        </w:rPr>
        <w:t> </w:t>
      </w:r>
      <w:r>
        <w:rPr>
          <w:w w:val="95"/>
        </w:rPr>
        <w:t>计算机软件、硬件的开发、生产与销售；信息系统集成、信息处理与技术服务、技术转让与咨询；光</w:t>
      </w:r>
      <w:r>
        <w:rPr/>
      </w:r>
    </w:p>
    <w:p>
      <w:pPr>
        <w:pStyle w:val="BodyText"/>
        <w:spacing w:line="273" w:lineRule="auto"/>
        <w:ind w:left="132" w:right="135"/>
        <w:jc w:val="both"/>
      </w:pPr>
      <w:r>
        <w:rPr>
          <w:w w:val="95"/>
        </w:rPr>
        <w:t>机电一体化、视频网络与通讯系统工程，电视监控系统及交通机电工程的设计、施工、安装、维修；计算</w:t>
      </w:r>
      <w:r>
        <w:rPr>
          <w:spacing w:val="37"/>
          <w:w w:val="95"/>
        </w:rPr>
        <w:t> </w:t>
      </w:r>
      <w:r>
        <w:rPr>
          <w:spacing w:val="37"/>
          <w:w w:val="95"/>
        </w:rPr>
      </w:r>
      <w:r>
        <w:rPr/>
        <w:t>机修理；仪器仪表、电子产品、计算机及外围设备、文化办公用品、家用电器的销售。</w:t>
      </w:r>
    </w:p>
    <w:p>
      <w:pPr>
        <w:spacing w:line="273" w:lineRule="auto" w:before="163"/>
        <w:ind w:left="552" w:right="0" w:hanging="420"/>
        <w:jc w:val="left"/>
        <w:rPr>
          <w:rFonts w:ascii="宋体" w:hAnsi="宋体" w:cs="宋体" w:eastAsia="宋体" w:hint="default"/>
          <w:sz w:val="21"/>
          <w:szCs w:val="21"/>
        </w:rPr>
      </w:pPr>
      <w:r>
        <w:rPr>
          <w:rFonts w:ascii="宋体" w:hAnsi="宋体" w:cs="宋体" w:eastAsia="宋体" w:hint="default"/>
          <w:b/>
          <w:bCs/>
          <w:sz w:val="21"/>
          <w:szCs w:val="21"/>
        </w:rPr>
        <w:t>（三）公司业务性质和主要经营活动</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公司业务主要分为：1、系统集成：高速公路机电工程系统集成及其他信息系统集成项目，即为新建</w:t>
      </w:r>
      <w:r>
        <w:rPr>
          <w:rFonts w:ascii="宋体" w:hAnsi="宋体" w:cs="宋体" w:eastAsia="宋体" w:hint="default"/>
          <w:spacing w:val="2"/>
          <w:sz w:val="21"/>
          <w:szCs w:val="21"/>
        </w:rPr>
      </w:r>
    </w:p>
    <w:p>
      <w:pPr>
        <w:pStyle w:val="BodyText"/>
        <w:spacing w:line="273" w:lineRule="auto"/>
        <w:ind w:left="132" w:right="132"/>
        <w:jc w:val="both"/>
      </w:pPr>
      <w:r>
        <w:rPr>
          <w:spacing w:val="2"/>
          <w:w w:val="95"/>
        </w:rPr>
        <w:t>高速公路机电等各类信息系统项目提供工程建设、安装及相关软件的开发、安装服务。2、技术服务：为</w:t>
      </w:r>
      <w:r>
        <w:rPr>
          <w:spacing w:val="50"/>
          <w:w w:val="95"/>
        </w:rPr>
        <w:t> </w:t>
      </w:r>
      <w:r>
        <w:rPr>
          <w:spacing w:val="50"/>
          <w:w w:val="95"/>
        </w:rPr>
      </w:r>
      <w:r>
        <w:rPr>
          <w:spacing w:val="2"/>
          <w:w w:val="95"/>
        </w:rPr>
        <w:t>各类系统集成项目提供后续的维护、改造及支持服务。3、技术转让：公司自主或联合研发的系统软件转</w:t>
      </w:r>
      <w:r>
        <w:rPr>
          <w:spacing w:val="47"/>
          <w:w w:val="95"/>
        </w:rPr>
        <w:t> </w:t>
      </w:r>
      <w:r>
        <w:rPr>
          <w:spacing w:val="47"/>
          <w:w w:val="95"/>
        </w:rPr>
      </w:r>
      <w:r>
        <w:rPr/>
        <w:t>让项目。4、商品销售：公司生产销售的光通讯教学仪器等。</w:t>
      </w:r>
    </w:p>
    <w:p>
      <w:pPr>
        <w:pStyle w:val="BodyText"/>
        <w:spacing w:line="240" w:lineRule="auto"/>
        <w:ind w:left="552" w:right="0"/>
        <w:jc w:val="left"/>
      </w:pPr>
      <w:r>
        <w:rPr/>
        <w:t>本公司属软件和信息技术服务行业，主要产品或服务为系统集成、技术服务、技术转让、商品销售。</w:t>
      </w:r>
    </w:p>
    <w:p>
      <w:pPr>
        <w:spacing w:line="240" w:lineRule="auto" w:before="10"/>
        <w:rPr>
          <w:rFonts w:ascii="宋体" w:hAnsi="宋体" w:cs="宋体" w:eastAsia="宋体" w:hint="default"/>
          <w:sz w:val="14"/>
          <w:szCs w:val="14"/>
        </w:rPr>
      </w:pPr>
    </w:p>
    <w:p>
      <w:pPr>
        <w:spacing w:line="273" w:lineRule="auto" w:before="0"/>
        <w:ind w:left="132" w:right="3614" w:firstLine="0"/>
        <w:jc w:val="left"/>
        <w:rPr>
          <w:rFonts w:ascii="宋体" w:hAnsi="宋体" w:cs="宋体" w:eastAsia="宋体" w:hint="default"/>
          <w:sz w:val="21"/>
          <w:szCs w:val="21"/>
        </w:rPr>
      </w:pPr>
      <w:r>
        <w:rPr>
          <w:rFonts w:ascii="宋体" w:hAnsi="宋体" w:cs="宋体" w:eastAsia="宋体" w:hint="default"/>
          <w:b/>
          <w:bCs/>
          <w:sz w:val="21"/>
          <w:szCs w:val="21"/>
        </w:rPr>
        <w:t>（四）财务报表的批准报出</w:t>
      </w:r>
      <w:r>
        <w:rPr>
          <w:rFonts w:ascii="宋体" w:hAnsi="宋体" w:cs="宋体" w:eastAsia="宋体" w:hint="default"/>
          <w:b/>
          <w:bCs/>
          <w:w w:val="99"/>
          <w:sz w:val="21"/>
          <w:szCs w:val="21"/>
        </w:rPr>
        <w:t> </w:t>
      </w:r>
      <w:r>
        <w:rPr>
          <w:rFonts w:ascii="宋体" w:hAnsi="宋体" w:cs="宋体" w:eastAsia="宋体" w:hint="default"/>
          <w:w w:val="95"/>
          <w:sz w:val="21"/>
          <w:szCs w:val="21"/>
        </w:rPr>
        <w:t>本财务报表业经公司董事会于2016年3月21日批准报出。</w:t>
      </w:r>
      <w:r>
        <w:rPr>
          <w:rFonts w:ascii="宋体" w:hAnsi="宋体" w:cs="宋体" w:eastAsia="宋体" w:hint="default"/>
          <w:sz w:val="21"/>
          <w:szCs w:val="21"/>
        </w:rPr>
      </w:r>
    </w:p>
    <w:p>
      <w:pPr>
        <w:pStyle w:val="BodyText"/>
        <w:spacing w:line="273" w:lineRule="auto" w:before="163"/>
        <w:ind w:left="132" w:right="0" w:firstLine="420"/>
        <w:jc w:val="left"/>
      </w:pPr>
      <w:r>
        <w:rPr/>
        <w:t>本期纳入合并财务报表范围的主体较上期相比，增加3户，减少0户，其中：</w:t>
      </w:r>
      <w:r>
        <w:rPr>
          <w:w w:val="99"/>
        </w:rPr>
        <w:t> </w:t>
      </w:r>
      <w:r>
        <w:rPr>
          <w:w w:val="95"/>
        </w:rPr>
        <w:t>1.本期新纳入合并范围的子公司、特殊目的主体、通过受托经营或承租等方式形成控制权的经营实体</w:t>
      </w:r>
      <w:r>
        <w:rPr/>
      </w:r>
    </w:p>
    <w:tbl>
      <w:tblPr>
        <w:tblW w:w="0" w:type="auto"/>
        <w:jc w:val="left"/>
        <w:tblInd w:w="116" w:type="dxa"/>
        <w:tblLayout w:type="fixed"/>
        <w:tblCellMar>
          <w:top w:w="0" w:type="dxa"/>
          <w:left w:w="0" w:type="dxa"/>
          <w:bottom w:w="0" w:type="dxa"/>
          <w:right w:w="0" w:type="dxa"/>
        </w:tblCellMar>
        <w:tblLook w:val="01E0"/>
      </w:tblPr>
      <w:tblGrid>
        <w:gridCol w:w="4678"/>
        <w:gridCol w:w="4961"/>
      </w:tblGrid>
      <w:tr>
        <w:trPr>
          <w:trHeight w:val="347" w:hRule="exact"/>
        </w:trPr>
        <w:tc>
          <w:tcPr>
            <w:tcW w:w="46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96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r>
        <w:trPr>
          <w:trHeight w:val="34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r>
        <w:trPr>
          <w:trHeight w:val="34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bl>
    <w:p>
      <w:pPr>
        <w:spacing w:after="0" w:line="240" w:lineRule="auto"/>
        <w:jc w:val="center"/>
        <w:rPr>
          <w:rFonts w:ascii="宋体" w:hAnsi="宋体" w:cs="宋体" w:eastAsia="宋体" w:hint="default"/>
          <w:sz w:val="18"/>
          <w:szCs w:val="18"/>
        </w:rPr>
        <w:sectPr>
          <w:pgSz w:w="11910" w:h="16840"/>
          <w:pgMar w:header="746" w:footer="978" w:top="1040" w:bottom="1160" w:left="1000" w:right="1000"/>
        </w:sectPr>
      </w:pPr>
    </w:p>
    <w:p>
      <w:pPr>
        <w:spacing w:line="240" w:lineRule="auto" w:before="6"/>
        <w:rPr>
          <w:rFonts w:ascii="宋体" w:hAnsi="宋体" w:cs="宋体" w:eastAsia="宋体" w:hint="default"/>
          <w:sz w:val="25"/>
          <w:szCs w:val="25"/>
        </w:rPr>
      </w:pPr>
    </w:p>
    <w:p>
      <w:pPr>
        <w:pStyle w:val="BodyText"/>
        <w:spacing w:line="240" w:lineRule="auto" w:before="34"/>
        <w:ind w:left="532" w:right="0"/>
        <w:jc w:val="left"/>
      </w:pPr>
      <w:r>
        <w:rPr/>
        <w:t>合并范围变更主体的具体信息详见“附注七、合并范围的变更。</w:t>
      </w:r>
    </w:p>
    <w:p>
      <w:pPr>
        <w:spacing w:line="240" w:lineRule="auto" w:before="0"/>
        <w:rPr>
          <w:rFonts w:ascii="宋体" w:hAnsi="宋体" w:cs="宋体" w:eastAsia="宋体" w:hint="default"/>
          <w:sz w:val="24"/>
          <w:szCs w:val="24"/>
        </w:rPr>
      </w:pPr>
    </w:p>
    <w:p>
      <w:pPr>
        <w:pStyle w:val="Heading4"/>
        <w:spacing w:line="240" w:lineRule="auto"/>
        <w:ind w:left="112" w:right="0"/>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2" w:right="0"/>
        <w:jc w:val="left"/>
        <w:rPr>
          <w:b w:val="0"/>
          <w:bCs w:val="0"/>
        </w:rPr>
      </w:pPr>
      <w:r>
        <w:rPr/>
        <w:t>1、编制基础</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right="112" w:firstLine="420"/>
        <w:jc w:val="both"/>
      </w:pPr>
      <w:r>
        <w:rPr>
          <w:w w:val="95"/>
        </w:rPr>
        <w:t>本公司根据实际发生的交易和事项，按照财政部颁布的《企业会计准则——基本准则》和具体企业会</w:t>
      </w:r>
      <w:r>
        <w:rPr>
          <w:w w:val="99"/>
        </w:rPr>
        <w:t> </w:t>
      </w:r>
      <w:r>
        <w:rPr>
          <w:w w:val="95"/>
        </w:rPr>
        <w:t>计准则、企业会计准则应用指南、企业会计准则解释及其他相关规定(以下合称“企业会计准则”)进行确</w:t>
      </w:r>
      <w:r>
        <w:rPr>
          <w:spacing w:val="41"/>
          <w:w w:val="95"/>
        </w:rPr>
        <w:t> </w:t>
      </w:r>
      <w:r>
        <w:rPr>
          <w:spacing w:val="41"/>
          <w:w w:val="95"/>
        </w:rPr>
      </w:r>
      <w:r>
        <w:rPr>
          <w:w w:val="95"/>
        </w:rPr>
        <w:t>认和计量，在此基础上，结合中国证券监督管理委员会《公开发行证券的公司信息披露编报规则第15号—</w:t>
      </w:r>
      <w:r>
        <w:rPr/>
      </w:r>
    </w:p>
    <w:p>
      <w:pPr>
        <w:pStyle w:val="BodyText"/>
        <w:spacing w:line="535" w:lineRule="auto"/>
        <w:ind w:right="3854"/>
        <w:jc w:val="left"/>
        <w:rPr>
          <w:rFonts w:ascii="宋体" w:hAnsi="宋体" w:cs="宋体" w:eastAsia="宋体" w:hint="default"/>
        </w:rPr>
      </w:pPr>
      <w:r>
        <w:rPr/>
        <w:t>—财务报告的一般规定》(2014年修订)的规定，编制财务报表。</w:t>
      </w:r>
      <w:r>
        <w:rPr>
          <w:w w:val="99"/>
        </w:rPr>
        <w:t> </w:t>
      </w:r>
      <w:r>
        <w:rPr>
          <w:rFonts w:ascii="宋体" w:hAnsi="宋体" w:cs="宋体" w:eastAsia="宋体" w:hint="default"/>
          <w:b/>
          <w:bCs/>
        </w:rPr>
        <w:t>2、持续经营</w:t>
      </w:r>
      <w:r>
        <w:rPr>
          <w:rFonts w:ascii="宋体" w:hAnsi="宋体" w:cs="宋体" w:eastAsia="宋体" w:hint="default"/>
        </w:rPr>
      </w:r>
    </w:p>
    <w:p>
      <w:pPr>
        <w:pStyle w:val="BodyText"/>
        <w:spacing w:line="273" w:lineRule="auto" w:before="79"/>
        <w:ind w:right="0" w:firstLine="420"/>
        <w:jc w:val="left"/>
      </w:pPr>
      <w:r>
        <w:rPr>
          <w:w w:val="95"/>
        </w:rPr>
        <w:t>本公司对报告期末起12个月的持续经营能力进行了评价，未发现对持续经营能力产生重大怀疑的事项</w:t>
      </w:r>
      <w:r>
        <w:rPr>
          <w:w w:val="99"/>
        </w:rPr>
        <w:t> </w:t>
      </w:r>
      <w:r>
        <w:rPr/>
        <w:t>或情况。因此，本财务报表系在持续经营假设的基础上编制。</w:t>
      </w:r>
    </w:p>
    <w:p>
      <w:pPr>
        <w:spacing w:line="240" w:lineRule="auto" w:before="10"/>
        <w:rPr>
          <w:rFonts w:ascii="宋体" w:hAnsi="宋体" w:cs="宋体" w:eastAsia="宋体" w:hint="default"/>
          <w:sz w:val="21"/>
          <w:szCs w:val="21"/>
        </w:rPr>
      </w:pPr>
    </w:p>
    <w:p>
      <w:pPr>
        <w:pStyle w:val="Heading4"/>
        <w:spacing w:line="240" w:lineRule="auto"/>
        <w:ind w:left="112" w:right="0"/>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707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无</w:t>
      </w:r>
    </w:p>
    <w:p>
      <w:pPr>
        <w:spacing w:line="612" w:lineRule="exact" w:before="21"/>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1、遵循企业会计准则的声明</w:t>
      </w:r>
      <w:r>
        <w:rPr>
          <w:rFonts w:ascii="宋体" w:hAnsi="宋体" w:cs="宋体" w:eastAsia="宋体" w:hint="default"/>
          <w:b/>
          <w:bCs/>
          <w:w w:val="99"/>
          <w:sz w:val="21"/>
          <w:szCs w:val="21"/>
        </w:rPr>
        <w:t> </w:t>
      </w:r>
      <w:r>
        <w:rPr>
          <w:rFonts w:ascii="宋体" w:hAnsi="宋体" w:cs="宋体" w:eastAsia="宋体" w:hint="default"/>
          <w:w w:val="95"/>
          <w:sz w:val="21"/>
          <w:szCs w:val="21"/>
        </w:rPr>
        <w:t>本公司所编制的财务报表符合企业会计准则的要求，真实、完整地反映了报告期公司的财务状况、经</w:t>
      </w:r>
      <w:r>
        <w:rPr>
          <w:rFonts w:ascii="宋体" w:hAnsi="宋体" w:cs="宋体" w:eastAsia="宋体" w:hint="default"/>
          <w:sz w:val="21"/>
          <w:szCs w:val="21"/>
        </w:rPr>
      </w:r>
    </w:p>
    <w:p>
      <w:pPr>
        <w:pStyle w:val="BodyText"/>
        <w:spacing w:line="219" w:lineRule="exact" w:before="0"/>
        <w:ind w:right="0"/>
        <w:jc w:val="left"/>
      </w:pPr>
      <w:r>
        <w:rPr/>
        <w:t>营成果、现金流量等有关信息。</w:t>
      </w:r>
    </w:p>
    <w:p>
      <w:pPr>
        <w:spacing w:line="240" w:lineRule="auto" w:before="10"/>
        <w:rPr>
          <w:rFonts w:ascii="宋体" w:hAnsi="宋体" w:cs="宋体" w:eastAsia="宋体" w:hint="default"/>
          <w:sz w:val="25"/>
          <w:szCs w:val="25"/>
        </w:rPr>
      </w:pPr>
    </w:p>
    <w:p>
      <w:pPr>
        <w:pStyle w:val="Heading6"/>
        <w:spacing w:line="240" w:lineRule="auto"/>
        <w:ind w:left="112" w:right="0"/>
        <w:jc w:val="left"/>
        <w:rPr>
          <w:b w:val="0"/>
          <w:bCs w:val="0"/>
        </w:rPr>
      </w:pPr>
      <w:r>
        <w:rPr/>
        <w:t>2、会计期间</w:t>
      </w:r>
      <w:r>
        <w:rPr>
          <w:b w:val="0"/>
          <w:bCs w:val="0"/>
        </w:rPr>
      </w:r>
    </w:p>
    <w:p>
      <w:pPr>
        <w:spacing w:line="240" w:lineRule="auto" w:before="10"/>
        <w:rPr>
          <w:rFonts w:ascii="宋体" w:hAnsi="宋体" w:cs="宋体" w:eastAsia="宋体" w:hint="default"/>
          <w:b/>
          <w:bCs/>
          <w:sz w:val="25"/>
          <w:szCs w:val="25"/>
        </w:rPr>
      </w:pPr>
    </w:p>
    <w:p>
      <w:pPr>
        <w:pStyle w:val="BodyText"/>
        <w:spacing w:line="537" w:lineRule="auto" w:before="0"/>
        <w:ind w:right="4204" w:firstLine="420"/>
        <w:jc w:val="left"/>
        <w:rPr>
          <w:rFonts w:ascii="宋体" w:hAnsi="宋体" w:cs="宋体" w:eastAsia="宋体" w:hint="default"/>
        </w:rPr>
      </w:pPr>
      <w:r>
        <w:rPr>
          <w:w w:val="95"/>
        </w:rPr>
        <w:t>自公历1月1日至12月31日止为一个会计年度。</w:t>
      </w:r>
      <w:r>
        <w:rPr>
          <w:w w:val="99"/>
        </w:rPr>
        <w:t> </w:t>
      </w:r>
      <w:r>
        <w:rPr>
          <w:rFonts w:ascii="宋体" w:hAnsi="宋体" w:cs="宋体" w:eastAsia="宋体" w:hint="default"/>
          <w:b/>
          <w:bCs/>
        </w:rPr>
        <w:t>3、营业周期</w:t>
      </w:r>
      <w:r>
        <w:rPr>
          <w:rFonts w:ascii="宋体" w:hAnsi="宋体" w:cs="宋体" w:eastAsia="宋体" w:hint="default"/>
        </w:rPr>
      </w:r>
    </w:p>
    <w:p>
      <w:pPr>
        <w:pStyle w:val="BodyText"/>
        <w:spacing w:line="240" w:lineRule="auto" w:before="76"/>
        <w:ind w:right="0"/>
        <w:jc w:val="left"/>
      </w:pPr>
      <w:r>
        <w:rPr/>
        <w:t>12个月</w:t>
      </w:r>
    </w:p>
    <w:p>
      <w:pPr>
        <w:spacing w:line="240" w:lineRule="auto" w:before="12"/>
        <w:rPr>
          <w:rFonts w:ascii="宋体" w:hAnsi="宋体" w:cs="宋体" w:eastAsia="宋体" w:hint="default"/>
          <w:sz w:val="25"/>
          <w:szCs w:val="25"/>
        </w:rPr>
      </w:pPr>
    </w:p>
    <w:p>
      <w:pPr>
        <w:pStyle w:val="Heading6"/>
        <w:spacing w:line="240" w:lineRule="auto"/>
        <w:ind w:left="112" w:right="0"/>
        <w:jc w:val="left"/>
        <w:rPr>
          <w:b w:val="0"/>
          <w:bCs w:val="0"/>
        </w:rPr>
      </w:pPr>
      <w:r>
        <w:rPr/>
        <w:t>4、记账本位币</w:t>
      </w:r>
      <w:r>
        <w:rPr>
          <w:b w:val="0"/>
          <w:bCs w:val="0"/>
        </w:rPr>
      </w:r>
    </w:p>
    <w:p>
      <w:pPr>
        <w:spacing w:line="240" w:lineRule="auto" w:before="10"/>
        <w:rPr>
          <w:rFonts w:ascii="宋体" w:hAnsi="宋体" w:cs="宋体" w:eastAsia="宋体" w:hint="default"/>
          <w:b/>
          <w:bCs/>
          <w:sz w:val="25"/>
          <w:szCs w:val="25"/>
        </w:rPr>
      </w:pPr>
    </w:p>
    <w:p>
      <w:pPr>
        <w:spacing w:line="535" w:lineRule="auto" w:before="0"/>
        <w:ind w:left="112" w:right="2753" w:firstLine="420"/>
        <w:jc w:val="left"/>
        <w:rPr>
          <w:rFonts w:ascii="宋体" w:hAnsi="宋体" w:cs="宋体" w:eastAsia="宋体" w:hint="default"/>
          <w:sz w:val="21"/>
          <w:szCs w:val="21"/>
        </w:rPr>
      </w:pPr>
      <w:r>
        <w:rPr>
          <w:rFonts w:ascii="宋体" w:hAnsi="宋体" w:cs="宋体" w:eastAsia="宋体" w:hint="default"/>
          <w:sz w:val="21"/>
          <w:szCs w:val="21"/>
        </w:rPr>
        <w:t>采用人民币为记账本位币。</w:t>
      </w:r>
      <w:r>
        <w:rPr>
          <w:rFonts w:ascii="宋体" w:hAnsi="宋体" w:cs="宋体" w:eastAsia="宋体" w:hint="default"/>
          <w:w w:val="99"/>
          <w:sz w:val="21"/>
          <w:szCs w:val="21"/>
        </w:rPr>
        <w:t> </w:t>
      </w:r>
      <w:r>
        <w:rPr>
          <w:rFonts w:ascii="宋体" w:hAnsi="宋体" w:cs="宋体" w:eastAsia="宋体" w:hint="default"/>
          <w:b/>
          <w:bCs/>
          <w:w w:val="95"/>
          <w:sz w:val="21"/>
          <w:szCs w:val="21"/>
        </w:rPr>
        <w:t>5、同一控制下和非同一控制下企业合并的会计处理方法</w:t>
      </w:r>
      <w:r>
        <w:rPr>
          <w:rFonts w:ascii="宋体" w:hAnsi="宋体" w:cs="宋体" w:eastAsia="宋体" w:hint="default"/>
          <w:sz w:val="21"/>
          <w:szCs w:val="21"/>
        </w:rPr>
      </w:r>
    </w:p>
    <w:p>
      <w:pPr>
        <w:pStyle w:val="Heading6"/>
        <w:spacing w:line="273" w:lineRule="auto" w:before="79"/>
        <w:ind w:left="112" w:right="0"/>
        <w:jc w:val="left"/>
        <w:rPr>
          <w:b w:val="0"/>
          <w:bCs w:val="0"/>
        </w:rPr>
      </w:pPr>
      <w:r>
        <w:rPr>
          <w:w w:val="95"/>
        </w:rPr>
        <w:t>（1）分步实现企业合并过程中的各项交易的条款、条件以及经济影响符合以下一种或多种情况，将多次</w:t>
      </w:r>
      <w:r>
        <w:rPr>
          <w:spacing w:val="61"/>
          <w:w w:val="95"/>
        </w:rPr>
        <w:t> </w:t>
      </w:r>
      <w:r>
        <w:rPr>
          <w:spacing w:val="61"/>
          <w:w w:val="95"/>
        </w:rPr>
      </w:r>
      <w:r>
        <w:rPr/>
        <w:t>交易事项作为一揽子交易进行会计处理</w:t>
      </w:r>
      <w:r>
        <w:rPr>
          <w:b w:val="0"/>
          <w:bCs w:val="0"/>
        </w:rPr>
      </w:r>
    </w:p>
    <w:p>
      <w:pPr>
        <w:pStyle w:val="BodyText"/>
        <w:spacing w:line="240" w:lineRule="auto"/>
        <w:ind w:left="849" w:right="0"/>
        <w:jc w:val="left"/>
      </w:pPr>
      <w:r>
        <w:rPr/>
        <w:t>1）这些交易是同时或者在考虑了彼此影响的情况下订立的；</w:t>
      </w:r>
    </w:p>
    <w:p>
      <w:pPr>
        <w:pStyle w:val="BodyText"/>
        <w:spacing w:line="240" w:lineRule="auto" w:before="37"/>
        <w:ind w:left="849" w:right="0"/>
        <w:jc w:val="left"/>
      </w:pPr>
      <w:r>
        <w:rPr/>
        <w:t>2）这些交易整体才能达成一项完整的商业结果；</w:t>
      </w:r>
    </w:p>
    <w:p>
      <w:pPr>
        <w:pStyle w:val="BodyText"/>
        <w:spacing w:line="240" w:lineRule="auto" w:before="37"/>
        <w:ind w:left="849" w:right="0"/>
        <w:jc w:val="left"/>
      </w:pPr>
      <w:r>
        <w:rPr/>
        <w:t>3）一项交易的发生取决于其他至少一项交易的发生；</w:t>
      </w:r>
    </w:p>
    <w:p>
      <w:pPr>
        <w:spacing w:after="0" w:line="240" w:lineRule="auto"/>
        <w:jc w:val="left"/>
        <w:sectPr>
          <w:footerReference w:type="default" r:id="rId24"/>
          <w:pgSz w:w="11910" w:h="16840"/>
          <w:pgMar w:footer="978" w:header="746" w:top="1040" w:bottom="1160" w:left="1020" w:right="1020"/>
          <w:pgNumType w:start="80"/>
        </w:sectPr>
      </w:pPr>
    </w:p>
    <w:p>
      <w:pPr>
        <w:spacing w:line="240" w:lineRule="auto" w:before="6"/>
        <w:rPr>
          <w:rFonts w:ascii="宋体" w:hAnsi="宋体" w:cs="宋体" w:eastAsia="宋体" w:hint="default"/>
          <w:sz w:val="25"/>
          <w:szCs w:val="25"/>
        </w:rPr>
      </w:pPr>
    </w:p>
    <w:p>
      <w:pPr>
        <w:pStyle w:val="BodyText"/>
        <w:spacing w:line="240" w:lineRule="auto" w:before="34"/>
        <w:ind w:left="849" w:right="104"/>
        <w:jc w:val="left"/>
      </w:pPr>
      <w:r>
        <w:rPr/>
        <w:t>4）一项交易单独看是不经济的，但是和其他交易一并考虑时是经济的。</w:t>
      </w:r>
    </w:p>
    <w:p>
      <w:pPr>
        <w:spacing w:line="273" w:lineRule="auto" w:before="37"/>
        <w:ind w:left="532" w:right="104" w:hanging="420"/>
        <w:jc w:val="left"/>
        <w:rPr>
          <w:rFonts w:ascii="宋体" w:hAnsi="宋体" w:cs="宋体" w:eastAsia="宋体" w:hint="default"/>
          <w:sz w:val="21"/>
          <w:szCs w:val="21"/>
        </w:rPr>
      </w:pPr>
      <w:r>
        <w:rPr>
          <w:rFonts w:ascii="宋体" w:hAnsi="宋体" w:cs="宋体" w:eastAsia="宋体" w:hint="default"/>
          <w:b/>
          <w:bCs/>
          <w:sz w:val="21"/>
          <w:szCs w:val="21"/>
        </w:rPr>
        <w:t>（2）同一控制下的企业合并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本公司在企业合并中取得的资产和负债，按照合并日在被合并方资产、负债（包括最终控制方收购被</w:t>
      </w:r>
      <w:r>
        <w:rPr>
          <w:rFonts w:ascii="宋体" w:hAnsi="宋体" w:cs="宋体" w:eastAsia="宋体" w:hint="default"/>
          <w:sz w:val="21"/>
          <w:szCs w:val="21"/>
        </w:rPr>
      </w:r>
    </w:p>
    <w:p>
      <w:pPr>
        <w:pStyle w:val="BodyText"/>
        <w:spacing w:line="273" w:lineRule="auto"/>
        <w:ind w:right="132"/>
        <w:jc w:val="both"/>
      </w:pPr>
      <w:r>
        <w:rPr>
          <w:w w:val="95"/>
        </w:rPr>
        <w:t>合并方而形成的商誉）在最终控制方合并财务报表中的账面价值计量。在合并中取得的净资产账面价值与</w:t>
      </w:r>
      <w:r>
        <w:rPr>
          <w:spacing w:val="40"/>
          <w:w w:val="95"/>
        </w:rPr>
        <w:t> </w:t>
      </w:r>
      <w:r>
        <w:rPr>
          <w:spacing w:val="40"/>
          <w:w w:val="95"/>
        </w:rPr>
      </w:r>
      <w:r>
        <w:rPr>
          <w:w w:val="95"/>
        </w:rPr>
        <w:t>支付的合并对价账面价值（或发行股份面值总额）的差额，调整资本公积中的股本溢价，资本公积中的股</w:t>
      </w:r>
      <w:r>
        <w:rPr>
          <w:spacing w:val="39"/>
          <w:w w:val="95"/>
        </w:rPr>
        <w:t> </w:t>
      </w:r>
      <w:r>
        <w:rPr>
          <w:spacing w:val="39"/>
          <w:w w:val="95"/>
        </w:rPr>
      </w:r>
      <w:r>
        <w:rPr/>
        <w:t>本溢价不足冲减的，调整留存收益。</w:t>
      </w:r>
    </w:p>
    <w:p>
      <w:pPr>
        <w:pStyle w:val="BodyText"/>
        <w:spacing w:line="273" w:lineRule="auto"/>
        <w:ind w:right="132" w:firstLine="420"/>
        <w:jc w:val="both"/>
      </w:pPr>
      <w:r>
        <w:rPr>
          <w:w w:val="95"/>
        </w:rPr>
        <w:t>如果存在或有对价并需要确认预计负债或资产，该预计负债或资产金额与后续或有对价结算金额的差</w:t>
      </w:r>
      <w:r>
        <w:rPr>
          <w:w w:val="99"/>
        </w:rPr>
        <w:t> </w:t>
      </w:r>
      <w:r>
        <w:rPr/>
        <w:t>额，调整资本公积（资本溢价或股本溢价），资本公积不足的，调整留存收益。</w:t>
      </w:r>
    </w:p>
    <w:p>
      <w:pPr>
        <w:pStyle w:val="BodyText"/>
        <w:spacing w:line="273" w:lineRule="auto"/>
        <w:ind w:right="112" w:firstLine="420"/>
        <w:jc w:val="both"/>
      </w:pPr>
      <w:r>
        <w:rPr>
          <w:w w:val="95"/>
        </w:rPr>
        <w:t>对于通过多次交易最终实现企业合并的，属于一揽子交易的，将各项交易作为一项取得控制权的交易</w:t>
      </w:r>
      <w:r>
        <w:rPr>
          <w:w w:val="99"/>
        </w:rPr>
        <w:t> </w:t>
      </w:r>
      <w:r>
        <w:rPr>
          <w:w w:val="95"/>
        </w:rPr>
        <w:t>进行会计处理；不属于一揽子交易的，在取得控制权日，长期股权投资初始投资成本，与达到合并前的长</w:t>
      </w:r>
      <w:r>
        <w:rPr>
          <w:spacing w:val="39"/>
          <w:w w:val="95"/>
        </w:rPr>
        <w:t> </w:t>
      </w:r>
      <w:r>
        <w:rPr>
          <w:spacing w:val="39"/>
          <w:w w:val="95"/>
        </w:rPr>
      </w:r>
      <w:r>
        <w:rPr>
          <w:w w:val="95"/>
        </w:rPr>
        <w:t>期股权投资账面价值加上合并日进一步取得股份新支付对价的账面价值之和的差额，调整资本公积；资本</w:t>
      </w:r>
      <w:r>
        <w:rPr>
          <w:spacing w:val="37"/>
          <w:w w:val="95"/>
        </w:rPr>
        <w:t> </w:t>
      </w:r>
      <w:r>
        <w:rPr>
          <w:spacing w:val="37"/>
          <w:w w:val="95"/>
        </w:rPr>
      </w:r>
      <w:r>
        <w:rPr>
          <w:w w:val="95"/>
        </w:rPr>
        <w:t>公积不足冲减的，调整留存收益。对于合并日之前持有的股权投资，因采用权益法核算或金融工具确认和</w:t>
      </w:r>
      <w:r>
        <w:rPr>
          <w:spacing w:val="37"/>
          <w:w w:val="95"/>
        </w:rPr>
        <w:t> </w:t>
      </w:r>
      <w:r>
        <w:rPr>
          <w:spacing w:val="37"/>
          <w:w w:val="95"/>
        </w:rPr>
      </w:r>
      <w:r>
        <w:rPr>
          <w:w w:val="95"/>
        </w:rPr>
        <w:t>计量准则核算而确认的其他综合收益，暂不进行会计处理，直至处置该项投资时采用与被投资单位直接处</w:t>
      </w:r>
      <w:r>
        <w:rPr>
          <w:spacing w:val="37"/>
          <w:w w:val="95"/>
        </w:rPr>
        <w:t> </w:t>
      </w:r>
      <w:r>
        <w:rPr>
          <w:spacing w:val="37"/>
          <w:w w:val="95"/>
        </w:rPr>
      </w:r>
      <w:r>
        <w:rPr>
          <w:w w:val="95"/>
        </w:rPr>
        <w:t>置相关资产或负债相同的基础进行会计处理；因采用权益法核算而确认的被投资单位净资产中除净损益、</w:t>
      </w:r>
      <w:r>
        <w:rPr>
          <w:spacing w:val="61"/>
          <w:w w:val="95"/>
        </w:rPr>
        <w:t> </w:t>
      </w:r>
      <w:r>
        <w:rPr>
          <w:spacing w:val="61"/>
          <w:w w:val="95"/>
        </w:rPr>
      </w:r>
      <w:r>
        <w:rPr>
          <w:w w:val="95"/>
        </w:rPr>
        <w:t>其他综合收益和利润分配以外的所有者权益其他变动，暂不进行会计处理，直至处置该项投资时转入当期  </w:t>
      </w:r>
      <w:r>
        <w:rPr>
          <w:spacing w:val="40"/>
          <w:w w:val="95"/>
        </w:rPr>
        <w:t> </w:t>
      </w:r>
      <w:r>
        <w:rPr>
          <w:spacing w:val="40"/>
          <w:w w:val="95"/>
        </w:rPr>
      </w:r>
      <w:r>
        <w:rPr/>
        <w:t>损益。</w:t>
      </w:r>
    </w:p>
    <w:p>
      <w:pPr>
        <w:spacing w:line="273" w:lineRule="auto" w:before="7"/>
        <w:ind w:left="532" w:right="104" w:hanging="420"/>
        <w:jc w:val="left"/>
        <w:rPr>
          <w:rFonts w:ascii="宋体" w:hAnsi="宋体" w:cs="宋体" w:eastAsia="宋体" w:hint="default"/>
          <w:sz w:val="21"/>
          <w:szCs w:val="21"/>
        </w:rPr>
      </w:pPr>
      <w:r>
        <w:rPr>
          <w:rFonts w:ascii="宋体" w:hAnsi="宋体" w:cs="宋体" w:eastAsia="宋体" w:hint="default"/>
          <w:b/>
          <w:bCs/>
          <w:sz w:val="21"/>
          <w:szCs w:val="21"/>
        </w:rPr>
        <w:t>（3）非同一控制下的企业合并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本公司在购买日对作为企业合并对价付出的资产、发生或承担的负债按照公允价值计量，公允价值与</w:t>
      </w:r>
      <w:r>
        <w:rPr>
          <w:rFonts w:ascii="宋体" w:hAnsi="宋体" w:cs="宋体" w:eastAsia="宋体" w:hint="default"/>
          <w:sz w:val="21"/>
          <w:szCs w:val="21"/>
        </w:rPr>
      </w:r>
    </w:p>
    <w:p>
      <w:pPr>
        <w:pStyle w:val="BodyText"/>
        <w:spacing w:line="273" w:lineRule="auto"/>
        <w:ind w:left="532" w:right="104" w:hanging="420"/>
        <w:jc w:val="left"/>
      </w:pPr>
      <w:r>
        <w:rPr/>
        <w:t>其账面价值的差额，计入当期损益。</w:t>
      </w:r>
      <w:r>
        <w:rPr>
          <w:w w:val="99"/>
        </w:rPr>
        <w:t> </w:t>
      </w:r>
      <w:r>
        <w:rPr>
          <w:w w:val="95"/>
        </w:rPr>
        <w:t>本公司对合并成本大于合并中取得的被购买方可辨认净资产公允价值份额的差额，确认为商誉；合并</w:t>
      </w:r>
      <w:r>
        <w:rPr/>
      </w:r>
    </w:p>
    <w:p>
      <w:pPr>
        <w:pStyle w:val="BodyText"/>
        <w:spacing w:line="273" w:lineRule="auto"/>
        <w:ind w:left="532" w:right="104" w:hanging="420"/>
        <w:jc w:val="left"/>
      </w:pPr>
      <w:r>
        <w:rPr/>
        <w:t>成本小于合并中取得的被购买方可辨认净资产公允价值份额的差额，经复核后，计入当期损益。</w:t>
      </w:r>
      <w:r>
        <w:rPr>
          <w:w w:val="99"/>
        </w:rPr>
        <w:t> </w:t>
      </w:r>
      <w:r>
        <w:rPr>
          <w:w w:val="95"/>
        </w:rPr>
        <w:t>通过多次交换交易分步实现的非同一控制下企业合并，属于一揽子交易的，将各项交易作为一项取得</w:t>
      </w:r>
      <w:r>
        <w:rPr/>
      </w:r>
    </w:p>
    <w:p>
      <w:pPr>
        <w:pStyle w:val="BodyText"/>
        <w:spacing w:line="273" w:lineRule="auto"/>
        <w:ind w:right="104"/>
        <w:jc w:val="left"/>
      </w:pPr>
      <w:r>
        <w:rPr>
          <w:w w:val="95"/>
        </w:rPr>
        <w:t>控制权的交易进行会计处理；不属于一揽子交易的，合并日之前持有的股权投资采用权益法核算的，以购</w:t>
      </w:r>
      <w:r>
        <w:rPr>
          <w:spacing w:val="37"/>
          <w:w w:val="95"/>
        </w:rPr>
        <w:t> </w:t>
      </w:r>
      <w:r>
        <w:rPr>
          <w:spacing w:val="37"/>
          <w:w w:val="95"/>
        </w:rPr>
      </w:r>
      <w:r>
        <w:rPr/>
        <w:t>买日之前所持被购买方的股权投资的账面价值与购买日新增投资成本之和，作为该项投资的初始投资成</w:t>
      </w:r>
      <w:r>
        <w:rPr>
          <w:w w:val="99"/>
        </w:rPr>
        <w:t> </w:t>
      </w:r>
      <w:r>
        <w:rPr>
          <w:w w:val="95"/>
        </w:rPr>
        <w:t>本；购买日之前持有的股权投资因采用权益法核算而确认的其他综合收益，在处置该项投资时采用与被投</w:t>
      </w:r>
      <w:r>
        <w:rPr>
          <w:spacing w:val="40"/>
          <w:w w:val="95"/>
        </w:rPr>
        <w:t> </w:t>
      </w:r>
      <w:r>
        <w:rPr>
          <w:spacing w:val="40"/>
          <w:w w:val="95"/>
        </w:rPr>
      </w:r>
      <w:r>
        <w:rPr>
          <w:w w:val="95"/>
        </w:rPr>
        <w:t>资单位直接处置相关资产或负债相同的基础进行会计处理。合并日之前持有的股权投资采用金融工具确认</w:t>
      </w:r>
      <w:r>
        <w:rPr>
          <w:spacing w:val="37"/>
          <w:w w:val="95"/>
        </w:rPr>
        <w:t> </w:t>
      </w:r>
      <w:r>
        <w:rPr>
          <w:spacing w:val="37"/>
          <w:w w:val="95"/>
        </w:rPr>
      </w:r>
      <w:r>
        <w:rPr>
          <w:w w:val="95"/>
        </w:rPr>
        <w:t>和计量准则核算的，以该股权投资在合并日的公允价值加上新增投资成本之和，作为合并日的初始投资成</w:t>
      </w:r>
      <w:r>
        <w:rPr>
          <w:spacing w:val="40"/>
          <w:w w:val="95"/>
        </w:rPr>
        <w:t> </w:t>
      </w:r>
      <w:r>
        <w:rPr>
          <w:spacing w:val="40"/>
          <w:w w:val="95"/>
        </w:rPr>
      </w:r>
      <w:r>
        <w:rPr>
          <w:w w:val="95"/>
        </w:rPr>
        <w:t>本。原持有股权的公允价值与账面价值之间的差额以及原计入其他综合收益的累计公允价值变动应全部转</w:t>
      </w:r>
      <w:r>
        <w:rPr>
          <w:spacing w:val="37"/>
          <w:w w:val="95"/>
        </w:rPr>
        <w:t> </w:t>
      </w:r>
      <w:r>
        <w:rPr>
          <w:spacing w:val="37"/>
          <w:w w:val="95"/>
        </w:rPr>
      </w:r>
      <w:r>
        <w:rPr/>
        <w:t>入合并日当期的投资收益。</w:t>
      </w:r>
    </w:p>
    <w:p>
      <w:pPr>
        <w:spacing w:line="273" w:lineRule="auto" w:before="7"/>
        <w:ind w:left="532" w:right="104" w:hanging="420"/>
        <w:jc w:val="left"/>
        <w:rPr>
          <w:rFonts w:ascii="宋体" w:hAnsi="宋体" w:cs="宋体" w:eastAsia="宋体" w:hint="default"/>
          <w:sz w:val="21"/>
          <w:szCs w:val="21"/>
        </w:rPr>
      </w:pPr>
      <w:r>
        <w:rPr>
          <w:rFonts w:ascii="宋体" w:hAnsi="宋体" w:cs="宋体" w:eastAsia="宋体" w:hint="default"/>
          <w:b/>
          <w:bCs/>
          <w:sz w:val="21"/>
          <w:szCs w:val="21"/>
        </w:rPr>
        <w:t>（4）为合并发生的相关费用</w:t>
      </w:r>
      <w:r>
        <w:rPr>
          <w:rFonts w:ascii="宋体" w:hAnsi="宋体" w:cs="宋体" w:eastAsia="宋体" w:hint="default"/>
          <w:b/>
          <w:bCs/>
          <w:w w:val="99"/>
          <w:sz w:val="21"/>
          <w:szCs w:val="21"/>
        </w:rPr>
        <w:t> </w:t>
      </w:r>
      <w:r>
        <w:rPr>
          <w:rFonts w:ascii="宋体" w:hAnsi="宋体" w:cs="宋体" w:eastAsia="宋体" w:hint="default"/>
          <w:w w:val="95"/>
          <w:sz w:val="21"/>
          <w:szCs w:val="21"/>
        </w:rPr>
        <w:t>为企业合并发生的审计、法律服务、评估咨询等中介费用以及其他直接相关费用，于发生时计入当期</w:t>
      </w:r>
      <w:r>
        <w:rPr>
          <w:rFonts w:ascii="宋体" w:hAnsi="宋体" w:cs="宋体" w:eastAsia="宋体" w:hint="default"/>
          <w:sz w:val="21"/>
          <w:szCs w:val="21"/>
        </w:rPr>
      </w:r>
    </w:p>
    <w:p>
      <w:pPr>
        <w:spacing w:line="535" w:lineRule="auto" w:before="7"/>
        <w:ind w:left="112" w:right="104" w:firstLine="0"/>
        <w:jc w:val="left"/>
        <w:rPr>
          <w:rFonts w:ascii="宋体" w:hAnsi="宋体" w:cs="宋体" w:eastAsia="宋体" w:hint="default"/>
          <w:sz w:val="21"/>
          <w:szCs w:val="21"/>
        </w:rPr>
      </w:pPr>
      <w:r>
        <w:rPr>
          <w:rFonts w:ascii="宋体" w:hAnsi="宋体" w:cs="宋体" w:eastAsia="宋体" w:hint="default"/>
          <w:w w:val="95"/>
          <w:sz w:val="21"/>
          <w:szCs w:val="21"/>
        </w:rPr>
        <w:t>损益；为企业合并而发行权益性证券的交易费用，可直接归属于权益性交易的从权益中扣减。</w:t>
      </w:r>
      <w:r>
        <w:rPr>
          <w:rFonts w:ascii="宋体" w:hAnsi="宋体" w:cs="宋体" w:eastAsia="宋体" w:hint="default"/>
          <w:spacing w:val="10"/>
          <w:w w:val="95"/>
          <w:sz w:val="21"/>
          <w:szCs w:val="21"/>
        </w:rPr>
        <w:t> </w:t>
      </w:r>
      <w:r>
        <w:rPr>
          <w:rFonts w:ascii="宋体" w:hAnsi="宋体" w:cs="宋体" w:eastAsia="宋体" w:hint="default"/>
          <w:spacing w:val="10"/>
          <w:w w:val="95"/>
          <w:sz w:val="21"/>
          <w:szCs w:val="21"/>
        </w:rPr>
      </w:r>
      <w:r>
        <w:rPr>
          <w:rFonts w:ascii="宋体" w:hAnsi="宋体" w:cs="宋体" w:eastAsia="宋体" w:hint="default"/>
          <w:b/>
          <w:bCs/>
          <w:sz w:val="21"/>
          <w:szCs w:val="21"/>
        </w:rPr>
        <w:t>6、合并财务报表的编制方法</w:t>
      </w:r>
      <w:r>
        <w:rPr>
          <w:rFonts w:ascii="宋体" w:hAnsi="宋体" w:cs="宋体" w:eastAsia="宋体" w:hint="default"/>
          <w:sz w:val="21"/>
          <w:szCs w:val="21"/>
        </w:rPr>
      </w:r>
    </w:p>
    <w:p>
      <w:pPr>
        <w:pStyle w:val="Heading6"/>
        <w:spacing w:line="240" w:lineRule="auto" w:before="79"/>
        <w:ind w:left="112" w:right="104"/>
        <w:jc w:val="left"/>
        <w:rPr>
          <w:b w:val="0"/>
          <w:bCs w:val="0"/>
        </w:rPr>
      </w:pPr>
      <w:r>
        <w:rPr/>
        <w:t>（1）合并范围</w:t>
      </w:r>
      <w:r>
        <w:rPr>
          <w:b w:val="0"/>
          <w:bCs w:val="0"/>
        </w:rPr>
      </w:r>
    </w:p>
    <w:p>
      <w:pPr>
        <w:pStyle w:val="BodyText"/>
        <w:spacing w:line="273" w:lineRule="auto" w:before="37"/>
        <w:ind w:right="132" w:firstLine="420"/>
        <w:jc w:val="both"/>
      </w:pPr>
      <w:r>
        <w:rPr>
          <w:w w:val="95"/>
        </w:rPr>
        <w:t>本公司合并财务报表的合并范围以控制为基础确定，所有子公司（包括本公司所控制的单独主体）均</w:t>
      </w:r>
      <w:r>
        <w:rPr>
          <w:w w:val="99"/>
        </w:rPr>
        <w:t> </w:t>
      </w:r>
      <w:r>
        <w:rPr/>
        <w:t>纳入合并财务报表。</w:t>
      </w:r>
    </w:p>
    <w:p>
      <w:pPr>
        <w:pStyle w:val="Heading6"/>
        <w:spacing w:line="240" w:lineRule="auto" w:before="7"/>
        <w:ind w:left="112" w:right="104"/>
        <w:jc w:val="left"/>
        <w:rPr>
          <w:b w:val="0"/>
          <w:bCs w:val="0"/>
        </w:rPr>
      </w:pPr>
      <w:r>
        <w:rPr/>
        <w:t>（2）合并程序</w:t>
      </w:r>
      <w:r>
        <w:rPr>
          <w:b w:val="0"/>
          <w:bCs w:val="0"/>
        </w:rPr>
      </w:r>
    </w:p>
    <w:p>
      <w:pPr>
        <w:pStyle w:val="BodyText"/>
        <w:spacing w:line="273" w:lineRule="auto" w:before="37"/>
        <w:ind w:right="135" w:firstLine="420"/>
        <w:jc w:val="both"/>
      </w:pPr>
      <w:r>
        <w:rPr>
          <w:w w:val="95"/>
        </w:rPr>
        <w:t>本公司以自身和各子公司的财务报表为基础，根据其他有关资料，编制合并财务报表。本公司编制合</w:t>
      </w:r>
      <w:r>
        <w:rPr>
          <w:w w:val="99"/>
        </w:rPr>
        <w:t> </w:t>
      </w:r>
      <w:r>
        <w:rPr>
          <w:w w:val="95"/>
        </w:rPr>
        <w:t>并财务报表，将整个企业集团视为一个会计主体，依据相关企业会计准则的确认、计量和列报要求，按照</w:t>
      </w:r>
      <w:r>
        <w:rPr>
          <w:spacing w:val="38"/>
          <w:w w:val="95"/>
        </w:rPr>
        <w:t> </w:t>
      </w:r>
      <w:r>
        <w:rPr>
          <w:spacing w:val="38"/>
          <w:w w:val="95"/>
        </w:rPr>
      </w:r>
      <w:r>
        <w:rPr/>
        <w:t>统一的会计政策，反映本企业集团整体财务状况、经营成果和现金流量。</w:t>
      </w:r>
    </w:p>
    <w:p>
      <w:pPr>
        <w:pStyle w:val="BodyText"/>
        <w:spacing w:line="273" w:lineRule="auto"/>
        <w:ind w:right="135" w:firstLine="420"/>
        <w:jc w:val="both"/>
      </w:pPr>
      <w:r>
        <w:rPr>
          <w:w w:val="95"/>
        </w:rPr>
        <w:t>所有纳入合并财务报表合并范围的子公司所采用的会计政策、会计期间与本公司一致，如子公司采用</w:t>
      </w:r>
      <w:r>
        <w:rPr>
          <w:w w:val="99"/>
        </w:rPr>
        <w:t> </w:t>
      </w:r>
      <w:r>
        <w:rPr>
          <w:w w:val="95"/>
        </w:rPr>
        <w:t>的会计政策、会计期间与本公司不一致的，在编制合并财务报表时，按本公司的会计政策、会计期间进行</w:t>
      </w:r>
      <w:r>
        <w:rPr/>
      </w:r>
    </w:p>
    <w:p>
      <w:pPr>
        <w:spacing w:after="0" w:line="273" w:lineRule="auto"/>
        <w:jc w:val="both"/>
        <w:sectPr>
          <w:pgSz w:w="11910" w:h="16840"/>
          <w:pgMar w:header="746" w:footer="978" w:top="1040" w:bottom="1160" w:left="1020" w:right="1000"/>
        </w:sectPr>
      </w:pPr>
    </w:p>
    <w:p>
      <w:pPr>
        <w:spacing w:line="240" w:lineRule="auto" w:before="6"/>
        <w:rPr>
          <w:rFonts w:ascii="宋体" w:hAnsi="宋体" w:cs="宋体" w:eastAsia="宋体" w:hint="default"/>
          <w:sz w:val="25"/>
          <w:szCs w:val="25"/>
        </w:rPr>
      </w:pPr>
    </w:p>
    <w:p>
      <w:pPr>
        <w:pStyle w:val="BodyText"/>
        <w:spacing w:line="240" w:lineRule="auto" w:before="34"/>
        <w:ind w:right="0"/>
        <w:jc w:val="left"/>
      </w:pPr>
      <w:r>
        <w:rPr/>
        <w:t>必要的调整。</w:t>
      </w:r>
    </w:p>
    <w:p>
      <w:pPr>
        <w:pStyle w:val="BodyText"/>
        <w:spacing w:line="273" w:lineRule="auto" w:before="37"/>
        <w:ind w:right="115" w:firstLine="420"/>
        <w:jc w:val="both"/>
      </w:pPr>
      <w:r>
        <w:rPr>
          <w:w w:val="95"/>
        </w:rPr>
        <w:t>合并财务报表时抵销本公司与各子公司、各子公司相互之间发生的内部交易对合并资产负债表、合并</w:t>
      </w:r>
      <w:r>
        <w:rPr>
          <w:w w:val="99"/>
        </w:rPr>
        <w:t> </w:t>
      </w:r>
      <w:r>
        <w:rPr>
          <w:w w:val="95"/>
        </w:rPr>
        <w:t>利润表、合并现金流量表、合并股东权益变动表的影响。如果站在企业集团合并财务报表角度与以本公司</w:t>
      </w:r>
      <w:r>
        <w:rPr>
          <w:spacing w:val="37"/>
          <w:w w:val="95"/>
        </w:rPr>
        <w:t> </w:t>
      </w:r>
      <w:r>
        <w:rPr>
          <w:spacing w:val="37"/>
          <w:w w:val="95"/>
        </w:rPr>
      </w:r>
      <w:r>
        <w:rPr/>
        <w:t>或子公司为会计主体对同一交易的认定不同时，从企业集团的角度对该交易予以调整。</w:t>
      </w:r>
    </w:p>
    <w:p>
      <w:pPr>
        <w:pStyle w:val="BodyText"/>
        <w:spacing w:line="273" w:lineRule="auto"/>
        <w:ind w:right="112" w:firstLine="420"/>
        <w:jc w:val="both"/>
      </w:pPr>
      <w:r>
        <w:rPr>
          <w:w w:val="95"/>
        </w:rPr>
        <w:t>子公司所有者权益、当期净损益和当期综合收益中属于少数股东的份额分别在合并资产负债表中所有</w:t>
      </w:r>
      <w:r>
        <w:rPr>
          <w:w w:val="99"/>
        </w:rPr>
        <w:t> </w:t>
      </w:r>
      <w:r>
        <w:rPr>
          <w:w w:val="95"/>
        </w:rPr>
        <w:t>者权益项目下、合并利润表中净利润项目下和综合收益总额项目下单独列示。子公司少数股东分担的当期</w:t>
      </w:r>
      <w:r>
        <w:rPr>
          <w:spacing w:val="37"/>
          <w:w w:val="95"/>
        </w:rPr>
        <w:t> </w:t>
      </w:r>
      <w:r>
        <w:rPr>
          <w:spacing w:val="37"/>
          <w:w w:val="95"/>
        </w:rPr>
      </w:r>
      <w:r>
        <w:rPr/>
        <w:t>亏损超过了少数股东在该子公司期初所有者权益中所享有份额而形成的余额，冲减少数股东权益。</w:t>
      </w:r>
    </w:p>
    <w:p>
      <w:pPr>
        <w:pStyle w:val="BodyText"/>
        <w:spacing w:line="273" w:lineRule="auto"/>
        <w:ind w:right="115" w:firstLine="420"/>
        <w:jc w:val="both"/>
      </w:pPr>
      <w:r>
        <w:rPr>
          <w:w w:val="95"/>
        </w:rPr>
        <w:t>对于同一控制下企业合并取得的子公司，以其资产、负债（包括最终控制方收购该子公司而形成的商</w:t>
      </w:r>
      <w:r>
        <w:rPr>
          <w:w w:val="99"/>
        </w:rPr>
        <w:t> </w:t>
      </w:r>
      <w:r>
        <w:rPr/>
        <w:t>誉）在最终控制方财务报表中的账面价值为基础对其财务报表进行调整。</w:t>
      </w:r>
    </w:p>
    <w:p>
      <w:pPr>
        <w:pStyle w:val="BodyText"/>
        <w:spacing w:line="240" w:lineRule="auto"/>
        <w:ind w:left="532" w:right="0"/>
        <w:jc w:val="left"/>
      </w:pPr>
      <w:r>
        <w:rPr/>
        <w:t>对于非同一控制下企业合并取得的子公司，以购买日可辨认净资产公允价值为基础对其财务报表进行</w:t>
      </w:r>
    </w:p>
    <w:p>
      <w:pPr>
        <w:pStyle w:val="BodyText"/>
        <w:spacing w:line="240" w:lineRule="auto" w:before="37"/>
        <w:ind w:right="0"/>
        <w:jc w:val="left"/>
      </w:pPr>
      <w:r>
        <w:rPr/>
        <w:t>调整</w:t>
      </w:r>
    </w:p>
    <w:p>
      <w:pPr>
        <w:pStyle w:val="BodyText"/>
        <w:spacing w:line="273" w:lineRule="auto" w:before="37"/>
        <w:ind w:left="532" w:right="0"/>
        <w:jc w:val="left"/>
      </w:pPr>
      <w:r>
        <w:rPr/>
        <w:t>1）增加子公司或业务</w:t>
      </w:r>
      <w:r>
        <w:rPr>
          <w:w w:val="99"/>
        </w:rPr>
        <w:t> </w:t>
      </w:r>
      <w:r>
        <w:rPr>
          <w:w w:val="95"/>
        </w:rPr>
        <w:t>在报告期内，若因同一控制下企业合并增加子公司或业务的，则调整合并资产负债表的期初数；将子</w:t>
      </w:r>
      <w:r>
        <w:rPr/>
      </w:r>
    </w:p>
    <w:p>
      <w:pPr>
        <w:pStyle w:val="BodyText"/>
        <w:spacing w:line="273" w:lineRule="auto"/>
        <w:ind w:right="112"/>
        <w:jc w:val="both"/>
      </w:pPr>
      <w:r>
        <w:rPr>
          <w:w w:val="95"/>
        </w:rPr>
        <w:t>公司或业务合并当期期初至报告期末的收入、费用、利润纳入合并利润表；将子公司或业务合并当期期初</w:t>
      </w:r>
      <w:r>
        <w:rPr>
          <w:spacing w:val="37"/>
          <w:w w:val="95"/>
        </w:rPr>
        <w:t> </w:t>
      </w:r>
      <w:r>
        <w:rPr>
          <w:spacing w:val="37"/>
          <w:w w:val="95"/>
        </w:rPr>
      </w:r>
      <w:r>
        <w:rPr>
          <w:w w:val="95"/>
        </w:rPr>
        <w:t>至报告期末的现金流量纳入合并现金流量表，同时对比较报表的相关项目进行调整，视同合并后的报告主</w:t>
      </w:r>
      <w:r>
        <w:rPr>
          <w:spacing w:val="40"/>
          <w:w w:val="95"/>
        </w:rPr>
        <w:t> </w:t>
      </w:r>
      <w:r>
        <w:rPr>
          <w:spacing w:val="40"/>
          <w:w w:val="95"/>
        </w:rPr>
      </w:r>
      <w:r>
        <w:rPr/>
        <w:t>体自最终控制方开始控制时点起一直存在。</w:t>
      </w:r>
    </w:p>
    <w:p>
      <w:pPr>
        <w:pStyle w:val="BodyText"/>
        <w:spacing w:line="273" w:lineRule="auto"/>
        <w:ind w:right="112" w:firstLine="420"/>
        <w:jc w:val="both"/>
      </w:pPr>
      <w:r>
        <w:rPr>
          <w:w w:val="95"/>
        </w:rPr>
        <w:t>因追加投资等原因能够对同一控制下的被投资方实施控制的，视同参与合并的各方在最终控制方开始</w:t>
      </w:r>
      <w:r>
        <w:rPr>
          <w:w w:val="99"/>
        </w:rPr>
        <w:t> </w:t>
      </w:r>
      <w:r>
        <w:rPr>
          <w:w w:val="95"/>
        </w:rPr>
        <w:t>控制时即以目前的状态存在进行调整。在取得被合并方控制权之前持有的股权投资，在取得原股权之日与</w:t>
      </w:r>
      <w:r>
        <w:rPr>
          <w:spacing w:val="40"/>
          <w:w w:val="95"/>
        </w:rPr>
        <w:t> </w:t>
      </w:r>
      <w:r>
        <w:rPr>
          <w:spacing w:val="40"/>
          <w:w w:val="95"/>
        </w:rPr>
      </w:r>
      <w:r>
        <w:rPr>
          <w:w w:val="95"/>
        </w:rPr>
        <w:t>合并方和被合并方同处于同一控制之日孰晚日起至合并日之间已确认有关损益、其他综合收益以及其他净</w:t>
      </w:r>
      <w:r>
        <w:rPr>
          <w:spacing w:val="39"/>
          <w:w w:val="95"/>
        </w:rPr>
        <w:t> </w:t>
      </w:r>
      <w:r>
        <w:rPr>
          <w:spacing w:val="39"/>
          <w:w w:val="95"/>
        </w:rPr>
      </w:r>
      <w:r>
        <w:rPr/>
        <w:t>资产变动，分别冲减比较报表期间的期初留存收益或当期损益。</w:t>
      </w:r>
    </w:p>
    <w:p>
      <w:pPr>
        <w:pStyle w:val="BodyText"/>
        <w:spacing w:line="273" w:lineRule="auto"/>
        <w:ind w:right="112" w:firstLine="420"/>
        <w:jc w:val="both"/>
      </w:pPr>
      <w:r>
        <w:rPr>
          <w:w w:val="95"/>
        </w:rPr>
        <w:t>在报告期内，若因非同一控制下企业合并增加子公司或业务的，则不调整合并资产负债表期初数；将</w:t>
      </w:r>
      <w:r>
        <w:rPr>
          <w:w w:val="99"/>
        </w:rPr>
        <w:t> </w:t>
      </w:r>
      <w:r>
        <w:rPr>
          <w:w w:val="95"/>
        </w:rPr>
        <w:t>该子公司或业务自购买日至报告期末的收入、费用、利润纳入合并利润表；该子公司或业务自购买日至报</w:t>
      </w:r>
      <w:r>
        <w:rPr>
          <w:spacing w:val="37"/>
          <w:w w:val="95"/>
        </w:rPr>
        <w:t> </w:t>
      </w:r>
      <w:r>
        <w:rPr>
          <w:spacing w:val="37"/>
          <w:w w:val="95"/>
        </w:rPr>
      </w:r>
      <w:r>
        <w:rPr/>
        <w:t>告期末的现金流量纳入合并现金流量表。</w:t>
      </w:r>
    </w:p>
    <w:p>
      <w:pPr>
        <w:pStyle w:val="BodyText"/>
        <w:spacing w:line="273" w:lineRule="auto"/>
        <w:ind w:right="112" w:firstLine="420"/>
        <w:jc w:val="both"/>
      </w:pPr>
      <w:r>
        <w:rPr>
          <w:w w:val="95"/>
        </w:rPr>
        <w:t>因追加投资等原因能够对非同一控制下的被投资方实施控制的，对于购买日之前持有的被购买方的股</w:t>
      </w:r>
      <w:r>
        <w:rPr>
          <w:w w:val="99"/>
        </w:rPr>
        <w:t> </w:t>
      </w:r>
      <w:r>
        <w:rPr>
          <w:w w:val="95"/>
        </w:rPr>
        <w:t>权，本公司按照该股权在购买日的公允价值进行重新计量，公允价值与其账面价值的差额计入当期投资收</w:t>
      </w:r>
      <w:r>
        <w:rPr>
          <w:spacing w:val="38"/>
          <w:w w:val="95"/>
        </w:rPr>
        <w:t> </w:t>
      </w:r>
      <w:r>
        <w:rPr>
          <w:spacing w:val="38"/>
          <w:w w:val="95"/>
        </w:rPr>
      </w:r>
      <w:r>
        <w:rPr>
          <w:w w:val="95"/>
        </w:rPr>
        <w:t>益。购买日之前持有的被购买方的股权涉及权益法核算下的其他综合收益以及除净损益、其他综合收益和</w:t>
      </w:r>
      <w:r>
        <w:rPr>
          <w:spacing w:val="40"/>
          <w:w w:val="95"/>
        </w:rPr>
        <w:t> </w:t>
      </w:r>
      <w:r>
        <w:rPr>
          <w:spacing w:val="40"/>
          <w:w w:val="95"/>
        </w:rPr>
      </w:r>
      <w:r>
        <w:rPr>
          <w:w w:val="95"/>
        </w:rPr>
        <w:t>利润分配之外的其他所有者权益变动的，与其相关的其他综合收益、其他所有者权益变动转为购买日所属</w:t>
      </w:r>
      <w:r>
        <w:rPr>
          <w:spacing w:val="37"/>
          <w:w w:val="95"/>
        </w:rPr>
        <w:t> </w:t>
      </w:r>
      <w:r>
        <w:rPr>
          <w:spacing w:val="37"/>
          <w:w w:val="95"/>
        </w:rPr>
      </w:r>
      <w:r>
        <w:rPr/>
        <w:t>当期投资收益，由于被投资方重新计量设定受益计划净负债或净资产变动而产生的其他综合收益除外。</w:t>
      </w:r>
    </w:p>
    <w:p>
      <w:pPr>
        <w:pStyle w:val="BodyText"/>
        <w:spacing w:line="240" w:lineRule="auto"/>
        <w:ind w:left="532" w:right="0"/>
        <w:jc w:val="left"/>
      </w:pPr>
      <w:r>
        <w:rPr/>
        <w:t>2）处置子公司或业务</w:t>
      </w:r>
    </w:p>
    <w:p>
      <w:pPr>
        <w:pStyle w:val="BodyText"/>
        <w:spacing w:line="273" w:lineRule="auto" w:before="37"/>
        <w:ind w:left="532" w:right="0"/>
        <w:jc w:val="left"/>
      </w:pPr>
      <w:r>
        <w:rPr/>
        <w:t>①一般处理方法</w:t>
      </w:r>
      <w:r>
        <w:rPr>
          <w:w w:val="99"/>
        </w:rPr>
        <w:t> </w:t>
      </w:r>
      <w:r>
        <w:rPr>
          <w:w w:val="95"/>
        </w:rPr>
        <w:t>在报告期内，本公司处置子公司或业务，则该子公司或业务期初至处置日的收入、费用、利润纳入合</w:t>
      </w:r>
      <w:r>
        <w:rPr/>
      </w:r>
    </w:p>
    <w:p>
      <w:pPr>
        <w:pStyle w:val="BodyText"/>
        <w:spacing w:line="273" w:lineRule="auto"/>
        <w:ind w:left="532" w:right="0" w:hanging="420"/>
        <w:jc w:val="left"/>
      </w:pPr>
      <w:r>
        <w:rPr/>
        <w:t>并利润表；该子公司或业务期初至处置日的现金流量纳入合并现金流量表。</w:t>
      </w:r>
      <w:r>
        <w:rPr>
          <w:w w:val="99"/>
        </w:rPr>
        <w:t> </w:t>
      </w:r>
      <w:r>
        <w:rPr>
          <w:w w:val="95"/>
        </w:rPr>
        <w:t>因处置部分股权投资或其他原因丧失了对被投资方控制权时，对于处置后的剩余股权投资，本公司按</w:t>
      </w:r>
      <w:r>
        <w:rPr/>
      </w:r>
    </w:p>
    <w:p>
      <w:pPr>
        <w:pStyle w:val="BodyText"/>
        <w:spacing w:line="273" w:lineRule="auto"/>
        <w:ind w:right="115"/>
        <w:jc w:val="both"/>
      </w:pPr>
      <w:r>
        <w:rPr>
          <w:w w:val="95"/>
        </w:rPr>
        <w:t>照其在丧失控制权日的公允价值进行重新计量。处置股权取得的对价与剩余股权公允价值之和，减去按原</w:t>
      </w:r>
      <w:r>
        <w:rPr>
          <w:spacing w:val="37"/>
          <w:w w:val="95"/>
        </w:rPr>
        <w:t> </w:t>
      </w:r>
      <w:r>
        <w:rPr>
          <w:spacing w:val="37"/>
          <w:w w:val="95"/>
        </w:rPr>
      </w:r>
      <w:r>
        <w:rPr>
          <w:w w:val="95"/>
        </w:rPr>
        <w:t>持股比例计算应享有原有子公司自购买日或合并日开始持续计算的净资产的份额与商誉之和的差额，计入</w:t>
      </w:r>
      <w:r>
        <w:rPr>
          <w:spacing w:val="37"/>
          <w:w w:val="95"/>
        </w:rPr>
        <w:t> </w:t>
      </w:r>
      <w:r>
        <w:rPr>
          <w:spacing w:val="37"/>
          <w:w w:val="95"/>
        </w:rPr>
      </w:r>
      <w:r>
        <w:rPr>
          <w:w w:val="95"/>
        </w:rPr>
        <w:t>丧失控制权当期的投资收益。与原有子公司股权投资相关的其他综合收益或除净损益、其他综合收益及利</w:t>
      </w:r>
      <w:r>
        <w:rPr>
          <w:spacing w:val="37"/>
          <w:w w:val="95"/>
        </w:rPr>
        <w:t> </w:t>
      </w:r>
      <w:r>
        <w:rPr>
          <w:spacing w:val="37"/>
          <w:w w:val="95"/>
        </w:rPr>
      </w:r>
      <w:r>
        <w:rPr>
          <w:w w:val="95"/>
        </w:rPr>
        <w:t>润分配之外的其他所有者权益变动，在丧失控制权时转为当期投资收益，由于被投资方重新计量设定受益</w:t>
      </w:r>
      <w:r>
        <w:rPr>
          <w:spacing w:val="37"/>
          <w:w w:val="95"/>
        </w:rPr>
        <w:t> </w:t>
      </w:r>
      <w:r>
        <w:rPr>
          <w:spacing w:val="37"/>
          <w:w w:val="95"/>
        </w:rPr>
      </w:r>
      <w:r>
        <w:rPr/>
        <w:t>计划净负债或净资产变动而产生的其他综合收益除外。</w:t>
      </w:r>
    </w:p>
    <w:p>
      <w:pPr>
        <w:pStyle w:val="BodyText"/>
        <w:spacing w:line="273" w:lineRule="auto"/>
        <w:ind w:left="532" w:right="0"/>
        <w:jc w:val="left"/>
      </w:pPr>
      <w:r>
        <w:rPr/>
        <w:t>②分步处置子公司</w:t>
      </w:r>
      <w:r>
        <w:rPr>
          <w:w w:val="99"/>
        </w:rPr>
        <w:t> </w:t>
      </w:r>
      <w:r>
        <w:rPr>
          <w:w w:val="95"/>
        </w:rPr>
        <w:t>通过多次交易分步处置对子公司股权投资直至丧失控制权的，处置对子公司股权投资的各项交易的条</w:t>
      </w:r>
      <w:r>
        <w:rPr/>
      </w:r>
    </w:p>
    <w:p>
      <w:pPr>
        <w:pStyle w:val="BodyText"/>
        <w:spacing w:line="273" w:lineRule="auto"/>
        <w:ind w:right="115"/>
        <w:jc w:val="both"/>
      </w:pPr>
      <w:r>
        <w:rPr>
          <w:w w:val="95"/>
        </w:rPr>
        <w:t>款、条件以及经济影响符合以下一种或多种情况，通常表明应将多次交易事项作为一揽子交易进行会计处   </w:t>
      </w:r>
      <w:r>
        <w:rPr>
          <w:spacing w:val="37"/>
          <w:w w:val="95"/>
        </w:rPr>
        <w:t> </w:t>
      </w:r>
      <w:r>
        <w:rPr>
          <w:spacing w:val="37"/>
          <w:w w:val="95"/>
        </w:rPr>
      </w:r>
      <w:r>
        <w:rPr/>
        <w:t>理：</w:t>
      </w:r>
    </w:p>
    <w:p>
      <w:pPr>
        <w:pStyle w:val="BodyText"/>
        <w:spacing w:line="273" w:lineRule="auto"/>
        <w:ind w:left="532" w:right="0"/>
        <w:jc w:val="left"/>
      </w:pPr>
      <w:r>
        <w:rPr>
          <w:w w:val="95"/>
        </w:rPr>
        <w:t>a、这些交易是同时或者在考虑了彼此影响的情况下订立的；</w:t>
      </w:r>
      <w:r>
        <w:rPr>
          <w:spacing w:val="64"/>
          <w:w w:val="95"/>
        </w:rPr>
        <w:t> </w:t>
      </w:r>
      <w:r>
        <w:rPr>
          <w:spacing w:val="64"/>
          <w:w w:val="95"/>
        </w:rPr>
      </w:r>
      <w:r>
        <w:rPr/>
        <w:t>b、这些交易整体才能达成一项完整的商业结果；</w:t>
      </w:r>
    </w:p>
    <w:p>
      <w:pPr>
        <w:spacing w:after="0" w:line="273" w:lineRule="auto"/>
        <w:jc w:val="left"/>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left="532" w:right="0"/>
        <w:jc w:val="left"/>
      </w:pPr>
      <w:r>
        <w:rPr/>
        <w:t>c、一项交易的发生取决于其他至少一项交易的发生；</w:t>
      </w:r>
      <w:r>
        <w:rPr>
          <w:w w:val="99"/>
        </w:rPr>
        <w:t> </w:t>
      </w:r>
      <w:r>
        <w:rPr/>
        <w:t>d、一项交易单独看是不经济的，但是和其他交易一并考虑时是经济的。</w:t>
      </w:r>
      <w:r>
        <w:rPr>
          <w:w w:val="99"/>
        </w:rPr>
        <w:t> </w:t>
      </w:r>
      <w:r>
        <w:rPr>
          <w:w w:val="95"/>
        </w:rPr>
        <w:t>处置对子公司股权投资直至丧失控制权的各项交易属于一揽子交易的，本公司将各项交易作为一项处</w:t>
      </w:r>
      <w:r>
        <w:rPr/>
      </w:r>
    </w:p>
    <w:p>
      <w:pPr>
        <w:pStyle w:val="BodyText"/>
        <w:spacing w:line="273" w:lineRule="auto"/>
        <w:ind w:right="112"/>
        <w:jc w:val="both"/>
      </w:pPr>
      <w:r>
        <w:rPr>
          <w:w w:val="95"/>
        </w:rPr>
        <w:t>置子公司并丧失控制权的交易进行会计处理；但是，在丧失控制权之前每一次处置价款与处置投资对应的</w:t>
      </w:r>
      <w:r>
        <w:rPr>
          <w:spacing w:val="40"/>
          <w:w w:val="95"/>
        </w:rPr>
        <w:t> </w:t>
      </w:r>
      <w:r>
        <w:rPr>
          <w:spacing w:val="40"/>
          <w:w w:val="95"/>
        </w:rPr>
      </w:r>
      <w:r>
        <w:rPr>
          <w:w w:val="95"/>
        </w:rPr>
        <w:t>享有该子公司净资产份额的差额，在合并财务报表中确认为其他综合收益，在丧失控制权时一并转入丧失</w:t>
      </w:r>
      <w:r>
        <w:rPr>
          <w:spacing w:val="40"/>
          <w:w w:val="95"/>
        </w:rPr>
        <w:t> </w:t>
      </w:r>
      <w:r>
        <w:rPr>
          <w:spacing w:val="40"/>
          <w:w w:val="95"/>
        </w:rPr>
      </w:r>
      <w:r>
        <w:rPr/>
        <w:t>控制权当期的损益。</w:t>
      </w:r>
    </w:p>
    <w:p>
      <w:pPr>
        <w:pStyle w:val="BodyText"/>
        <w:spacing w:line="273" w:lineRule="auto"/>
        <w:ind w:right="112" w:firstLine="420"/>
        <w:jc w:val="both"/>
      </w:pPr>
      <w:r>
        <w:rPr>
          <w:w w:val="95"/>
        </w:rPr>
        <w:t>处置对子公司股权投资直至丧失控制权的各项交易不属于一揽子交易的，在丧失控制权之前，按不丧</w:t>
      </w:r>
      <w:r>
        <w:rPr>
          <w:w w:val="99"/>
        </w:rPr>
        <w:t> </w:t>
      </w:r>
      <w:r>
        <w:rPr>
          <w:w w:val="95"/>
        </w:rPr>
        <w:t>失控制权的情况下部分处置对子公司的股权投资的相关政策进行会计处理；在丧失控制权时，按处置子公</w:t>
      </w:r>
      <w:r>
        <w:rPr>
          <w:spacing w:val="40"/>
          <w:w w:val="95"/>
        </w:rPr>
        <w:t> </w:t>
      </w:r>
      <w:r>
        <w:rPr>
          <w:spacing w:val="40"/>
          <w:w w:val="95"/>
        </w:rPr>
      </w:r>
      <w:r>
        <w:rPr/>
        <w:t>司一般处理方法进行会计处理。</w:t>
      </w:r>
    </w:p>
    <w:p>
      <w:pPr>
        <w:pStyle w:val="BodyText"/>
        <w:spacing w:line="273" w:lineRule="auto"/>
        <w:ind w:left="532" w:right="0"/>
        <w:jc w:val="left"/>
      </w:pPr>
      <w:r>
        <w:rPr/>
        <w:t>3）购买子公司少数股权</w:t>
      </w:r>
      <w:r>
        <w:rPr>
          <w:w w:val="99"/>
        </w:rPr>
        <w:t> </w:t>
      </w:r>
      <w:r>
        <w:rPr>
          <w:w w:val="95"/>
        </w:rPr>
        <w:t>本公司因购买少数股权新取得的长期股权投资与按照新增持股比例计算应享有子公司自购买日（或合</w:t>
      </w:r>
      <w:r>
        <w:rPr/>
      </w:r>
    </w:p>
    <w:p>
      <w:pPr>
        <w:pStyle w:val="BodyText"/>
        <w:spacing w:line="273" w:lineRule="auto"/>
        <w:ind w:right="112"/>
        <w:jc w:val="both"/>
      </w:pPr>
      <w:r>
        <w:rPr>
          <w:w w:val="95"/>
        </w:rPr>
        <w:t>并日）开始持续计算的净资产份额之间的差额，调整合并资产负债表中的资本公积中的股本溢价，资本公</w:t>
      </w:r>
      <w:r>
        <w:rPr>
          <w:spacing w:val="40"/>
          <w:w w:val="95"/>
        </w:rPr>
        <w:t> </w:t>
      </w:r>
      <w:r>
        <w:rPr>
          <w:spacing w:val="40"/>
          <w:w w:val="95"/>
        </w:rPr>
      </w:r>
      <w:r>
        <w:rPr/>
        <w:t>积中的股本溢价不足冲减的，调整留存收益。</w:t>
      </w:r>
    </w:p>
    <w:p>
      <w:pPr>
        <w:pStyle w:val="BodyText"/>
        <w:spacing w:line="273" w:lineRule="auto"/>
        <w:ind w:left="532" w:right="0"/>
        <w:jc w:val="left"/>
      </w:pPr>
      <w:r>
        <w:rPr/>
        <w:t>4）不丧失控制权的情况下部分处置对子公司的股权投资</w:t>
      </w:r>
      <w:r>
        <w:rPr>
          <w:w w:val="99"/>
        </w:rPr>
        <w:t> </w:t>
      </w:r>
      <w:r>
        <w:rPr>
          <w:w w:val="95"/>
        </w:rPr>
        <w:t>在不丧失控制权的情况下因部分处置对子公司的长期股权投资而取得的处置价款与处置长期股权投</w:t>
      </w:r>
      <w:r>
        <w:rPr/>
      </w:r>
    </w:p>
    <w:p>
      <w:pPr>
        <w:pStyle w:val="BodyText"/>
        <w:spacing w:line="273" w:lineRule="auto"/>
        <w:ind w:right="112"/>
        <w:jc w:val="both"/>
      </w:pPr>
      <w:r>
        <w:rPr>
          <w:w w:val="95"/>
        </w:rPr>
        <w:t>资相对应享有子公司自购买日或合并日开始持续计算的净资产份额之间的差额，调整合并资产负债表中的</w:t>
      </w:r>
      <w:r>
        <w:rPr>
          <w:spacing w:val="39"/>
          <w:w w:val="95"/>
        </w:rPr>
        <w:t> </w:t>
      </w:r>
      <w:r>
        <w:rPr>
          <w:spacing w:val="39"/>
          <w:w w:val="95"/>
        </w:rPr>
      </w:r>
      <w:r>
        <w:rPr/>
        <w:t>资本公积中的股本溢价，资本公积中的股本溢价不足冲减的，调整留存收益。</w:t>
      </w:r>
    </w:p>
    <w:p>
      <w:pPr>
        <w:spacing w:line="240" w:lineRule="auto" w:before="7"/>
        <w:rPr>
          <w:rFonts w:ascii="宋体" w:hAnsi="宋体" w:cs="宋体" w:eastAsia="宋体" w:hint="default"/>
          <w:sz w:val="23"/>
          <w:szCs w:val="23"/>
        </w:rPr>
      </w:pPr>
    </w:p>
    <w:p>
      <w:pPr>
        <w:pStyle w:val="Heading6"/>
        <w:spacing w:line="240" w:lineRule="auto"/>
        <w:ind w:left="112" w:right="0"/>
        <w:jc w:val="left"/>
        <w:rPr>
          <w:b w:val="0"/>
          <w:bCs w:val="0"/>
        </w:rPr>
      </w:pPr>
      <w:r>
        <w:rPr/>
        <w:t>7、合营安排分类及共同经营会计处理方法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0" w:hanging="420"/>
        <w:jc w:val="left"/>
      </w:pPr>
      <w:r>
        <w:rPr>
          <w:rFonts w:ascii="宋体" w:hAnsi="宋体" w:cs="宋体" w:eastAsia="宋体" w:hint="default"/>
          <w:b/>
          <w:bCs/>
        </w:rPr>
        <w:t>（1）合营安排的分类</w:t>
      </w:r>
      <w:r>
        <w:rPr>
          <w:rFonts w:ascii="宋体" w:hAnsi="宋体" w:cs="宋体" w:eastAsia="宋体" w:hint="default"/>
          <w:b/>
          <w:bCs/>
          <w:w w:val="99"/>
        </w:rPr>
        <w:t> </w:t>
      </w:r>
      <w:r>
        <w:rPr>
          <w:w w:val="95"/>
        </w:rPr>
        <w:t>本公司根据合营安排的结构、法律形式以及合营安排中约定的条款、其他相关事实和情况等因素，将</w:t>
      </w:r>
      <w:r>
        <w:rPr/>
      </w:r>
    </w:p>
    <w:p>
      <w:pPr>
        <w:pStyle w:val="BodyText"/>
        <w:spacing w:line="273" w:lineRule="auto"/>
        <w:ind w:left="532" w:right="0" w:hanging="420"/>
        <w:jc w:val="left"/>
      </w:pPr>
      <w:r>
        <w:rPr/>
        <w:t>合营安排分为共同经营和合营企业。</w:t>
      </w:r>
      <w:r>
        <w:rPr>
          <w:w w:val="99"/>
        </w:rPr>
        <w:t> </w:t>
      </w:r>
      <w:r>
        <w:rPr>
          <w:w w:val="95"/>
        </w:rPr>
        <w:t>未通过单独主体达成的合营安排，划分为共同经营；通过单独主体达成的合营安排，通常划分为合营</w:t>
      </w:r>
      <w:r>
        <w:rPr/>
      </w:r>
    </w:p>
    <w:p>
      <w:pPr>
        <w:pStyle w:val="BodyText"/>
        <w:spacing w:line="273" w:lineRule="auto"/>
        <w:ind w:left="532" w:right="0" w:hanging="420"/>
        <w:jc w:val="left"/>
      </w:pPr>
      <w:r>
        <w:rPr>
          <w:w w:val="95"/>
        </w:rPr>
        <w:t>企业；但有确凿证据表明满足下列任一条件并且符合相关法律法规规定的合营安排划分为共同经营：</w:t>
      </w:r>
      <w:r>
        <w:rPr>
          <w:spacing w:val="38"/>
          <w:w w:val="95"/>
        </w:rPr>
        <w:t> </w:t>
      </w:r>
      <w:r>
        <w:rPr>
          <w:spacing w:val="38"/>
          <w:w w:val="95"/>
        </w:rPr>
      </w:r>
      <w:r>
        <w:rPr/>
        <w:t>1）合营安排的法律形式表明，合营方对该安排中的相关资产和负债分别享有权利和承担义务。</w:t>
      </w:r>
    </w:p>
    <w:p>
      <w:pPr>
        <w:pStyle w:val="BodyText"/>
        <w:spacing w:line="240" w:lineRule="auto"/>
        <w:ind w:left="532" w:right="0"/>
        <w:jc w:val="left"/>
      </w:pPr>
      <w:r>
        <w:rPr/>
        <w:t>2）合营安排的合同条款约定，合营方对该安排中的相关资产和负债分别享有权利和承担义务。</w:t>
      </w:r>
    </w:p>
    <w:p>
      <w:pPr>
        <w:pStyle w:val="BodyText"/>
        <w:spacing w:line="273" w:lineRule="auto" w:before="37"/>
        <w:ind w:right="0" w:firstLine="420"/>
        <w:jc w:val="left"/>
      </w:pPr>
      <w:r>
        <w:rPr>
          <w:w w:val="95"/>
        </w:rPr>
        <w:t>3）其他相关事实和情况表明，合营方对该安排中的相关资产和负债分别享有权利和承担义务，如合</w:t>
      </w:r>
      <w:r>
        <w:rPr>
          <w:spacing w:val="-85"/>
          <w:w w:val="95"/>
        </w:rPr>
        <w:t> </w:t>
      </w:r>
      <w:r>
        <w:rPr>
          <w:spacing w:val="-85"/>
          <w:w w:val="95"/>
        </w:rPr>
      </w:r>
      <w:r>
        <w:rPr/>
        <w:t>营方享有与合营安排相关的几乎所有产出，并且该安排中负债的清偿持续依赖于合营方的支持。</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（2）共同经营会计处理方法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本公司确认共同经营中利益份额中与本公司相关的下列项目，并按照相关企业会计准则的规定进行会</w:t>
      </w:r>
      <w:r>
        <w:rPr>
          <w:rFonts w:ascii="宋体" w:hAnsi="宋体" w:cs="宋体" w:eastAsia="宋体" w:hint="default"/>
          <w:sz w:val="21"/>
          <w:szCs w:val="21"/>
        </w:rPr>
      </w:r>
    </w:p>
    <w:p>
      <w:pPr>
        <w:pStyle w:val="BodyText"/>
        <w:spacing w:line="240" w:lineRule="auto"/>
        <w:ind w:right="0"/>
        <w:jc w:val="left"/>
      </w:pPr>
      <w:r>
        <w:rPr/>
        <w:t>计处理：</w:t>
      </w:r>
    </w:p>
    <w:p>
      <w:pPr>
        <w:pStyle w:val="BodyText"/>
        <w:spacing w:line="240" w:lineRule="auto" w:before="37"/>
        <w:ind w:left="532" w:right="0"/>
        <w:jc w:val="left"/>
      </w:pPr>
      <w:r>
        <w:rPr/>
        <w:t>1）确认单独所持有的资产，以及按其份额确认共同持有的资产；</w:t>
      </w:r>
    </w:p>
    <w:p>
      <w:pPr>
        <w:pStyle w:val="BodyText"/>
        <w:spacing w:line="240" w:lineRule="auto" w:before="37"/>
        <w:ind w:left="532" w:right="0"/>
        <w:jc w:val="left"/>
      </w:pPr>
      <w:r>
        <w:rPr/>
        <w:t>2）确认单独所承担的负债，以及按其份额确认共同承担的负债；</w:t>
      </w:r>
    </w:p>
    <w:p>
      <w:pPr>
        <w:pStyle w:val="BodyText"/>
        <w:spacing w:line="240" w:lineRule="auto" w:before="37"/>
        <w:ind w:left="532" w:right="0"/>
        <w:jc w:val="left"/>
      </w:pPr>
      <w:r>
        <w:rPr/>
        <w:t>3）确认出售其享有的共同经营产出份额所产生的收入；</w:t>
      </w:r>
    </w:p>
    <w:p>
      <w:pPr>
        <w:pStyle w:val="BodyText"/>
        <w:spacing w:line="240" w:lineRule="auto" w:before="37"/>
        <w:ind w:left="532" w:right="0"/>
        <w:jc w:val="left"/>
      </w:pPr>
      <w:r>
        <w:rPr/>
        <w:t>4）按其份额确认共同经营因出售产出所产生的收入；</w:t>
      </w:r>
    </w:p>
    <w:p>
      <w:pPr>
        <w:pStyle w:val="BodyText"/>
        <w:spacing w:line="273" w:lineRule="auto" w:before="37"/>
        <w:ind w:left="532" w:right="0" w:hanging="15"/>
        <w:jc w:val="left"/>
      </w:pPr>
      <w:r>
        <w:rPr/>
        <w:t>5）</w:t>
      </w:r>
      <w:r>
        <w:rPr>
          <w:spacing w:val="-61"/>
        </w:rPr>
        <w:t> </w:t>
      </w:r>
      <w:r>
        <w:rPr/>
        <w:t>确认单独所发生的费用，以及按其份额确认共同经营发生的费用。</w:t>
      </w:r>
      <w:r>
        <w:rPr>
          <w:w w:val="99"/>
        </w:rPr>
        <w:t> </w:t>
      </w:r>
      <w:r>
        <w:rPr>
          <w:w w:val="95"/>
        </w:rPr>
        <w:t>本公司向共同经营投出或出售资产等（该资产构成业务的除外），在该资产等由共同经营出售给第三</w:t>
      </w:r>
      <w:r>
        <w:rPr/>
      </w:r>
    </w:p>
    <w:p>
      <w:pPr>
        <w:pStyle w:val="BodyText"/>
        <w:spacing w:line="240" w:lineRule="auto"/>
        <w:ind w:left="197" w:right="178"/>
        <w:jc w:val="center"/>
      </w:pPr>
      <w:r>
        <w:rPr/>
        <w:t>方之前，仅确认因该交易产生的损益中归属于共同经营其他参与方的部分。投出或出售的资产发生符合</w:t>
      </w:r>
    </w:p>
    <w:p>
      <w:pPr>
        <w:pStyle w:val="BodyText"/>
        <w:spacing w:line="273" w:lineRule="auto" w:before="37"/>
        <w:ind w:left="532" w:right="0" w:hanging="315"/>
        <w:jc w:val="left"/>
      </w:pPr>
      <w:r>
        <w:rPr/>
        <w:t>《企业会计准则第8号——资产减值》等规定的资产减值损失的，本公司全额确认该损失。</w:t>
      </w:r>
      <w:r>
        <w:rPr>
          <w:w w:val="99"/>
        </w:rPr>
        <w:t> </w:t>
      </w:r>
      <w:r>
        <w:rPr>
          <w:w w:val="95"/>
        </w:rPr>
        <w:t>本公司自共同经营购买资产等（该资产构成业务的除外），在将该资产等出售给第三方之前，仅确认</w:t>
      </w:r>
      <w:r>
        <w:rPr/>
      </w:r>
    </w:p>
    <w:p>
      <w:pPr>
        <w:pStyle w:val="BodyText"/>
        <w:spacing w:line="240" w:lineRule="auto"/>
        <w:ind w:right="0"/>
        <w:jc w:val="left"/>
      </w:pPr>
      <w:r>
        <w:rPr/>
        <w:t>因该交易产生的损益中归属于共同经营其他参与方的部分。购入的资产发生符合《企业会计准则第8号—</w:t>
      </w:r>
    </w:p>
    <w:p>
      <w:pPr>
        <w:pStyle w:val="BodyText"/>
        <w:spacing w:line="273" w:lineRule="auto" w:before="37"/>
        <w:ind w:left="532" w:right="0" w:hanging="420"/>
        <w:jc w:val="left"/>
      </w:pPr>
      <w:r>
        <w:rPr/>
        <w:t>—资产减值》等规定的资产减值损失的，本公司按承担的份额确认该部分损失。</w:t>
      </w:r>
      <w:r>
        <w:rPr>
          <w:w w:val="99"/>
        </w:rPr>
        <w:t> </w:t>
      </w:r>
      <w:r>
        <w:rPr>
          <w:w w:val="95"/>
        </w:rPr>
        <w:t>本公司对共同经营不享有共同控制，如果本公司享有该共同经营相关资产且承担该共同经营相关负债</w:t>
      </w:r>
      <w:r>
        <w:rPr/>
      </w:r>
    </w:p>
    <w:p>
      <w:pPr>
        <w:spacing w:after="0" w:line="273" w:lineRule="auto"/>
        <w:jc w:val="left"/>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spacing w:line="535" w:lineRule="auto" w:before="34"/>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的，仍按上述原则进行会计处理，否则，应当按照相关企业会计准则的规定进行会计处理。</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b/>
          <w:bCs/>
          <w:sz w:val="21"/>
          <w:szCs w:val="21"/>
        </w:rPr>
        <w:t>8、现金及现金等价物的确定标准</w:t>
      </w:r>
      <w:r>
        <w:rPr>
          <w:rFonts w:ascii="宋体" w:hAnsi="宋体" w:cs="宋体" w:eastAsia="宋体" w:hint="default"/>
          <w:sz w:val="21"/>
          <w:szCs w:val="21"/>
        </w:rPr>
      </w:r>
    </w:p>
    <w:p>
      <w:pPr>
        <w:pStyle w:val="BodyText"/>
        <w:spacing w:line="273" w:lineRule="auto" w:before="79"/>
        <w:ind w:right="112" w:firstLine="420"/>
        <w:jc w:val="both"/>
      </w:pPr>
      <w:r>
        <w:rPr>
          <w:w w:val="95"/>
        </w:rPr>
        <w:t>在编制现金流量表时，将本公司库存现金以及可以随时用于支付的存款确认为现金。将同时具备期限</w:t>
      </w:r>
      <w:r>
        <w:rPr>
          <w:w w:val="99"/>
        </w:rPr>
        <w:t> </w:t>
      </w:r>
      <w:r>
        <w:rPr>
          <w:w w:val="95"/>
        </w:rPr>
        <w:t>短（一般从购买日起，三个月内到期）、流动性强、易于转换为已知金额的现金、价值变动风险很小四个</w:t>
      </w:r>
      <w:r>
        <w:rPr>
          <w:spacing w:val="36"/>
          <w:w w:val="95"/>
        </w:rPr>
        <w:t> </w:t>
      </w:r>
      <w:r>
        <w:rPr>
          <w:spacing w:val="36"/>
          <w:w w:val="95"/>
        </w:rPr>
      </w:r>
      <w:r>
        <w:rPr/>
        <w:t>条件的投资，确定为现金等价物。</w:t>
      </w:r>
    </w:p>
    <w:p>
      <w:pPr>
        <w:spacing w:line="240" w:lineRule="auto" w:before="9"/>
        <w:rPr>
          <w:rFonts w:ascii="宋体" w:hAnsi="宋体" w:cs="宋体" w:eastAsia="宋体" w:hint="default"/>
          <w:sz w:val="23"/>
          <w:szCs w:val="23"/>
        </w:rPr>
      </w:pPr>
    </w:p>
    <w:p>
      <w:pPr>
        <w:pStyle w:val="Heading6"/>
        <w:spacing w:line="240" w:lineRule="auto"/>
        <w:ind w:left="112" w:right="0"/>
        <w:jc w:val="left"/>
        <w:rPr>
          <w:b w:val="0"/>
          <w:bCs w:val="0"/>
        </w:rPr>
      </w:pPr>
      <w:r>
        <w:rPr/>
        <w:t>9、外币业务和外币报表折算</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left="112" w:right="0"/>
        <w:jc w:val="left"/>
        <w:rPr>
          <w:b w:val="0"/>
          <w:bCs w:val="0"/>
        </w:rPr>
      </w:pPr>
      <w:r>
        <w:rPr/>
        <w:t>（1）外币业务</w:t>
      </w:r>
      <w:r>
        <w:rPr>
          <w:b w:val="0"/>
          <w:bCs w:val="0"/>
        </w:rPr>
      </w:r>
    </w:p>
    <w:p>
      <w:pPr>
        <w:pStyle w:val="BodyText"/>
        <w:spacing w:line="273" w:lineRule="auto" w:before="37"/>
        <w:ind w:left="532" w:right="0"/>
        <w:jc w:val="left"/>
      </w:pPr>
      <w:r>
        <w:rPr/>
        <w:t>外币业务交易在初始确认时，采用交易发生日的即期汇率作为折算汇率折合成人民币记账。</w:t>
      </w:r>
      <w:r>
        <w:rPr>
          <w:w w:val="99"/>
        </w:rPr>
        <w:t> </w:t>
      </w:r>
      <w:r>
        <w:rPr>
          <w:w w:val="95"/>
        </w:rPr>
        <w:t>资产负债表日，外币货币性项目按资产负债表日即期汇率折算，由此产生的汇兑差额，除属于与购建</w:t>
      </w:r>
      <w:r>
        <w:rPr/>
      </w:r>
    </w:p>
    <w:p>
      <w:pPr>
        <w:pStyle w:val="BodyText"/>
        <w:spacing w:line="273" w:lineRule="auto"/>
        <w:ind w:right="112"/>
        <w:jc w:val="both"/>
      </w:pPr>
      <w:r>
        <w:rPr>
          <w:w w:val="95"/>
        </w:rPr>
        <w:t>符合资本化条件的资产相关的外币专门借款产生的汇兑差额按照借款费用资本化的原则处理外，均计入当</w:t>
      </w:r>
      <w:r>
        <w:rPr>
          <w:spacing w:val="37"/>
          <w:w w:val="95"/>
        </w:rPr>
        <w:t> </w:t>
      </w:r>
      <w:r>
        <w:rPr>
          <w:spacing w:val="37"/>
          <w:w w:val="95"/>
        </w:rPr>
      </w:r>
      <w:r>
        <w:rPr>
          <w:w w:val="95"/>
        </w:rPr>
        <w:t>期损益。以历史成本计量的外币非货币性项目，仍采用交易发生日的即期汇率折算，不改变其记账本位币  </w:t>
      </w:r>
      <w:r>
        <w:rPr>
          <w:spacing w:val="40"/>
          <w:w w:val="95"/>
        </w:rPr>
        <w:t> </w:t>
      </w:r>
      <w:r>
        <w:rPr>
          <w:spacing w:val="40"/>
          <w:w w:val="95"/>
        </w:rPr>
      </w:r>
      <w:r>
        <w:rPr/>
        <w:t>金额。</w:t>
      </w:r>
    </w:p>
    <w:p>
      <w:pPr>
        <w:pStyle w:val="BodyText"/>
        <w:spacing w:line="273" w:lineRule="auto"/>
        <w:ind w:right="112" w:firstLine="420"/>
        <w:jc w:val="both"/>
      </w:pPr>
      <w:r>
        <w:rPr>
          <w:w w:val="95"/>
        </w:rPr>
        <w:t>以公允价值计量的外币非货币性项目，采用公允价值确定日的即期汇率折算，由此产生的汇兑差额作</w:t>
      </w:r>
      <w:r>
        <w:rPr>
          <w:w w:val="99"/>
        </w:rPr>
        <w:t> </w:t>
      </w:r>
      <w:r>
        <w:rPr>
          <w:w w:val="95"/>
        </w:rPr>
        <w:t>为公允价值变动损益计入当期损益。如属于可供出售外币非货币性项目的，形成的汇兑差额计入其他综合  </w:t>
      </w:r>
      <w:r>
        <w:rPr>
          <w:spacing w:val="40"/>
          <w:w w:val="95"/>
        </w:rPr>
        <w:t> </w:t>
      </w:r>
      <w:r>
        <w:rPr>
          <w:spacing w:val="40"/>
          <w:w w:val="95"/>
        </w:rPr>
      </w:r>
      <w:r>
        <w:rPr/>
        <w:t>收益。</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（2）外币财务报表的折算</w:t>
      </w:r>
      <w:r>
        <w:rPr>
          <w:rFonts w:ascii="宋体" w:hAnsi="宋体" w:cs="宋体" w:eastAsia="宋体" w:hint="default"/>
          <w:b/>
          <w:bCs/>
          <w:w w:val="99"/>
          <w:sz w:val="21"/>
          <w:szCs w:val="21"/>
        </w:rPr>
        <w:t> </w:t>
      </w:r>
      <w:r>
        <w:rPr>
          <w:rFonts w:ascii="宋体" w:hAnsi="宋体" w:cs="宋体" w:eastAsia="宋体" w:hint="default"/>
          <w:w w:val="95"/>
          <w:sz w:val="21"/>
          <w:szCs w:val="21"/>
        </w:rPr>
        <w:t>资产负债表中的资产和负债项目，采用资产负债表日的即期汇率折算；所有者权益项目除“未分配利</w:t>
      </w:r>
      <w:r>
        <w:rPr>
          <w:rFonts w:ascii="宋体" w:hAnsi="宋体" w:cs="宋体" w:eastAsia="宋体" w:hint="default"/>
          <w:sz w:val="21"/>
          <w:szCs w:val="21"/>
        </w:rPr>
      </w:r>
    </w:p>
    <w:p>
      <w:pPr>
        <w:pStyle w:val="BodyText"/>
        <w:spacing w:line="273" w:lineRule="auto"/>
        <w:ind w:right="0"/>
        <w:jc w:val="left"/>
      </w:pPr>
      <w:r>
        <w:rPr>
          <w:w w:val="95"/>
        </w:rPr>
        <w:t>润”项目外，其他项目采用发生时的即期汇率折算。利润表中的收入和费用项目，采用交易发生日的即期</w:t>
      </w:r>
      <w:r>
        <w:rPr>
          <w:spacing w:val="38"/>
          <w:w w:val="95"/>
        </w:rPr>
        <w:t> </w:t>
      </w:r>
      <w:r>
        <w:rPr>
          <w:spacing w:val="38"/>
          <w:w w:val="95"/>
        </w:rPr>
      </w:r>
      <w:r>
        <w:rPr/>
        <w:t>汇率折算。按照上述折算产生的外币财务报表折算差额计入其他综合收益。</w:t>
      </w:r>
    </w:p>
    <w:p>
      <w:pPr>
        <w:pStyle w:val="BodyText"/>
        <w:spacing w:line="273" w:lineRule="auto"/>
        <w:ind w:right="115" w:firstLine="420"/>
        <w:jc w:val="both"/>
      </w:pPr>
      <w:r>
        <w:rPr>
          <w:w w:val="95"/>
        </w:rPr>
        <w:t>处置境外经营时，将资产负债表中其他综合收益项目中列示的、与该境外经营相关的外币财务报表折</w:t>
      </w:r>
      <w:r>
        <w:rPr>
          <w:w w:val="99"/>
        </w:rPr>
        <w:t> </w:t>
      </w:r>
      <w:r>
        <w:rPr>
          <w:w w:val="95"/>
        </w:rPr>
        <w:t>算差额，自其他综合收益项目转入处置当期损益；在处置部分股权投资或其他原因导致持有境外经营权益</w:t>
      </w:r>
      <w:r>
        <w:rPr>
          <w:spacing w:val="37"/>
          <w:w w:val="95"/>
        </w:rPr>
        <w:t> </w:t>
      </w:r>
      <w:r>
        <w:rPr>
          <w:spacing w:val="37"/>
          <w:w w:val="95"/>
        </w:rPr>
      </w:r>
      <w:r>
        <w:rPr>
          <w:w w:val="95"/>
        </w:rPr>
        <w:t>比例降低但不丧失对境外经营控制权时，与该境外经营处置部分相关的外币报表折算差额将归属于少数股</w:t>
      </w:r>
      <w:r>
        <w:rPr>
          <w:spacing w:val="37"/>
          <w:w w:val="95"/>
        </w:rPr>
        <w:t> </w:t>
      </w:r>
      <w:r>
        <w:rPr>
          <w:spacing w:val="37"/>
          <w:w w:val="95"/>
        </w:rPr>
      </w:r>
      <w:r>
        <w:rPr>
          <w:w w:val="95"/>
        </w:rPr>
        <w:t>东权益，不转入当期损益。在处置境外经营为联营企业或合营企业的部分股权时，与该境外经营相关的外</w:t>
      </w:r>
      <w:r>
        <w:rPr>
          <w:spacing w:val="37"/>
          <w:w w:val="95"/>
        </w:rPr>
        <w:t> </w:t>
      </w:r>
      <w:r>
        <w:rPr>
          <w:spacing w:val="37"/>
          <w:w w:val="95"/>
        </w:rPr>
      </w:r>
      <w:r>
        <w:rPr/>
        <w:t>币报表折算差额，按处置该境外经营的比例转入处置当期损益。</w:t>
      </w:r>
    </w:p>
    <w:p>
      <w:pPr>
        <w:spacing w:line="240" w:lineRule="auto" w:before="7"/>
        <w:rPr>
          <w:rFonts w:ascii="宋体" w:hAnsi="宋体" w:cs="宋体" w:eastAsia="宋体" w:hint="default"/>
          <w:sz w:val="23"/>
          <w:szCs w:val="23"/>
        </w:rPr>
      </w:pPr>
    </w:p>
    <w:p>
      <w:pPr>
        <w:pStyle w:val="Heading6"/>
        <w:spacing w:line="240" w:lineRule="auto"/>
        <w:ind w:left="112" w:right="0"/>
        <w:jc w:val="left"/>
        <w:rPr>
          <w:b w:val="0"/>
          <w:bCs w:val="0"/>
        </w:rPr>
      </w:pPr>
      <w:r>
        <w:rPr/>
        <w:t>10、金融工具</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532" w:right="0"/>
        <w:jc w:val="left"/>
      </w:pPr>
      <w:r>
        <w:rPr/>
        <w:t>金融工具包括金融资产、金融负债和权益工具。</w:t>
      </w:r>
    </w:p>
    <w:p>
      <w:pPr>
        <w:pStyle w:val="BodyText"/>
        <w:spacing w:line="273" w:lineRule="auto" w:before="37"/>
        <w:ind w:left="532" w:right="0" w:hanging="420"/>
        <w:jc w:val="left"/>
      </w:pPr>
      <w:r>
        <w:rPr>
          <w:rFonts w:ascii="宋体" w:hAnsi="宋体" w:cs="宋体" w:eastAsia="宋体" w:hint="default"/>
          <w:b/>
          <w:bCs/>
        </w:rPr>
        <w:t>（1）金融工具的分类</w:t>
      </w:r>
      <w:r>
        <w:rPr>
          <w:rFonts w:ascii="宋体" w:hAnsi="宋体" w:cs="宋体" w:eastAsia="宋体" w:hint="default"/>
          <w:b/>
          <w:bCs/>
          <w:w w:val="99"/>
        </w:rPr>
        <w:t> </w:t>
      </w:r>
      <w:r>
        <w:rPr>
          <w:w w:val="95"/>
        </w:rPr>
        <w:t>管理层根据所发行金融工具的合同条款及其所反映的经济实质而非仅以法律形式，结合取得持有金融</w:t>
      </w:r>
      <w:r>
        <w:rPr/>
      </w:r>
    </w:p>
    <w:p>
      <w:pPr>
        <w:pStyle w:val="BodyText"/>
        <w:spacing w:line="273" w:lineRule="auto" w:before="8"/>
        <w:ind w:right="0"/>
        <w:jc w:val="left"/>
      </w:pPr>
      <w:r>
        <w:rPr>
          <w:w w:val="95"/>
        </w:rPr>
        <w:t>资产和承担金融负债的目的，将金融资产和金融负债分为不同类别：以公允价值计量且其变动计入当期损</w:t>
      </w:r>
      <w:r>
        <w:rPr>
          <w:spacing w:val="37"/>
          <w:w w:val="95"/>
        </w:rPr>
        <w:t> </w:t>
      </w:r>
      <w:r>
        <w:rPr>
          <w:spacing w:val="37"/>
          <w:w w:val="95"/>
        </w:rPr>
      </w:r>
      <w:r>
        <w:rPr/>
        <w:t>益的金融资产（或金融负债）；持有至到期投资；应收款项；可供出售金融资产；其他金融负债等。</w:t>
      </w:r>
    </w:p>
    <w:p>
      <w:pPr>
        <w:pStyle w:val="BodyText"/>
        <w:spacing w:line="273" w:lineRule="auto"/>
        <w:ind w:left="532" w:right="144" w:hanging="420"/>
        <w:jc w:val="left"/>
      </w:pPr>
      <w:r>
        <w:rPr>
          <w:rFonts w:ascii="宋体" w:hAnsi="宋体" w:cs="宋体" w:eastAsia="宋体" w:hint="default"/>
          <w:b/>
          <w:bCs/>
        </w:rPr>
        <w:t>（2）金融工具的确认依据和计量方法</w:t>
      </w:r>
      <w:r>
        <w:rPr>
          <w:rFonts w:ascii="宋体" w:hAnsi="宋体" w:cs="宋体" w:eastAsia="宋体" w:hint="default"/>
          <w:b/>
          <w:bCs/>
          <w:w w:val="99"/>
        </w:rPr>
        <w:t> </w:t>
      </w:r>
      <w:r>
        <w:rPr/>
        <w:t>1）以公允价值计量且其变动计入当期损益的金融资产（金融负债）</w:t>
      </w:r>
      <w:r>
        <w:rPr>
          <w:w w:val="99"/>
        </w:rPr>
        <w:t> </w:t>
      </w:r>
      <w:r>
        <w:rPr>
          <w:w w:val="95"/>
        </w:rPr>
        <w:t>以公允价值计量且其变动计入当期损益的金融资产或金融负债，包括交易性金融资产或金融负债和直</w:t>
      </w:r>
      <w:r>
        <w:rPr/>
      </w:r>
    </w:p>
    <w:p>
      <w:pPr>
        <w:pStyle w:val="BodyText"/>
        <w:spacing w:line="273" w:lineRule="auto"/>
        <w:ind w:left="532" w:right="0" w:hanging="420"/>
        <w:jc w:val="left"/>
      </w:pPr>
      <w:r>
        <w:rPr/>
        <w:t>接指定为以公允价值计量且其变动计入当期损益的金融资产或金融负债。</w:t>
      </w:r>
      <w:r>
        <w:rPr>
          <w:w w:val="99"/>
        </w:rPr>
        <w:t> </w:t>
      </w:r>
      <w:r>
        <w:rPr>
          <w:w w:val="95"/>
        </w:rPr>
        <w:t>交易性金融资产或金融负债是指满足下列条件之一的金融资产或金融负债：</w:t>
      </w:r>
      <w:r>
        <w:rPr/>
      </w:r>
    </w:p>
    <w:p>
      <w:pPr>
        <w:pStyle w:val="BodyText"/>
        <w:spacing w:line="240" w:lineRule="auto"/>
        <w:ind w:left="532" w:right="0"/>
        <w:jc w:val="left"/>
      </w:pPr>
      <w:r>
        <w:rPr/>
        <w:t>①取得该金融资产或金融负债的目的是为了在短期内出售、回购或赎回；</w:t>
      </w:r>
    </w:p>
    <w:p>
      <w:pPr>
        <w:pStyle w:val="BodyText"/>
        <w:spacing w:line="273" w:lineRule="auto" w:before="37"/>
        <w:ind w:right="115" w:firstLine="420"/>
        <w:jc w:val="both"/>
      </w:pPr>
      <w:r>
        <w:rPr>
          <w:w w:val="95"/>
        </w:rPr>
        <w:t>②属于进行集中管理的可辨认金融工具组合的一部分，且有客观证据表明本公司近期采用短期获利方</w:t>
      </w:r>
      <w:r>
        <w:rPr>
          <w:w w:val="99"/>
        </w:rPr>
        <w:t> </w:t>
      </w:r>
      <w:r>
        <w:rPr/>
        <w:t>式对该组合进行管理；</w:t>
      </w:r>
    </w:p>
    <w:p>
      <w:pPr>
        <w:pStyle w:val="BodyText"/>
        <w:spacing w:line="240" w:lineRule="auto"/>
        <w:ind w:left="532" w:right="0"/>
        <w:jc w:val="left"/>
      </w:pPr>
      <w:r>
        <w:rPr/>
        <w:t>③属于衍生金融工具，但是被指定为有效套期工具的衍生工具、属于财务担保合同的衍生工具、与在</w:t>
      </w:r>
    </w:p>
    <w:p>
      <w:pPr>
        <w:spacing w:after="0" w:line="240" w:lineRule="auto"/>
        <w:jc w:val="left"/>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right="104"/>
        <w:jc w:val="left"/>
      </w:pPr>
      <w:r>
        <w:rPr>
          <w:w w:val="95"/>
        </w:rPr>
        <w:t>活跃市场中没有报价且其公允价值不能可靠计量的权益工具投资挂钩并须通过交付该权益工具结算的衍</w:t>
      </w:r>
      <w:r>
        <w:rPr>
          <w:spacing w:val="50"/>
          <w:w w:val="95"/>
        </w:rPr>
        <w:t> </w:t>
      </w:r>
      <w:r>
        <w:rPr>
          <w:spacing w:val="50"/>
          <w:w w:val="95"/>
        </w:rPr>
      </w:r>
      <w:r>
        <w:rPr/>
        <w:t>生工具除外。</w:t>
      </w:r>
    </w:p>
    <w:p>
      <w:pPr>
        <w:pStyle w:val="BodyText"/>
        <w:spacing w:line="273" w:lineRule="auto"/>
        <w:ind w:right="104" w:firstLine="420"/>
        <w:jc w:val="left"/>
      </w:pPr>
      <w:r>
        <w:rPr>
          <w:w w:val="95"/>
        </w:rPr>
        <w:t>只有符合以下条件之一，金融资产或金融负债才可在初始计量时指定为以公允价值计量且其变动计入</w:t>
      </w:r>
      <w:r>
        <w:rPr>
          <w:w w:val="99"/>
        </w:rPr>
        <w:t> </w:t>
      </w:r>
      <w:r>
        <w:rPr/>
        <w:t>损益的金融资产或金融负债：</w:t>
      </w:r>
    </w:p>
    <w:p>
      <w:pPr>
        <w:pStyle w:val="BodyText"/>
        <w:spacing w:line="273" w:lineRule="auto"/>
        <w:ind w:right="104" w:firstLine="420"/>
        <w:jc w:val="left"/>
      </w:pPr>
      <w:r>
        <w:rPr>
          <w:w w:val="95"/>
        </w:rPr>
        <w:t>①该项指定可以消除或明显减少由于金融资产或金融负债的计量基础不同所导致的相关利得或损失</w:t>
      </w:r>
      <w:r>
        <w:rPr>
          <w:spacing w:val="-91"/>
          <w:w w:val="95"/>
        </w:rPr>
        <w:t> </w:t>
      </w:r>
      <w:r>
        <w:rPr>
          <w:spacing w:val="-91"/>
          <w:w w:val="95"/>
        </w:rPr>
      </w:r>
      <w:r>
        <w:rPr/>
        <w:t>在确认或计量方面不一致的情况；</w:t>
      </w:r>
    </w:p>
    <w:p>
      <w:pPr>
        <w:pStyle w:val="BodyText"/>
        <w:spacing w:line="273" w:lineRule="auto"/>
        <w:ind w:right="104" w:firstLine="420"/>
        <w:jc w:val="left"/>
      </w:pPr>
      <w:r>
        <w:rPr>
          <w:w w:val="95"/>
        </w:rPr>
        <w:t>②风险管理或投资策略的正式书面文件已载明，该金融资产组合、该金融负债组合、或该金融资产和</w:t>
      </w:r>
      <w:r>
        <w:rPr>
          <w:w w:val="99"/>
        </w:rPr>
        <w:t> </w:t>
      </w:r>
      <w:r>
        <w:rPr/>
        <w:t>金融负债组合，以公允价值为基础进行管理、评价并向关键管理人员报告；</w:t>
      </w:r>
    </w:p>
    <w:p>
      <w:pPr>
        <w:pStyle w:val="BodyText"/>
        <w:spacing w:line="273" w:lineRule="auto"/>
        <w:ind w:right="104" w:firstLine="420"/>
        <w:jc w:val="left"/>
      </w:pPr>
      <w:r>
        <w:rPr>
          <w:w w:val="95"/>
        </w:rPr>
        <w:t>③包含一项或多项嵌入衍生工具的混合工具，除非嵌入衍生工具对混合工具的现金流量没有重大改</w:t>
      </w:r>
      <w:r>
        <w:rPr>
          <w:spacing w:val="-91"/>
          <w:w w:val="95"/>
        </w:rPr>
        <w:t> </w:t>
      </w:r>
      <w:r>
        <w:rPr>
          <w:spacing w:val="-91"/>
          <w:w w:val="95"/>
        </w:rPr>
      </w:r>
      <w:r>
        <w:rPr/>
        <w:t>变，或所嵌入的衍生工具明显不应当从相关混合工具中分拆；</w:t>
      </w:r>
    </w:p>
    <w:p>
      <w:pPr>
        <w:pStyle w:val="BodyText"/>
        <w:spacing w:line="240" w:lineRule="auto"/>
        <w:ind w:left="532" w:right="104"/>
        <w:jc w:val="left"/>
      </w:pPr>
      <w:r>
        <w:rPr/>
        <w:t>④包含需要分拆但无法在取得时或后续的资产负债表日对其进行单独计量的嵌入衍生工具的混合工</w:t>
      </w:r>
    </w:p>
    <w:p>
      <w:pPr>
        <w:pStyle w:val="BodyText"/>
        <w:spacing w:line="240" w:lineRule="auto" w:before="37"/>
        <w:ind w:right="104"/>
        <w:jc w:val="left"/>
      </w:pPr>
      <w:r>
        <w:rPr/>
        <w:t>具。</w:t>
      </w:r>
    </w:p>
    <w:p>
      <w:pPr>
        <w:pStyle w:val="BodyText"/>
        <w:spacing w:line="240" w:lineRule="auto" w:before="37"/>
        <w:ind w:left="532" w:right="0"/>
        <w:jc w:val="left"/>
      </w:pPr>
      <w:r>
        <w:rPr/>
        <w:t>本公司对以公允价值计量且其变动计入当期损益的金融资产或金融负债，在取得时以公允价值（扣除</w:t>
      </w:r>
    </w:p>
    <w:p>
      <w:pPr>
        <w:pStyle w:val="BodyText"/>
        <w:spacing w:line="273" w:lineRule="auto" w:before="37"/>
        <w:ind w:right="112"/>
        <w:jc w:val="both"/>
      </w:pPr>
      <w:r>
        <w:rPr>
          <w:w w:val="95"/>
        </w:rPr>
        <w:t>已宣告但尚未发放的现金股利或已到付息期但尚未领取的债券利息）作为初始确认金额，相关的交易费用</w:t>
      </w:r>
      <w:r>
        <w:rPr>
          <w:spacing w:val="40"/>
          <w:w w:val="95"/>
        </w:rPr>
        <w:t> </w:t>
      </w:r>
      <w:r>
        <w:rPr>
          <w:spacing w:val="40"/>
          <w:w w:val="95"/>
        </w:rPr>
      </w:r>
      <w:r>
        <w:rPr>
          <w:w w:val="95"/>
        </w:rPr>
        <w:t>计入当期损益。持有期间将取得的利息或现金股利确认为投资收益，期末将公允价值变动计入当期损益。</w:t>
      </w:r>
      <w:r>
        <w:rPr>
          <w:spacing w:val="61"/>
          <w:w w:val="95"/>
        </w:rPr>
        <w:t> </w:t>
      </w:r>
      <w:r>
        <w:rPr>
          <w:spacing w:val="61"/>
          <w:w w:val="95"/>
        </w:rPr>
      </w:r>
      <w:r>
        <w:rPr/>
        <w:t>处置时，其公允价值与初始入账金额之间的差额确认为投资收益，同时调整公允价值变动损益。</w:t>
      </w:r>
    </w:p>
    <w:p>
      <w:pPr>
        <w:pStyle w:val="BodyText"/>
        <w:spacing w:line="273" w:lineRule="auto"/>
        <w:ind w:left="532" w:right="104"/>
        <w:jc w:val="left"/>
      </w:pPr>
      <w:r>
        <w:rPr/>
        <w:t>2）应收款项</w:t>
      </w:r>
      <w:r>
        <w:rPr>
          <w:w w:val="99"/>
        </w:rPr>
        <w:t> </w:t>
      </w:r>
      <w:r>
        <w:rPr>
          <w:w w:val="95"/>
        </w:rPr>
        <w:t>本公司对外销售商品或提供劳务形成的应收债权，以及公司持有的其他企业的不包括在活跃市场上有</w:t>
      </w:r>
      <w:r>
        <w:rPr/>
      </w:r>
    </w:p>
    <w:p>
      <w:pPr>
        <w:pStyle w:val="BodyText"/>
        <w:spacing w:line="273" w:lineRule="auto"/>
        <w:ind w:right="132"/>
        <w:jc w:val="both"/>
      </w:pPr>
      <w:r>
        <w:rPr>
          <w:w w:val="95"/>
        </w:rPr>
        <w:t>报价的债务工具的债权，包括应收账款、其他应收款等，以向购货方应收的合同或协议价款作为初始确认</w:t>
      </w:r>
      <w:r>
        <w:rPr>
          <w:spacing w:val="40"/>
          <w:w w:val="95"/>
        </w:rPr>
        <w:t> </w:t>
      </w:r>
      <w:r>
        <w:rPr>
          <w:spacing w:val="40"/>
          <w:w w:val="95"/>
        </w:rPr>
      </w:r>
      <w:r>
        <w:rPr/>
        <w:t>金额；具有融资性质的，按其现值进行初始确认。</w:t>
      </w:r>
    </w:p>
    <w:p>
      <w:pPr>
        <w:pStyle w:val="BodyText"/>
        <w:spacing w:line="273" w:lineRule="auto"/>
        <w:ind w:left="532" w:right="1094"/>
        <w:jc w:val="left"/>
      </w:pPr>
      <w:r>
        <w:rPr>
          <w:w w:val="95"/>
        </w:rPr>
        <w:t>收回或处置时，将取得的价款与该应收款项账面价值之间的差额计入当期损益。</w:t>
      </w:r>
      <w:r>
        <w:rPr>
          <w:spacing w:val="50"/>
          <w:w w:val="95"/>
        </w:rPr>
        <w:t> </w:t>
      </w:r>
      <w:r>
        <w:rPr>
          <w:spacing w:val="50"/>
          <w:w w:val="95"/>
        </w:rPr>
      </w:r>
      <w:r>
        <w:rPr/>
        <w:t>3）持有至到期投资</w:t>
      </w:r>
    </w:p>
    <w:p>
      <w:pPr>
        <w:pStyle w:val="BodyText"/>
        <w:spacing w:line="273" w:lineRule="auto"/>
        <w:ind w:right="135" w:firstLine="420"/>
        <w:jc w:val="both"/>
      </w:pPr>
      <w:r>
        <w:rPr>
          <w:w w:val="95"/>
        </w:rPr>
        <w:t>持有至到期投资是指到期日固定、回收金额固定或可确定，且本公司有明确意图和能力持有至到期的</w:t>
      </w:r>
      <w:r>
        <w:rPr>
          <w:w w:val="99"/>
        </w:rPr>
        <w:t> </w:t>
      </w:r>
      <w:r>
        <w:rPr/>
        <w:t>非衍生性金融资产。</w:t>
      </w:r>
    </w:p>
    <w:p>
      <w:pPr>
        <w:pStyle w:val="BodyText"/>
        <w:spacing w:line="273" w:lineRule="auto"/>
        <w:ind w:right="132" w:firstLine="420"/>
        <w:jc w:val="both"/>
      </w:pPr>
      <w:r>
        <w:rPr>
          <w:w w:val="95"/>
        </w:rPr>
        <w:t>本公司对持有至到期投资，在取得时按公允价值（扣除已到付息期但尚未领取的债券利息）和相关交</w:t>
      </w:r>
      <w:r>
        <w:rPr>
          <w:w w:val="99"/>
        </w:rPr>
        <w:t> </w:t>
      </w:r>
      <w:r>
        <w:rPr>
          <w:w w:val="95"/>
        </w:rPr>
        <w:t>易费用之和作为初始确认金额。持有期间按照摊余成本和实际利率计算确认利息收入，计入投资收益。实</w:t>
      </w:r>
      <w:r>
        <w:rPr>
          <w:spacing w:val="40"/>
          <w:w w:val="95"/>
        </w:rPr>
        <w:t> </w:t>
      </w:r>
      <w:r>
        <w:rPr>
          <w:spacing w:val="40"/>
          <w:w w:val="95"/>
        </w:rPr>
      </w:r>
      <w:r>
        <w:rPr>
          <w:w w:val="95"/>
        </w:rPr>
        <w:t>际利率在取得时确定，在该预期存续期间或适用的更短期间内保持不变。处置时，将所取得价款与该投资</w:t>
      </w:r>
      <w:r>
        <w:rPr>
          <w:spacing w:val="37"/>
          <w:w w:val="95"/>
        </w:rPr>
        <w:t> </w:t>
      </w:r>
      <w:r>
        <w:rPr>
          <w:spacing w:val="37"/>
          <w:w w:val="95"/>
        </w:rPr>
      </w:r>
      <w:r>
        <w:rPr/>
        <w:t>账面价值之间的差额计入投资收益。</w:t>
      </w:r>
    </w:p>
    <w:p>
      <w:pPr>
        <w:pStyle w:val="BodyText"/>
        <w:spacing w:line="273" w:lineRule="auto"/>
        <w:ind w:right="132" w:firstLine="420"/>
        <w:jc w:val="both"/>
      </w:pPr>
      <w:r>
        <w:rPr>
          <w:w w:val="95"/>
        </w:rPr>
        <w:t>如果持有至到期投资处置或重分类为其他类金融资产的金额，相对于本公司全部持有至到期投资在出</w:t>
      </w:r>
      <w:r>
        <w:rPr>
          <w:w w:val="99"/>
        </w:rPr>
        <w:t> </w:t>
      </w:r>
      <w:r>
        <w:rPr>
          <w:w w:val="95"/>
        </w:rPr>
        <w:t>售或重分类前的总额较大，在处置或重分类后应立即将其剩余的持有至到期投资重分类为可供出售金融资</w:t>
      </w:r>
      <w:r>
        <w:rPr>
          <w:spacing w:val="37"/>
          <w:w w:val="95"/>
        </w:rPr>
        <w:t> </w:t>
      </w:r>
      <w:r>
        <w:rPr>
          <w:spacing w:val="37"/>
          <w:w w:val="95"/>
        </w:rPr>
      </w:r>
      <w:r>
        <w:rPr>
          <w:w w:val="95"/>
        </w:rPr>
        <w:t>产；重分类日，该投资的账面价值与其公允价值之间的差额计入其他综合收益，在该可供出售金融资产发</w:t>
      </w:r>
      <w:r>
        <w:rPr>
          <w:spacing w:val="41"/>
          <w:w w:val="95"/>
        </w:rPr>
        <w:t> </w:t>
      </w:r>
      <w:r>
        <w:rPr>
          <w:spacing w:val="41"/>
          <w:w w:val="95"/>
        </w:rPr>
      </w:r>
      <w:r>
        <w:rPr/>
        <w:t>生减值或终止确认时转出，计入当期损益。但是，遇到下列情况可以除外：</w:t>
      </w:r>
    </w:p>
    <w:p>
      <w:pPr>
        <w:pStyle w:val="BodyText"/>
        <w:spacing w:line="273" w:lineRule="auto"/>
        <w:ind w:right="135" w:firstLine="420"/>
        <w:jc w:val="both"/>
      </w:pPr>
      <w:r>
        <w:rPr>
          <w:w w:val="95"/>
        </w:rPr>
        <w:t>①出售日或重分类日距离该项投资到期日或赎回日较近(如到期前三个月内)，且市场利率变化对该项</w:t>
      </w:r>
      <w:r>
        <w:rPr>
          <w:w w:val="99"/>
        </w:rPr>
        <w:t> </w:t>
      </w:r>
      <w:r>
        <w:rPr/>
        <w:t>投资的公允价值没有显著影响。</w:t>
      </w:r>
    </w:p>
    <w:p>
      <w:pPr>
        <w:pStyle w:val="BodyText"/>
        <w:spacing w:line="240" w:lineRule="auto"/>
        <w:ind w:left="532" w:right="104"/>
        <w:jc w:val="left"/>
      </w:pPr>
      <w:r>
        <w:rPr/>
        <w:t>②根据合同约定的偿付方式，企业已收回几乎所有初始本金。</w:t>
      </w:r>
    </w:p>
    <w:p>
      <w:pPr>
        <w:pStyle w:val="BodyText"/>
        <w:spacing w:line="273" w:lineRule="auto" w:before="37"/>
        <w:ind w:left="532" w:right="104"/>
        <w:jc w:val="left"/>
      </w:pPr>
      <w:r>
        <w:rPr/>
        <w:t>③出售或重分类是由于企业无法控制、预期不会重复发生且难以合理预计的独立事件所引起。</w:t>
      </w:r>
      <w:r>
        <w:rPr>
          <w:w w:val="99"/>
        </w:rPr>
        <w:t> </w:t>
      </w:r>
      <w:r>
        <w:rPr/>
        <w:t>4）可供出售金融资产</w:t>
      </w:r>
      <w:r>
        <w:rPr>
          <w:w w:val="99"/>
        </w:rPr>
        <w:t> </w:t>
      </w:r>
      <w:r>
        <w:rPr>
          <w:w w:val="95"/>
        </w:rPr>
        <w:t>可供出售金融资产，是指初始确认时即指定为可供出售的非衍生金融资产，以及除其他金融资产类别</w:t>
      </w:r>
      <w:r>
        <w:rPr/>
      </w:r>
    </w:p>
    <w:p>
      <w:pPr>
        <w:pStyle w:val="BodyText"/>
        <w:spacing w:line="273" w:lineRule="auto"/>
        <w:ind w:left="532" w:right="104" w:hanging="420"/>
        <w:jc w:val="left"/>
      </w:pPr>
      <w:r>
        <w:rPr/>
        <w:t>以外的金融资产。</w:t>
      </w:r>
      <w:r>
        <w:rPr>
          <w:w w:val="99"/>
        </w:rPr>
        <w:t> </w:t>
      </w:r>
      <w:r>
        <w:rPr>
          <w:w w:val="95"/>
        </w:rPr>
        <w:t>本公司对可供出售金融资产，在取得时按公允价值（扣除已宣告但尚未发放的现金股利或已到付息期</w:t>
      </w:r>
      <w:r>
        <w:rPr/>
      </w:r>
    </w:p>
    <w:p>
      <w:pPr>
        <w:pStyle w:val="BodyText"/>
        <w:spacing w:line="273" w:lineRule="auto"/>
        <w:ind w:right="132"/>
        <w:jc w:val="both"/>
      </w:pPr>
      <w:r>
        <w:rPr>
          <w:w w:val="95"/>
        </w:rPr>
        <w:t>但尚未领取的债券利息）和相关交易费用之和作为初始确认金额。持有期间将取得的利息或现金股利确认</w:t>
      </w:r>
      <w:r>
        <w:rPr>
          <w:spacing w:val="40"/>
          <w:w w:val="95"/>
        </w:rPr>
        <w:t> </w:t>
      </w:r>
      <w:r>
        <w:rPr>
          <w:spacing w:val="40"/>
          <w:w w:val="95"/>
        </w:rPr>
      </w:r>
      <w:r>
        <w:rPr>
          <w:w w:val="95"/>
        </w:rPr>
        <w:t>为投资收益。可供出售金融资产的公允价值变动形成的利得或损失，除减值损失和外币货币性金融资产形</w:t>
      </w:r>
      <w:r>
        <w:rPr>
          <w:spacing w:val="38"/>
          <w:w w:val="95"/>
        </w:rPr>
        <w:t> </w:t>
      </w:r>
      <w:r>
        <w:rPr>
          <w:spacing w:val="38"/>
          <w:w w:val="95"/>
        </w:rPr>
      </w:r>
      <w:r>
        <w:rPr>
          <w:w w:val="95"/>
        </w:rPr>
        <w:t>成的汇兑差额外，直接计入其他综合收益。处置可供出售金融资产时，将取得的价款与该金融资产账面价</w:t>
      </w:r>
      <w:r>
        <w:rPr>
          <w:spacing w:val="40"/>
          <w:w w:val="95"/>
        </w:rPr>
        <w:t> </w:t>
      </w:r>
      <w:r>
        <w:rPr>
          <w:spacing w:val="40"/>
          <w:w w:val="95"/>
        </w:rPr>
      </w:r>
      <w:r>
        <w:rPr>
          <w:w w:val="95"/>
        </w:rPr>
        <w:t>值之间的差额，计入投资损益；同时，将原直接计入其他综合收益的公允价值变动累计额对应处置部分的</w:t>
      </w:r>
      <w:r>
        <w:rPr/>
      </w:r>
    </w:p>
    <w:p>
      <w:pPr>
        <w:spacing w:after="0" w:line="273" w:lineRule="auto"/>
        <w:jc w:val="both"/>
        <w:sectPr>
          <w:pgSz w:w="11910" w:h="16840"/>
          <w:pgMar w:header="746" w:footer="978" w:top="1040" w:bottom="1160" w:left="1020" w:right="1000"/>
        </w:sectPr>
      </w:pPr>
    </w:p>
    <w:p>
      <w:pPr>
        <w:spacing w:line="240" w:lineRule="auto" w:before="6"/>
        <w:rPr>
          <w:rFonts w:ascii="宋体" w:hAnsi="宋体" w:cs="宋体" w:eastAsia="宋体" w:hint="default"/>
          <w:sz w:val="25"/>
          <w:szCs w:val="25"/>
        </w:rPr>
      </w:pPr>
    </w:p>
    <w:p>
      <w:pPr>
        <w:pStyle w:val="BodyText"/>
        <w:spacing w:line="273" w:lineRule="auto" w:before="34"/>
        <w:ind w:left="532" w:right="0" w:hanging="420"/>
        <w:jc w:val="left"/>
      </w:pPr>
      <w:r>
        <w:rPr/>
        <w:t>金额转出，计入投资损益。</w:t>
      </w:r>
      <w:r>
        <w:rPr>
          <w:w w:val="99"/>
        </w:rPr>
        <w:t> </w:t>
      </w:r>
      <w:r>
        <w:rPr>
          <w:w w:val="95"/>
        </w:rPr>
        <w:t>本公司对在活跃市场中没有报价且其公允价值不能可靠计量的权益工具投资，以及与该权益工具挂钩</w:t>
      </w:r>
      <w:r>
        <w:rPr/>
      </w:r>
    </w:p>
    <w:p>
      <w:pPr>
        <w:pStyle w:val="BodyText"/>
        <w:spacing w:line="273" w:lineRule="auto"/>
        <w:ind w:left="532" w:right="2753" w:hanging="420"/>
        <w:jc w:val="left"/>
      </w:pPr>
      <w:r>
        <w:rPr>
          <w:w w:val="95"/>
        </w:rPr>
        <w:t>并须通过交付该权益工具结算的衍生金融资产，按照成本计量。</w:t>
      </w:r>
      <w:r>
        <w:rPr>
          <w:spacing w:val="78"/>
          <w:w w:val="95"/>
        </w:rPr>
        <w:t> </w:t>
      </w:r>
      <w:r>
        <w:rPr>
          <w:spacing w:val="78"/>
          <w:w w:val="95"/>
        </w:rPr>
      </w:r>
      <w:r>
        <w:rPr/>
        <w:t>5）其他金融负债</w:t>
      </w:r>
    </w:p>
    <w:p>
      <w:pPr>
        <w:pStyle w:val="BodyText"/>
        <w:spacing w:line="240" w:lineRule="auto"/>
        <w:ind w:left="532" w:right="0"/>
        <w:jc w:val="left"/>
      </w:pPr>
      <w:r>
        <w:rPr/>
        <w:t>按其公允价值和相关交易费用之和作为初始确认金额。采用摊余成本进行后续计量。</w:t>
      </w:r>
    </w:p>
    <w:p>
      <w:pPr>
        <w:spacing w:line="273" w:lineRule="auto" w:before="3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（3）金融资产转移的确认依据和计量方法</w:t>
      </w:r>
      <w:r>
        <w:rPr>
          <w:rFonts w:ascii="宋体" w:hAnsi="宋体" w:cs="宋体" w:eastAsia="宋体" w:hint="default"/>
          <w:b/>
          <w:bCs/>
          <w:w w:val="99"/>
          <w:sz w:val="21"/>
          <w:szCs w:val="21"/>
        </w:rPr>
        <w:t> </w:t>
      </w:r>
      <w:r>
        <w:rPr>
          <w:rFonts w:ascii="宋体" w:hAnsi="宋体" w:cs="宋体" w:eastAsia="宋体" w:hint="default"/>
          <w:w w:val="95"/>
          <w:sz w:val="21"/>
          <w:szCs w:val="21"/>
        </w:rPr>
        <w:t>公司发生金融资产转移时，如已将金融资产所有权上几乎所有的风险和报酬转移给转入方，则终止确</w:t>
      </w:r>
      <w:r>
        <w:rPr>
          <w:rFonts w:ascii="宋体" w:hAnsi="宋体" w:cs="宋体" w:eastAsia="宋体" w:hint="default"/>
          <w:sz w:val="21"/>
          <w:szCs w:val="21"/>
        </w:rPr>
      </w:r>
    </w:p>
    <w:p>
      <w:pPr>
        <w:pStyle w:val="BodyText"/>
        <w:spacing w:line="273" w:lineRule="auto"/>
        <w:ind w:left="532" w:right="0" w:hanging="420"/>
        <w:jc w:val="left"/>
      </w:pPr>
      <w:r>
        <w:rPr/>
        <w:t>认该金融资产；如保留了金融资产所有权上几乎所有的风险和报酬的，则不终止确认该金融资产。</w:t>
      </w:r>
      <w:r>
        <w:rPr>
          <w:w w:val="99"/>
        </w:rPr>
        <w:t> </w:t>
      </w:r>
      <w:r>
        <w:rPr>
          <w:w w:val="95"/>
        </w:rPr>
        <w:t>在判断金融资产转移是否满足上述金融资产终止确认条件时，采用实质重于形式的原则。公司将金融</w:t>
      </w:r>
      <w:r>
        <w:rPr/>
      </w:r>
    </w:p>
    <w:p>
      <w:pPr>
        <w:pStyle w:val="BodyText"/>
        <w:spacing w:line="273" w:lineRule="auto"/>
        <w:ind w:right="112"/>
        <w:jc w:val="both"/>
      </w:pPr>
      <w:r>
        <w:rPr>
          <w:w w:val="95"/>
        </w:rPr>
        <w:t>资产转移区分为金融资产整体转移和部分转移。金融资产整体转移满足终止确认条件的，将下列两项金额</w:t>
      </w:r>
      <w:r>
        <w:rPr>
          <w:spacing w:val="40"/>
          <w:w w:val="95"/>
        </w:rPr>
        <w:t> </w:t>
      </w:r>
      <w:r>
        <w:rPr>
          <w:spacing w:val="40"/>
          <w:w w:val="95"/>
        </w:rPr>
      </w:r>
      <w:r>
        <w:rPr/>
        <w:t>的差额计入当期损益：</w:t>
      </w:r>
    </w:p>
    <w:p>
      <w:pPr>
        <w:pStyle w:val="BodyText"/>
        <w:spacing w:line="240" w:lineRule="auto"/>
        <w:ind w:left="638" w:right="0"/>
        <w:jc w:val="left"/>
      </w:pPr>
      <w:r>
        <w:rPr/>
        <w:t>1）所转移金融资产的账面价值；</w:t>
      </w:r>
    </w:p>
    <w:p>
      <w:pPr>
        <w:pStyle w:val="BodyText"/>
        <w:spacing w:line="273" w:lineRule="auto" w:before="37"/>
        <w:ind w:right="0" w:firstLine="525"/>
        <w:jc w:val="left"/>
      </w:pPr>
      <w:r>
        <w:rPr>
          <w:w w:val="95"/>
        </w:rPr>
        <w:t>2）因转移而收到的对价，与原直接计入所有者权益的公允价值变动累计额（涉及转移的金融资产为</w:t>
      </w:r>
      <w:r>
        <w:rPr>
          <w:w w:val="99"/>
        </w:rPr>
        <w:t> </w:t>
      </w:r>
      <w:r>
        <w:rPr/>
        <w:t>可供出售金融资产的情形）之和。</w:t>
      </w:r>
    </w:p>
    <w:p>
      <w:pPr>
        <w:pStyle w:val="BodyText"/>
        <w:spacing w:line="273" w:lineRule="auto"/>
        <w:ind w:right="115" w:firstLine="420"/>
        <w:jc w:val="both"/>
      </w:pPr>
      <w:r>
        <w:rPr>
          <w:w w:val="95"/>
        </w:rPr>
        <w:t>金融资产部分转移满足终止确认条件的，将所转移金融资产整体的账面价值，在终止确认部分和未终</w:t>
      </w:r>
      <w:r>
        <w:rPr>
          <w:w w:val="99"/>
        </w:rPr>
        <w:t> </w:t>
      </w:r>
      <w:r>
        <w:rPr/>
        <w:t>止确认部分之间，按照各自的相对公允价值进行分摊，并将下列两项金额的差额计入当期损益：</w:t>
      </w:r>
    </w:p>
    <w:p>
      <w:pPr>
        <w:pStyle w:val="BodyText"/>
        <w:spacing w:line="240" w:lineRule="auto"/>
        <w:ind w:left="638" w:right="0"/>
        <w:jc w:val="left"/>
      </w:pPr>
      <w:r>
        <w:rPr/>
        <w:t>1）终止确认部分的账面价值；</w:t>
      </w:r>
    </w:p>
    <w:p>
      <w:pPr>
        <w:pStyle w:val="BodyText"/>
        <w:spacing w:line="273" w:lineRule="auto" w:before="37"/>
        <w:ind w:right="0" w:firstLine="525"/>
        <w:jc w:val="left"/>
      </w:pPr>
      <w:r>
        <w:rPr>
          <w:w w:val="95"/>
        </w:rPr>
        <w:t>2）终止确认部分的对价，与原直接计入所有者权益的公允价值变动累计额中对应终止确认部分的金</w:t>
      </w:r>
      <w:r>
        <w:rPr>
          <w:w w:val="99"/>
        </w:rPr>
        <w:t> </w:t>
      </w:r>
      <w:r>
        <w:rPr/>
        <w:t>额（涉及转移的金融资产为可供出售金融资产的情形）之和。</w:t>
      </w:r>
    </w:p>
    <w:p>
      <w:pPr>
        <w:pStyle w:val="BodyText"/>
        <w:spacing w:line="240" w:lineRule="auto"/>
        <w:ind w:left="532" w:right="0"/>
        <w:jc w:val="left"/>
      </w:pPr>
      <w:r>
        <w:rPr/>
        <w:t>金融资产转移不满足终止确认条件的，继续确认该金融资产，所收到的对价确认为一项金融负债。</w:t>
      </w:r>
    </w:p>
    <w:p>
      <w:pPr>
        <w:spacing w:line="273" w:lineRule="auto" w:before="3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（4）金融负债终止确认条件</w:t>
      </w:r>
      <w:r>
        <w:rPr>
          <w:rFonts w:ascii="宋体" w:hAnsi="宋体" w:cs="宋体" w:eastAsia="宋体" w:hint="default"/>
          <w:b/>
          <w:bCs/>
          <w:w w:val="99"/>
          <w:sz w:val="21"/>
          <w:szCs w:val="21"/>
        </w:rPr>
        <w:t> </w:t>
      </w:r>
      <w:r>
        <w:rPr>
          <w:rFonts w:ascii="宋体" w:hAnsi="宋体" w:cs="宋体" w:eastAsia="宋体" w:hint="default"/>
          <w:w w:val="95"/>
          <w:sz w:val="21"/>
          <w:szCs w:val="21"/>
        </w:rPr>
        <w:t>金融负债的现时义务全部或部分已经解除的，则终止确认该金融负债或其一部分；本公司若与债权人</w:t>
      </w:r>
      <w:r>
        <w:rPr>
          <w:rFonts w:ascii="宋体" w:hAnsi="宋体" w:cs="宋体" w:eastAsia="宋体" w:hint="default"/>
          <w:sz w:val="21"/>
          <w:szCs w:val="21"/>
        </w:rPr>
      </w:r>
    </w:p>
    <w:p>
      <w:pPr>
        <w:pStyle w:val="BodyText"/>
        <w:spacing w:line="273" w:lineRule="auto"/>
        <w:ind w:right="115"/>
        <w:jc w:val="both"/>
      </w:pPr>
      <w:r>
        <w:rPr>
          <w:w w:val="95"/>
        </w:rPr>
        <w:t>签定协议，以承担新金融负债方式替换现存金融负债，且新金融负债与现存金融负债的合同条款实质上不</w:t>
      </w:r>
      <w:r>
        <w:rPr>
          <w:spacing w:val="37"/>
          <w:w w:val="95"/>
        </w:rPr>
        <w:t> </w:t>
      </w:r>
      <w:r>
        <w:rPr>
          <w:spacing w:val="37"/>
          <w:w w:val="95"/>
        </w:rPr>
      </w:r>
      <w:r>
        <w:rPr/>
        <w:t>同的，则终止确认现存金融负债，并同时确认新金融负债。</w:t>
      </w:r>
    </w:p>
    <w:p>
      <w:pPr>
        <w:pStyle w:val="BodyText"/>
        <w:spacing w:line="273" w:lineRule="auto"/>
        <w:ind w:right="115" w:firstLine="420"/>
        <w:jc w:val="both"/>
      </w:pPr>
      <w:r>
        <w:rPr>
          <w:w w:val="95"/>
        </w:rPr>
        <w:t>对现存金融负债全部或部分合同条款作出实质性修改的，则终止确认现存金融负债或其一部分，同时</w:t>
      </w:r>
      <w:r>
        <w:rPr>
          <w:w w:val="99"/>
        </w:rPr>
        <w:t> </w:t>
      </w:r>
      <w:r>
        <w:rPr/>
        <w:t>将修改条款后的金融负债确认为一项新金融负债。</w:t>
      </w:r>
    </w:p>
    <w:p>
      <w:pPr>
        <w:pStyle w:val="BodyText"/>
        <w:spacing w:line="273" w:lineRule="auto"/>
        <w:ind w:right="115" w:firstLine="420"/>
        <w:jc w:val="both"/>
      </w:pPr>
      <w:r>
        <w:rPr>
          <w:w w:val="95"/>
        </w:rPr>
        <w:t>金融负债全部或部分终止确认时，终止确认的金融负债账面价值与支付对价（包括转出的非现金资产</w:t>
      </w:r>
      <w:r>
        <w:rPr>
          <w:w w:val="99"/>
        </w:rPr>
        <w:t> </w:t>
      </w:r>
      <w:r>
        <w:rPr/>
        <w:t>或承担的新金融负债）之间的差额，计入当期损益。</w:t>
      </w:r>
    </w:p>
    <w:p>
      <w:pPr>
        <w:pStyle w:val="BodyText"/>
        <w:spacing w:line="273" w:lineRule="auto"/>
        <w:ind w:right="112" w:firstLine="420"/>
        <w:jc w:val="both"/>
      </w:pPr>
      <w:r>
        <w:rPr>
          <w:w w:val="95"/>
        </w:rPr>
        <w:t>本公司若回购部分金融负债的，在回购日按照继续确认部分与终止确认部分的相对公允价值，将该金</w:t>
      </w:r>
      <w:r>
        <w:rPr>
          <w:w w:val="99"/>
        </w:rPr>
        <w:t> </w:t>
      </w:r>
      <w:r>
        <w:rPr>
          <w:w w:val="95"/>
        </w:rPr>
        <w:t>融负债整体的账面价值进行分配。分配给终止确认部分的账面价值与支付的对价（包括转出的非现金资产</w:t>
      </w:r>
      <w:r>
        <w:rPr>
          <w:spacing w:val="36"/>
          <w:w w:val="95"/>
        </w:rPr>
        <w:t> </w:t>
      </w:r>
      <w:r>
        <w:rPr>
          <w:spacing w:val="36"/>
          <w:w w:val="95"/>
        </w:rPr>
      </w:r>
      <w:r>
        <w:rPr/>
        <w:t>或承担的新金融负债）之间的差额，计入当期损益。</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（5）金融资产和金融负债公允价值的确定方法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本公司采用公允价值计量的金融资产和金融负债存在活跃市场的金融资产或金融负债，以活跃市场的</w:t>
      </w:r>
      <w:r>
        <w:rPr>
          <w:rFonts w:ascii="宋体" w:hAnsi="宋体" w:cs="宋体" w:eastAsia="宋体" w:hint="default"/>
          <w:sz w:val="21"/>
          <w:szCs w:val="21"/>
        </w:rPr>
      </w:r>
    </w:p>
    <w:p>
      <w:pPr>
        <w:spacing w:line="278" w:lineRule="auto" w:before="7"/>
        <w:ind w:left="112" w:right="112" w:firstLine="0"/>
        <w:jc w:val="both"/>
        <w:rPr>
          <w:rFonts w:ascii="宋体" w:hAnsi="宋体" w:cs="宋体" w:eastAsia="宋体" w:hint="default"/>
          <w:sz w:val="21"/>
          <w:szCs w:val="21"/>
        </w:rPr>
      </w:pPr>
      <w:r>
        <w:rPr>
          <w:rFonts w:ascii="宋体" w:hAnsi="宋体" w:cs="宋体" w:eastAsia="宋体" w:hint="default"/>
          <w:w w:val="95"/>
          <w:sz w:val="21"/>
          <w:szCs w:val="21"/>
        </w:rPr>
        <w:t>报价确定其公允价值；初始取得或衍生的金融资产或承担的金融负债，以市场交易价格作为确定其公允价</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值的基础；不存在活跃市场的金融资产或金融负债，采用估值技术确定其公允价值。</w:t>
      </w:r>
      <w:r>
        <w:rPr>
          <w:rFonts w:ascii="宋体" w:hAnsi="宋体" w:cs="宋体" w:eastAsia="宋体" w:hint="default"/>
          <w:sz w:val="20"/>
          <w:szCs w:val="20"/>
        </w:rPr>
        <w:t>在估值时，本公司采</w:t>
      </w:r>
      <w:r>
        <w:rPr>
          <w:rFonts w:ascii="宋体" w:hAnsi="宋体" w:cs="宋体" w:eastAsia="宋体" w:hint="default"/>
          <w:w w:val="99"/>
          <w:sz w:val="20"/>
          <w:szCs w:val="20"/>
        </w:rPr>
        <w:t> </w:t>
      </w:r>
      <w:r>
        <w:rPr>
          <w:rFonts w:ascii="宋体" w:hAnsi="宋体" w:cs="宋体" w:eastAsia="宋体" w:hint="default"/>
          <w:sz w:val="20"/>
          <w:szCs w:val="20"/>
        </w:rPr>
        <w:t>用在当前情况下适用并且有足够可利用数据和其他信息支持的估值技术，选择与市场参与者在相关资产或负债</w:t>
      </w:r>
      <w:r>
        <w:rPr>
          <w:rFonts w:ascii="宋体" w:hAnsi="宋体" w:cs="宋体" w:eastAsia="宋体" w:hint="default"/>
          <w:w w:val="99"/>
          <w:sz w:val="20"/>
          <w:szCs w:val="20"/>
        </w:rPr>
        <w:t> </w:t>
      </w:r>
      <w:r>
        <w:rPr>
          <w:rFonts w:ascii="宋体" w:hAnsi="宋体" w:cs="宋体" w:eastAsia="宋体" w:hint="default"/>
          <w:sz w:val="20"/>
          <w:szCs w:val="20"/>
        </w:rPr>
        <w:t>的交易中所考虑的资产或负债特征相一致的输入值，并尽可能优先使用相关可观察输入值。在相关可观察输入</w:t>
      </w:r>
      <w:r>
        <w:rPr>
          <w:rFonts w:ascii="宋体" w:hAnsi="宋体" w:cs="宋体" w:eastAsia="宋体" w:hint="default"/>
          <w:w w:val="99"/>
          <w:sz w:val="20"/>
          <w:szCs w:val="20"/>
        </w:rPr>
        <w:t> </w:t>
      </w:r>
      <w:r>
        <w:rPr>
          <w:rFonts w:ascii="宋体" w:hAnsi="宋体" w:cs="宋体" w:eastAsia="宋体" w:hint="default"/>
          <w:sz w:val="20"/>
          <w:szCs w:val="20"/>
        </w:rPr>
        <w:t>值无法取得或取得不切实可行的情况下，使用不可观察输入值</w:t>
      </w:r>
      <w:r>
        <w:rPr>
          <w:rFonts w:ascii="宋体" w:hAnsi="宋体" w:cs="宋体" w:eastAsia="宋体" w:hint="default"/>
          <w:sz w:val="21"/>
          <w:szCs w:val="21"/>
        </w:rPr>
        <w:t>。</w:t>
      </w:r>
    </w:p>
    <w:p>
      <w:pPr>
        <w:spacing w:line="273" w:lineRule="auto" w:before="3"/>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（6）金融资产（不含应收款项）减值准备计提</w:t>
      </w:r>
      <w:r>
        <w:rPr>
          <w:rFonts w:ascii="宋体" w:hAnsi="宋体" w:cs="宋体" w:eastAsia="宋体" w:hint="default"/>
          <w:b/>
          <w:bCs/>
          <w:w w:val="99"/>
          <w:sz w:val="21"/>
          <w:szCs w:val="21"/>
        </w:rPr>
        <w:t> </w:t>
      </w:r>
      <w:r>
        <w:rPr>
          <w:rFonts w:ascii="宋体" w:hAnsi="宋体" w:cs="宋体" w:eastAsia="宋体" w:hint="default"/>
          <w:w w:val="95"/>
          <w:sz w:val="21"/>
          <w:szCs w:val="21"/>
        </w:rPr>
        <w:t>资产负债表日对以公允价值计量且其变动计入当期损益的金融资产以外的金融资产的账面价值进行</w:t>
      </w:r>
      <w:r>
        <w:rPr>
          <w:rFonts w:ascii="宋体" w:hAnsi="宋体" w:cs="宋体" w:eastAsia="宋体" w:hint="default"/>
          <w:sz w:val="21"/>
          <w:szCs w:val="21"/>
        </w:rPr>
      </w:r>
    </w:p>
    <w:p>
      <w:pPr>
        <w:pStyle w:val="BodyText"/>
        <w:spacing w:line="273" w:lineRule="auto"/>
        <w:ind w:left="532" w:right="2753" w:hanging="420"/>
        <w:jc w:val="left"/>
      </w:pPr>
      <w:r>
        <w:rPr>
          <w:w w:val="95"/>
        </w:rPr>
        <w:t>检查，如有客观证据表明该金融资产发生减值的，计提减值准备。</w:t>
      </w:r>
      <w:r>
        <w:rPr>
          <w:spacing w:val="89"/>
          <w:w w:val="95"/>
        </w:rPr>
        <w:t> </w:t>
      </w:r>
      <w:r>
        <w:rPr>
          <w:spacing w:val="89"/>
          <w:w w:val="95"/>
        </w:rPr>
      </w:r>
      <w:r>
        <w:rPr/>
        <w:t>金融资产发生减值的客观证据，包括但不限于：</w:t>
      </w:r>
      <w:r>
        <w:rPr>
          <w:w w:val="99"/>
        </w:rPr>
        <w:t> </w:t>
      </w:r>
      <w:r>
        <w:rPr/>
        <w:t>1）发行方或债务人发生严重财务困难；</w:t>
      </w:r>
    </w:p>
    <w:p>
      <w:pPr>
        <w:pStyle w:val="BodyText"/>
        <w:spacing w:line="240" w:lineRule="auto"/>
        <w:ind w:left="532" w:right="0"/>
        <w:jc w:val="left"/>
      </w:pPr>
      <w:r>
        <w:rPr/>
        <w:t>2）债务人违反了合同条款，如偿付利息或本金发生违约或逾期等；</w:t>
      </w:r>
    </w:p>
    <w:p>
      <w:pPr>
        <w:spacing w:after="0" w:line="240" w:lineRule="auto"/>
        <w:jc w:val="left"/>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BodyText"/>
        <w:spacing w:line="240" w:lineRule="auto" w:before="34"/>
        <w:ind w:left="572" w:right="0"/>
        <w:jc w:val="left"/>
      </w:pPr>
      <w:r>
        <w:rPr/>
        <w:t>3）债权人出于经济或法律等方面因素的考虑，对发生财务困难的债务人作出让步；</w:t>
      </w:r>
    </w:p>
    <w:p>
      <w:pPr>
        <w:pStyle w:val="BodyText"/>
        <w:spacing w:line="240" w:lineRule="auto" w:before="37"/>
        <w:ind w:left="572" w:right="0"/>
        <w:jc w:val="left"/>
      </w:pPr>
      <w:r>
        <w:rPr/>
        <w:t>4）债务人很可能倒闭或进行其他财务重组；</w:t>
      </w:r>
    </w:p>
    <w:p>
      <w:pPr>
        <w:pStyle w:val="BodyText"/>
        <w:spacing w:line="240" w:lineRule="auto" w:before="37"/>
        <w:ind w:left="572" w:right="0"/>
        <w:jc w:val="left"/>
      </w:pPr>
      <w:r>
        <w:rPr/>
        <w:t>5）因发行方发生重大财务困难，该金融资产无法在活跃市场继续交易；</w:t>
      </w:r>
    </w:p>
    <w:p>
      <w:pPr>
        <w:pStyle w:val="BodyText"/>
        <w:spacing w:line="273" w:lineRule="auto" w:before="37"/>
        <w:ind w:left="152" w:right="0" w:firstLine="420"/>
        <w:jc w:val="left"/>
      </w:pPr>
      <w:r>
        <w:rPr/>
        <w:t>6）无法辨认一组金融资产中的某项资产的现金流量是否已经减少，但根据公开的数据对其进行总体</w:t>
      </w:r>
      <w:r>
        <w:rPr>
          <w:w w:val="99"/>
        </w:rPr>
        <w:t> </w:t>
      </w:r>
      <w:r>
        <w:rPr>
          <w:w w:val="95"/>
        </w:rPr>
        <w:t>评价后发现，该组金融资产自初始确认以来的预计未来现金流量确已减少且可计量，如该组金融资产的债</w:t>
      </w:r>
      <w:r>
        <w:rPr>
          <w:spacing w:val="40"/>
          <w:w w:val="95"/>
        </w:rPr>
        <w:t> </w:t>
      </w:r>
      <w:r>
        <w:rPr>
          <w:spacing w:val="40"/>
          <w:w w:val="95"/>
        </w:rPr>
      </w:r>
      <w:r>
        <w:rPr>
          <w:w w:val="95"/>
        </w:rPr>
        <w:t>务人支付能力逐步恶化，或债务人所在国家或地区失业率提高、担保物在其所在地区的价格明显下降、所</w:t>
      </w:r>
      <w:r>
        <w:rPr>
          <w:spacing w:val="40"/>
          <w:w w:val="95"/>
        </w:rPr>
        <w:t> </w:t>
      </w:r>
      <w:r>
        <w:rPr>
          <w:spacing w:val="40"/>
          <w:w w:val="95"/>
        </w:rPr>
      </w:r>
      <w:r>
        <w:rPr/>
        <w:t>处行业不景气等；</w:t>
      </w:r>
    </w:p>
    <w:p>
      <w:pPr>
        <w:pStyle w:val="BodyText"/>
        <w:spacing w:line="273" w:lineRule="auto"/>
        <w:ind w:left="152" w:right="196" w:firstLine="420"/>
        <w:jc w:val="both"/>
      </w:pPr>
      <w:r>
        <w:rPr>
          <w:w w:val="95"/>
        </w:rPr>
        <w:t>7）权益工具发行方经营所处的技术、市场、经济或法律环境等发生重大不利变化，使权益工具投资</w:t>
      </w:r>
      <w:r>
        <w:rPr>
          <w:spacing w:val="-85"/>
          <w:w w:val="95"/>
        </w:rPr>
        <w:t> </w:t>
      </w:r>
      <w:r>
        <w:rPr>
          <w:spacing w:val="-85"/>
          <w:w w:val="95"/>
        </w:rPr>
      </w:r>
      <w:r>
        <w:rPr/>
        <w:t>人可能无法收回投资成本；</w:t>
      </w:r>
    </w:p>
    <w:p>
      <w:pPr>
        <w:pStyle w:val="BodyText"/>
        <w:spacing w:line="273" w:lineRule="auto"/>
        <w:ind w:left="572" w:right="3614"/>
        <w:jc w:val="left"/>
      </w:pPr>
      <w:r>
        <w:rPr>
          <w:w w:val="95"/>
        </w:rPr>
        <w:t>8）权益工具投资的公允价值发生严重或非暂时性下跌；</w:t>
      </w:r>
      <w:r>
        <w:rPr>
          <w:spacing w:val="44"/>
          <w:w w:val="95"/>
        </w:rPr>
        <w:t> </w:t>
      </w:r>
      <w:r>
        <w:rPr>
          <w:spacing w:val="44"/>
          <w:w w:val="95"/>
        </w:rPr>
      </w:r>
      <w:r>
        <w:rPr/>
        <w:t>金融资产的具体减值方法如下：</w:t>
      </w:r>
      <w:r>
        <w:rPr>
          <w:w w:val="99"/>
        </w:rPr>
        <w:t> </w:t>
      </w:r>
      <w:r>
        <w:rPr/>
        <w:t>1）可供出售金融资产的减值准备</w:t>
      </w:r>
    </w:p>
    <w:p>
      <w:pPr>
        <w:pStyle w:val="BodyText"/>
        <w:spacing w:line="273" w:lineRule="auto"/>
        <w:ind w:left="152" w:right="112" w:firstLine="420"/>
        <w:jc w:val="both"/>
      </w:pPr>
      <w:r>
        <w:rPr>
          <w:w w:val="95"/>
        </w:rPr>
        <w:t>本公司于资产负债表日对各项可供出售金融资产采用个别认定的方式评估减值损失，其中：表明可供</w:t>
      </w:r>
      <w:r>
        <w:rPr>
          <w:w w:val="99"/>
        </w:rPr>
        <w:t> </w:t>
      </w:r>
      <w:r>
        <w:rPr>
          <w:w w:val="95"/>
        </w:rPr>
        <w:t>出售权益工具投资发生减值的客观证据包括权益工具投资的公允价值发生严重或非暂时性下跌，具体量化</w:t>
      </w:r>
      <w:r>
        <w:rPr>
          <w:spacing w:val="37"/>
          <w:w w:val="95"/>
        </w:rPr>
        <w:t> </w:t>
      </w:r>
      <w:r>
        <w:rPr>
          <w:spacing w:val="37"/>
          <w:w w:val="95"/>
        </w:rPr>
      </w:r>
      <w:r>
        <w:rPr>
          <w:w w:val="95"/>
        </w:rPr>
        <w:t>标准为：若该权益工具投资于资产负债表日的公允价值低于其成本超过50%（含50%）或低于其成本持续时</w:t>
      </w:r>
      <w:r>
        <w:rPr>
          <w:spacing w:val="40"/>
          <w:w w:val="95"/>
        </w:rPr>
        <w:t> </w:t>
      </w:r>
      <w:r>
        <w:rPr>
          <w:spacing w:val="40"/>
          <w:w w:val="95"/>
        </w:rPr>
      </w:r>
      <w:r>
        <w:rPr/>
        <w:t>间超过一年（含一年）的，则表明其发生减值。</w:t>
      </w:r>
    </w:p>
    <w:p>
      <w:pPr>
        <w:pStyle w:val="BodyText"/>
        <w:spacing w:line="273" w:lineRule="auto"/>
        <w:ind w:left="152" w:right="110" w:firstLine="420"/>
        <w:jc w:val="both"/>
      </w:pPr>
      <w:r>
        <w:rPr>
          <w:w w:val="95"/>
        </w:rPr>
        <w:t>上段所述“成本”按照可供出售权益工具投资的初始取得成本扣除已收回本金和已摊销金额、原已计</w:t>
      </w:r>
      <w:r>
        <w:rPr>
          <w:w w:val="99"/>
        </w:rPr>
        <w:t> </w:t>
      </w:r>
      <w:r>
        <w:rPr>
          <w:w w:val="95"/>
        </w:rPr>
        <w:t>入损益的减值损失确定；“公允价值”根据证券交易所期末收盘价确定，除非该项可供出售权益工具投资</w:t>
      </w:r>
      <w:r>
        <w:rPr>
          <w:spacing w:val="43"/>
          <w:w w:val="95"/>
        </w:rPr>
        <w:t> </w:t>
      </w:r>
      <w:r>
        <w:rPr>
          <w:spacing w:val="43"/>
          <w:w w:val="95"/>
        </w:rPr>
      </w:r>
      <w:r>
        <w:rPr>
          <w:w w:val="95"/>
        </w:rPr>
        <w:t>存在限售期。对于存在限售期的可供出售权益工具投资，按照证券交易所期末收盘价扣除市场参与者因承</w:t>
      </w:r>
      <w:r>
        <w:rPr>
          <w:spacing w:val="40"/>
          <w:w w:val="95"/>
        </w:rPr>
        <w:t> </w:t>
      </w:r>
      <w:r>
        <w:rPr>
          <w:spacing w:val="40"/>
          <w:w w:val="95"/>
        </w:rPr>
      </w:r>
      <w:r>
        <w:rPr/>
        <w:t>担指定期间内无法在公开市场上出售该权益工具的风险而要求获得的补偿金额后确定。</w:t>
      </w:r>
    </w:p>
    <w:p>
      <w:pPr>
        <w:pStyle w:val="BodyText"/>
        <w:spacing w:line="273" w:lineRule="auto"/>
        <w:ind w:left="152" w:right="110" w:firstLine="420"/>
        <w:jc w:val="both"/>
      </w:pPr>
      <w:r>
        <w:rPr>
          <w:w w:val="95"/>
        </w:rPr>
        <w:t>可供出售金融资产发生减值时，即使该金融资产没有终止确认，本公司将原直接计入其他综合收益的</w:t>
      </w:r>
      <w:r>
        <w:rPr>
          <w:w w:val="99"/>
        </w:rPr>
        <w:t> </w:t>
      </w:r>
      <w:r>
        <w:rPr>
          <w:w w:val="95"/>
        </w:rPr>
        <w:t>因公允价值下降形成的累计损失从其他综合收益转出，计入当期损益。该转出的累计损失，等于可供出售</w:t>
      </w:r>
      <w:r>
        <w:rPr>
          <w:spacing w:val="43"/>
          <w:w w:val="95"/>
        </w:rPr>
        <w:t> </w:t>
      </w:r>
      <w:r>
        <w:rPr>
          <w:spacing w:val="43"/>
          <w:w w:val="95"/>
        </w:rPr>
      </w:r>
      <w:r>
        <w:rPr>
          <w:w w:val="95"/>
        </w:rPr>
        <w:t>金融资产的初始取得成本扣除已收回本金和已摊余金额、当前公允价值和原已计入损益的减值损失后的余   </w:t>
      </w:r>
      <w:r>
        <w:rPr>
          <w:spacing w:val="39"/>
          <w:w w:val="95"/>
        </w:rPr>
        <w:t> </w:t>
      </w:r>
      <w:r>
        <w:rPr>
          <w:spacing w:val="39"/>
          <w:w w:val="95"/>
        </w:rPr>
      </w:r>
      <w:r>
        <w:rPr/>
        <w:t>额。</w:t>
      </w:r>
    </w:p>
    <w:p>
      <w:pPr>
        <w:pStyle w:val="BodyText"/>
        <w:spacing w:line="273" w:lineRule="auto"/>
        <w:ind w:left="152" w:right="112" w:firstLine="420"/>
        <w:jc w:val="both"/>
      </w:pPr>
      <w:r>
        <w:rPr>
          <w:w w:val="95"/>
        </w:rPr>
        <w:t>对于已确认减值损失的可供出售债务工具，在随后的会计期间公允价值已上升且客观上与确认原减值</w:t>
      </w:r>
      <w:r>
        <w:rPr>
          <w:w w:val="99"/>
        </w:rPr>
        <w:t> </w:t>
      </w:r>
      <w:r>
        <w:rPr>
          <w:w w:val="95"/>
        </w:rPr>
        <w:t>损失后发生的事项有关的，原确认的减值损失予以转回计入当期损益；对于可供出售权益工具投资发生的</w:t>
      </w:r>
      <w:r>
        <w:rPr>
          <w:spacing w:val="40"/>
          <w:w w:val="95"/>
        </w:rPr>
        <w:t> </w:t>
      </w:r>
      <w:r>
        <w:rPr>
          <w:spacing w:val="40"/>
          <w:w w:val="95"/>
        </w:rPr>
      </w:r>
      <w:r>
        <w:rPr>
          <w:w w:val="95"/>
        </w:rPr>
        <w:t>减值损失，在该权益工具价值回升时通过权益转回；但在活跃市场中没有报价且其公允价值不能可靠计量</w:t>
      </w:r>
      <w:r>
        <w:rPr>
          <w:spacing w:val="40"/>
          <w:w w:val="95"/>
        </w:rPr>
        <w:t> </w:t>
      </w:r>
      <w:r>
        <w:rPr>
          <w:spacing w:val="40"/>
          <w:w w:val="95"/>
        </w:rPr>
      </w:r>
      <w:r>
        <w:rPr>
          <w:w w:val="95"/>
        </w:rPr>
        <w:t>的权益工具投资，或与该权益工具挂钩并须通过交付该权益工具结算的衍生金融资产发生的减值损失，不</w:t>
      </w:r>
      <w:r>
        <w:rPr>
          <w:spacing w:val="40"/>
          <w:w w:val="95"/>
        </w:rPr>
        <w:t> </w:t>
      </w:r>
      <w:r>
        <w:rPr>
          <w:spacing w:val="40"/>
          <w:w w:val="95"/>
        </w:rPr>
      </w:r>
      <w:r>
        <w:rPr/>
        <w:t>得转回。</w:t>
      </w:r>
    </w:p>
    <w:p>
      <w:pPr>
        <w:pStyle w:val="BodyText"/>
        <w:spacing w:line="273" w:lineRule="auto"/>
        <w:ind w:left="572" w:right="0"/>
        <w:jc w:val="left"/>
      </w:pPr>
      <w:r>
        <w:rPr/>
        <w:t>2）持有至到期投资的减值准备</w:t>
      </w:r>
      <w:r>
        <w:rPr>
          <w:w w:val="99"/>
        </w:rPr>
        <w:t> </w:t>
      </w:r>
      <w:r>
        <w:rPr>
          <w:w w:val="95"/>
        </w:rPr>
        <w:t>对于持有至到期投资，有客观证据表明其发生了减值的，根据其账面价值与预计未来现金流量现值之</w:t>
      </w:r>
      <w:r>
        <w:rPr/>
      </w:r>
    </w:p>
    <w:p>
      <w:pPr>
        <w:pStyle w:val="BodyText"/>
        <w:spacing w:line="273" w:lineRule="auto"/>
        <w:ind w:left="152" w:right="0"/>
        <w:jc w:val="left"/>
      </w:pPr>
      <w:r>
        <w:rPr>
          <w:w w:val="95"/>
        </w:rPr>
        <w:t>间差额计算确认减值损失；计提后如有证据表明其价值已恢复，原确认的减值损失可予以转回，记入当期</w:t>
      </w:r>
      <w:r>
        <w:rPr>
          <w:spacing w:val="37"/>
          <w:w w:val="95"/>
        </w:rPr>
        <w:t> </w:t>
      </w:r>
      <w:r>
        <w:rPr>
          <w:spacing w:val="37"/>
          <w:w w:val="95"/>
        </w:rPr>
      </w:r>
      <w:r>
        <w:rPr/>
        <w:t>损益，但该转回的账面价值不超过假定不计提减值准备情况下该金融资产在转回日的摊余成本。.</w:t>
      </w:r>
    </w:p>
    <w:p>
      <w:pPr>
        <w:spacing w:line="273" w:lineRule="auto" w:before="7"/>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（7）金融资产及金融负债的抵销</w:t>
      </w:r>
      <w:r>
        <w:rPr>
          <w:rFonts w:ascii="宋体" w:hAnsi="宋体" w:cs="宋体" w:eastAsia="宋体" w:hint="default"/>
          <w:b/>
          <w:bCs/>
          <w:w w:val="99"/>
          <w:sz w:val="21"/>
          <w:szCs w:val="21"/>
        </w:rPr>
        <w:t> </w:t>
      </w:r>
      <w:r>
        <w:rPr>
          <w:rFonts w:ascii="宋体" w:hAnsi="宋体" w:cs="宋体" w:eastAsia="宋体" w:hint="default"/>
          <w:w w:val="95"/>
          <w:sz w:val="21"/>
          <w:szCs w:val="21"/>
        </w:rPr>
        <w:t>金融资产和金融负债在资产负债表内分别列示，没有相互抵销。但是，同时满足下列条件的，以相互</w:t>
      </w:r>
      <w:r>
        <w:rPr>
          <w:rFonts w:ascii="宋体" w:hAnsi="宋体" w:cs="宋体" w:eastAsia="宋体" w:hint="default"/>
          <w:sz w:val="21"/>
          <w:szCs w:val="21"/>
        </w:rPr>
      </w:r>
    </w:p>
    <w:p>
      <w:pPr>
        <w:pStyle w:val="BodyText"/>
        <w:spacing w:line="273" w:lineRule="auto"/>
        <w:ind w:left="572" w:right="0" w:hanging="420"/>
        <w:jc w:val="left"/>
      </w:pPr>
      <w:r>
        <w:rPr/>
        <w:t>抵销后的净额在资产负债表内列示：</w:t>
      </w:r>
      <w:r>
        <w:rPr>
          <w:w w:val="99"/>
        </w:rPr>
        <w:t> </w:t>
      </w:r>
      <w:r>
        <w:rPr>
          <w:w w:val="95"/>
        </w:rPr>
        <w:t>1）本公司具有抵销已确认金额的法定权利，且该种法定权利是当前可执行的；</w:t>
      </w:r>
      <w:r>
        <w:rPr/>
      </w:r>
    </w:p>
    <w:p>
      <w:pPr>
        <w:pStyle w:val="BodyText"/>
        <w:spacing w:line="240" w:lineRule="auto"/>
        <w:ind w:left="572" w:right="0"/>
        <w:jc w:val="left"/>
      </w:pPr>
      <w:r>
        <w:rPr/>
        <w:t>2）本公司计划以净额结算，或同时变现该金融资产和清偿该金融负债。</w:t>
      </w:r>
    </w:p>
    <w:p>
      <w:pPr>
        <w:spacing w:line="240" w:lineRule="auto" w:before="10"/>
        <w:rPr>
          <w:rFonts w:ascii="宋体" w:hAnsi="宋体" w:cs="宋体" w:eastAsia="宋体" w:hint="default"/>
          <w:sz w:val="25"/>
          <w:szCs w:val="25"/>
        </w:rPr>
      </w:pPr>
    </w:p>
    <w:p>
      <w:pPr>
        <w:pStyle w:val="Heading6"/>
        <w:spacing w:line="240" w:lineRule="auto"/>
        <w:ind w:left="152" w:right="7034"/>
        <w:jc w:val="left"/>
        <w:rPr>
          <w:b w:val="0"/>
          <w:bCs w:val="0"/>
        </w:rPr>
      </w:pPr>
      <w:r>
        <w:rPr/>
        <w:t>11、应收款项</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left="152" w:right="0"/>
        <w:jc w:val="left"/>
        <w:rPr>
          <w:b w:val="0"/>
          <w:bCs w:val="0"/>
        </w:rPr>
      </w:pPr>
      <w:r>
        <w:rPr/>
        <w:t>（1）单项金额重大并单独计提坏账准备的应收款项</w:t>
      </w:r>
      <w:r>
        <w:rPr>
          <w:b w:val="0"/>
          <w:bCs w:val="0"/>
        </w:rPr>
      </w:r>
    </w:p>
    <w:p>
      <w:pPr>
        <w:spacing w:line="240" w:lineRule="auto" w:before="7"/>
        <w:rPr>
          <w:rFonts w:ascii="宋体" w:hAnsi="宋体" w:cs="宋体" w:eastAsia="宋体" w:hint="default"/>
          <w:b/>
          <w:bCs/>
          <w:sz w:val="26"/>
          <w:szCs w:val="26"/>
        </w:rPr>
      </w:pPr>
    </w:p>
    <w:p>
      <w:pPr>
        <w:spacing w:line="414"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2;width:3823;height:397" coordorigin="13,12" coordsize="3823,397">
              <v:shape style="position:absolute;left:13;top:12;width:3823;height:397" coordorigin="13,12" coordsize="3823,397" path="m13,12l3836,12,3836,409,13,409,13,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3838;top:5;width:2;height:400" coordorigin="3838,5" coordsize="2,400">
              <v:shape style="position:absolute;left:3838;top:5;width:2;height:400" coordorigin="3838,5" coordsize="0,400" path="m3838,5l3838,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10;top:10;width:3828;height:400" type="#_x0000_t202" filled="false" stroked="false">
                <v:textbox inset="0,0,0,0">
                  <w:txbxContent>
                    <w:p>
                      <w:pPr>
                        <w:spacing w:before="54"/>
                        <w:ind w:left="26" w:right="0" w:firstLine="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xbxContent>
                </v:textbox>
                <w10:wrap type="none"/>
              </v:shape>
              <v:shape style="position:absolute;left:3838;top:10;width:5740;height:400" type="#_x0000_t202" filled="false" stroked="false">
                <v:textbox inset="0,0,0,0">
                  <w:txbxContent>
                    <w:p>
                      <w:pPr>
                        <w:spacing w:before="75"/>
                        <w:ind w:left="26" w:right="0" w:firstLine="0"/>
                        <w:jc w:val="left"/>
                        <w:rPr>
                          <w:rFonts w:ascii="宋体" w:hAnsi="宋体" w:cs="宋体" w:eastAsia="宋体" w:hint="default"/>
                          <w:sz w:val="18"/>
                          <w:szCs w:val="18"/>
                        </w:rPr>
                      </w:pPr>
                      <w:r>
                        <w:rPr>
                          <w:rFonts w:ascii="宋体" w:hAnsi="宋体" w:cs="宋体" w:eastAsia="宋体" w:hint="default"/>
                          <w:sz w:val="18"/>
                          <w:szCs w:val="18"/>
                        </w:rPr>
                        <w:t>本公司将单项金额超过</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万元的应收账款和其他应收款</w:t>
                      </w:r>
                      <w:r>
                        <w:rPr>
                          <w:rFonts w:ascii="宋体" w:hAnsi="宋体" w:cs="宋体" w:eastAsia="宋体" w:hint="default"/>
                          <w:spacing w:val="-75"/>
                          <w:sz w:val="18"/>
                          <w:szCs w:val="18"/>
                        </w:rPr>
                        <w:t>，</w:t>
                      </w:r>
                      <w:r>
                        <w:rPr>
                          <w:rFonts w:ascii="宋体" w:hAnsi="宋体" w:cs="宋体" w:eastAsia="宋体" w:hint="default"/>
                          <w:sz w:val="18"/>
                          <w:szCs w:val="18"/>
                        </w:rPr>
                        <w:t>确定为单项金</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746" w:footer="978" w:top="1040" w:bottom="1160" w:left="980" w:right="1020"/>
        </w:sectPr>
      </w:pPr>
    </w:p>
    <w:p>
      <w:pPr>
        <w:spacing w:line="240" w:lineRule="auto" w:before="2"/>
        <w:rPr>
          <w:rFonts w:ascii="宋体" w:hAnsi="宋体" w:cs="宋体" w:eastAsia="宋体" w:hint="default"/>
          <w:b/>
          <w:bCs/>
          <w:sz w:val="29"/>
          <w:szCs w:val="29"/>
        </w:rPr>
      </w:pPr>
    </w:p>
    <w:tbl>
      <w:tblPr>
        <w:tblW w:w="0" w:type="auto"/>
        <w:jc w:val="left"/>
        <w:tblInd w:w="121" w:type="dxa"/>
        <w:tblLayout w:type="fixed"/>
        <w:tblCellMar>
          <w:top w:w="0" w:type="dxa"/>
          <w:left w:w="0" w:type="dxa"/>
          <w:bottom w:w="0" w:type="dxa"/>
          <w:right w:w="0" w:type="dxa"/>
        </w:tblCellMar>
        <w:tblLook w:val="01E0"/>
      </w:tblPr>
      <w:tblGrid>
        <w:gridCol w:w="3828"/>
        <w:gridCol w:w="5740"/>
      </w:tblGrid>
      <w:tr>
        <w:trPr>
          <w:trHeight w:val="362"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额重大的应收款项。</w:t>
            </w:r>
          </w:p>
        </w:tc>
      </w:tr>
      <w:tr>
        <w:trPr>
          <w:trHeight w:val="1026"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both"/>
              <w:rPr>
                <w:rFonts w:ascii="宋体" w:hAnsi="宋体" w:cs="宋体" w:eastAsia="宋体" w:hint="default"/>
                <w:sz w:val="18"/>
                <w:szCs w:val="18"/>
              </w:rPr>
            </w:pPr>
            <w:r>
              <w:rPr>
                <w:rFonts w:ascii="宋体" w:hAnsi="宋体" w:cs="宋体" w:eastAsia="宋体" w:hint="default"/>
                <w:spacing w:val="-3"/>
                <w:sz w:val="18"/>
                <w:szCs w:val="18"/>
              </w:rPr>
              <w:t>单独进行减值测试，按预计未来现金流量现值低于其账面价值的差额计提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坏账准备，计入当期损益。单独测试未发生减值的应收款项，将其归入相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应组合计提坏账准备。</w:t>
            </w:r>
          </w:p>
        </w:tc>
      </w:tr>
    </w:tbl>
    <w:p>
      <w:pPr>
        <w:spacing w:line="240" w:lineRule="auto" w:before="5"/>
        <w:rPr>
          <w:rFonts w:ascii="宋体" w:hAnsi="宋体" w:cs="宋体" w:eastAsia="宋体" w:hint="default"/>
          <w:b/>
          <w:bCs/>
          <w:sz w:val="19"/>
          <w:szCs w:val="19"/>
        </w:rPr>
      </w:pPr>
    </w:p>
    <w:p>
      <w:pPr>
        <w:pStyle w:val="Heading6"/>
        <w:spacing w:line="240" w:lineRule="auto" w:before="34"/>
        <w:ind w:left="152" w:right="0"/>
        <w:jc w:val="left"/>
        <w:rPr>
          <w:b w:val="0"/>
          <w:bCs w:val="0"/>
        </w:rPr>
      </w:pPr>
      <w:r>
        <w:rPr/>
        <w:t>（2）按信用风险特征组合计提坏账准备的应收款项</w:t>
      </w:r>
      <w:r>
        <w:rPr>
          <w:b w:val="0"/>
          <w:bCs w:val="0"/>
        </w:rPr>
      </w:r>
    </w:p>
    <w:p>
      <w:pPr>
        <w:spacing w:line="240" w:lineRule="auto" w:before="6"/>
        <w:rPr>
          <w:rFonts w:ascii="宋体" w:hAnsi="宋体" w:cs="宋体" w:eastAsia="宋体" w:hint="default"/>
          <w:b/>
          <w:bCs/>
          <w:sz w:val="26"/>
          <w:szCs w:val="26"/>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3d3d3"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组合名称</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坏账准备计提方法</w:t>
                      </w:r>
                    </w:p>
                  </w:txbxContent>
                </v:textbox>
                <w10:wrap type="none"/>
              </v:shape>
            </v:group>
          </v:group>
        </w:pict>
      </w:r>
      <w:r>
        <w:rPr>
          <w:rFonts w:ascii="宋体" w:hAnsi="宋体" w:cs="宋体" w:eastAsia="宋体" w:hint="default"/>
          <w:position w:val="-7"/>
          <w:sz w:val="20"/>
          <w:szCs w:val="20"/>
        </w:rPr>
      </w:r>
    </w:p>
    <w:p>
      <w:pPr>
        <w:spacing w:before="51"/>
        <w:ind w:left="152" w:right="5774"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其中：1-6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100.00%</w:t>
            </w:r>
          </w:p>
        </w:tc>
      </w:tr>
    </w:tbl>
    <w:p>
      <w:pPr>
        <w:spacing w:before="51"/>
        <w:ind w:left="152" w:right="577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7"/>
        <w:ind w:left="152" w:right="649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9"/>
        <w:ind w:left="15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left="152" w:right="0"/>
        <w:jc w:val="left"/>
        <w:rPr>
          <w:b w:val="0"/>
          <w:bCs w:val="0"/>
        </w:rPr>
      </w:pPr>
      <w:r>
        <w:rPr/>
        <w:t>（3）单项金额不重大但单独计提坏账准备的应收款项</w:t>
      </w:r>
      <w:r>
        <w:rPr>
          <w:b w:val="0"/>
          <w:bCs w:val="0"/>
        </w:rPr>
      </w:r>
    </w:p>
    <w:p>
      <w:pPr>
        <w:spacing w:line="240" w:lineRule="auto" w:before="11"/>
        <w:rPr>
          <w:rFonts w:ascii="宋体" w:hAnsi="宋体" w:cs="宋体" w:eastAsia="宋体" w:hint="default"/>
          <w:b/>
          <w:bCs/>
          <w:sz w:val="26"/>
          <w:szCs w:val="26"/>
        </w:rPr>
      </w:pPr>
    </w:p>
    <w:tbl>
      <w:tblPr>
        <w:tblW w:w="0" w:type="auto"/>
        <w:jc w:val="left"/>
        <w:tblInd w:w="121" w:type="dxa"/>
        <w:tblLayout w:type="fixed"/>
        <w:tblCellMar>
          <w:top w:w="0" w:type="dxa"/>
          <w:left w:w="0" w:type="dxa"/>
          <w:bottom w:w="0" w:type="dxa"/>
          <w:right w:w="0" w:type="dxa"/>
        </w:tblCellMar>
        <w:tblLook w:val="01E0"/>
      </w:tblPr>
      <w:tblGrid>
        <w:gridCol w:w="3686"/>
        <w:gridCol w:w="5882"/>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存在客观证据表明本公司将无法按应收款项的原有条款收回款项。</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根据应收款项的预计未来现金流量现值低于其账面价值的差额进行计提。</w:t>
            </w:r>
          </w:p>
        </w:tc>
      </w:tr>
    </w:tbl>
    <w:p>
      <w:pPr>
        <w:spacing w:line="240" w:lineRule="auto" w:before="3"/>
        <w:rPr>
          <w:rFonts w:ascii="宋体" w:hAnsi="宋体" w:cs="宋体" w:eastAsia="宋体" w:hint="default"/>
          <w:b/>
          <w:bCs/>
          <w:sz w:val="19"/>
          <w:szCs w:val="19"/>
        </w:rPr>
      </w:pPr>
    </w:p>
    <w:p>
      <w:pPr>
        <w:pStyle w:val="Heading6"/>
        <w:spacing w:line="240" w:lineRule="auto" w:before="34"/>
        <w:ind w:left="152" w:right="7034"/>
        <w:jc w:val="left"/>
        <w:rPr>
          <w:b w:val="0"/>
          <w:bCs w:val="0"/>
        </w:rPr>
      </w:pPr>
      <w:r>
        <w:rPr/>
        <w:t>12、存货</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72" w:right="0" w:hanging="420"/>
        <w:jc w:val="left"/>
      </w:pPr>
      <w:r>
        <w:rPr>
          <w:rFonts w:ascii="宋体" w:hAnsi="宋体" w:cs="宋体" w:eastAsia="宋体" w:hint="default"/>
          <w:b/>
          <w:bCs/>
        </w:rPr>
        <w:t>（1）存货的分类</w:t>
      </w:r>
      <w:r>
        <w:rPr>
          <w:rFonts w:ascii="宋体" w:hAnsi="宋体" w:cs="宋体" w:eastAsia="宋体" w:hint="default"/>
          <w:b/>
          <w:bCs/>
          <w:w w:val="99"/>
        </w:rPr>
        <w:t> </w:t>
      </w:r>
      <w:r>
        <w:rPr>
          <w:w w:val="95"/>
        </w:rPr>
        <w:t>存货是指本公司在日常活动中持有以备出售的产成品或商品、处在生产过程中的在产品、在生产过程</w:t>
      </w:r>
      <w:r>
        <w:rPr/>
      </w:r>
    </w:p>
    <w:p>
      <w:pPr>
        <w:pStyle w:val="BodyText"/>
        <w:spacing w:line="273" w:lineRule="auto"/>
        <w:ind w:left="152" w:right="0"/>
        <w:jc w:val="left"/>
      </w:pPr>
      <w:r>
        <w:rPr>
          <w:w w:val="95"/>
        </w:rPr>
        <w:t>或提供劳务过程中耗用的材料和物料等。主要包括原材料、周转材料、委托加工材料、在产品、自制半成</w:t>
      </w:r>
      <w:r>
        <w:rPr>
          <w:spacing w:val="38"/>
          <w:w w:val="95"/>
        </w:rPr>
        <w:t> </w:t>
      </w:r>
      <w:r>
        <w:rPr>
          <w:spacing w:val="38"/>
          <w:w w:val="95"/>
        </w:rPr>
      </w:r>
      <w:r>
        <w:rPr/>
        <w:t>品、工程成本、库存商品等。</w:t>
      </w:r>
    </w:p>
    <w:p>
      <w:pPr>
        <w:pStyle w:val="BodyText"/>
        <w:spacing w:line="273" w:lineRule="auto"/>
        <w:ind w:left="572" w:right="0" w:hanging="420"/>
        <w:jc w:val="left"/>
      </w:pPr>
      <w:r>
        <w:rPr>
          <w:rFonts w:ascii="宋体" w:hAnsi="宋体" w:cs="宋体" w:eastAsia="宋体" w:hint="default"/>
          <w:b/>
          <w:bCs/>
        </w:rPr>
        <w:t>（2）存货的计价方法</w:t>
      </w:r>
      <w:r>
        <w:rPr>
          <w:rFonts w:ascii="宋体" w:hAnsi="宋体" w:cs="宋体" w:eastAsia="宋体" w:hint="default"/>
          <w:b/>
          <w:bCs/>
          <w:w w:val="99"/>
        </w:rPr>
        <w:t> </w:t>
      </w:r>
      <w:r>
        <w:rPr>
          <w:w w:val="95"/>
        </w:rPr>
        <w:t>存货在取得时，按成本进行初始计量，包括采购成本、加工成本和其他成本。能直接对应工程成本项</w:t>
      </w:r>
      <w:r>
        <w:rPr/>
      </w:r>
    </w:p>
    <w:p>
      <w:pPr>
        <w:pStyle w:val="BodyText"/>
        <w:spacing w:line="273" w:lineRule="auto"/>
        <w:ind w:left="152" w:right="0"/>
        <w:jc w:val="left"/>
      </w:pPr>
      <w:r>
        <w:rPr>
          <w:w w:val="95"/>
        </w:rPr>
        <w:t>目的原材料、库存商品按个别计价法，其余按加权平均法；低值易耗品领用时采用一次摊销法；工程成本</w:t>
      </w:r>
      <w:r>
        <w:rPr>
          <w:spacing w:val="45"/>
          <w:w w:val="95"/>
        </w:rPr>
        <w:t> </w:t>
      </w:r>
      <w:r>
        <w:rPr>
          <w:spacing w:val="45"/>
          <w:w w:val="95"/>
        </w:rPr>
      </w:r>
      <w:r>
        <w:rPr/>
        <w:t>按工程结算进度相应结转成本。</w:t>
      </w:r>
    </w:p>
    <w:p>
      <w:pPr>
        <w:spacing w:line="273" w:lineRule="auto" w:before="7"/>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（3）存货可变现净值的确定依据及存货跌价准备的计提方法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w w:val="95"/>
          <w:sz w:val="21"/>
          <w:szCs w:val="21"/>
        </w:rPr>
        <w:t>期末对存货进行全面清查后，按存货的成本与可变现净值孰低提取或调整存货跌价准备。产成品、库</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pgSz w:w="11910" w:h="16840"/>
          <w:pgMar w:header="746" w:footer="978" w:top="1040" w:bottom="1160" w:left="980" w:right="1020"/>
        </w:sectPr>
      </w:pPr>
    </w:p>
    <w:p>
      <w:pPr>
        <w:spacing w:line="240" w:lineRule="auto" w:before="6"/>
        <w:rPr>
          <w:rFonts w:ascii="宋体" w:hAnsi="宋体" w:cs="宋体" w:eastAsia="宋体" w:hint="default"/>
          <w:sz w:val="25"/>
          <w:szCs w:val="25"/>
        </w:rPr>
      </w:pPr>
    </w:p>
    <w:p>
      <w:pPr>
        <w:pStyle w:val="BodyText"/>
        <w:spacing w:line="273" w:lineRule="auto" w:before="34"/>
        <w:ind w:right="110"/>
        <w:jc w:val="both"/>
      </w:pPr>
      <w:r>
        <w:rPr>
          <w:w w:val="95"/>
        </w:rPr>
        <w:t>存商品和用于出售的材料等直接用于出售的商品存货，在正常生产经营过程中，以该存货的估计售价减去</w:t>
      </w:r>
      <w:r>
        <w:rPr>
          <w:spacing w:val="40"/>
          <w:w w:val="95"/>
        </w:rPr>
        <w:t> </w:t>
      </w:r>
      <w:r>
        <w:rPr>
          <w:spacing w:val="40"/>
          <w:w w:val="95"/>
        </w:rPr>
      </w:r>
      <w:r>
        <w:rPr>
          <w:w w:val="95"/>
        </w:rPr>
        <w:t>估计的销售费用和相关税费后的金额，确定其可变现净值；需要经过加工的材料存货，在正常生产经营过</w:t>
      </w:r>
      <w:r>
        <w:rPr>
          <w:spacing w:val="43"/>
          <w:w w:val="95"/>
        </w:rPr>
        <w:t> </w:t>
      </w:r>
      <w:r>
        <w:rPr>
          <w:spacing w:val="43"/>
          <w:w w:val="95"/>
        </w:rPr>
      </w:r>
      <w:r>
        <w:rPr>
          <w:w w:val="95"/>
        </w:rPr>
        <w:t>程中，以所生产的产成品的估计售价减去至完工时估计将要发生的成本、估计的销售费用和相关税费后的</w:t>
      </w:r>
      <w:r>
        <w:rPr>
          <w:spacing w:val="37"/>
          <w:w w:val="95"/>
        </w:rPr>
        <w:t> </w:t>
      </w:r>
      <w:r>
        <w:rPr>
          <w:spacing w:val="37"/>
          <w:w w:val="95"/>
        </w:rPr>
      </w:r>
      <w:r>
        <w:rPr>
          <w:w w:val="95"/>
        </w:rPr>
        <w:t>金额，确定其可变现净值；为执行销售合同或者劳务合同而持有的存货，其可变现净值以合同价格为基础</w:t>
      </w:r>
      <w:r>
        <w:rPr>
          <w:spacing w:val="43"/>
          <w:w w:val="95"/>
        </w:rPr>
        <w:t> </w:t>
      </w:r>
      <w:r>
        <w:rPr>
          <w:spacing w:val="43"/>
          <w:w w:val="95"/>
        </w:rPr>
      </w:r>
      <w:r>
        <w:rPr>
          <w:w w:val="95"/>
        </w:rPr>
        <w:t>计算，若持有存货的数量多于销售合同订购数量的，超出部分的存货的可变现净值以一般销售价格为基础  </w:t>
      </w:r>
      <w:r>
        <w:rPr>
          <w:spacing w:val="40"/>
          <w:w w:val="95"/>
        </w:rPr>
        <w:t> </w:t>
      </w:r>
      <w:r>
        <w:rPr>
          <w:spacing w:val="40"/>
          <w:w w:val="95"/>
        </w:rPr>
      </w:r>
      <w:r>
        <w:rPr/>
        <w:t>计算。</w:t>
      </w:r>
    </w:p>
    <w:p>
      <w:pPr>
        <w:pStyle w:val="BodyText"/>
        <w:spacing w:line="273" w:lineRule="auto"/>
        <w:ind w:right="110" w:firstLine="420"/>
        <w:jc w:val="both"/>
      </w:pPr>
      <w:r>
        <w:rPr>
          <w:w w:val="95"/>
        </w:rPr>
        <w:t>期末按照单个存货项目计提存货跌价准备；但对于数量繁多、单价较低的存货，按照存货类别计提存</w:t>
      </w:r>
      <w:r>
        <w:rPr>
          <w:w w:val="99"/>
        </w:rPr>
        <w:t> </w:t>
      </w:r>
      <w:r>
        <w:rPr>
          <w:w w:val="95"/>
        </w:rPr>
        <w:t>货跌价准备；与在同一地区生产和销售的产品系列相关、具有相同或类似最终用途或目的，且难以与其他</w:t>
      </w:r>
      <w:r>
        <w:rPr>
          <w:spacing w:val="43"/>
          <w:w w:val="95"/>
        </w:rPr>
        <w:t> </w:t>
      </w:r>
      <w:r>
        <w:rPr>
          <w:spacing w:val="43"/>
          <w:w w:val="95"/>
        </w:rPr>
      </w:r>
      <w:r>
        <w:rPr/>
        <w:t>项目分开计量的存货，则合并计提存货跌价准备。</w:t>
      </w:r>
    </w:p>
    <w:p>
      <w:pPr>
        <w:pStyle w:val="BodyText"/>
        <w:spacing w:line="273" w:lineRule="auto"/>
        <w:ind w:right="112" w:firstLine="420"/>
        <w:jc w:val="both"/>
      </w:pPr>
      <w:r>
        <w:rPr>
          <w:w w:val="95"/>
        </w:rPr>
        <w:t>以前减记存货价值的影响因素已经消失的，减记的金额予以恢复，并在原已计提的存货跌价准备金额</w:t>
      </w:r>
      <w:r>
        <w:rPr>
          <w:w w:val="99"/>
        </w:rPr>
        <w:t> </w:t>
      </w:r>
      <w:r>
        <w:rPr/>
        <w:t>内转回，转回的金额计入当期损益。</w:t>
      </w:r>
    </w:p>
    <w:p>
      <w:pPr>
        <w:spacing w:line="273" w:lineRule="auto" w:before="7"/>
        <w:ind w:left="532" w:right="7634" w:hanging="420"/>
        <w:jc w:val="left"/>
        <w:rPr>
          <w:rFonts w:ascii="宋体" w:hAnsi="宋体" w:cs="宋体" w:eastAsia="宋体" w:hint="default"/>
          <w:sz w:val="21"/>
          <w:szCs w:val="21"/>
        </w:rPr>
      </w:pPr>
      <w:r>
        <w:rPr>
          <w:rFonts w:ascii="宋体" w:hAnsi="宋体" w:cs="宋体" w:eastAsia="宋体" w:hint="default"/>
          <w:b/>
          <w:bCs/>
          <w:sz w:val="21"/>
          <w:szCs w:val="21"/>
        </w:rPr>
        <w:t>（4）存货的盘存制度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73" w:lineRule="auto" w:before="7"/>
        <w:ind w:left="532" w:right="6255" w:hanging="420"/>
        <w:jc w:val="left"/>
        <w:rPr>
          <w:rFonts w:ascii="宋体" w:hAnsi="宋体" w:cs="宋体" w:eastAsia="宋体" w:hint="default"/>
          <w:sz w:val="21"/>
          <w:szCs w:val="21"/>
        </w:rPr>
      </w:pPr>
      <w:r>
        <w:rPr>
          <w:rFonts w:ascii="宋体" w:hAnsi="宋体" w:cs="宋体" w:eastAsia="宋体" w:hint="default"/>
          <w:b/>
          <w:bCs/>
          <w:sz w:val="21"/>
          <w:szCs w:val="21"/>
        </w:rPr>
        <w:t>（5）低值易耗品和包装物的摊销方法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1）低值易耗品采用一次转销法</w:t>
      </w:r>
    </w:p>
    <w:p>
      <w:pPr>
        <w:pStyle w:val="BodyText"/>
        <w:spacing w:line="273" w:lineRule="auto"/>
        <w:ind w:left="532" w:right="5414"/>
        <w:jc w:val="left"/>
      </w:pPr>
      <w:r>
        <w:rPr/>
        <w:t>2）包装物采用一次转销法。</w:t>
      </w:r>
      <w:r>
        <w:rPr>
          <w:w w:val="99"/>
        </w:rPr>
        <w:t> </w:t>
      </w:r>
      <w:r>
        <w:rPr>
          <w:w w:val="95"/>
        </w:rPr>
        <w:t>其他周转材料采用一次转销法摊销。</w:t>
      </w:r>
      <w:r>
        <w:rPr/>
      </w:r>
    </w:p>
    <w:p>
      <w:pPr>
        <w:spacing w:line="240" w:lineRule="auto" w:before="7"/>
        <w:rPr>
          <w:rFonts w:ascii="宋体" w:hAnsi="宋体" w:cs="宋体" w:eastAsia="宋体" w:hint="default"/>
          <w:sz w:val="23"/>
          <w:szCs w:val="23"/>
        </w:rPr>
      </w:pPr>
    </w:p>
    <w:p>
      <w:pPr>
        <w:pStyle w:val="Heading6"/>
        <w:spacing w:line="240" w:lineRule="auto"/>
        <w:ind w:left="112" w:right="0"/>
        <w:jc w:val="left"/>
        <w:rPr>
          <w:b w:val="0"/>
          <w:bCs w:val="0"/>
        </w:rPr>
      </w:pPr>
      <w:r>
        <w:rPr/>
        <w:t>13、划分为持有待售资产</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0" w:hanging="420"/>
        <w:jc w:val="left"/>
      </w:pPr>
      <w:r>
        <w:rPr>
          <w:rFonts w:ascii="宋体" w:hAnsi="宋体" w:cs="宋体" w:eastAsia="宋体" w:hint="default"/>
          <w:b/>
          <w:bCs/>
        </w:rPr>
        <w:t>（1）划分为持有待售确认标准</w:t>
      </w:r>
      <w:r>
        <w:rPr>
          <w:rFonts w:ascii="宋体" w:hAnsi="宋体" w:cs="宋体" w:eastAsia="宋体" w:hint="default"/>
          <w:b/>
          <w:bCs/>
          <w:w w:val="99"/>
        </w:rPr>
        <w:t> </w:t>
      </w:r>
      <w:r>
        <w:rPr>
          <w:w w:val="95"/>
        </w:rPr>
        <w:t>本公司将同时满足下列条件的企业组成部分（或非流动资产）确认为持有待售组成部分：</w:t>
      </w:r>
      <w:r>
        <w:rPr>
          <w:w w:val="99"/>
        </w:rPr>
        <w:t> </w:t>
      </w:r>
      <w:r>
        <w:rPr/>
        <w:t>1）该组成部分必须在其当前状况下仅根据出售此类组成部分的惯常条款即可立即出售；</w:t>
      </w:r>
    </w:p>
    <w:p>
      <w:pPr>
        <w:pStyle w:val="BodyText"/>
        <w:spacing w:line="273" w:lineRule="auto"/>
        <w:ind w:right="196" w:firstLine="420"/>
        <w:jc w:val="both"/>
      </w:pPr>
      <w:r>
        <w:rPr>
          <w:w w:val="95"/>
        </w:rPr>
        <w:t>2）企业已经就处置该组成部分作出决议，如按规定需得到股东批准的，已经取得股东大会或相应权</w:t>
      </w:r>
      <w:r>
        <w:rPr>
          <w:spacing w:val="-85"/>
          <w:w w:val="95"/>
        </w:rPr>
        <w:t> </w:t>
      </w:r>
      <w:r>
        <w:rPr>
          <w:spacing w:val="-85"/>
          <w:w w:val="95"/>
        </w:rPr>
      </w:r>
      <w:r>
        <w:rPr/>
        <w:t>力机构的批准；</w:t>
      </w:r>
    </w:p>
    <w:p>
      <w:pPr>
        <w:pStyle w:val="BodyText"/>
        <w:spacing w:line="240" w:lineRule="auto"/>
        <w:ind w:left="532" w:right="0"/>
        <w:jc w:val="left"/>
      </w:pPr>
      <w:r>
        <w:rPr/>
        <w:t>3）企业已经与受让方签订了不可撤销的转让协议；</w:t>
      </w:r>
    </w:p>
    <w:p>
      <w:pPr>
        <w:pStyle w:val="BodyText"/>
        <w:spacing w:line="240" w:lineRule="auto" w:before="37"/>
        <w:ind w:left="532" w:right="0"/>
        <w:jc w:val="left"/>
      </w:pPr>
      <w:r>
        <w:rPr/>
        <w:t>4）该项转让将在一年内完成。</w:t>
      </w:r>
    </w:p>
    <w:p>
      <w:pPr>
        <w:spacing w:line="273" w:lineRule="auto" w:before="3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（2）划分为持有待售核算方法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本公司对于持有待售的固定资产，调整该项固定资产的预计净残值，使该固定资产的预计净残值反映</w:t>
      </w:r>
      <w:r>
        <w:rPr>
          <w:rFonts w:ascii="宋体" w:hAnsi="宋体" w:cs="宋体" w:eastAsia="宋体" w:hint="default"/>
          <w:sz w:val="21"/>
          <w:szCs w:val="21"/>
        </w:rPr>
      </w:r>
    </w:p>
    <w:p>
      <w:pPr>
        <w:pStyle w:val="BodyText"/>
        <w:spacing w:line="273" w:lineRule="auto"/>
        <w:ind w:right="112"/>
        <w:jc w:val="both"/>
      </w:pPr>
      <w:r>
        <w:rPr>
          <w:w w:val="95"/>
        </w:rPr>
        <w:t>其公允价值减去处置费用后的金额，但不超过符合持有待售条件时该项固定资产的原账面价值，原账面价</w:t>
      </w:r>
      <w:r>
        <w:rPr>
          <w:spacing w:val="38"/>
          <w:w w:val="95"/>
        </w:rPr>
        <w:t> </w:t>
      </w:r>
      <w:r>
        <w:rPr>
          <w:spacing w:val="38"/>
          <w:w w:val="95"/>
        </w:rPr>
      </w:r>
      <w:r>
        <w:rPr>
          <w:w w:val="95"/>
        </w:rPr>
        <w:t>值高于调整后预计净残值的差额，应作为资产减值损失计入当期损益。持有待售的固定资产不计提折旧或</w:t>
      </w:r>
      <w:r>
        <w:rPr>
          <w:spacing w:val="40"/>
          <w:w w:val="95"/>
        </w:rPr>
        <w:t> </w:t>
      </w:r>
      <w:r>
        <w:rPr>
          <w:spacing w:val="40"/>
          <w:w w:val="95"/>
        </w:rPr>
      </w:r>
      <w:r>
        <w:rPr/>
        <w:t>摊销，按照账面价值与公允价值减去处置费用后的净额孰低进行计量。</w:t>
      </w:r>
    </w:p>
    <w:p>
      <w:pPr>
        <w:pStyle w:val="BodyText"/>
        <w:spacing w:line="273" w:lineRule="auto"/>
        <w:ind w:right="112" w:firstLine="420"/>
        <w:jc w:val="both"/>
      </w:pPr>
      <w:r>
        <w:rPr>
          <w:w w:val="95"/>
        </w:rPr>
        <w:t>符合持有待售条件的权益性投资、无形资产等其他非流动资产，比照上述原则处理，但不包括递延所</w:t>
      </w:r>
      <w:r>
        <w:rPr>
          <w:w w:val="99"/>
        </w:rPr>
        <w:t> </w:t>
      </w:r>
      <w:r>
        <w:rPr>
          <w:w w:val="95"/>
        </w:rPr>
        <w:t>得税资产、《企业会计准则第22号——金融工具确认和计量》规范的金融资产、以公允价值计量的投资性</w:t>
      </w:r>
      <w:r>
        <w:rPr>
          <w:spacing w:val="40"/>
          <w:w w:val="95"/>
        </w:rPr>
        <w:t> </w:t>
      </w:r>
      <w:r>
        <w:rPr>
          <w:spacing w:val="40"/>
          <w:w w:val="95"/>
        </w:rPr>
      </w:r>
      <w:r>
        <w:rPr/>
        <w:t>房地产和生物资产、保险合同中产生的合同权利。</w:t>
      </w:r>
    </w:p>
    <w:p>
      <w:pPr>
        <w:spacing w:line="240" w:lineRule="auto" w:before="9"/>
        <w:rPr>
          <w:rFonts w:ascii="宋体" w:hAnsi="宋体" w:cs="宋体" w:eastAsia="宋体" w:hint="default"/>
          <w:sz w:val="23"/>
          <w:szCs w:val="23"/>
        </w:rPr>
      </w:pPr>
    </w:p>
    <w:p>
      <w:pPr>
        <w:pStyle w:val="Heading6"/>
        <w:spacing w:line="240" w:lineRule="auto"/>
        <w:ind w:left="112" w:right="0"/>
        <w:jc w:val="left"/>
        <w:rPr>
          <w:b w:val="0"/>
          <w:bCs w:val="0"/>
        </w:rPr>
      </w:pPr>
      <w:r>
        <w:rPr/>
        <w:t>14、长期股权投资</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0" w:hanging="420"/>
        <w:jc w:val="left"/>
      </w:pPr>
      <w:r>
        <w:rPr>
          <w:rFonts w:ascii="宋体" w:hAnsi="宋体" w:cs="宋体" w:eastAsia="宋体" w:hint="default"/>
          <w:b/>
          <w:bCs/>
        </w:rPr>
        <w:t>（1）投资成本的确定</w:t>
      </w:r>
      <w:r>
        <w:rPr>
          <w:rFonts w:ascii="宋体" w:hAnsi="宋体" w:cs="宋体" w:eastAsia="宋体" w:hint="default"/>
          <w:b/>
          <w:bCs/>
          <w:w w:val="99"/>
        </w:rPr>
        <w:t> </w:t>
      </w:r>
      <w:r>
        <w:rPr>
          <w:w w:val="95"/>
        </w:rPr>
        <w:t>1）企业合并形成的长期股权投资，具体会计政策详见本附注四／（五）同一控制下和非同一控制下</w:t>
      </w:r>
      <w:r>
        <w:rPr/>
      </w:r>
    </w:p>
    <w:p>
      <w:pPr>
        <w:pStyle w:val="BodyText"/>
        <w:spacing w:line="273" w:lineRule="auto"/>
        <w:ind w:left="532" w:right="6269" w:hanging="420"/>
        <w:jc w:val="left"/>
      </w:pPr>
      <w:r>
        <w:rPr/>
        <w:t>企业合并的会计处理方法</w:t>
      </w:r>
      <w:r>
        <w:rPr>
          <w:w w:val="99"/>
        </w:rPr>
        <w:t> </w:t>
      </w:r>
      <w:r>
        <w:rPr/>
        <w:t>2）其他方式取得的长期股权投资</w:t>
      </w:r>
    </w:p>
    <w:p>
      <w:pPr>
        <w:pStyle w:val="BodyText"/>
        <w:spacing w:line="273" w:lineRule="auto"/>
        <w:ind w:right="112" w:firstLine="420"/>
        <w:jc w:val="both"/>
      </w:pPr>
      <w:r>
        <w:rPr>
          <w:w w:val="95"/>
        </w:rPr>
        <w:t>以支付现金方式取得的长期股权投资，按照实际支付的购买价款作为初始投资成本。初始投资成本包</w:t>
      </w:r>
      <w:r>
        <w:rPr>
          <w:w w:val="99"/>
        </w:rPr>
        <w:t> </w:t>
      </w:r>
      <w:r>
        <w:rPr/>
        <w:t>括与取得长期股权投资直接相关的费用、税金及其他必要支出。</w:t>
      </w:r>
    </w:p>
    <w:p>
      <w:pPr>
        <w:spacing w:after="0" w:line="273" w:lineRule="auto"/>
        <w:jc w:val="both"/>
        <w:sectPr>
          <w:pgSz w:w="11910" w:h="16840"/>
          <w:pgMar w:header="746" w:footer="978" w:top="1040" w:bottom="116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right="132" w:firstLine="420"/>
        <w:jc w:val="both"/>
      </w:pPr>
      <w:r>
        <w:rPr>
          <w:w w:val="95"/>
        </w:rPr>
        <w:t>以发行权益性证券取得的长期股权投资，按照发行权益性证券的公允价值作为初始投资成本；发行或</w:t>
      </w:r>
      <w:r>
        <w:rPr>
          <w:w w:val="99"/>
        </w:rPr>
        <w:t> </w:t>
      </w:r>
      <w:r>
        <w:rPr/>
        <w:t>取得自身权益工具时发生的交易费用，可直接归属于权益性交易的从权益中扣减。</w:t>
      </w:r>
    </w:p>
    <w:p>
      <w:pPr>
        <w:pStyle w:val="BodyText"/>
        <w:spacing w:line="273" w:lineRule="auto"/>
        <w:ind w:right="132" w:firstLine="420"/>
        <w:jc w:val="both"/>
      </w:pPr>
      <w:r>
        <w:rPr>
          <w:w w:val="95"/>
        </w:rPr>
        <w:t>在非货币性资产交换具备商业实质和换入资产或换出资产的公允价值能够可靠计量的前提下，非货币</w:t>
      </w:r>
      <w:r>
        <w:rPr>
          <w:w w:val="99"/>
        </w:rPr>
        <w:t> </w:t>
      </w:r>
      <w:r>
        <w:rPr>
          <w:w w:val="95"/>
        </w:rPr>
        <w:t>性资产交换换入的长期股权投资以换出资产的公允价值为基础确定其初始投资成本，除非有确凿证据表明</w:t>
      </w:r>
      <w:r>
        <w:rPr>
          <w:spacing w:val="39"/>
          <w:w w:val="95"/>
        </w:rPr>
        <w:t> </w:t>
      </w:r>
      <w:r>
        <w:rPr>
          <w:spacing w:val="39"/>
          <w:w w:val="95"/>
        </w:rPr>
      </w:r>
      <w:r>
        <w:rPr>
          <w:w w:val="95"/>
        </w:rPr>
        <w:t>换入资产的公允价值更加可靠；不满足上述前提的非货币性资产交换，以换出资产的账面价值和应支付的</w:t>
      </w:r>
      <w:r>
        <w:rPr>
          <w:spacing w:val="40"/>
          <w:w w:val="95"/>
        </w:rPr>
        <w:t> </w:t>
      </w:r>
      <w:r>
        <w:rPr>
          <w:spacing w:val="40"/>
          <w:w w:val="95"/>
        </w:rPr>
      </w:r>
      <w:r>
        <w:rPr/>
        <w:t>相关税费作为换入长期股权投资的初始投资成本。</w:t>
      </w:r>
    </w:p>
    <w:p>
      <w:pPr>
        <w:pStyle w:val="BodyText"/>
        <w:spacing w:line="240" w:lineRule="auto"/>
        <w:ind w:left="532" w:right="104"/>
        <w:jc w:val="left"/>
      </w:pPr>
      <w:r>
        <w:rPr/>
        <w:t>通过债务重组取得的长期股权投资，其初始投资成本按照公允价值为基础确定。</w:t>
      </w:r>
    </w:p>
    <w:p>
      <w:pPr>
        <w:spacing w:line="273" w:lineRule="auto" w:before="37"/>
        <w:ind w:left="532" w:right="7329" w:hanging="420"/>
        <w:jc w:val="left"/>
        <w:rPr>
          <w:rFonts w:ascii="宋体" w:hAnsi="宋体" w:cs="宋体" w:eastAsia="宋体" w:hint="default"/>
          <w:sz w:val="21"/>
          <w:szCs w:val="21"/>
        </w:rPr>
      </w:pPr>
      <w:r>
        <w:rPr>
          <w:rFonts w:ascii="宋体" w:hAnsi="宋体" w:cs="宋体" w:eastAsia="宋体" w:hint="default"/>
          <w:b/>
          <w:bCs/>
          <w:sz w:val="21"/>
          <w:szCs w:val="21"/>
        </w:rPr>
        <w:t>（2）后续计量及损益确认</w:t>
      </w:r>
      <w:r>
        <w:rPr>
          <w:rFonts w:ascii="宋体" w:hAnsi="宋体" w:cs="宋体" w:eastAsia="宋体" w:hint="default"/>
          <w:b/>
          <w:bCs/>
          <w:w w:val="99"/>
          <w:sz w:val="21"/>
          <w:szCs w:val="21"/>
        </w:rPr>
        <w:t> </w:t>
      </w:r>
      <w:r>
        <w:rPr>
          <w:rFonts w:ascii="宋体" w:hAnsi="宋体" w:cs="宋体" w:eastAsia="宋体" w:hint="default"/>
          <w:sz w:val="21"/>
          <w:szCs w:val="21"/>
        </w:rPr>
        <w:t>1）成本法</w:t>
      </w:r>
    </w:p>
    <w:p>
      <w:pPr>
        <w:pStyle w:val="BodyText"/>
        <w:spacing w:line="273" w:lineRule="auto"/>
        <w:ind w:right="135" w:firstLine="420"/>
        <w:jc w:val="both"/>
      </w:pPr>
      <w:r>
        <w:rPr>
          <w:w w:val="95"/>
        </w:rPr>
        <w:t>本公司能够对被投资单位实施控制的长期股权投资采用成本法核算，并按照初始投资成本计价，追加</w:t>
      </w:r>
      <w:r>
        <w:rPr>
          <w:w w:val="99"/>
        </w:rPr>
        <w:t> </w:t>
      </w:r>
      <w:r>
        <w:rPr/>
        <w:t>或收回投资调整长期股权投资的成本。</w:t>
      </w:r>
    </w:p>
    <w:p>
      <w:pPr>
        <w:pStyle w:val="BodyText"/>
        <w:spacing w:line="273" w:lineRule="auto"/>
        <w:ind w:right="135" w:firstLine="420"/>
        <w:jc w:val="both"/>
      </w:pPr>
      <w:r>
        <w:rPr>
          <w:w w:val="95"/>
        </w:rPr>
        <w:t>除取得投资时实际支付的价款或对价中包含的已宣告但尚未发放的现金股利或利润外，本公司按照享</w:t>
      </w:r>
      <w:r>
        <w:rPr>
          <w:w w:val="99"/>
        </w:rPr>
        <w:t> </w:t>
      </w:r>
      <w:r>
        <w:rPr/>
        <w:t>有被投资单位宣告分派的现金股利或利润确认为当期投资收益。</w:t>
      </w:r>
    </w:p>
    <w:p>
      <w:pPr>
        <w:pStyle w:val="BodyText"/>
        <w:spacing w:line="273" w:lineRule="auto"/>
        <w:ind w:left="532" w:right="104"/>
        <w:jc w:val="left"/>
      </w:pPr>
      <w:r>
        <w:rPr/>
        <w:t>2）权益法</w:t>
      </w:r>
      <w:r>
        <w:rPr>
          <w:w w:val="99"/>
        </w:rPr>
        <w:t> </w:t>
      </w:r>
      <w:r>
        <w:rPr>
          <w:w w:val="95"/>
        </w:rPr>
        <w:t>本公司对联营企业和合营企业的长期股权投资采用权益法核算；对于其中一部分通过风险投资机构、</w:t>
      </w:r>
      <w:r>
        <w:rPr/>
      </w:r>
    </w:p>
    <w:p>
      <w:pPr>
        <w:pStyle w:val="BodyText"/>
        <w:spacing w:line="273" w:lineRule="auto"/>
        <w:ind w:right="104"/>
        <w:jc w:val="left"/>
      </w:pPr>
      <w:r>
        <w:rPr>
          <w:w w:val="95"/>
        </w:rPr>
        <w:t>共同基金、信托公司或包括投连险基金在内的类似主体间接持有的联营企业的权益性投资，采用公允价值</w:t>
      </w:r>
      <w:r>
        <w:rPr>
          <w:spacing w:val="37"/>
          <w:w w:val="95"/>
        </w:rPr>
        <w:t> </w:t>
      </w:r>
      <w:r>
        <w:rPr>
          <w:spacing w:val="37"/>
          <w:w w:val="95"/>
        </w:rPr>
      </w:r>
      <w:r>
        <w:rPr/>
        <w:t>计量且其变动计入损益。</w:t>
      </w:r>
    </w:p>
    <w:p>
      <w:pPr>
        <w:pStyle w:val="BodyText"/>
        <w:spacing w:line="273" w:lineRule="auto"/>
        <w:ind w:right="132" w:firstLine="420"/>
        <w:jc w:val="both"/>
      </w:pPr>
      <w:r>
        <w:rPr>
          <w:w w:val="95"/>
        </w:rPr>
        <w:t>长期股权投资的初始投资成本大于投资时应享有被投资单位可辨认净资产公允价值份额的差额，不调</w:t>
      </w:r>
      <w:r>
        <w:rPr>
          <w:w w:val="99"/>
        </w:rPr>
        <w:t> </w:t>
      </w:r>
      <w:r>
        <w:rPr>
          <w:w w:val="95"/>
        </w:rPr>
        <w:t>整长期股权投资的初始投资成本；初始投资成本小于投资时应享有被投资单位可辨认净资产公允价值份额</w:t>
      </w:r>
      <w:r>
        <w:rPr>
          <w:spacing w:val="39"/>
          <w:w w:val="95"/>
        </w:rPr>
        <w:t> </w:t>
      </w:r>
      <w:r>
        <w:rPr>
          <w:spacing w:val="39"/>
          <w:w w:val="95"/>
        </w:rPr>
      </w:r>
      <w:r>
        <w:rPr/>
        <w:t>的差额，计入当期损益。</w:t>
      </w:r>
    </w:p>
    <w:p>
      <w:pPr>
        <w:pStyle w:val="BodyText"/>
        <w:spacing w:line="273" w:lineRule="auto"/>
        <w:ind w:right="104" w:firstLine="420"/>
        <w:jc w:val="left"/>
      </w:pPr>
      <w:r>
        <w:rPr/>
        <w:t>本公司取得长期股权投资后，按照应享有或应分担的被投资单位实现的净损益和其他综合收益的份</w:t>
      </w:r>
      <w:r>
        <w:rPr>
          <w:w w:val="99"/>
        </w:rPr>
        <w:t> </w:t>
      </w:r>
      <w:r>
        <w:rPr>
          <w:w w:val="95"/>
        </w:rPr>
        <w:t>额，分别确认投资收益和其他综合收益，同时调整长期股权投资的账面价值；并按照被投资单位宣告分派</w:t>
      </w:r>
      <w:r>
        <w:rPr>
          <w:spacing w:val="37"/>
          <w:w w:val="95"/>
        </w:rPr>
        <w:t> </w:t>
      </w:r>
      <w:r>
        <w:rPr>
          <w:spacing w:val="37"/>
          <w:w w:val="95"/>
        </w:rPr>
      </w:r>
      <w:r>
        <w:rPr>
          <w:w w:val="95"/>
        </w:rPr>
        <w:t>的利润或现金股利计算应享有的部分，相应减少长期股权投资的账面价值；对于被投资单位除净损益、其</w:t>
      </w:r>
      <w:r>
        <w:rPr>
          <w:spacing w:val="40"/>
          <w:w w:val="95"/>
        </w:rPr>
        <w:t> </w:t>
      </w:r>
      <w:r>
        <w:rPr>
          <w:spacing w:val="40"/>
          <w:w w:val="95"/>
        </w:rPr>
      </w:r>
      <w:r>
        <w:rPr/>
        <w:t>他综合收益和利润分配以外所有者权益的其他变动，调整长期股权投资的账面价值并计入所有者权益。</w:t>
      </w:r>
    </w:p>
    <w:p>
      <w:pPr>
        <w:pStyle w:val="BodyText"/>
        <w:spacing w:line="273" w:lineRule="auto"/>
        <w:ind w:right="132" w:firstLine="420"/>
        <w:jc w:val="both"/>
      </w:pPr>
      <w:r>
        <w:rPr>
          <w:w w:val="95"/>
        </w:rPr>
        <w:t>本公司在确认应享有被投资单位净损益的份额时，以取得投资时被投资单位各项可辨认资产等的公允</w:t>
      </w:r>
      <w:r>
        <w:rPr>
          <w:w w:val="99"/>
        </w:rPr>
        <w:t> </w:t>
      </w:r>
      <w:r>
        <w:rPr>
          <w:w w:val="95"/>
        </w:rPr>
        <w:t>价值为基础，对被投资单位的净利润进行调整后确认。本公司与联营企业、合营企业之间发生的未实现内</w:t>
      </w:r>
      <w:r>
        <w:rPr>
          <w:spacing w:val="40"/>
          <w:w w:val="95"/>
        </w:rPr>
        <w:t> </w:t>
      </w:r>
      <w:r>
        <w:rPr>
          <w:spacing w:val="40"/>
          <w:w w:val="95"/>
        </w:rPr>
      </w:r>
      <w:r>
        <w:rPr/>
        <w:t>部交易损益按照应享有的比例计算归属于本公司的部分予以抵销，在此基础上确认投资损益。</w:t>
      </w:r>
    </w:p>
    <w:p>
      <w:pPr>
        <w:pStyle w:val="BodyText"/>
        <w:spacing w:line="273" w:lineRule="auto"/>
        <w:ind w:right="132" w:firstLine="420"/>
        <w:jc w:val="both"/>
      </w:pPr>
      <w:r>
        <w:rPr>
          <w:w w:val="95"/>
        </w:rPr>
        <w:t>本公司确认应分担被投资单位发生的亏损时，按照以下顺序进行处理：首先，冲减长期股权投资的账</w:t>
      </w:r>
      <w:r>
        <w:rPr>
          <w:w w:val="99"/>
        </w:rPr>
        <w:t> </w:t>
      </w:r>
      <w:r>
        <w:rPr>
          <w:w w:val="95"/>
        </w:rPr>
        <w:t>面价值。其次，长期股权投资的账面价值不足以冲减的，以其他实质上构成对被投资单位净投资的长期权</w:t>
      </w:r>
      <w:r>
        <w:rPr>
          <w:spacing w:val="37"/>
          <w:w w:val="95"/>
        </w:rPr>
        <w:t> </w:t>
      </w:r>
      <w:r>
        <w:rPr>
          <w:spacing w:val="37"/>
          <w:w w:val="95"/>
        </w:rPr>
      </w:r>
      <w:r>
        <w:rPr>
          <w:w w:val="95"/>
        </w:rPr>
        <w:t>益账面价值为限继续确认投资损失，冲减长期应收项目等的账面价值。最后，经过上述处理，按照投资合</w:t>
      </w:r>
      <w:r>
        <w:rPr>
          <w:spacing w:val="41"/>
          <w:w w:val="95"/>
        </w:rPr>
        <w:t> </w:t>
      </w:r>
      <w:r>
        <w:rPr>
          <w:spacing w:val="41"/>
          <w:w w:val="95"/>
        </w:rPr>
      </w:r>
      <w:r>
        <w:rPr/>
        <w:t>同或协议约定企业仍承担额外义务的，按预计承担的义务确认预计负债，计入当期投资损失。</w:t>
      </w:r>
    </w:p>
    <w:p>
      <w:pPr>
        <w:pStyle w:val="BodyText"/>
        <w:spacing w:line="273" w:lineRule="auto"/>
        <w:ind w:right="132" w:firstLine="420"/>
        <w:jc w:val="both"/>
      </w:pPr>
      <w:r>
        <w:rPr>
          <w:w w:val="95"/>
        </w:rPr>
        <w:t>被投资单位以后期间实现盈利的，公司在扣除未确认的亏损分担额后，按与上述相反的顺序处理，减</w:t>
      </w:r>
      <w:r>
        <w:rPr>
          <w:w w:val="99"/>
        </w:rPr>
        <w:t> </w:t>
      </w:r>
      <w:r>
        <w:rPr>
          <w:w w:val="95"/>
        </w:rPr>
        <w:t>记已确认预计负债的账面余额、恢复其他实质上构成对被投资单位净投资的长期权益及长期股权投资的账</w:t>
      </w:r>
      <w:r>
        <w:rPr>
          <w:spacing w:val="37"/>
          <w:w w:val="95"/>
        </w:rPr>
        <w:t> </w:t>
      </w:r>
      <w:r>
        <w:rPr>
          <w:spacing w:val="37"/>
          <w:w w:val="95"/>
        </w:rPr>
      </w:r>
      <w:r>
        <w:rPr/>
        <w:t>面价值后，恢复确认投资收益。</w:t>
      </w:r>
    </w:p>
    <w:p>
      <w:pPr>
        <w:spacing w:line="273" w:lineRule="auto" w:before="7"/>
        <w:ind w:left="532" w:right="6485" w:hanging="420"/>
        <w:jc w:val="left"/>
        <w:rPr>
          <w:rFonts w:ascii="宋体" w:hAnsi="宋体" w:cs="宋体" w:eastAsia="宋体" w:hint="default"/>
          <w:sz w:val="21"/>
          <w:szCs w:val="21"/>
        </w:rPr>
      </w:pPr>
      <w:r>
        <w:rPr>
          <w:rFonts w:ascii="宋体" w:hAnsi="宋体" w:cs="宋体" w:eastAsia="宋体" w:hint="default"/>
          <w:b/>
          <w:bCs/>
          <w:sz w:val="21"/>
          <w:szCs w:val="21"/>
        </w:rPr>
        <w:t>（3）长期股权投资核算方法的转换</w:t>
      </w:r>
      <w:r>
        <w:rPr>
          <w:rFonts w:ascii="宋体" w:hAnsi="宋体" w:cs="宋体" w:eastAsia="宋体" w:hint="default"/>
          <w:b/>
          <w:bCs/>
          <w:w w:val="99"/>
          <w:sz w:val="21"/>
          <w:szCs w:val="21"/>
        </w:rPr>
        <w:t> </w:t>
      </w:r>
      <w:r>
        <w:rPr>
          <w:rFonts w:ascii="宋体" w:hAnsi="宋体" w:cs="宋体" w:eastAsia="宋体" w:hint="default"/>
          <w:sz w:val="21"/>
          <w:szCs w:val="21"/>
        </w:rPr>
        <w:t>1）公允价值计量转权益法核算</w:t>
      </w:r>
    </w:p>
    <w:p>
      <w:pPr>
        <w:pStyle w:val="BodyText"/>
        <w:spacing w:line="273" w:lineRule="auto"/>
        <w:ind w:right="104" w:firstLine="420"/>
        <w:jc w:val="left"/>
      </w:pPr>
      <w:r>
        <w:rPr>
          <w:w w:val="95"/>
        </w:rPr>
        <w:t>本公司原持有的对被投资单位不具有控制、共同控制或重大影响的按金融工具确认和计量准则进行会</w:t>
      </w:r>
      <w:r>
        <w:rPr>
          <w:w w:val="99"/>
        </w:rPr>
        <w:t> </w:t>
      </w:r>
      <w:r>
        <w:rPr/>
        <w:t>计处理的权益性投资，因追加投资等原因能够对被投资单位施加重大影响或实施共同控制但不构成控制</w:t>
      </w:r>
      <w:r>
        <w:rPr>
          <w:w w:val="99"/>
        </w:rPr>
        <w:t> </w:t>
      </w:r>
      <w:r>
        <w:rPr>
          <w:w w:val="95"/>
        </w:rPr>
        <w:t>的，按照《企业会计准则第22号——金融工具确认和计量》确定的原持有的股权投资的公允价值加上新增</w:t>
      </w:r>
      <w:r>
        <w:rPr>
          <w:spacing w:val="37"/>
          <w:w w:val="95"/>
        </w:rPr>
        <w:t> </w:t>
      </w:r>
      <w:r>
        <w:rPr>
          <w:spacing w:val="37"/>
          <w:w w:val="95"/>
        </w:rPr>
      </w:r>
      <w:r>
        <w:rPr/>
        <w:t>投资成本之和，作为改按权益法核算的初始投资成本。</w:t>
      </w:r>
    </w:p>
    <w:p>
      <w:pPr>
        <w:pStyle w:val="BodyText"/>
        <w:spacing w:line="273" w:lineRule="auto"/>
        <w:ind w:right="132" w:firstLine="420"/>
        <w:jc w:val="both"/>
      </w:pPr>
      <w:r>
        <w:rPr>
          <w:w w:val="95"/>
        </w:rPr>
        <w:t>原持有的股权投资分类为可供出售金融资产的，其公允价值与账面价值之间的差额，以及原计入其他</w:t>
      </w:r>
      <w:r>
        <w:rPr>
          <w:w w:val="99"/>
        </w:rPr>
        <w:t> </w:t>
      </w:r>
      <w:r>
        <w:rPr/>
        <w:t>综合收益的累计公允价值变动转入改按权益法核算的当期损益。</w:t>
      </w:r>
    </w:p>
    <w:p>
      <w:pPr>
        <w:pStyle w:val="BodyText"/>
        <w:spacing w:line="273" w:lineRule="auto"/>
        <w:ind w:right="132" w:firstLine="420"/>
        <w:jc w:val="both"/>
      </w:pPr>
      <w:r>
        <w:rPr/>
        <w:t>按权益法核算的初始投资成本小于按照追加投资后全新的持股比例计算确定的应享有被投资单位在</w:t>
      </w:r>
      <w:r>
        <w:rPr>
          <w:w w:val="99"/>
        </w:rPr>
        <w:t> </w:t>
      </w:r>
      <w:r>
        <w:rPr>
          <w:w w:val="95"/>
        </w:rPr>
        <w:t>追加投资日可辨认净资产公允价值份额之间的差额，调整长期股权投资的账面价值，并计入当期营业外收</w:t>
      </w:r>
      <w:r>
        <w:rPr/>
      </w:r>
    </w:p>
    <w:p>
      <w:pPr>
        <w:spacing w:after="0" w:line="273" w:lineRule="auto"/>
        <w:jc w:val="both"/>
        <w:sectPr>
          <w:footerReference w:type="default" r:id="rId25"/>
          <w:pgSz w:w="11910" w:h="16840"/>
          <w:pgMar w:footer="978" w:header="746" w:top="1040" w:bottom="1160" w:left="1020" w:right="1000"/>
          <w:pgNumType w:start="90"/>
        </w:sectPr>
      </w:pPr>
    </w:p>
    <w:p>
      <w:pPr>
        <w:spacing w:line="240" w:lineRule="auto" w:before="6"/>
        <w:rPr>
          <w:rFonts w:ascii="宋体" w:hAnsi="宋体" w:cs="宋体" w:eastAsia="宋体" w:hint="default"/>
          <w:sz w:val="25"/>
          <w:szCs w:val="25"/>
        </w:rPr>
      </w:pPr>
    </w:p>
    <w:p>
      <w:pPr>
        <w:pStyle w:val="BodyText"/>
        <w:spacing w:line="240" w:lineRule="auto" w:before="34"/>
        <w:ind w:right="96"/>
        <w:jc w:val="left"/>
      </w:pPr>
      <w:r>
        <w:rPr/>
        <w:t>入。</w:t>
      </w:r>
    </w:p>
    <w:p>
      <w:pPr>
        <w:pStyle w:val="BodyText"/>
        <w:spacing w:line="273" w:lineRule="auto" w:before="37"/>
        <w:ind w:left="532" w:right="96"/>
        <w:jc w:val="left"/>
      </w:pPr>
      <w:r>
        <w:rPr/>
        <w:t>2）公允价值计量或权益法核算转成本法核算</w:t>
      </w:r>
      <w:r>
        <w:rPr>
          <w:w w:val="99"/>
        </w:rPr>
        <w:t> </w:t>
      </w:r>
      <w:r>
        <w:rPr>
          <w:w w:val="95"/>
        </w:rPr>
        <w:t>本公司原持有的对被投资单位不具有控制、共同控制或重大影响的按金融工具确认和计量准则进行会</w:t>
      </w:r>
      <w:r>
        <w:rPr/>
      </w:r>
    </w:p>
    <w:p>
      <w:pPr>
        <w:pStyle w:val="BodyText"/>
        <w:spacing w:line="273" w:lineRule="auto"/>
        <w:ind w:right="235"/>
        <w:jc w:val="both"/>
      </w:pPr>
      <w:r>
        <w:rPr>
          <w:w w:val="95"/>
        </w:rPr>
        <w:t>计处理的权益性投资，或原持有对联营企业、合营企业的长期股权投资，因追加投资等原因能够对非同一</w:t>
      </w:r>
      <w:r>
        <w:rPr>
          <w:spacing w:val="37"/>
          <w:w w:val="95"/>
        </w:rPr>
        <w:t> </w:t>
      </w:r>
      <w:r>
        <w:rPr>
          <w:spacing w:val="37"/>
          <w:w w:val="95"/>
        </w:rPr>
      </w:r>
      <w:r>
        <w:rPr>
          <w:w w:val="95"/>
        </w:rPr>
        <w:t>控制下的被投资单位实施控制的，在编制个别财务报表时，按照原持有的股权投资账面价值加上新增投资</w:t>
      </w:r>
      <w:r>
        <w:rPr>
          <w:spacing w:val="37"/>
          <w:w w:val="95"/>
        </w:rPr>
        <w:t> </w:t>
      </w:r>
      <w:r>
        <w:rPr>
          <w:spacing w:val="37"/>
          <w:w w:val="95"/>
        </w:rPr>
      </w:r>
      <w:r>
        <w:rPr/>
        <w:t>成本之和，作为改按成本法核算的初始投资成本。</w:t>
      </w:r>
    </w:p>
    <w:p>
      <w:pPr>
        <w:pStyle w:val="BodyText"/>
        <w:spacing w:line="273" w:lineRule="auto"/>
        <w:ind w:right="96" w:firstLine="420"/>
        <w:jc w:val="left"/>
      </w:pPr>
      <w:r>
        <w:rPr>
          <w:w w:val="95"/>
        </w:rPr>
        <w:t>购买日之前持有的股权投资因采用权益法核算而确认的其他综合收益，在处置该项投资时采用与被投</w:t>
      </w:r>
      <w:r>
        <w:rPr>
          <w:w w:val="99"/>
        </w:rPr>
        <w:t> </w:t>
      </w:r>
      <w:r>
        <w:rPr/>
        <w:t>资单位直接处置相关资产或负债相同的基础进行会计处理。</w:t>
      </w:r>
    </w:p>
    <w:p>
      <w:pPr>
        <w:pStyle w:val="BodyText"/>
        <w:spacing w:line="273" w:lineRule="auto"/>
        <w:ind w:right="96" w:firstLine="420"/>
        <w:jc w:val="left"/>
      </w:pPr>
      <w:r>
        <w:rPr>
          <w:w w:val="95"/>
        </w:rPr>
        <w:t>购买日之前持有的股权投资按照《企业会计准则第22号——金融工具确认和计量》的有关规定进行会</w:t>
      </w:r>
      <w:r>
        <w:rPr>
          <w:w w:val="99"/>
        </w:rPr>
        <w:t> </w:t>
      </w:r>
      <w:r>
        <w:rPr/>
        <w:t>计处理的，原计入其他综合收益的累计公允价值变动在改按成本法核算时转入当期损益。</w:t>
      </w:r>
    </w:p>
    <w:p>
      <w:pPr>
        <w:pStyle w:val="BodyText"/>
        <w:spacing w:line="273" w:lineRule="auto"/>
        <w:ind w:left="532" w:right="96"/>
        <w:jc w:val="left"/>
      </w:pPr>
      <w:r>
        <w:rPr/>
        <w:t>3）权益法核算转公允价值计量</w:t>
      </w:r>
      <w:r>
        <w:rPr>
          <w:w w:val="99"/>
        </w:rPr>
        <w:t> </w:t>
      </w:r>
      <w:r>
        <w:rPr>
          <w:w w:val="95"/>
        </w:rPr>
        <w:t>本公司因处置部分股权投资等原因丧失了对被投资单位的共同控制或重大影响的，处置后的剩余股权</w:t>
      </w:r>
      <w:r>
        <w:rPr/>
      </w:r>
    </w:p>
    <w:p>
      <w:pPr>
        <w:pStyle w:val="BodyText"/>
        <w:spacing w:line="273" w:lineRule="auto"/>
        <w:ind w:right="235"/>
        <w:jc w:val="both"/>
      </w:pPr>
      <w:r>
        <w:rPr>
          <w:w w:val="95"/>
        </w:rPr>
        <w:t>改按《企业会计准则第22号——金融工具确认和计量》核算，其在丧失共同控制或重大影响之日的公允价</w:t>
      </w:r>
      <w:r>
        <w:rPr>
          <w:spacing w:val="36"/>
          <w:w w:val="95"/>
        </w:rPr>
        <w:t> </w:t>
      </w:r>
      <w:r>
        <w:rPr>
          <w:spacing w:val="36"/>
          <w:w w:val="95"/>
        </w:rPr>
      </w:r>
      <w:r>
        <w:rPr/>
        <w:t>值与账面价值之间的差额计入当期损益。</w:t>
      </w:r>
    </w:p>
    <w:p>
      <w:pPr>
        <w:pStyle w:val="BodyText"/>
        <w:spacing w:line="273" w:lineRule="auto"/>
        <w:ind w:right="96" w:firstLine="420"/>
        <w:jc w:val="left"/>
      </w:pPr>
      <w:r>
        <w:rPr>
          <w:w w:val="95"/>
        </w:rPr>
        <w:t>原股权投资因采用权益法核算而确认的其他综合收益，在终止采用权益法核算时采用与被投资单位直</w:t>
      </w:r>
      <w:r>
        <w:rPr>
          <w:w w:val="99"/>
        </w:rPr>
        <w:t> </w:t>
      </w:r>
      <w:r>
        <w:rPr/>
        <w:t>接处置相关资产或负债相同的基础进行会计处理。</w:t>
      </w:r>
    </w:p>
    <w:p>
      <w:pPr>
        <w:pStyle w:val="BodyText"/>
        <w:spacing w:line="273" w:lineRule="auto"/>
        <w:ind w:left="532" w:right="96"/>
        <w:jc w:val="left"/>
      </w:pPr>
      <w:r>
        <w:rPr/>
        <w:t>4）成本法转权益法</w:t>
      </w:r>
      <w:r>
        <w:rPr>
          <w:w w:val="99"/>
        </w:rPr>
        <w:t> </w:t>
      </w:r>
      <w:r>
        <w:rPr>
          <w:w w:val="95"/>
        </w:rPr>
        <w:t>本公司因处置部分权益性投资等原因丧失了对被投资单位的控制的，在编制个别财务报表时，处置后</w:t>
      </w:r>
      <w:r>
        <w:rPr/>
      </w:r>
    </w:p>
    <w:p>
      <w:pPr>
        <w:pStyle w:val="BodyText"/>
        <w:spacing w:line="273" w:lineRule="auto"/>
        <w:ind w:right="235"/>
        <w:jc w:val="both"/>
      </w:pPr>
      <w:r>
        <w:rPr>
          <w:w w:val="95"/>
        </w:rPr>
        <w:t>的剩余股权能够对被投资单位实施共同控制或施加重大影响的，改按权益法核算，并对该剩余股权视同自</w:t>
      </w:r>
      <w:r>
        <w:rPr>
          <w:spacing w:val="37"/>
          <w:w w:val="95"/>
        </w:rPr>
        <w:t> </w:t>
      </w:r>
      <w:r>
        <w:rPr>
          <w:spacing w:val="37"/>
          <w:w w:val="95"/>
        </w:rPr>
      </w:r>
      <w:r>
        <w:rPr/>
        <w:t>取得时即采用权益法核算进行调整。</w:t>
      </w:r>
    </w:p>
    <w:p>
      <w:pPr>
        <w:pStyle w:val="BodyText"/>
        <w:spacing w:line="273" w:lineRule="auto"/>
        <w:ind w:left="532" w:right="96"/>
        <w:jc w:val="left"/>
      </w:pPr>
      <w:r>
        <w:rPr/>
        <w:t>5）成本法转公允价值计量</w:t>
      </w:r>
      <w:r>
        <w:rPr>
          <w:w w:val="99"/>
        </w:rPr>
        <w:t> </w:t>
      </w:r>
      <w:r>
        <w:rPr>
          <w:w w:val="95"/>
        </w:rPr>
        <w:t>本公司因处置部分权益性投资等原因丧失了对被投资单位的控制的，在编制个别财务报表时，处置后</w:t>
      </w:r>
      <w:r>
        <w:rPr/>
      </w:r>
    </w:p>
    <w:p>
      <w:pPr>
        <w:pStyle w:val="BodyText"/>
        <w:spacing w:line="273" w:lineRule="auto"/>
        <w:ind w:right="125"/>
        <w:jc w:val="left"/>
      </w:pPr>
      <w:r>
        <w:rPr/>
        <w:t>的剩余股权不能对被投资单位实施共同控制或施加重大影响的，改按《企业会计准则第22号——金融工具</w:t>
      </w:r>
      <w:r>
        <w:rPr>
          <w:w w:val="99"/>
        </w:rPr>
        <w:t> </w:t>
      </w:r>
      <w:r>
        <w:rPr>
          <w:spacing w:val="-3"/>
        </w:rPr>
        <w:t>确认和计量》的有关规定进行会计处理，其在丧失控制之日的公允价值与账面价值间的差额计入当期损益。</w:t>
      </w:r>
    </w:p>
    <w:p>
      <w:pPr>
        <w:spacing w:line="273" w:lineRule="auto" w:before="7"/>
        <w:ind w:left="532" w:right="96" w:hanging="420"/>
        <w:jc w:val="left"/>
        <w:rPr>
          <w:rFonts w:ascii="宋体" w:hAnsi="宋体" w:cs="宋体" w:eastAsia="宋体" w:hint="default"/>
          <w:sz w:val="21"/>
          <w:szCs w:val="21"/>
        </w:rPr>
      </w:pPr>
      <w:r>
        <w:rPr>
          <w:rFonts w:ascii="宋体" w:hAnsi="宋体" w:cs="宋体" w:eastAsia="宋体" w:hint="default"/>
          <w:b/>
          <w:bCs/>
          <w:sz w:val="21"/>
          <w:szCs w:val="21"/>
        </w:rPr>
        <w:t>（4）长期股权投资的处置</w:t>
      </w:r>
      <w:r>
        <w:rPr>
          <w:rFonts w:ascii="宋体" w:hAnsi="宋体" w:cs="宋体" w:eastAsia="宋体" w:hint="default"/>
          <w:b/>
          <w:bCs/>
          <w:w w:val="99"/>
          <w:sz w:val="21"/>
          <w:szCs w:val="21"/>
        </w:rPr>
        <w:t> </w:t>
      </w:r>
      <w:r>
        <w:rPr>
          <w:rFonts w:ascii="宋体" w:hAnsi="宋体" w:cs="宋体" w:eastAsia="宋体" w:hint="default"/>
          <w:w w:val="95"/>
          <w:sz w:val="21"/>
          <w:szCs w:val="21"/>
        </w:rPr>
        <w:t>处置长期股权投资，其账面价值与实际取得价款之间的差额，应当计入当期损益。采用权益法核算的</w:t>
      </w:r>
      <w:r>
        <w:rPr>
          <w:rFonts w:ascii="宋体" w:hAnsi="宋体" w:cs="宋体" w:eastAsia="宋体" w:hint="default"/>
          <w:sz w:val="21"/>
          <w:szCs w:val="21"/>
        </w:rPr>
      </w:r>
    </w:p>
    <w:p>
      <w:pPr>
        <w:pStyle w:val="BodyText"/>
        <w:spacing w:line="273" w:lineRule="auto"/>
        <w:ind w:right="232"/>
        <w:jc w:val="both"/>
      </w:pPr>
      <w:r>
        <w:rPr>
          <w:w w:val="95"/>
        </w:rPr>
        <w:t>长期股权投资，在处置该项投资时，采用与被投资单位直接处置相关资产或负债相同的基础，按相应比例</w:t>
      </w:r>
      <w:r>
        <w:rPr>
          <w:spacing w:val="40"/>
          <w:w w:val="95"/>
        </w:rPr>
        <w:t> </w:t>
      </w:r>
      <w:r>
        <w:rPr>
          <w:spacing w:val="40"/>
          <w:w w:val="95"/>
        </w:rPr>
      </w:r>
      <w:r>
        <w:rPr/>
        <w:t>对原计入其他综合收益的部分进行会计处理。</w:t>
      </w:r>
    </w:p>
    <w:p>
      <w:pPr>
        <w:pStyle w:val="BodyText"/>
        <w:spacing w:line="273" w:lineRule="auto"/>
        <w:ind w:right="96" w:firstLine="420"/>
        <w:jc w:val="left"/>
      </w:pPr>
      <w:r>
        <w:rPr>
          <w:w w:val="95"/>
        </w:rPr>
        <w:t>处置对子公司股权投资的各项交易的条款、条件以及经济影响符合以下一种或多种情况，将多次交易</w:t>
      </w:r>
      <w:r>
        <w:rPr>
          <w:w w:val="99"/>
        </w:rPr>
        <w:t> </w:t>
      </w:r>
      <w:r>
        <w:rPr/>
        <w:t>事项作为一揽子交易进行会计处理：</w:t>
      </w:r>
    </w:p>
    <w:p>
      <w:pPr>
        <w:pStyle w:val="BodyText"/>
        <w:spacing w:line="240" w:lineRule="auto"/>
        <w:ind w:left="532" w:right="96"/>
        <w:jc w:val="left"/>
      </w:pPr>
      <w:r>
        <w:rPr/>
        <w:t>1）这些交易是同时或者在考虑了彼此影响的情况下订立的；</w:t>
      </w:r>
    </w:p>
    <w:p>
      <w:pPr>
        <w:pStyle w:val="BodyText"/>
        <w:spacing w:line="240" w:lineRule="auto" w:before="37"/>
        <w:ind w:left="532" w:right="96"/>
        <w:jc w:val="left"/>
      </w:pPr>
      <w:r>
        <w:rPr/>
        <w:t>2）这些交易整体才能达成一项完整的商业结果；</w:t>
      </w:r>
    </w:p>
    <w:p>
      <w:pPr>
        <w:pStyle w:val="BodyText"/>
        <w:spacing w:line="240" w:lineRule="auto" w:before="37"/>
        <w:ind w:left="532" w:right="96"/>
        <w:jc w:val="left"/>
      </w:pPr>
      <w:r>
        <w:rPr/>
        <w:t>3）一项交易的发生取决于其他至少一项交易的发生；</w:t>
      </w:r>
    </w:p>
    <w:p>
      <w:pPr>
        <w:pStyle w:val="BodyText"/>
        <w:spacing w:line="273" w:lineRule="auto" w:before="37"/>
        <w:ind w:left="532" w:right="96"/>
        <w:jc w:val="left"/>
      </w:pPr>
      <w:r>
        <w:rPr/>
        <w:t>4）一项交易单独看是不经济的，但是和其他交易一并考虑时是经济的。</w:t>
      </w:r>
      <w:r>
        <w:rPr>
          <w:w w:val="99"/>
        </w:rPr>
        <w:t> </w:t>
      </w:r>
      <w:r>
        <w:rPr>
          <w:w w:val="95"/>
        </w:rPr>
        <w:t>因处置部分股权投资或其他原因丧失了对原有子公司控制权的，不属于一揽子交易的，区分个别财务</w:t>
      </w:r>
      <w:r>
        <w:rPr/>
      </w:r>
    </w:p>
    <w:p>
      <w:pPr>
        <w:pStyle w:val="BodyText"/>
        <w:spacing w:line="273" w:lineRule="auto"/>
        <w:ind w:left="532" w:right="96" w:hanging="420"/>
        <w:jc w:val="left"/>
      </w:pPr>
      <w:r>
        <w:rPr/>
        <w:t>报表和合并财务报表进行相关会计处理：</w:t>
      </w:r>
      <w:r>
        <w:rPr>
          <w:w w:val="99"/>
        </w:rPr>
        <w:t> </w:t>
      </w:r>
      <w:r>
        <w:rPr>
          <w:w w:val="95"/>
        </w:rPr>
        <w:t>1）在个别财务报表中，对于处置的股权，其账面价值与实际取得价款之间的差额计入当期损益。处</w:t>
      </w:r>
      <w:r>
        <w:rPr/>
      </w:r>
    </w:p>
    <w:p>
      <w:pPr>
        <w:pStyle w:val="BodyText"/>
        <w:spacing w:line="273" w:lineRule="auto"/>
        <w:ind w:right="232"/>
        <w:jc w:val="both"/>
      </w:pPr>
      <w:r>
        <w:rPr>
          <w:w w:val="95"/>
        </w:rPr>
        <w:t>置后的剩余股权能够对被投资单位实施共同控制或施加重大影响的，改按权益法核算，并对该剩余股权视</w:t>
      </w:r>
      <w:r>
        <w:rPr>
          <w:spacing w:val="37"/>
          <w:w w:val="95"/>
        </w:rPr>
        <w:t> </w:t>
      </w:r>
      <w:r>
        <w:rPr>
          <w:spacing w:val="37"/>
          <w:w w:val="95"/>
        </w:rPr>
      </w:r>
      <w:r>
        <w:rPr>
          <w:w w:val="95"/>
        </w:rPr>
        <w:t>同自取得时即采用权益法核算进行调整；处置后的剩余股权不能对被投资单位实施共同控制或施加重大影</w:t>
      </w:r>
      <w:r>
        <w:rPr>
          <w:spacing w:val="37"/>
          <w:w w:val="95"/>
        </w:rPr>
        <w:t> </w:t>
      </w:r>
      <w:r>
        <w:rPr>
          <w:spacing w:val="37"/>
          <w:w w:val="95"/>
        </w:rPr>
      </w:r>
      <w:r>
        <w:rPr>
          <w:w w:val="95"/>
        </w:rPr>
        <w:t>响的，改按《企业会计准则第22号——金融工具确认和计量》的有关规定进行会计处理，其在丧失控制之</w:t>
      </w:r>
      <w:r>
        <w:rPr>
          <w:spacing w:val="40"/>
          <w:w w:val="95"/>
        </w:rPr>
        <w:t> </w:t>
      </w:r>
      <w:r>
        <w:rPr>
          <w:spacing w:val="40"/>
          <w:w w:val="95"/>
        </w:rPr>
      </w:r>
      <w:r>
        <w:rPr/>
        <w:t>日的公允价值与账面价值间的差额计入当期损益。</w:t>
      </w:r>
    </w:p>
    <w:p>
      <w:pPr>
        <w:pStyle w:val="BodyText"/>
        <w:spacing w:line="273" w:lineRule="auto"/>
        <w:ind w:right="96" w:firstLine="420"/>
        <w:jc w:val="left"/>
      </w:pPr>
      <w:r>
        <w:rPr/>
        <w:t>2）在合并财务报表中，对于在丧失对子公司控制权以前的各项交易，处置价款与处置长期股权投资</w:t>
      </w:r>
      <w:r>
        <w:rPr>
          <w:w w:val="99"/>
        </w:rPr>
        <w:t> </w:t>
      </w:r>
      <w:r>
        <w:rPr>
          <w:spacing w:val="-2"/>
          <w:w w:val="95"/>
        </w:rPr>
        <w:t>相应对享有子公司自购买日或合并日开始持续计算的净资产份额之间的差额，调整资本公积（股本溢价），</w:t>
      </w:r>
      <w:r>
        <w:rPr>
          <w:spacing w:val="62"/>
          <w:w w:val="95"/>
        </w:rPr>
        <w:t> </w:t>
      </w:r>
      <w:r>
        <w:rPr>
          <w:spacing w:val="62"/>
          <w:w w:val="95"/>
        </w:rPr>
      </w:r>
      <w:r>
        <w:rPr/>
        <w:t>资本公积不足冲减的，调整留存收益；在丧失对子公司控制权时，对于剩余股权，按照其在丧失控制权日</w:t>
      </w:r>
    </w:p>
    <w:p>
      <w:pPr>
        <w:spacing w:after="0" w:line="273" w:lineRule="auto"/>
        <w:jc w:val="left"/>
        <w:sectPr>
          <w:pgSz w:w="11910" w:h="16840"/>
          <w:pgMar w:header="746" w:footer="978" w:top="1040" w:bottom="1160" w:left="1020" w:right="900"/>
        </w:sectPr>
      </w:pPr>
    </w:p>
    <w:p>
      <w:pPr>
        <w:spacing w:line="240" w:lineRule="auto" w:before="6"/>
        <w:rPr>
          <w:rFonts w:ascii="宋体" w:hAnsi="宋体" w:cs="宋体" w:eastAsia="宋体" w:hint="default"/>
          <w:sz w:val="25"/>
          <w:szCs w:val="25"/>
        </w:rPr>
      </w:pPr>
    </w:p>
    <w:p>
      <w:pPr>
        <w:pStyle w:val="BodyText"/>
        <w:spacing w:line="273" w:lineRule="auto" w:before="34"/>
        <w:ind w:left="132" w:right="132"/>
        <w:jc w:val="both"/>
      </w:pPr>
      <w:r>
        <w:rPr>
          <w:w w:val="95"/>
        </w:rPr>
        <w:t>的公允价值进行重新计量。处置股权取得的对价与剩余股权公允价值之和，减去按原持股比例计算应享有</w:t>
      </w:r>
      <w:r>
        <w:rPr>
          <w:spacing w:val="40"/>
          <w:w w:val="95"/>
        </w:rPr>
        <w:t> </w:t>
      </w:r>
      <w:r>
        <w:rPr>
          <w:spacing w:val="40"/>
          <w:w w:val="95"/>
        </w:rPr>
      </w:r>
      <w:r>
        <w:rPr>
          <w:w w:val="95"/>
        </w:rPr>
        <w:t>原有子公司自购买日开始持续计算的净资产的份额之间的差额，计入丧失控制权当期的投资收益，同时冲</w:t>
      </w:r>
      <w:r>
        <w:rPr>
          <w:spacing w:val="40"/>
          <w:w w:val="95"/>
        </w:rPr>
        <w:t> </w:t>
      </w:r>
      <w:r>
        <w:rPr>
          <w:spacing w:val="40"/>
          <w:w w:val="95"/>
        </w:rPr>
      </w:r>
      <w:r>
        <w:rPr/>
        <w:t>减商誉。与原有子公司股权投资相关的其他综合收益等，在丧失控制权时转为当期投资收益。</w:t>
      </w:r>
    </w:p>
    <w:p>
      <w:pPr>
        <w:pStyle w:val="BodyText"/>
        <w:spacing w:line="273" w:lineRule="auto"/>
        <w:ind w:left="132" w:right="132" w:firstLine="420"/>
        <w:jc w:val="both"/>
      </w:pPr>
      <w:r>
        <w:rPr>
          <w:w w:val="95"/>
        </w:rPr>
        <w:t>处置对子公司股权投资直至丧失控制权的各项交易属于一揽子交易的，将各项交易作为一项处置子公</w:t>
      </w:r>
      <w:r>
        <w:rPr>
          <w:w w:val="99"/>
        </w:rPr>
        <w:t> </w:t>
      </w:r>
      <w:r>
        <w:rPr/>
        <w:t>司股权投资并丧失控制权的交易进行会计处理，区分个别财务报表和合并财务报表进行相关会计处理：</w:t>
      </w:r>
    </w:p>
    <w:p>
      <w:pPr>
        <w:pStyle w:val="BodyText"/>
        <w:spacing w:line="273" w:lineRule="auto"/>
        <w:ind w:left="132" w:right="216" w:firstLine="420"/>
        <w:jc w:val="both"/>
      </w:pPr>
      <w:r>
        <w:rPr>
          <w:w w:val="95"/>
        </w:rPr>
        <w:t>1）在个别财务报表中，在丧失控制权之前每一次处置价款与处置的股权对应的长期股权投资账面价</w:t>
      </w:r>
      <w:r>
        <w:rPr>
          <w:spacing w:val="-85"/>
          <w:w w:val="95"/>
        </w:rPr>
        <w:t> </w:t>
      </w:r>
      <w:r>
        <w:rPr>
          <w:spacing w:val="-85"/>
          <w:w w:val="95"/>
        </w:rPr>
      </w:r>
      <w:r>
        <w:rPr/>
        <w:t>值之间的差额，确认为其他综合收益，在丧失控制权时一并转入丧失控制权当期的损益。</w:t>
      </w:r>
    </w:p>
    <w:p>
      <w:pPr>
        <w:pStyle w:val="BodyText"/>
        <w:spacing w:line="273" w:lineRule="auto"/>
        <w:ind w:left="132" w:right="216" w:firstLine="420"/>
        <w:jc w:val="both"/>
      </w:pPr>
      <w:r>
        <w:rPr>
          <w:w w:val="95"/>
        </w:rPr>
        <w:t>2）在合并财务报表中，在丧失控制权之前每一次处置价款与处置投资对应的享有该子公司净资产份</w:t>
      </w:r>
      <w:r>
        <w:rPr>
          <w:spacing w:val="-85"/>
          <w:w w:val="95"/>
        </w:rPr>
        <w:t> </w:t>
      </w:r>
      <w:r>
        <w:rPr>
          <w:spacing w:val="-85"/>
          <w:w w:val="95"/>
        </w:rPr>
      </w:r>
      <w:r>
        <w:rPr/>
        <w:t>额的差额，确认为其他综合收益，在丧失控制权时一并转入丧失控制权当期的损益。</w:t>
      </w:r>
    </w:p>
    <w:p>
      <w:pPr>
        <w:spacing w:line="273" w:lineRule="auto" w:before="7"/>
        <w:ind w:left="552" w:right="0" w:hanging="420"/>
        <w:jc w:val="left"/>
        <w:rPr>
          <w:rFonts w:ascii="宋体" w:hAnsi="宋体" w:cs="宋体" w:eastAsia="宋体" w:hint="default"/>
          <w:sz w:val="21"/>
          <w:szCs w:val="21"/>
        </w:rPr>
      </w:pPr>
      <w:r>
        <w:rPr>
          <w:rFonts w:ascii="宋体" w:hAnsi="宋体" w:cs="宋体" w:eastAsia="宋体" w:hint="default"/>
          <w:b/>
          <w:bCs/>
          <w:sz w:val="21"/>
          <w:szCs w:val="21"/>
        </w:rPr>
        <w:t>（5）共同控制、重大影响的判断标准</w:t>
      </w:r>
      <w:r>
        <w:rPr>
          <w:rFonts w:ascii="宋体" w:hAnsi="宋体" w:cs="宋体" w:eastAsia="宋体" w:hint="default"/>
          <w:b/>
          <w:bCs/>
          <w:w w:val="99"/>
          <w:sz w:val="21"/>
          <w:szCs w:val="21"/>
        </w:rPr>
        <w:t> </w:t>
      </w:r>
      <w:r>
        <w:rPr>
          <w:rFonts w:ascii="宋体" w:hAnsi="宋体" w:cs="宋体" w:eastAsia="宋体" w:hint="default"/>
          <w:w w:val="95"/>
          <w:sz w:val="21"/>
          <w:szCs w:val="21"/>
        </w:rPr>
        <w:t>如果本公司按照相关约定与其他参与方集体控制某项安排，并且对该安排回报具有重大影响的活动决</w:t>
      </w:r>
      <w:r>
        <w:rPr>
          <w:rFonts w:ascii="宋体" w:hAnsi="宋体" w:cs="宋体" w:eastAsia="宋体" w:hint="default"/>
          <w:sz w:val="21"/>
          <w:szCs w:val="21"/>
        </w:rPr>
      </w:r>
    </w:p>
    <w:p>
      <w:pPr>
        <w:pStyle w:val="BodyText"/>
        <w:spacing w:line="273" w:lineRule="auto"/>
        <w:ind w:left="132" w:right="0"/>
        <w:jc w:val="left"/>
      </w:pPr>
      <w:r>
        <w:rPr>
          <w:w w:val="95"/>
        </w:rPr>
        <w:t>策，需要经过分享控制权的参与方一致同意时才存在，则视为本公司与其他参与方共同控制某项安排，该</w:t>
      </w:r>
      <w:r>
        <w:rPr>
          <w:spacing w:val="40"/>
          <w:w w:val="95"/>
        </w:rPr>
        <w:t> </w:t>
      </w:r>
      <w:r>
        <w:rPr>
          <w:spacing w:val="40"/>
          <w:w w:val="95"/>
        </w:rPr>
      </w:r>
      <w:r>
        <w:rPr/>
        <w:t>安排即属于合营安排。</w:t>
      </w:r>
    </w:p>
    <w:p>
      <w:pPr>
        <w:pStyle w:val="BodyText"/>
        <w:spacing w:line="273" w:lineRule="auto"/>
        <w:ind w:left="132" w:right="132" w:firstLine="420"/>
        <w:jc w:val="both"/>
      </w:pPr>
      <w:r>
        <w:rPr>
          <w:w w:val="95"/>
        </w:rPr>
        <w:t>合营安排通过单独主体达成的，根据相关约定判断本公司对该单独主体的净资产享有权利时，将该单</w:t>
      </w:r>
      <w:r>
        <w:rPr>
          <w:w w:val="99"/>
        </w:rPr>
        <w:t> </w:t>
      </w:r>
      <w:r>
        <w:rPr>
          <w:w w:val="95"/>
        </w:rPr>
        <w:t>独主体作为合营企业，采用权益法核算。若根据相关约定判断本公司并非对该单独主体的净资产享有权利</w:t>
      </w:r>
      <w:r>
        <w:rPr>
          <w:spacing w:val="37"/>
          <w:w w:val="95"/>
        </w:rPr>
        <w:t> </w:t>
      </w:r>
      <w:r>
        <w:rPr>
          <w:spacing w:val="37"/>
          <w:w w:val="95"/>
        </w:rPr>
      </w:r>
      <w:r>
        <w:rPr>
          <w:w w:val="95"/>
        </w:rPr>
        <w:t>时，该单独主体作为共同经营，本公司确认与共同经营利益份额相关的项目，并按照相关企业会计准则的</w:t>
      </w:r>
      <w:r>
        <w:rPr>
          <w:spacing w:val="37"/>
          <w:w w:val="95"/>
        </w:rPr>
        <w:t> </w:t>
      </w:r>
      <w:r>
        <w:rPr>
          <w:spacing w:val="37"/>
          <w:w w:val="95"/>
        </w:rPr>
      </w:r>
      <w:r>
        <w:rPr/>
        <w:t>规定进行会计处理。</w:t>
      </w:r>
    </w:p>
    <w:p>
      <w:pPr>
        <w:pStyle w:val="BodyText"/>
        <w:spacing w:line="273" w:lineRule="auto"/>
        <w:ind w:left="132" w:right="0" w:firstLine="420"/>
        <w:jc w:val="left"/>
      </w:pPr>
      <w:r>
        <w:rPr>
          <w:w w:val="95"/>
        </w:rPr>
        <w:t>重大影响，是指投资方对被投资单位的财务和经营政策有参与决策的权力，但并不能够控制或者与其</w:t>
      </w:r>
      <w:r>
        <w:rPr>
          <w:w w:val="99"/>
        </w:rPr>
        <w:t> </w:t>
      </w:r>
      <w:r>
        <w:rPr>
          <w:w w:val="95"/>
        </w:rPr>
        <w:t>他方一起共同控制这些政策的制定。本公司通过以下一种或多种情形，并综合考虑所有事实和情况后，判</w:t>
      </w:r>
      <w:r>
        <w:rPr>
          <w:spacing w:val="40"/>
          <w:w w:val="95"/>
        </w:rPr>
        <w:t> </w:t>
      </w:r>
      <w:r>
        <w:rPr>
          <w:spacing w:val="40"/>
          <w:w w:val="95"/>
        </w:rPr>
      </w:r>
      <w:r>
        <w:rPr>
          <w:w w:val="95"/>
        </w:rPr>
        <w:t>断对被投资单位具有重大影响。1）在被投资单位的董事会或类似权力机构中派有代表；2）参与被投资单</w:t>
      </w:r>
      <w:r>
        <w:rPr>
          <w:spacing w:val="39"/>
          <w:w w:val="95"/>
        </w:rPr>
        <w:t> </w:t>
      </w:r>
      <w:r>
        <w:rPr>
          <w:spacing w:val="39"/>
          <w:w w:val="95"/>
        </w:rPr>
      </w:r>
      <w:r>
        <w:rPr/>
        <w:t>位财务和经营政策制定过程；3）与被投资单位之间发生重要交易；4）向被投资单位派出管理人员；5）</w:t>
      </w:r>
      <w:r>
        <w:rPr>
          <w:w w:val="99"/>
        </w:rPr>
        <w:t> </w:t>
      </w:r>
      <w:r>
        <w:rPr/>
        <w:t>向被投资单位提供关键技术资料。</w:t>
      </w:r>
    </w:p>
    <w:p>
      <w:pPr>
        <w:spacing w:line="240" w:lineRule="auto" w:before="7"/>
        <w:rPr>
          <w:rFonts w:ascii="宋体" w:hAnsi="宋体" w:cs="宋体" w:eastAsia="宋体" w:hint="default"/>
          <w:sz w:val="23"/>
          <w:szCs w:val="23"/>
        </w:rPr>
      </w:pPr>
    </w:p>
    <w:p>
      <w:pPr>
        <w:pStyle w:val="Heading6"/>
        <w:spacing w:line="240" w:lineRule="auto"/>
        <w:ind w:right="7034"/>
        <w:jc w:val="left"/>
        <w:rPr>
          <w:b w:val="0"/>
          <w:bCs w:val="0"/>
        </w:rPr>
      </w:pPr>
      <w:r>
        <w:rPr/>
        <w:t>15、投资性房地产</w:t>
      </w:r>
      <w:r>
        <w:rPr>
          <w:b w:val="0"/>
          <w:bCs w:val="0"/>
        </w:rPr>
      </w:r>
    </w:p>
    <w:p>
      <w:pPr>
        <w:spacing w:line="240" w:lineRule="auto" w:before="9"/>
        <w:rPr>
          <w:rFonts w:ascii="宋体" w:hAnsi="宋体" w:cs="宋体" w:eastAsia="宋体" w:hint="default"/>
          <w:b/>
          <w:bCs/>
          <w:sz w:val="27"/>
          <w:szCs w:val="27"/>
        </w:rPr>
      </w:pPr>
    </w:p>
    <w:p>
      <w:pPr>
        <w:spacing w:line="357" w:lineRule="auto" w:before="0"/>
        <w:ind w:left="132" w:right="7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3"/>
        <w:ind w:left="132" w:right="0" w:firstLine="420"/>
        <w:jc w:val="left"/>
      </w:pPr>
      <w:r>
        <w:rPr>
          <w:w w:val="95"/>
        </w:rPr>
        <w:t>投资性房地产是指为赚取租金或资本增值，或两者兼有而持有的房地产，包括已出租的土地使用权、</w:t>
      </w:r>
      <w:r>
        <w:rPr>
          <w:spacing w:val="-79"/>
          <w:w w:val="95"/>
        </w:rPr>
        <w:t> </w:t>
      </w:r>
      <w:r>
        <w:rPr>
          <w:spacing w:val="-79"/>
          <w:w w:val="95"/>
        </w:rPr>
      </w:r>
      <w:r>
        <w:rPr/>
        <w:t>持有并准备增值后转让的土地使用权、已出租的建筑物。</w:t>
      </w:r>
    </w:p>
    <w:p>
      <w:pPr>
        <w:pStyle w:val="BodyText"/>
        <w:spacing w:line="273" w:lineRule="auto"/>
        <w:ind w:left="132" w:right="132" w:firstLine="420"/>
        <w:jc w:val="both"/>
      </w:pPr>
      <w:r>
        <w:rPr>
          <w:w w:val="95"/>
        </w:rPr>
        <w:t>本公司的投资性房地产按其成本作为入账价值，外购投资性房地产的成本包括购买价款、相关税费和</w:t>
      </w:r>
      <w:r>
        <w:rPr>
          <w:w w:val="99"/>
        </w:rPr>
        <w:t> </w:t>
      </w:r>
      <w:r>
        <w:rPr>
          <w:w w:val="95"/>
        </w:rPr>
        <w:t>可直接归属于该资产的其他支出；自行建造投资性房地产的成本，由建造该项资产达到预定可使用状态前</w:t>
      </w:r>
      <w:r>
        <w:rPr>
          <w:spacing w:val="40"/>
          <w:w w:val="95"/>
        </w:rPr>
        <w:t> </w:t>
      </w:r>
      <w:r>
        <w:rPr>
          <w:spacing w:val="40"/>
          <w:w w:val="95"/>
        </w:rPr>
      </w:r>
      <w:r>
        <w:rPr/>
        <w:t>所发生的必要支出构成。</w:t>
      </w:r>
    </w:p>
    <w:p>
      <w:pPr>
        <w:pStyle w:val="BodyText"/>
        <w:spacing w:line="273" w:lineRule="auto"/>
        <w:ind w:left="132" w:right="132" w:firstLine="420"/>
        <w:jc w:val="both"/>
      </w:pPr>
      <w:r>
        <w:rPr>
          <w:w w:val="95"/>
        </w:rPr>
        <w:t>本公司对投资性房地产采用成本模式进行后续计量，按其预计使用寿命及净残值率对建筑物和土地使</w:t>
      </w:r>
      <w:r>
        <w:rPr>
          <w:w w:val="99"/>
        </w:rPr>
        <w:t> </w:t>
      </w:r>
      <w:r>
        <w:rPr/>
        <w:t>用权计提折旧或摊销。投资性房地产的预计使用寿命、净残值率及年折旧（摊销）率列示如下：</w:t>
      </w:r>
    </w:p>
    <w:tbl>
      <w:tblPr>
        <w:tblW w:w="0" w:type="auto"/>
        <w:jc w:val="left"/>
        <w:tblInd w:w="116" w:type="dxa"/>
        <w:tblLayout w:type="fixed"/>
        <w:tblCellMar>
          <w:top w:w="0" w:type="dxa"/>
          <w:left w:w="0" w:type="dxa"/>
          <w:bottom w:w="0" w:type="dxa"/>
          <w:right w:w="0" w:type="dxa"/>
        </w:tblCellMar>
        <w:tblLook w:val="01E0"/>
      </w:tblPr>
      <w:tblGrid>
        <w:gridCol w:w="2451"/>
        <w:gridCol w:w="2031"/>
        <w:gridCol w:w="2216"/>
        <w:gridCol w:w="1830"/>
      </w:tblGrid>
      <w:tr>
        <w:trPr>
          <w:trHeight w:val="3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tabs>
                <w:tab w:pos="451"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年折旧（摊销）率%</w:t>
            </w:r>
          </w:p>
        </w:tc>
      </w:tr>
      <w:tr>
        <w:trPr>
          <w:trHeight w:val="3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5</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3.17</w:t>
            </w:r>
          </w:p>
        </w:tc>
      </w:tr>
    </w:tbl>
    <w:p>
      <w:pPr>
        <w:spacing w:line="240" w:lineRule="auto" w:before="4"/>
        <w:rPr>
          <w:rFonts w:ascii="宋体" w:hAnsi="宋体" w:cs="宋体" w:eastAsia="宋体" w:hint="default"/>
          <w:sz w:val="7"/>
          <w:szCs w:val="7"/>
        </w:rPr>
      </w:pPr>
    </w:p>
    <w:p>
      <w:pPr>
        <w:pStyle w:val="BodyText"/>
        <w:spacing w:line="273" w:lineRule="auto" w:before="34"/>
        <w:ind w:left="132" w:right="132" w:firstLine="420"/>
        <w:jc w:val="both"/>
      </w:pPr>
      <w:r>
        <w:rPr>
          <w:w w:val="95"/>
        </w:rPr>
        <w:t>投资性房地产的用途改变为自用时，自改变之日起，本公司将该投资性房地产转换为固定资产或无形</w:t>
      </w:r>
      <w:r>
        <w:rPr>
          <w:w w:val="99"/>
        </w:rPr>
        <w:t> </w:t>
      </w:r>
      <w:r>
        <w:rPr>
          <w:w w:val="95"/>
        </w:rPr>
        <w:t>资产。自用房地产的用途改变为赚取租金或资本增值时，自改变之日起，本公司将固定资产或无形资产转</w:t>
      </w:r>
      <w:r>
        <w:rPr>
          <w:spacing w:val="37"/>
          <w:w w:val="95"/>
        </w:rPr>
        <w:t> </w:t>
      </w:r>
      <w:r>
        <w:rPr>
          <w:spacing w:val="37"/>
          <w:w w:val="95"/>
        </w:rPr>
      </w:r>
      <w:r>
        <w:rPr/>
        <w:t>换为投资性房地产。发生转换时，以转换前的账面价值作为转换后的入账价值。</w:t>
      </w:r>
    </w:p>
    <w:p>
      <w:pPr>
        <w:pStyle w:val="BodyText"/>
        <w:spacing w:line="273" w:lineRule="auto" w:before="127"/>
        <w:ind w:left="132" w:right="130" w:firstLine="420"/>
        <w:jc w:val="both"/>
      </w:pPr>
      <w:r>
        <w:rPr>
          <w:w w:val="95"/>
        </w:rPr>
        <w:t>投资性房地产的用途改变为自用时，自改变之日起，本公司将该投资性房地产转换为固定资产或无形</w:t>
      </w:r>
      <w:r>
        <w:rPr>
          <w:w w:val="99"/>
        </w:rPr>
        <w:t> </w:t>
      </w:r>
      <w:r>
        <w:rPr>
          <w:w w:val="95"/>
        </w:rPr>
        <w:t>资产。自用房地产的用途改变为赚取租金或资本增值时，自改变之日起，本公司将固定资产或无形资产转</w:t>
      </w:r>
      <w:r>
        <w:rPr>
          <w:spacing w:val="43"/>
          <w:w w:val="95"/>
        </w:rPr>
        <w:t> </w:t>
      </w:r>
      <w:r>
        <w:rPr>
          <w:spacing w:val="43"/>
          <w:w w:val="95"/>
        </w:rPr>
      </w:r>
      <w:r>
        <w:rPr/>
        <w:t>换为投资性房地产。发生转换时，以转换前的账面价值作为转换后的入账价值。</w:t>
      </w:r>
    </w:p>
    <w:p>
      <w:pPr>
        <w:spacing w:after="0" w:line="273" w:lineRule="auto"/>
        <w:jc w:val="both"/>
        <w:sectPr>
          <w:pgSz w:w="11910" w:h="16840"/>
          <w:pgMar w:header="746" w:footer="978" w:top="1040" w:bottom="1160" w:left="1000" w:right="1000"/>
        </w:sectPr>
      </w:pPr>
    </w:p>
    <w:p>
      <w:pPr>
        <w:spacing w:line="240" w:lineRule="auto" w:before="6"/>
        <w:rPr>
          <w:rFonts w:ascii="宋体" w:hAnsi="宋体" w:cs="宋体" w:eastAsia="宋体" w:hint="default"/>
          <w:sz w:val="25"/>
          <w:szCs w:val="25"/>
        </w:rPr>
      </w:pPr>
    </w:p>
    <w:p>
      <w:pPr>
        <w:pStyle w:val="BodyText"/>
        <w:spacing w:line="273" w:lineRule="auto" w:before="34"/>
        <w:ind w:left="552" w:right="0"/>
        <w:jc w:val="left"/>
      </w:pPr>
      <w:r>
        <w:rPr>
          <w:w w:val="95"/>
        </w:rPr>
        <w:t>公司对存在减值迹象的，估计其可收回金额，可收回金额低于其账面价值的，确认相应的减值损失。</w:t>
      </w:r>
      <w:r>
        <w:rPr>
          <w:spacing w:val="41"/>
          <w:w w:val="95"/>
        </w:rPr>
        <w:t> </w:t>
      </w:r>
      <w:r>
        <w:rPr>
          <w:spacing w:val="41"/>
          <w:w w:val="95"/>
        </w:rPr>
      </w:r>
      <w:r>
        <w:rPr/>
        <w:t>投资性房地产减值损失一经确认，不再转回。</w:t>
      </w:r>
      <w:r>
        <w:rPr>
          <w:w w:val="99"/>
        </w:rPr>
        <w:t> </w:t>
      </w:r>
      <w:r>
        <w:rPr>
          <w:w w:val="95"/>
        </w:rPr>
        <w:t>当投资性房地产被处置，或者永久退出使用且预计不能从其处置中取得经济利益时，终止确认该项投</w:t>
      </w:r>
      <w:r>
        <w:rPr/>
      </w:r>
    </w:p>
    <w:p>
      <w:pPr>
        <w:pStyle w:val="BodyText"/>
        <w:spacing w:line="273" w:lineRule="auto"/>
        <w:ind w:left="132" w:right="0"/>
        <w:jc w:val="left"/>
      </w:pPr>
      <w:r>
        <w:rPr>
          <w:w w:val="95"/>
        </w:rPr>
        <w:t>资性房地产。投资性房地产出售、转让、报废或毁损的处置收入扣除其账面价值和相关税费后的金额计入</w:t>
      </w:r>
      <w:r>
        <w:rPr>
          <w:spacing w:val="37"/>
          <w:w w:val="95"/>
        </w:rPr>
        <w:t> </w:t>
      </w:r>
      <w:r>
        <w:rPr>
          <w:spacing w:val="37"/>
          <w:w w:val="95"/>
        </w:rPr>
      </w:r>
      <w:r>
        <w:rPr/>
        <w:t>当期损益。</w:t>
      </w:r>
    </w:p>
    <w:p>
      <w:pPr>
        <w:spacing w:line="240" w:lineRule="auto" w:before="7"/>
        <w:rPr>
          <w:rFonts w:ascii="宋体" w:hAnsi="宋体" w:cs="宋体" w:eastAsia="宋体" w:hint="default"/>
          <w:sz w:val="23"/>
          <w:szCs w:val="23"/>
        </w:rPr>
      </w:pPr>
    </w:p>
    <w:p>
      <w:pPr>
        <w:pStyle w:val="Heading6"/>
        <w:spacing w:line="240" w:lineRule="auto"/>
        <w:ind w:right="7034"/>
        <w:jc w:val="left"/>
        <w:rPr>
          <w:b w:val="0"/>
          <w:bCs w:val="0"/>
        </w:rPr>
      </w:pPr>
      <w:r>
        <w:rPr/>
        <w:t>16、固定资产</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7034"/>
        <w:jc w:val="left"/>
        <w:rPr>
          <w:b w:val="0"/>
          <w:bCs w:val="0"/>
        </w:rPr>
      </w:pPr>
      <w:r>
        <w:rPr/>
        <w:t>（1）确认条件</w:t>
      </w:r>
      <w:r>
        <w:rPr>
          <w:b w:val="0"/>
          <w:bCs w:val="0"/>
        </w:rPr>
      </w:r>
    </w:p>
    <w:p>
      <w:pPr>
        <w:spacing w:line="240" w:lineRule="auto" w:before="7"/>
        <w:rPr>
          <w:rFonts w:ascii="宋体" w:hAnsi="宋体" w:cs="宋体" w:eastAsia="宋体" w:hint="default"/>
          <w:b/>
          <w:bCs/>
          <w:sz w:val="27"/>
          <w:szCs w:val="27"/>
        </w:rPr>
      </w:pPr>
    </w:p>
    <w:p>
      <w:pPr>
        <w:spacing w:line="316" w:lineRule="auto" w:before="0"/>
        <w:ind w:left="132" w:right="0" w:firstLine="36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w:t>
      </w:r>
      <w:r>
        <w:rPr>
          <w:rFonts w:ascii="宋体" w:hAnsi="宋体" w:cs="宋体" w:eastAsia="宋体" w:hint="default"/>
          <w:sz w:val="18"/>
          <w:szCs w:val="18"/>
        </w:rPr>
        <w:t> 同时满足下列条件时予以确认：</w:t>
      </w:r>
    </w:p>
    <w:p>
      <w:pPr>
        <w:spacing w:before="59"/>
        <w:ind w:left="492" w:right="0" w:firstLine="0"/>
        <w:jc w:val="left"/>
        <w:rPr>
          <w:rFonts w:ascii="宋体" w:hAnsi="宋体" w:cs="宋体" w:eastAsia="宋体" w:hint="default"/>
          <w:sz w:val="18"/>
          <w:szCs w:val="18"/>
        </w:rPr>
      </w:pPr>
      <w:r>
        <w:rPr>
          <w:rFonts w:ascii="宋体" w:hAnsi="宋体" w:cs="宋体" w:eastAsia="宋体" w:hint="default"/>
          <w:sz w:val="18"/>
          <w:szCs w:val="18"/>
        </w:rPr>
        <w:t>1）与该固定资产有关的经济利益很可能流入企业；</w:t>
      </w:r>
    </w:p>
    <w:p>
      <w:pPr>
        <w:spacing w:before="117"/>
        <w:ind w:left="492" w:right="5774" w:firstLine="0"/>
        <w:jc w:val="left"/>
        <w:rPr>
          <w:rFonts w:ascii="宋体" w:hAnsi="宋体" w:cs="宋体" w:eastAsia="宋体" w:hint="default"/>
          <w:sz w:val="18"/>
          <w:szCs w:val="18"/>
        </w:rPr>
      </w:pPr>
      <w:r>
        <w:rPr>
          <w:rFonts w:ascii="宋体" w:hAnsi="宋体" w:cs="宋体" w:eastAsia="宋体" w:hint="default"/>
          <w:sz w:val="18"/>
          <w:szCs w:val="18"/>
        </w:rPr>
        <w:t>2）该固定资产的成本能够可靠地计量。</w:t>
      </w:r>
    </w:p>
    <w:p>
      <w:pPr>
        <w:spacing w:line="240" w:lineRule="auto" w:before="11"/>
        <w:rPr>
          <w:rFonts w:ascii="宋体" w:hAnsi="宋体" w:cs="宋体" w:eastAsia="宋体" w:hint="default"/>
          <w:sz w:val="26"/>
          <w:szCs w:val="26"/>
        </w:rPr>
      </w:pPr>
    </w:p>
    <w:p>
      <w:pPr>
        <w:pStyle w:val="Heading6"/>
        <w:spacing w:line="240" w:lineRule="auto"/>
        <w:ind w:right="7034"/>
        <w:jc w:val="left"/>
        <w:rPr>
          <w:b w:val="0"/>
          <w:bCs w:val="0"/>
        </w:rPr>
      </w:pPr>
      <w:r>
        <w:rPr/>
        <w:t>（2）折旧方法</w:t>
      </w:r>
      <w:r>
        <w:rPr>
          <w:b w:val="0"/>
          <w:bCs w:val="0"/>
        </w:rPr>
      </w:r>
    </w:p>
    <w:p>
      <w:pPr>
        <w:spacing w:line="240" w:lineRule="auto" w:before="0"/>
        <w:rPr>
          <w:rFonts w:ascii="宋体" w:hAnsi="宋体" w:cs="宋体" w:eastAsia="宋体" w:hint="default"/>
          <w:b/>
          <w:bCs/>
          <w:sz w:val="27"/>
          <w:szCs w:val="27"/>
        </w:rPr>
      </w:pPr>
    </w:p>
    <w:tbl>
      <w:tblPr>
        <w:tblW w:w="0" w:type="auto"/>
        <w:jc w:val="left"/>
        <w:tblInd w:w="101"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19.00-11.88</w:t>
            </w:r>
          </w:p>
        </w:tc>
      </w:tr>
    </w:tbl>
    <w:p>
      <w:pPr>
        <w:spacing w:line="240" w:lineRule="auto" w:before="3"/>
        <w:rPr>
          <w:rFonts w:ascii="宋体" w:hAnsi="宋体" w:cs="宋体" w:eastAsia="宋体" w:hint="default"/>
          <w:b/>
          <w:bCs/>
          <w:sz w:val="19"/>
          <w:szCs w:val="19"/>
        </w:rPr>
      </w:pPr>
    </w:p>
    <w:p>
      <w:pPr>
        <w:pStyle w:val="Heading6"/>
        <w:spacing w:line="240" w:lineRule="auto" w:before="34"/>
        <w:ind w:right="0"/>
        <w:jc w:val="left"/>
        <w:rPr>
          <w:b w:val="0"/>
          <w:bCs w:val="0"/>
        </w:rPr>
      </w:pPr>
      <w:r>
        <w:rPr/>
        <w:t>（3）融资租入固定资产的认定依据、计价和折旧方法</w:t>
      </w:r>
      <w:r>
        <w:rPr>
          <w:b w:val="0"/>
          <w:bCs w:val="0"/>
        </w:rPr>
      </w:r>
    </w:p>
    <w:p>
      <w:pPr>
        <w:spacing w:line="240" w:lineRule="auto" w:before="9"/>
        <w:rPr>
          <w:rFonts w:ascii="宋体" w:hAnsi="宋体" w:cs="宋体" w:eastAsia="宋体" w:hint="default"/>
          <w:b/>
          <w:bCs/>
          <w:sz w:val="27"/>
          <w:szCs w:val="27"/>
        </w:rPr>
      </w:pPr>
    </w:p>
    <w:p>
      <w:pPr>
        <w:spacing w:line="360" w:lineRule="auto" w:before="0"/>
        <w:ind w:left="492" w:right="2914" w:firstLine="0"/>
        <w:jc w:val="left"/>
        <w:rPr>
          <w:rFonts w:ascii="宋体" w:hAnsi="宋体" w:cs="宋体" w:eastAsia="宋体" w:hint="default"/>
          <w:sz w:val="18"/>
          <w:szCs w:val="18"/>
        </w:rPr>
      </w:pPr>
      <w:r>
        <w:rPr>
          <w:rFonts w:ascii="宋体" w:hAnsi="宋体" w:cs="宋体" w:eastAsia="宋体" w:hint="default"/>
          <w:sz w:val="18"/>
          <w:szCs w:val="18"/>
        </w:rPr>
        <w:t>当本公司租入的固定资产符合下列一项或数项标准时，确认为融资租入固定资产： 1）在租赁期届满时，租赁资产的所有权转移给本公司。</w:t>
      </w:r>
    </w:p>
    <w:p>
      <w:pPr>
        <w:spacing w:line="316" w:lineRule="auto" w:before="27"/>
        <w:ind w:left="132" w:right="141" w:firstLine="360"/>
        <w:jc w:val="both"/>
        <w:rPr>
          <w:rFonts w:ascii="宋体" w:hAnsi="宋体" w:cs="宋体" w:eastAsia="宋体" w:hint="default"/>
          <w:sz w:val="18"/>
          <w:szCs w:val="18"/>
        </w:rPr>
      </w:pPr>
      <w:r>
        <w:rPr>
          <w:rFonts w:ascii="宋体" w:hAnsi="宋体" w:cs="宋体" w:eastAsia="宋体" w:hint="default"/>
          <w:sz w:val="18"/>
          <w:szCs w:val="18"/>
        </w:rPr>
        <w:t>2）本公司有购买租赁资产的选择权，所订立的购买价款预计将远低于行使选择权时租赁资产的公允价值，因而在租赁 开始日就可以合理确定本公司将会行使这种选择权。</w:t>
      </w:r>
    </w:p>
    <w:p>
      <w:pPr>
        <w:spacing w:before="57"/>
        <w:ind w:left="492" w:right="0" w:firstLine="0"/>
        <w:jc w:val="left"/>
        <w:rPr>
          <w:rFonts w:ascii="宋体" w:hAnsi="宋体" w:cs="宋体" w:eastAsia="宋体" w:hint="default"/>
          <w:sz w:val="18"/>
          <w:szCs w:val="18"/>
        </w:rPr>
      </w:pPr>
      <w:r>
        <w:rPr>
          <w:rFonts w:ascii="宋体" w:hAnsi="宋体" w:cs="宋体" w:eastAsia="宋体" w:hint="default"/>
          <w:sz w:val="18"/>
          <w:szCs w:val="18"/>
        </w:rPr>
        <w:t>3）即使资产的所有权不转移，但租赁期占租赁资产使用寿命的大部分。</w:t>
      </w:r>
    </w:p>
    <w:p>
      <w:pPr>
        <w:spacing w:before="117"/>
        <w:ind w:left="492" w:right="0" w:firstLine="0"/>
        <w:jc w:val="left"/>
        <w:rPr>
          <w:rFonts w:ascii="宋体" w:hAnsi="宋体" w:cs="宋体" w:eastAsia="宋体" w:hint="default"/>
          <w:sz w:val="18"/>
          <w:szCs w:val="18"/>
        </w:rPr>
      </w:pPr>
      <w:r>
        <w:rPr>
          <w:rFonts w:ascii="宋体" w:hAnsi="宋体" w:cs="宋体" w:eastAsia="宋体" w:hint="default"/>
          <w:sz w:val="18"/>
          <w:szCs w:val="18"/>
        </w:rPr>
        <w:t>4）本公司在租赁开始日的最低租赁付款额现值，几乎相当于租赁开始日租赁资产公允价值。</w:t>
      </w:r>
    </w:p>
    <w:p>
      <w:pPr>
        <w:spacing w:line="357" w:lineRule="auto" w:before="117"/>
        <w:ind w:left="492" w:right="0" w:firstLine="0"/>
        <w:jc w:val="left"/>
        <w:rPr>
          <w:rFonts w:ascii="宋体" w:hAnsi="宋体" w:cs="宋体" w:eastAsia="宋体" w:hint="default"/>
          <w:sz w:val="18"/>
          <w:szCs w:val="18"/>
        </w:rPr>
      </w:pPr>
      <w:r>
        <w:rPr>
          <w:rFonts w:ascii="宋体" w:hAnsi="宋体" w:cs="宋体" w:eastAsia="宋体" w:hint="default"/>
          <w:sz w:val="18"/>
          <w:szCs w:val="18"/>
        </w:rPr>
        <w:t>5）租赁资产性质特殊，如果不作较大改造，只有本公司才能使用。 </w:t>
      </w:r>
      <w:r>
        <w:rPr>
          <w:rFonts w:ascii="宋体" w:hAnsi="宋体" w:cs="宋体" w:eastAsia="宋体" w:hint="default"/>
          <w:spacing w:val="-2"/>
          <w:sz w:val="18"/>
          <w:szCs w:val="18"/>
        </w:rPr>
        <w:t>融资租赁租入的固定资产，按租赁开始日租赁资产公允价值与最低租赁付款额的现值两者中较低者，作为入账价值。最</w:t>
      </w:r>
    </w:p>
    <w:p>
      <w:pPr>
        <w:spacing w:line="224" w:lineRule="exact"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低租赁付款额作为长期应付款的入账价值，其差额作为未确认融资费用。在租赁谈判和签订租赁合同过程中发生的，可归属</w:t>
      </w:r>
    </w:p>
    <w:p>
      <w:pPr>
        <w:spacing w:line="316" w:lineRule="auto" w:before="76"/>
        <w:ind w:left="132" w:right="0" w:firstLine="0"/>
        <w:jc w:val="left"/>
        <w:rPr>
          <w:rFonts w:ascii="宋体" w:hAnsi="宋体" w:cs="宋体" w:eastAsia="宋体" w:hint="default"/>
          <w:sz w:val="18"/>
          <w:szCs w:val="18"/>
        </w:rPr>
      </w:pPr>
      <w:r>
        <w:rPr>
          <w:rFonts w:ascii="宋体" w:hAnsi="宋体" w:cs="宋体" w:eastAsia="宋体" w:hint="default"/>
          <w:spacing w:val="-2"/>
          <w:sz w:val="18"/>
          <w:szCs w:val="18"/>
        </w:rPr>
        <w:t>于租赁项目的手续费、律师费、差旅费、印花税等初始直接费用，计入租入资产价值。未确认融资费用在租赁期内各个期间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采用实际利率法进行分摊。</w:t>
      </w:r>
    </w:p>
    <w:p>
      <w:pPr>
        <w:spacing w:line="316" w:lineRule="auto" w:before="59"/>
        <w:ind w:left="132" w:right="132" w:firstLine="360"/>
        <w:jc w:val="both"/>
        <w:rPr>
          <w:rFonts w:ascii="宋体" w:hAnsi="宋体" w:cs="宋体" w:eastAsia="宋体" w:hint="default"/>
          <w:sz w:val="18"/>
          <w:szCs w:val="18"/>
        </w:rPr>
      </w:pPr>
      <w:r>
        <w:rPr>
          <w:rFonts w:ascii="宋体" w:hAnsi="宋体" w:cs="宋体" w:eastAsia="宋体" w:hint="default"/>
          <w:spacing w:val="-2"/>
          <w:sz w:val="18"/>
          <w:szCs w:val="18"/>
        </w:rPr>
        <w:t>本公司采用与自有固定资产相一致的折旧政策计提融资租入固定资产折旧。能够合理确定租赁期届满时取得租赁资产所</w:t>
      </w:r>
      <w:r>
        <w:rPr>
          <w:rFonts w:ascii="宋体" w:hAnsi="宋体" w:cs="宋体" w:eastAsia="宋体" w:hint="default"/>
          <w:sz w:val="18"/>
          <w:szCs w:val="18"/>
        </w:rPr>
        <w:t> </w:t>
      </w:r>
      <w:r>
        <w:rPr>
          <w:rFonts w:ascii="宋体" w:hAnsi="宋体" w:cs="宋体" w:eastAsia="宋体" w:hint="default"/>
          <w:spacing w:val="-2"/>
          <w:sz w:val="18"/>
          <w:szCs w:val="18"/>
        </w:rPr>
        <w:t>有权的，在租赁资产使用寿命内计提折旧。无法合理确定租赁期届满时能够取得租赁资产所有权的，在租赁期与租赁资产使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用寿命两者中较短的期间内计提折旧。</w:t>
      </w:r>
    </w:p>
    <w:p>
      <w:pPr>
        <w:spacing w:after="0" w:line="316" w:lineRule="auto"/>
        <w:jc w:val="both"/>
        <w:rPr>
          <w:rFonts w:ascii="宋体" w:hAnsi="宋体" w:cs="宋体" w:eastAsia="宋体" w:hint="default"/>
          <w:sz w:val="18"/>
          <w:szCs w:val="18"/>
        </w:rPr>
        <w:sectPr>
          <w:pgSz w:w="11910" w:h="16840"/>
          <w:pgMar w:header="746" w:footer="978" w:top="1040" w:bottom="1160" w:left="1000" w:right="1000"/>
        </w:sectPr>
      </w:pPr>
    </w:p>
    <w:p>
      <w:pPr>
        <w:spacing w:line="240" w:lineRule="auto" w:before="6"/>
        <w:rPr>
          <w:rFonts w:ascii="宋体" w:hAnsi="宋体" w:cs="宋体" w:eastAsia="宋体" w:hint="default"/>
          <w:sz w:val="25"/>
          <w:szCs w:val="25"/>
        </w:rPr>
      </w:pPr>
    </w:p>
    <w:p>
      <w:pPr>
        <w:pStyle w:val="Heading6"/>
        <w:spacing w:line="240" w:lineRule="auto" w:before="34"/>
        <w:ind w:left="112" w:right="104"/>
        <w:jc w:val="left"/>
        <w:rPr>
          <w:b w:val="0"/>
          <w:bCs w:val="0"/>
        </w:rPr>
      </w:pPr>
      <w:r>
        <w:rPr/>
        <w:t>17、在建工程</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104" w:hanging="420"/>
        <w:jc w:val="left"/>
      </w:pPr>
      <w:r>
        <w:rPr>
          <w:rFonts w:ascii="宋体" w:hAnsi="宋体" w:cs="宋体" w:eastAsia="宋体" w:hint="default"/>
          <w:b/>
          <w:bCs/>
        </w:rPr>
        <w:t>（1）在建工程的类别</w:t>
      </w:r>
      <w:r>
        <w:rPr>
          <w:rFonts w:ascii="宋体" w:hAnsi="宋体" w:cs="宋体" w:eastAsia="宋体" w:hint="default"/>
          <w:b/>
          <w:bCs/>
          <w:w w:val="99"/>
        </w:rPr>
        <w:t> </w:t>
      </w:r>
      <w:r>
        <w:rPr>
          <w:w w:val="95"/>
        </w:rPr>
        <w:t>本公司自行建造的在建工程按实际成本计价，实际成本由建造该项资产达到预定可使用状态前所发生</w:t>
      </w:r>
      <w:r>
        <w:rPr/>
      </w:r>
    </w:p>
    <w:p>
      <w:pPr>
        <w:pStyle w:val="BodyText"/>
        <w:spacing w:line="273" w:lineRule="auto"/>
        <w:ind w:right="135"/>
        <w:jc w:val="both"/>
      </w:pPr>
      <w:r>
        <w:rPr>
          <w:w w:val="95"/>
        </w:rPr>
        <w:t>的必要支出构成，包括建筑工程、安装工程、技术改造工程和大修理工程等。本公司的在建工程以项目分</w:t>
      </w:r>
      <w:r>
        <w:rPr>
          <w:spacing w:val="39"/>
          <w:w w:val="95"/>
        </w:rPr>
        <w:t> </w:t>
      </w:r>
      <w:r>
        <w:rPr>
          <w:spacing w:val="39"/>
          <w:w w:val="95"/>
        </w:rPr>
      </w:r>
      <w:r>
        <w:rPr/>
        <w:t>类核算。</w:t>
      </w:r>
    </w:p>
    <w:p>
      <w:pPr>
        <w:spacing w:line="273" w:lineRule="auto" w:before="7"/>
        <w:ind w:left="532" w:right="104" w:hanging="420"/>
        <w:jc w:val="left"/>
        <w:rPr>
          <w:rFonts w:ascii="宋体" w:hAnsi="宋体" w:cs="宋体" w:eastAsia="宋体" w:hint="default"/>
          <w:sz w:val="21"/>
          <w:szCs w:val="21"/>
        </w:rPr>
      </w:pPr>
      <w:r>
        <w:rPr>
          <w:rFonts w:ascii="宋体" w:hAnsi="宋体" w:cs="宋体" w:eastAsia="宋体" w:hint="default"/>
          <w:b/>
          <w:bCs/>
          <w:sz w:val="21"/>
          <w:szCs w:val="21"/>
        </w:rPr>
        <w:t>（2）在建工程结转为固定资产的标准和时点</w:t>
      </w:r>
      <w:r>
        <w:rPr>
          <w:rFonts w:ascii="宋体" w:hAnsi="宋体" w:cs="宋体" w:eastAsia="宋体" w:hint="default"/>
          <w:b/>
          <w:bCs/>
          <w:w w:val="99"/>
          <w:sz w:val="21"/>
          <w:szCs w:val="21"/>
        </w:rPr>
        <w:t> </w:t>
      </w:r>
      <w:r>
        <w:rPr>
          <w:rFonts w:ascii="宋体" w:hAnsi="宋体" w:cs="宋体" w:eastAsia="宋体" w:hint="default"/>
          <w:w w:val="95"/>
          <w:sz w:val="21"/>
          <w:szCs w:val="21"/>
        </w:rPr>
        <w:t>在建工程项目按建造该项资产达到预定可使用状态前所发生的全部支出，作为固定资产的入账价值。</w:t>
      </w:r>
      <w:r>
        <w:rPr>
          <w:rFonts w:ascii="宋体" w:hAnsi="宋体" w:cs="宋体" w:eastAsia="宋体" w:hint="default"/>
          <w:sz w:val="21"/>
          <w:szCs w:val="21"/>
        </w:rPr>
      </w:r>
    </w:p>
    <w:p>
      <w:pPr>
        <w:pStyle w:val="BodyText"/>
        <w:spacing w:line="273" w:lineRule="auto"/>
        <w:ind w:right="135"/>
        <w:jc w:val="both"/>
      </w:pPr>
      <w:r>
        <w:rPr>
          <w:w w:val="95"/>
        </w:rPr>
        <w:t>所建造的在建工程已达到预定可使用状态，但尚未办理竣工决算的，自达到预定可使用状态之日起，根据</w:t>
      </w:r>
      <w:r>
        <w:rPr>
          <w:spacing w:val="37"/>
          <w:w w:val="95"/>
        </w:rPr>
        <w:t> </w:t>
      </w:r>
      <w:r>
        <w:rPr>
          <w:spacing w:val="37"/>
          <w:w w:val="95"/>
        </w:rPr>
      </w:r>
      <w:r>
        <w:rPr>
          <w:w w:val="95"/>
        </w:rPr>
        <w:t>工程预算、造价或者工程实际成本等，按估计的价值转入固定资产，并按本公司固定资产折旧政策计提固</w:t>
      </w:r>
      <w:r>
        <w:rPr>
          <w:spacing w:val="37"/>
          <w:w w:val="95"/>
        </w:rPr>
        <w:t> </w:t>
      </w:r>
      <w:r>
        <w:rPr>
          <w:spacing w:val="37"/>
          <w:w w:val="95"/>
        </w:rPr>
      </w:r>
      <w:r>
        <w:rPr/>
        <w:t>定资产的折旧，待办理竣工决算后，再按实际成本调整原来的暂估价值，但不调整原已计提的折旧额。</w:t>
      </w:r>
    </w:p>
    <w:p>
      <w:pPr>
        <w:spacing w:line="240" w:lineRule="auto" w:before="9"/>
        <w:rPr>
          <w:rFonts w:ascii="宋体" w:hAnsi="宋体" w:cs="宋体" w:eastAsia="宋体" w:hint="default"/>
          <w:sz w:val="23"/>
          <w:szCs w:val="23"/>
        </w:rPr>
      </w:pPr>
    </w:p>
    <w:p>
      <w:pPr>
        <w:pStyle w:val="Heading6"/>
        <w:spacing w:line="240" w:lineRule="auto"/>
        <w:ind w:left="112" w:right="104"/>
        <w:jc w:val="left"/>
        <w:rPr>
          <w:b w:val="0"/>
          <w:bCs w:val="0"/>
        </w:rPr>
      </w:pPr>
      <w:r>
        <w:rPr/>
        <w:t>18、借款费用</w:t>
      </w:r>
      <w:r>
        <w:rPr>
          <w:b w:val="0"/>
          <w:bCs w:val="0"/>
        </w:rPr>
      </w:r>
    </w:p>
    <w:p>
      <w:pPr>
        <w:spacing w:line="240" w:lineRule="auto" w:before="10"/>
        <w:rPr>
          <w:rFonts w:ascii="宋体" w:hAnsi="宋体" w:cs="宋体" w:eastAsia="宋体" w:hint="default"/>
          <w:b/>
          <w:bCs/>
          <w:sz w:val="25"/>
          <w:szCs w:val="25"/>
        </w:rPr>
      </w:pPr>
    </w:p>
    <w:p>
      <w:pPr>
        <w:spacing w:line="273" w:lineRule="auto" w:before="0"/>
        <w:ind w:left="532" w:right="104" w:hanging="420"/>
        <w:jc w:val="left"/>
        <w:rPr>
          <w:rFonts w:ascii="宋体" w:hAnsi="宋体" w:cs="宋体" w:eastAsia="宋体" w:hint="default"/>
          <w:sz w:val="21"/>
          <w:szCs w:val="21"/>
        </w:rPr>
      </w:pPr>
      <w:r>
        <w:rPr>
          <w:rFonts w:ascii="宋体" w:hAnsi="宋体" w:cs="宋体" w:eastAsia="宋体" w:hint="default"/>
          <w:b/>
          <w:bCs/>
          <w:sz w:val="21"/>
          <w:szCs w:val="21"/>
        </w:rPr>
        <w:t>（1）借款费用资本化的确认原则</w:t>
      </w:r>
      <w:r>
        <w:rPr>
          <w:rFonts w:ascii="宋体" w:hAnsi="宋体" w:cs="宋体" w:eastAsia="宋体" w:hint="default"/>
          <w:b/>
          <w:bCs/>
          <w:w w:val="99"/>
          <w:sz w:val="21"/>
          <w:szCs w:val="21"/>
        </w:rPr>
        <w:t> </w:t>
      </w:r>
      <w:r>
        <w:rPr>
          <w:rFonts w:ascii="宋体" w:hAnsi="宋体" w:cs="宋体" w:eastAsia="宋体" w:hint="default"/>
          <w:w w:val="95"/>
          <w:sz w:val="21"/>
          <w:szCs w:val="21"/>
        </w:rPr>
        <w:t>公司发生的借款费用，可直接归属于符合资本化条件的资产的购建或者生产的，在符合资本化条件的</w:t>
      </w:r>
      <w:r>
        <w:rPr>
          <w:rFonts w:ascii="宋体" w:hAnsi="宋体" w:cs="宋体" w:eastAsia="宋体" w:hint="default"/>
          <w:sz w:val="21"/>
          <w:szCs w:val="21"/>
        </w:rPr>
      </w:r>
    </w:p>
    <w:p>
      <w:pPr>
        <w:pStyle w:val="BodyText"/>
        <w:spacing w:line="273" w:lineRule="auto"/>
        <w:ind w:right="132"/>
        <w:jc w:val="both"/>
      </w:pPr>
      <w:r>
        <w:rPr>
          <w:w w:val="95"/>
        </w:rPr>
        <w:t>情况下开始资本化，计入相关资产成本；其他借款费用，在发生时根据其发生额确认为费用，计入当期损   </w:t>
      </w:r>
      <w:r>
        <w:rPr>
          <w:spacing w:val="40"/>
          <w:w w:val="95"/>
        </w:rPr>
        <w:t> </w:t>
      </w:r>
      <w:r>
        <w:rPr>
          <w:spacing w:val="40"/>
          <w:w w:val="95"/>
        </w:rPr>
      </w:r>
      <w:r>
        <w:rPr/>
        <w:t>益。</w:t>
      </w:r>
    </w:p>
    <w:p>
      <w:pPr>
        <w:pStyle w:val="BodyText"/>
        <w:spacing w:line="273" w:lineRule="auto"/>
        <w:ind w:right="104" w:firstLine="420"/>
        <w:jc w:val="left"/>
      </w:pPr>
      <w:r>
        <w:rPr>
          <w:w w:val="95"/>
        </w:rPr>
        <w:t>符合资本化条件的资产，是指需要经过相当长时间的购建或者生产活动才能达到预定可使用或者可销</w:t>
      </w:r>
      <w:r>
        <w:rPr>
          <w:w w:val="99"/>
        </w:rPr>
        <w:t> </w:t>
      </w:r>
      <w:r>
        <w:rPr/>
        <w:t>售状态的固定资产、投资性房地产和存货等资产。</w:t>
      </w:r>
    </w:p>
    <w:p>
      <w:pPr>
        <w:pStyle w:val="BodyText"/>
        <w:spacing w:line="273" w:lineRule="auto"/>
        <w:ind w:left="532" w:right="104"/>
        <w:jc w:val="left"/>
      </w:pPr>
      <w:r>
        <w:rPr/>
        <w:t>借款费用同时满足下列条件时开始资本化：</w:t>
      </w:r>
      <w:r>
        <w:rPr>
          <w:w w:val="99"/>
        </w:rPr>
        <w:t> </w:t>
      </w:r>
      <w:r>
        <w:rPr>
          <w:w w:val="95"/>
        </w:rPr>
        <w:t>1）资产支出已经发生，资产支出包括为购建或者生产符合资本化条件的资产而以支付现金、转移非</w:t>
      </w:r>
      <w:r>
        <w:rPr/>
      </w:r>
    </w:p>
    <w:p>
      <w:pPr>
        <w:pStyle w:val="BodyText"/>
        <w:spacing w:line="273" w:lineRule="auto"/>
        <w:ind w:left="532" w:right="5234" w:hanging="420"/>
        <w:jc w:val="left"/>
      </w:pPr>
      <w:r>
        <w:rPr>
          <w:w w:val="95"/>
        </w:rPr>
        <w:t>现金资产或者承担带息债务形式发生的支出；</w:t>
      </w:r>
      <w:r>
        <w:rPr>
          <w:spacing w:val="98"/>
          <w:w w:val="95"/>
        </w:rPr>
        <w:t> </w:t>
      </w:r>
      <w:r>
        <w:rPr>
          <w:spacing w:val="98"/>
          <w:w w:val="95"/>
        </w:rPr>
      </w:r>
      <w:r>
        <w:rPr/>
        <w:t>2）借款费用已经发生；</w:t>
      </w:r>
    </w:p>
    <w:p>
      <w:pPr>
        <w:pStyle w:val="BodyText"/>
        <w:spacing w:line="240" w:lineRule="auto" w:before="8"/>
        <w:ind w:left="532" w:right="104"/>
        <w:jc w:val="left"/>
      </w:pPr>
      <w:r>
        <w:rPr/>
        <w:t>3）为使资产达到预定可使用或者可销售状态所必要的购建或者生产活动已经开始。</w:t>
      </w:r>
    </w:p>
    <w:p>
      <w:pPr>
        <w:spacing w:line="273" w:lineRule="auto" w:before="37"/>
        <w:ind w:left="532" w:right="104" w:hanging="420"/>
        <w:jc w:val="left"/>
        <w:rPr>
          <w:rFonts w:ascii="宋体" w:hAnsi="宋体" w:cs="宋体" w:eastAsia="宋体" w:hint="default"/>
          <w:sz w:val="21"/>
          <w:szCs w:val="21"/>
        </w:rPr>
      </w:pPr>
      <w:r>
        <w:rPr>
          <w:rFonts w:ascii="宋体" w:hAnsi="宋体" w:cs="宋体" w:eastAsia="宋体" w:hint="default"/>
          <w:b/>
          <w:bCs/>
          <w:sz w:val="21"/>
          <w:szCs w:val="21"/>
        </w:rPr>
        <w:t>（2）借款费用资本化期间</w:t>
      </w:r>
      <w:r>
        <w:rPr>
          <w:rFonts w:ascii="宋体" w:hAnsi="宋体" w:cs="宋体" w:eastAsia="宋体" w:hint="default"/>
          <w:b/>
          <w:bCs/>
          <w:w w:val="99"/>
          <w:sz w:val="21"/>
          <w:szCs w:val="21"/>
        </w:rPr>
        <w:t> </w:t>
      </w:r>
      <w:r>
        <w:rPr>
          <w:rFonts w:ascii="宋体" w:hAnsi="宋体" w:cs="宋体" w:eastAsia="宋体" w:hint="default"/>
          <w:w w:val="95"/>
          <w:sz w:val="21"/>
          <w:szCs w:val="21"/>
        </w:rPr>
        <w:t>资本化期间，指从借款费用开始资本化时点到停止资本化时点的期间，借款费用暂停资本化的期间不</w:t>
      </w:r>
      <w:r>
        <w:rPr>
          <w:rFonts w:ascii="宋体" w:hAnsi="宋体" w:cs="宋体" w:eastAsia="宋体" w:hint="default"/>
          <w:sz w:val="21"/>
          <w:szCs w:val="21"/>
        </w:rPr>
      </w:r>
    </w:p>
    <w:p>
      <w:pPr>
        <w:pStyle w:val="BodyText"/>
        <w:spacing w:line="240" w:lineRule="auto"/>
        <w:ind w:right="104"/>
        <w:jc w:val="left"/>
      </w:pPr>
      <w:r>
        <w:rPr/>
        <w:t>包括在内。</w:t>
      </w:r>
    </w:p>
    <w:p>
      <w:pPr>
        <w:pStyle w:val="BodyText"/>
        <w:spacing w:line="273" w:lineRule="auto" w:before="37"/>
        <w:ind w:left="532" w:right="104"/>
        <w:jc w:val="left"/>
      </w:pPr>
      <w:r>
        <w:rPr/>
        <w:t>当购建或者生产符合资本化条件的资产达到预定可使用或者可销售状态时，借款费用停止资本化。</w:t>
      </w:r>
      <w:r>
        <w:rPr>
          <w:w w:val="99"/>
        </w:rPr>
        <w:t> </w:t>
      </w:r>
      <w:r>
        <w:rPr>
          <w:w w:val="95"/>
        </w:rPr>
        <w:t>当购建或者生产符合资本化条件的资产中部分项目分别完工且可单独使用时，该部分资产借款费用停</w:t>
      </w:r>
      <w:r>
        <w:rPr/>
      </w:r>
    </w:p>
    <w:p>
      <w:pPr>
        <w:pStyle w:val="BodyText"/>
        <w:spacing w:line="240" w:lineRule="auto"/>
        <w:ind w:right="104"/>
        <w:jc w:val="left"/>
      </w:pPr>
      <w:r>
        <w:rPr/>
        <w:t>止资本化。</w:t>
      </w:r>
    </w:p>
    <w:p>
      <w:pPr>
        <w:pStyle w:val="BodyText"/>
        <w:spacing w:line="273" w:lineRule="auto" w:before="37"/>
        <w:ind w:right="104" w:firstLine="420"/>
        <w:jc w:val="left"/>
      </w:pPr>
      <w:r>
        <w:rPr>
          <w:w w:val="95"/>
        </w:rPr>
        <w:t>购建或者生产的资产的各部分分别完工，但必须等到整体完工后才可使用或可对外销售的，在该资产</w:t>
      </w:r>
      <w:r>
        <w:rPr>
          <w:w w:val="99"/>
        </w:rPr>
        <w:t> </w:t>
      </w:r>
      <w:r>
        <w:rPr/>
        <w:t>整体完工时停止借款费用资本化。</w:t>
      </w:r>
    </w:p>
    <w:p>
      <w:pPr>
        <w:pStyle w:val="BodyText"/>
        <w:spacing w:line="273" w:lineRule="auto"/>
        <w:ind w:left="532" w:right="104" w:hanging="420"/>
        <w:jc w:val="left"/>
      </w:pPr>
      <w:r>
        <w:rPr>
          <w:rFonts w:ascii="宋体" w:hAnsi="宋体" w:cs="宋体" w:eastAsia="宋体" w:hint="default"/>
          <w:b/>
          <w:bCs/>
        </w:rPr>
        <w:t>（3）暂停资本化期间</w:t>
      </w:r>
      <w:r>
        <w:rPr>
          <w:rFonts w:ascii="宋体" w:hAnsi="宋体" w:cs="宋体" w:eastAsia="宋体" w:hint="default"/>
          <w:b/>
          <w:bCs/>
          <w:w w:val="99"/>
        </w:rPr>
        <w:t> </w:t>
      </w:r>
      <w:r>
        <w:rPr>
          <w:w w:val="95"/>
        </w:rPr>
        <w:t>符合资本化条件的资产在购建或生产过程中发生的非正常中断、且中断时间连续超过3个月的，则借</w:t>
      </w:r>
      <w:r>
        <w:rPr/>
      </w:r>
    </w:p>
    <w:p>
      <w:pPr>
        <w:pStyle w:val="BodyText"/>
        <w:spacing w:line="273" w:lineRule="auto"/>
        <w:ind w:right="132"/>
        <w:jc w:val="both"/>
      </w:pPr>
      <w:r>
        <w:rPr>
          <w:w w:val="95"/>
        </w:rPr>
        <w:t>款费用暂停资本化；该项中断如是所购建或生产的符合资本化条件的资产达到预定可使用状态或者可销售</w:t>
      </w:r>
      <w:r>
        <w:rPr>
          <w:spacing w:val="39"/>
          <w:w w:val="95"/>
        </w:rPr>
        <w:t> </w:t>
      </w:r>
      <w:r>
        <w:rPr>
          <w:spacing w:val="39"/>
          <w:w w:val="95"/>
        </w:rPr>
      </w:r>
      <w:r>
        <w:rPr>
          <w:w w:val="95"/>
        </w:rPr>
        <w:t>状态必要的程序，则借款费用继续资本化。在中断期间发生的借款费用确认为当期损益，直至资产的购建</w:t>
      </w:r>
      <w:r>
        <w:rPr>
          <w:spacing w:val="40"/>
          <w:w w:val="95"/>
        </w:rPr>
        <w:t> </w:t>
      </w:r>
      <w:r>
        <w:rPr>
          <w:spacing w:val="40"/>
          <w:w w:val="95"/>
        </w:rPr>
      </w:r>
      <w:r>
        <w:rPr/>
        <w:t>或者生产活动重新开始后借款费用继续资本化。</w:t>
      </w:r>
    </w:p>
    <w:p>
      <w:pPr>
        <w:spacing w:line="273" w:lineRule="auto" w:before="7"/>
        <w:ind w:left="532" w:right="104" w:hanging="420"/>
        <w:jc w:val="left"/>
        <w:rPr>
          <w:rFonts w:ascii="宋体" w:hAnsi="宋体" w:cs="宋体" w:eastAsia="宋体" w:hint="default"/>
          <w:sz w:val="21"/>
          <w:szCs w:val="21"/>
        </w:rPr>
      </w:pPr>
      <w:r>
        <w:rPr>
          <w:rFonts w:ascii="宋体" w:hAnsi="宋体" w:cs="宋体" w:eastAsia="宋体" w:hint="default"/>
          <w:b/>
          <w:bCs/>
          <w:sz w:val="21"/>
          <w:szCs w:val="21"/>
        </w:rPr>
        <w:t>（4）借款费用资本化金额的计算方法</w:t>
      </w:r>
      <w:r>
        <w:rPr>
          <w:rFonts w:ascii="宋体" w:hAnsi="宋体" w:cs="宋体" w:eastAsia="宋体" w:hint="default"/>
          <w:b/>
          <w:bCs/>
          <w:w w:val="99"/>
          <w:sz w:val="21"/>
          <w:szCs w:val="21"/>
        </w:rPr>
        <w:t> </w:t>
      </w:r>
      <w:r>
        <w:rPr>
          <w:rFonts w:ascii="宋体" w:hAnsi="宋体" w:cs="宋体" w:eastAsia="宋体" w:hint="default"/>
          <w:w w:val="95"/>
          <w:sz w:val="21"/>
          <w:szCs w:val="21"/>
        </w:rPr>
        <w:t>资本化期间，指从借款费用开始资本化时点到停止资本化时点的期间，借款费用暂停资本化的期间不</w:t>
      </w:r>
      <w:r>
        <w:rPr>
          <w:rFonts w:ascii="宋体" w:hAnsi="宋体" w:cs="宋体" w:eastAsia="宋体" w:hint="default"/>
          <w:sz w:val="21"/>
          <w:szCs w:val="21"/>
        </w:rPr>
      </w:r>
    </w:p>
    <w:p>
      <w:pPr>
        <w:pStyle w:val="BodyText"/>
        <w:spacing w:line="240" w:lineRule="auto"/>
        <w:ind w:right="104"/>
        <w:jc w:val="left"/>
      </w:pPr>
      <w:r>
        <w:rPr/>
        <w:t>包括在内。</w:t>
      </w:r>
    </w:p>
    <w:p>
      <w:pPr>
        <w:pStyle w:val="BodyText"/>
        <w:spacing w:line="273" w:lineRule="auto" w:before="37"/>
        <w:ind w:left="532" w:right="104"/>
        <w:jc w:val="left"/>
      </w:pPr>
      <w:r>
        <w:rPr/>
        <w:t>当购建或者生产符合资本化条件的资产达到预定可使用或者可销售状态时，借款费用停止资本化。</w:t>
      </w:r>
      <w:r>
        <w:rPr>
          <w:w w:val="99"/>
        </w:rPr>
        <w:t> </w:t>
      </w:r>
      <w:r>
        <w:rPr>
          <w:w w:val="95"/>
        </w:rPr>
        <w:t>当购建或者生产符合资本化条件的资产中部分项目分别完工且可单独使用时，该部分资产借款费用停</w:t>
      </w:r>
      <w:r>
        <w:rPr/>
      </w:r>
    </w:p>
    <w:p>
      <w:pPr>
        <w:pStyle w:val="BodyText"/>
        <w:spacing w:line="240" w:lineRule="auto"/>
        <w:ind w:right="104"/>
        <w:jc w:val="left"/>
      </w:pPr>
      <w:r>
        <w:rPr/>
        <w:t>止资本化。</w:t>
      </w:r>
    </w:p>
    <w:p>
      <w:pPr>
        <w:spacing w:after="0" w:line="240" w:lineRule="auto"/>
        <w:jc w:val="left"/>
        <w:sectPr>
          <w:pgSz w:w="11910" w:h="16840"/>
          <w:pgMar w:header="746" w:footer="978" w:top="1040" w:bottom="1160" w:left="1020" w:right="1000"/>
        </w:sectPr>
      </w:pPr>
    </w:p>
    <w:p>
      <w:pPr>
        <w:spacing w:line="240" w:lineRule="auto" w:before="6"/>
        <w:rPr>
          <w:rFonts w:ascii="宋体" w:hAnsi="宋体" w:cs="宋体" w:eastAsia="宋体" w:hint="default"/>
          <w:sz w:val="25"/>
          <w:szCs w:val="25"/>
        </w:rPr>
      </w:pPr>
    </w:p>
    <w:p>
      <w:pPr>
        <w:pStyle w:val="BodyText"/>
        <w:spacing w:line="273" w:lineRule="auto" w:before="34"/>
        <w:ind w:right="132" w:firstLine="420"/>
        <w:jc w:val="both"/>
      </w:pPr>
      <w:r>
        <w:rPr>
          <w:w w:val="95"/>
        </w:rPr>
        <w:t>购建或者生产的资产的各部分分别完工，但必须等到整体完工后才可使用或可对外销售的，在该资产</w:t>
      </w:r>
      <w:r>
        <w:rPr>
          <w:w w:val="99"/>
        </w:rPr>
        <w:t> </w:t>
      </w:r>
      <w:r>
        <w:rPr>
          <w:w w:val="95"/>
        </w:rPr>
        <w:t>整体完工时停止借款费用资本化门借款的利息费用（扣除尚未动用的借款资金存入银行取得的利息收入或</w:t>
      </w:r>
      <w:r>
        <w:rPr>
          <w:spacing w:val="39"/>
          <w:w w:val="95"/>
        </w:rPr>
        <w:t> </w:t>
      </w:r>
      <w:r>
        <w:rPr>
          <w:spacing w:val="39"/>
          <w:w w:val="95"/>
        </w:rPr>
      </w:r>
      <w:r>
        <w:rPr>
          <w:w w:val="95"/>
        </w:rPr>
        <w:t>者进行暂时性投资取得的投资收益）及其辅助费用在所购建或者生产的符合资本化条件的资产达到预定可</w:t>
      </w:r>
      <w:r>
        <w:rPr>
          <w:spacing w:val="37"/>
          <w:w w:val="95"/>
        </w:rPr>
        <w:t> </w:t>
      </w:r>
      <w:r>
        <w:rPr>
          <w:spacing w:val="37"/>
          <w:w w:val="95"/>
        </w:rPr>
      </w:r>
      <w:r>
        <w:rPr/>
        <w:t>使用或者可销售状态前，予以资本化。</w:t>
      </w:r>
    </w:p>
    <w:p>
      <w:pPr>
        <w:pStyle w:val="BodyText"/>
        <w:spacing w:line="273" w:lineRule="auto"/>
        <w:ind w:right="104" w:firstLine="420"/>
        <w:jc w:val="left"/>
      </w:pPr>
      <w:r>
        <w:rPr/>
        <w:t>符合资本化条件的资产在购建或生产过程中发生的非正常中断、且中断时间连续超过3个月的，则借</w:t>
      </w:r>
      <w:r>
        <w:rPr>
          <w:w w:val="99"/>
        </w:rPr>
        <w:t> </w:t>
      </w:r>
      <w:r>
        <w:rPr>
          <w:w w:val="95"/>
        </w:rPr>
        <w:t>款费用暂停资本化；该项中断如是所购建或生产的符合资本化条件的资产达到预定可使用状态或者可销售</w:t>
      </w:r>
      <w:r>
        <w:rPr>
          <w:spacing w:val="39"/>
          <w:w w:val="95"/>
        </w:rPr>
        <w:t> </w:t>
      </w:r>
      <w:r>
        <w:rPr>
          <w:spacing w:val="39"/>
          <w:w w:val="95"/>
        </w:rPr>
      </w:r>
      <w:r>
        <w:rPr>
          <w:w w:val="95"/>
        </w:rPr>
        <w:t>状态必要的程序，则借款费用继续资本化。在中断期间发生的借款费用确认为当期损益，直至资产的购建</w:t>
      </w:r>
      <w:r>
        <w:rPr>
          <w:spacing w:val="40"/>
          <w:w w:val="95"/>
        </w:rPr>
        <w:t> </w:t>
      </w:r>
      <w:r>
        <w:rPr>
          <w:spacing w:val="40"/>
          <w:w w:val="95"/>
        </w:rPr>
      </w:r>
      <w:r>
        <w:rPr/>
        <w:t>或者生产活动重新开始后借款费用继续资本化。</w:t>
      </w:r>
    </w:p>
    <w:p>
      <w:pPr>
        <w:pStyle w:val="BodyText"/>
        <w:spacing w:line="273" w:lineRule="auto"/>
        <w:ind w:right="112" w:firstLine="420"/>
        <w:jc w:val="both"/>
      </w:pPr>
      <w:r>
        <w:rPr>
          <w:w w:val="95"/>
        </w:rPr>
        <w:t>专门借款的利息费用（扣除尚未动用的借款资金存入银行取得的利息收入或者进行暂时性投资取得的</w:t>
      </w:r>
      <w:r>
        <w:rPr>
          <w:w w:val="99"/>
        </w:rPr>
        <w:t> </w:t>
      </w:r>
      <w:r>
        <w:rPr>
          <w:w w:val="95"/>
        </w:rPr>
        <w:t>投资收益）及其辅助费用在所购建或者生产的符合资本化条件的资产达到预定可使用或者可销售状态前，</w:t>
      </w:r>
      <w:r>
        <w:rPr>
          <w:spacing w:val="61"/>
          <w:w w:val="95"/>
        </w:rPr>
        <w:t> </w:t>
      </w:r>
      <w:r>
        <w:rPr>
          <w:spacing w:val="61"/>
          <w:w w:val="95"/>
        </w:rPr>
      </w:r>
      <w:r>
        <w:rPr/>
        <w:t>予以资本化。</w:t>
      </w:r>
    </w:p>
    <w:p>
      <w:pPr>
        <w:pStyle w:val="BodyText"/>
        <w:spacing w:line="273" w:lineRule="auto"/>
        <w:ind w:right="132" w:firstLine="420"/>
        <w:jc w:val="both"/>
      </w:pPr>
      <w:r>
        <w:rPr>
          <w:w w:val="95"/>
        </w:rPr>
        <w:t>根据累计资产支出超过专门借款部分的资产支出加权平均数乘以所占用一般借款的资本化率，计算确</w:t>
      </w:r>
      <w:r>
        <w:rPr>
          <w:w w:val="99"/>
        </w:rPr>
        <w:t> </w:t>
      </w:r>
      <w:r>
        <w:rPr/>
        <w:t>定一般借款应予资本化的利息金额。资本化率根据一般借款加权平均利率计算确定。</w:t>
      </w:r>
    </w:p>
    <w:p>
      <w:pPr>
        <w:pStyle w:val="BodyText"/>
        <w:spacing w:line="273" w:lineRule="auto"/>
        <w:ind w:right="135" w:firstLine="420"/>
        <w:jc w:val="both"/>
      </w:pPr>
      <w:r>
        <w:rPr>
          <w:w w:val="95"/>
        </w:rPr>
        <w:t>借款存在折价或者溢价的，按照实际利率法确定每一会计期间应摊销的折价或者溢价金额，调整每期</w:t>
      </w:r>
      <w:r>
        <w:rPr>
          <w:w w:val="99"/>
        </w:rPr>
        <w:t> </w:t>
      </w:r>
      <w:r>
        <w:rPr/>
        <w:t>利息金额。</w:t>
      </w:r>
    </w:p>
    <w:p>
      <w:pPr>
        <w:spacing w:line="240" w:lineRule="auto" w:before="7"/>
        <w:rPr>
          <w:rFonts w:ascii="宋体" w:hAnsi="宋体" w:cs="宋体" w:eastAsia="宋体" w:hint="default"/>
          <w:sz w:val="23"/>
          <w:szCs w:val="23"/>
        </w:rPr>
      </w:pPr>
    </w:p>
    <w:p>
      <w:pPr>
        <w:pStyle w:val="Heading6"/>
        <w:spacing w:line="578" w:lineRule="auto"/>
        <w:ind w:left="112" w:right="8488"/>
        <w:jc w:val="left"/>
        <w:rPr>
          <w:b w:val="0"/>
          <w:bCs w:val="0"/>
        </w:rPr>
      </w:pPr>
      <w:r>
        <w:rPr/>
        <w:t>19、生物资产</w:t>
      </w:r>
      <w:r>
        <w:rPr>
          <w:w w:val="99"/>
        </w:rPr>
        <w:t> </w:t>
      </w:r>
      <w:r>
        <w:rPr>
          <w:rFonts w:ascii="宋体" w:hAnsi="宋体" w:cs="宋体" w:eastAsia="宋体" w:hint="default"/>
          <w:b w:val="0"/>
          <w:bCs w:val="0"/>
          <w:sz w:val="18"/>
          <w:szCs w:val="18"/>
        </w:rPr>
        <w:t>无 </w:t>
      </w:r>
      <w:r>
        <w:rPr/>
        <w:t>20、油气资产</w:t>
      </w:r>
      <w:r>
        <w:rPr>
          <w:b w:val="0"/>
          <w:bCs w:val="0"/>
        </w:rPr>
      </w:r>
    </w:p>
    <w:p>
      <w:pPr>
        <w:spacing w:before="64"/>
        <w:ind w:left="112" w:right="10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6"/>
        <w:spacing w:line="240" w:lineRule="auto" w:before="118"/>
        <w:ind w:left="112" w:right="104"/>
        <w:jc w:val="left"/>
        <w:rPr>
          <w:b w:val="0"/>
          <w:bCs w:val="0"/>
        </w:rPr>
      </w:pPr>
      <w:r>
        <w:rPr/>
        <w:t>21、无形资产</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left="112" w:right="104"/>
        <w:jc w:val="left"/>
        <w:rPr>
          <w:b w:val="0"/>
          <w:bCs w:val="0"/>
        </w:rPr>
      </w:pPr>
      <w:r>
        <w:rPr/>
        <w:t>（1）计价方法、使用寿命、减值测试</w:t>
      </w:r>
      <w:r>
        <w:rPr>
          <w:b w:val="0"/>
          <w:bCs w:val="0"/>
        </w:rPr>
      </w:r>
    </w:p>
    <w:p>
      <w:pPr>
        <w:spacing w:line="240" w:lineRule="auto" w:before="12"/>
        <w:rPr>
          <w:rFonts w:ascii="宋体" w:hAnsi="宋体" w:cs="宋体" w:eastAsia="宋体" w:hint="default"/>
          <w:b/>
          <w:bCs/>
          <w:sz w:val="25"/>
          <w:szCs w:val="25"/>
        </w:rPr>
      </w:pPr>
    </w:p>
    <w:p>
      <w:pPr>
        <w:spacing w:line="273" w:lineRule="auto" w:before="0"/>
        <w:ind w:left="535" w:right="1094" w:hanging="3"/>
        <w:jc w:val="left"/>
        <w:rPr>
          <w:rFonts w:ascii="宋体" w:hAnsi="宋体" w:cs="宋体" w:eastAsia="宋体" w:hint="default"/>
          <w:sz w:val="21"/>
          <w:szCs w:val="21"/>
        </w:rPr>
      </w:pPr>
      <w:r>
        <w:rPr>
          <w:rFonts w:ascii="宋体" w:hAnsi="宋体" w:cs="宋体" w:eastAsia="宋体" w:hint="default"/>
          <w:w w:val="95"/>
          <w:sz w:val="21"/>
          <w:szCs w:val="21"/>
        </w:rPr>
        <w:t>无形资产是指本公司拥有或者控制的没有实物形态的可辨认非货币性资产。</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b/>
          <w:bCs/>
          <w:sz w:val="21"/>
          <w:szCs w:val="21"/>
        </w:rPr>
        <w:t>1）无形资产的初始计量</w:t>
      </w:r>
      <w:r>
        <w:rPr>
          <w:rFonts w:ascii="宋体" w:hAnsi="宋体" w:cs="宋体" w:eastAsia="宋体" w:hint="default"/>
          <w:sz w:val="21"/>
          <w:szCs w:val="21"/>
        </w:rPr>
      </w:r>
    </w:p>
    <w:p>
      <w:pPr>
        <w:pStyle w:val="BodyText"/>
        <w:spacing w:line="273" w:lineRule="auto"/>
        <w:ind w:right="132" w:firstLine="420"/>
        <w:jc w:val="both"/>
      </w:pPr>
      <w:r>
        <w:rPr>
          <w:w w:val="95"/>
        </w:rPr>
        <w:t>外购无形资产的成本，包括购买价款、相关税费以及直接归属于使该项资产达到预定用途所发生的其</w:t>
      </w:r>
      <w:r>
        <w:rPr>
          <w:w w:val="99"/>
        </w:rPr>
        <w:t> </w:t>
      </w:r>
      <w:r>
        <w:rPr>
          <w:w w:val="95"/>
        </w:rPr>
        <w:t>他支出。购买无形资产的价款超过正常信用条件延期支付，实质上具有融资性质的，无形资产的成本以购</w:t>
      </w:r>
      <w:r>
        <w:rPr>
          <w:spacing w:val="40"/>
          <w:w w:val="95"/>
        </w:rPr>
        <w:t> </w:t>
      </w:r>
      <w:r>
        <w:rPr>
          <w:spacing w:val="40"/>
          <w:w w:val="95"/>
        </w:rPr>
      </w:r>
      <w:r>
        <w:rPr/>
        <w:t>买价款的现值为基础确定。</w:t>
      </w:r>
    </w:p>
    <w:p>
      <w:pPr>
        <w:pStyle w:val="BodyText"/>
        <w:spacing w:line="273" w:lineRule="auto"/>
        <w:ind w:right="132" w:firstLine="420"/>
        <w:jc w:val="both"/>
      </w:pPr>
      <w:r>
        <w:rPr>
          <w:w w:val="95"/>
        </w:rPr>
        <w:t>债务重组取得债务人用以抵债的无形资产，以该无形资产的公允价值为基础确定其入账价值，并将重</w:t>
      </w:r>
      <w:r>
        <w:rPr>
          <w:w w:val="99"/>
        </w:rPr>
        <w:t> </w:t>
      </w:r>
      <w:r>
        <w:rPr/>
        <w:t>组债务的账面价值与该用以抵债的无形资产公允价值之间的差额，计入当期损益。</w:t>
      </w:r>
    </w:p>
    <w:p>
      <w:pPr>
        <w:pStyle w:val="BodyText"/>
        <w:spacing w:line="273" w:lineRule="auto"/>
        <w:ind w:right="132" w:firstLine="420"/>
        <w:jc w:val="both"/>
      </w:pPr>
      <w:r>
        <w:rPr>
          <w:w w:val="95"/>
        </w:rPr>
        <w:t>在非货币性资产交换具备商业实质且换入资产或换出资产的公允价值能够可靠计量的前提下，非货币</w:t>
      </w:r>
      <w:r>
        <w:rPr>
          <w:w w:val="99"/>
        </w:rPr>
        <w:t> </w:t>
      </w:r>
      <w:r>
        <w:rPr>
          <w:w w:val="95"/>
        </w:rPr>
        <w:t>性资产交换换入的无形资产以换出资产的公允价值为基础确定其入账价值，除非有确凿证据表明换入资产</w:t>
      </w:r>
      <w:r>
        <w:rPr>
          <w:spacing w:val="39"/>
          <w:w w:val="95"/>
        </w:rPr>
        <w:t> </w:t>
      </w:r>
      <w:r>
        <w:rPr>
          <w:spacing w:val="39"/>
          <w:w w:val="95"/>
        </w:rPr>
      </w:r>
      <w:r>
        <w:rPr>
          <w:w w:val="95"/>
        </w:rPr>
        <w:t>的公允价值更加可靠；不满足上述前提的非货币性资产交换，以换出资产的账面价值和应支付的相关税费</w:t>
      </w:r>
      <w:r>
        <w:rPr>
          <w:spacing w:val="40"/>
          <w:w w:val="95"/>
        </w:rPr>
        <w:t> </w:t>
      </w:r>
      <w:r>
        <w:rPr>
          <w:spacing w:val="40"/>
          <w:w w:val="95"/>
        </w:rPr>
      </w:r>
      <w:r>
        <w:rPr/>
        <w:t>作为换入无形资产的成本，不确认损益。</w:t>
      </w:r>
    </w:p>
    <w:p>
      <w:pPr>
        <w:pStyle w:val="BodyText"/>
        <w:spacing w:line="273" w:lineRule="auto"/>
        <w:ind w:right="135" w:firstLine="420"/>
        <w:jc w:val="both"/>
      </w:pPr>
      <w:r>
        <w:rPr>
          <w:w w:val="95"/>
        </w:rPr>
        <w:t>以同一控制下的企业吸收合并方式取得的无形资产按被合并方的账面价值确定其入账价值；以非同一</w:t>
      </w:r>
      <w:r>
        <w:rPr>
          <w:w w:val="99"/>
        </w:rPr>
        <w:t> </w:t>
      </w:r>
      <w:r>
        <w:rPr/>
        <w:t>控制下的企业吸收合并方式取得的无形资产按公允价值确定其入账价值。</w:t>
      </w:r>
    </w:p>
    <w:p>
      <w:pPr>
        <w:pStyle w:val="BodyText"/>
        <w:spacing w:line="273" w:lineRule="auto"/>
        <w:ind w:right="132" w:firstLine="420"/>
        <w:jc w:val="both"/>
      </w:pPr>
      <w:r>
        <w:rPr>
          <w:w w:val="95"/>
        </w:rPr>
        <w:t>内部自行开发的无形资产，其成本包括：开发该无形资产时耗用的材料、劳务成本、注册费、在开发</w:t>
      </w:r>
      <w:r>
        <w:rPr>
          <w:w w:val="99"/>
        </w:rPr>
        <w:t> </w:t>
      </w:r>
      <w:r>
        <w:rPr>
          <w:w w:val="95"/>
        </w:rPr>
        <w:t>过程中使用的其他专利权和特许权的摊销以及满足资本化条件的利息费用，以及为使该无形资产达到预定</w:t>
      </w:r>
      <w:r>
        <w:rPr>
          <w:spacing w:val="39"/>
          <w:w w:val="95"/>
        </w:rPr>
        <w:t> </w:t>
      </w:r>
      <w:r>
        <w:rPr>
          <w:spacing w:val="39"/>
          <w:w w:val="95"/>
        </w:rPr>
      </w:r>
      <w:r>
        <w:rPr/>
        <w:t>用途前所发生的其他直接费用。</w:t>
      </w:r>
    </w:p>
    <w:p>
      <w:pPr>
        <w:pStyle w:val="Heading6"/>
        <w:spacing w:line="240" w:lineRule="auto" w:before="7"/>
        <w:ind w:left="535" w:right="104"/>
        <w:jc w:val="left"/>
        <w:rPr>
          <w:b w:val="0"/>
          <w:bCs w:val="0"/>
        </w:rPr>
      </w:pPr>
      <w:r>
        <w:rPr/>
        <w:t>2）无形资产的后续计量</w:t>
      </w:r>
      <w:r>
        <w:rPr>
          <w:b w:val="0"/>
          <w:bCs w:val="0"/>
        </w:rPr>
      </w:r>
    </w:p>
    <w:p>
      <w:pPr>
        <w:spacing w:after="0" w:line="240" w:lineRule="auto"/>
        <w:jc w:val="left"/>
        <w:sectPr>
          <w:pgSz w:w="11910" w:h="16840"/>
          <w:pgMar w:header="746" w:footer="978" w:top="1040" w:bottom="1160" w:left="1020" w:right="1000"/>
        </w:sectPr>
      </w:pPr>
    </w:p>
    <w:p>
      <w:pPr>
        <w:spacing w:line="240" w:lineRule="auto" w:before="6"/>
        <w:rPr>
          <w:rFonts w:ascii="宋体" w:hAnsi="宋体" w:cs="宋体" w:eastAsia="宋体" w:hint="default"/>
          <w:b/>
          <w:bCs/>
          <w:sz w:val="25"/>
          <w:szCs w:val="25"/>
        </w:rPr>
      </w:pPr>
    </w:p>
    <w:p>
      <w:pPr>
        <w:pStyle w:val="BodyText"/>
        <w:spacing w:line="273" w:lineRule="auto" w:before="34"/>
        <w:ind w:left="552" w:right="0"/>
        <w:jc w:val="left"/>
      </w:pPr>
      <w:r>
        <w:rPr>
          <w:w w:val="95"/>
        </w:rPr>
        <w:t>本公司在取得无形资产时分析判断其使用寿命，划分为使用寿命有限和使用寿命不确定的无形资产。</w:t>
      </w:r>
      <w:r>
        <w:rPr>
          <w:spacing w:val="41"/>
          <w:w w:val="95"/>
        </w:rPr>
        <w:t> </w:t>
      </w:r>
      <w:r>
        <w:rPr>
          <w:spacing w:val="41"/>
          <w:w w:val="95"/>
        </w:rPr>
      </w:r>
      <w:r>
        <w:rPr/>
        <w:t>使用寿命有限的无形资产</w:t>
      </w:r>
      <w:r>
        <w:rPr>
          <w:w w:val="99"/>
        </w:rPr>
        <w:t> </w:t>
      </w:r>
      <w:r>
        <w:rPr>
          <w:w w:val="95"/>
        </w:rPr>
        <w:t>对于使用寿命有限的无形资产，在为企业带来经济利益的期限内按直线法摊销。使用寿命有限的无形</w:t>
      </w:r>
      <w:r>
        <w:rPr/>
      </w:r>
    </w:p>
    <w:p>
      <w:pPr>
        <w:pStyle w:val="BodyText"/>
        <w:spacing w:line="240" w:lineRule="auto"/>
        <w:ind w:left="132" w:right="0"/>
        <w:jc w:val="left"/>
      </w:pPr>
      <w:r>
        <w:rPr/>
        <w:t>资产预计寿命及依据如下：</w:t>
      </w:r>
    </w:p>
    <w:p>
      <w:pPr>
        <w:spacing w:line="240" w:lineRule="auto" w:before="1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402"/>
        <w:gridCol w:w="2552"/>
        <w:gridCol w:w="3827"/>
      </w:tblGrid>
      <w:tr>
        <w:trPr>
          <w:trHeight w:val="347" w:hRule="exact"/>
        </w:trPr>
        <w:tc>
          <w:tcPr>
            <w:tcW w:w="3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82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  据</w:t>
            </w:r>
          </w:p>
        </w:tc>
      </w:tr>
      <w:tr>
        <w:trPr>
          <w:trHeight w:val="347" w:hRule="exact"/>
        </w:trPr>
        <w:tc>
          <w:tcPr>
            <w:tcW w:w="3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工业出让地</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50年</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依权属有效期内</w:t>
            </w:r>
          </w:p>
        </w:tc>
      </w:tr>
      <w:tr>
        <w:trPr>
          <w:trHeight w:val="347" w:hRule="exact"/>
        </w:trPr>
        <w:tc>
          <w:tcPr>
            <w:tcW w:w="3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内部开发形成的无形资产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5-10年</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依技术进步、权属有效内使用</w:t>
            </w:r>
          </w:p>
        </w:tc>
      </w:tr>
    </w:tbl>
    <w:p>
      <w:pPr>
        <w:spacing w:line="240" w:lineRule="auto" w:before="7"/>
        <w:rPr>
          <w:rFonts w:ascii="宋体" w:hAnsi="宋体" w:cs="宋体" w:eastAsia="宋体" w:hint="default"/>
          <w:sz w:val="5"/>
          <w:szCs w:val="5"/>
        </w:rPr>
      </w:pPr>
    </w:p>
    <w:p>
      <w:pPr>
        <w:pStyle w:val="BodyText"/>
        <w:spacing w:line="273" w:lineRule="auto" w:before="34"/>
        <w:ind w:left="132" w:right="0" w:firstLine="105"/>
        <w:jc w:val="left"/>
      </w:pPr>
      <w:r>
        <w:rPr>
          <w:w w:val="95"/>
        </w:rPr>
        <w:t>每期末，对使用寿命有限的无形资产的使用寿命及摊销方法进行复核，如与原先估计数存在差异的，进</w:t>
      </w:r>
      <w:r>
        <w:rPr>
          <w:spacing w:val="45"/>
          <w:w w:val="95"/>
        </w:rPr>
        <w:t> </w:t>
      </w:r>
      <w:r>
        <w:rPr>
          <w:spacing w:val="45"/>
          <w:w w:val="95"/>
        </w:rPr>
      </w:r>
      <w:r>
        <w:rPr/>
        <w:t>行相应的调整。</w:t>
      </w:r>
    </w:p>
    <w:p>
      <w:pPr>
        <w:pStyle w:val="BodyText"/>
        <w:spacing w:line="240" w:lineRule="auto"/>
        <w:ind w:left="552" w:right="0"/>
        <w:jc w:val="left"/>
      </w:pPr>
      <w:r>
        <w:rPr/>
        <w:t>经复核，本期期末无形资产的使用寿命及摊销方法与以前估计未有不同。</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（2）内部研究开发支出会计政策</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52" w:right="0"/>
        <w:jc w:val="left"/>
      </w:pPr>
      <w:r>
        <w:rPr>
          <w:w w:val="95"/>
        </w:rPr>
        <w:t>内部研究开发项目开发阶段的支出，同时满足下列条件时确认为无形资产：</w:t>
      </w:r>
      <w:r>
        <w:rPr>
          <w:spacing w:val="30"/>
          <w:w w:val="95"/>
        </w:rPr>
        <w:t> </w:t>
      </w:r>
      <w:r>
        <w:rPr>
          <w:spacing w:val="30"/>
          <w:w w:val="95"/>
        </w:rPr>
      </w:r>
      <w:r>
        <w:rPr/>
        <w:t>1）完成该无形资产以使其能够使用或出售在技术上具有可行性；</w:t>
      </w:r>
    </w:p>
    <w:p>
      <w:pPr>
        <w:pStyle w:val="BodyText"/>
        <w:spacing w:line="240" w:lineRule="auto"/>
        <w:ind w:left="552" w:right="0"/>
        <w:jc w:val="left"/>
      </w:pPr>
      <w:r>
        <w:rPr/>
        <w:t>2）具有完成该无形资产并使用或出售的意图；</w:t>
      </w:r>
    </w:p>
    <w:p>
      <w:pPr>
        <w:pStyle w:val="BodyText"/>
        <w:spacing w:line="273" w:lineRule="auto" w:before="37"/>
        <w:ind w:left="132" w:right="0" w:firstLine="420"/>
        <w:jc w:val="left"/>
      </w:pPr>
      <w:r>
        <w:rPr>
          <w:spacing w:val="2"/>
          <w:w w:val="95"/>
        </w:rPr>
        <w:t>3）无形资产产生经济利益的方式，包括能够证明运用该无形资产生产的产品存在市场或无形资产自</w:t>
      </w:r>
      <w:r>
        <w:rPr>
          <w:spacing w:val="-82"/>
          <w:w w:val="95"/>
        </w:rPr>
        <w:t> </w:t>
      </w:r>
      <w:r>
        <w:rPr>
          <w:spacing w:val="-82"/>
          <w:w w:val="95"/>
        </w:rPr>
      </w:r>
      <w:r>
        <w:rPr/>
        <w:t>身存在市场，无形资产将在内部使用的，能够证明其有用性；</w:t>
      </w:r>
    </w:p>
    <w:p>
      <w:pPr>
        <w:pStyle w:val="BodyText"/>
        <w:spacing w:line="273" w:lineRule="auto"/>
        <w:ind w:left="132" w:right="0" w:firstLine="420"/>
        <w:jc w:val="left"/>
      </w:pPr>
      <w:r>
        <w:rPr>
          <w:spacing w:val="2"/>
          <w:w w:val="95"/>
        </w:rPr>
        <w:t>4）有足够的技术、财务资源和其他资源支持，以完成该无形资产的开发，并有能力使用或出售该无</w:t>
      </w:r>
      <w:r>
        <w:rPr>
          <w:spacing w:val="-82"/>
          <w:w w:val="95"/>
        </w:rPr>
        <w:t> </w:t>
      </w:r>
      <w:r>
        <w:rPr>
          <w:spacing w:val="-82"/>
          <w:w w:val="95"/>
        </w:rPr>
      </w:r>
      <w:r>
        <w:rPr/>
        <w:t>形资产；</w:t>
      </w:r>
    </w:p>
    <w:p>
      <w:pPr>
        <w:pStyle w:val="BodyText"/>
        <w:spacing w:line="273" w:lineRule="auto"/>
        <w:ind w:left="552" w:right="0"/>
        <w:jc w:val="left"/>
      </w:pPr>
      <w:r>
        <w:rPr/>
        <w:t>5）归属于该无形资产开发阶段的支出能够可靠地计量。</w:t>
      </w:r>
      <w:r>
        <w:rPr>
          <w:w w:val="99"/>
        </w:rPr>
        <w:t> </w:t>
      </w:r>
      <w:r>
        <w:rPr>
          <w:w w:val="95"/>
        </w:rPr>
        <w:t>不满足上述条件的开发阶段的支出，于发生时计入当期损益。以前期间已计入损益的开发支出不在以</w:t>
      </w:r>
      <w:r>
        <w:rPr/>
      </w:r>
    </w:p>
    <w:p>
      <w:pPr>
        <w:pStyle w:val="BodyText"/>
        <w:spacing w:line="273" w:lineRule="auto"/>
        <w:ind w:left="132" w:right="0"/>
        <w:jc w:val="left"/>
      </w:pPr>
      <w:r>
        <w:rPr>
          <w:w w:val="95"/>
        </w:rPr>
        <w:t>后期间重新确认为资产。已资本化的开发阶段的支出在资产负债表上列示为开发支出，自该项目达到预定</w:t>
      </w:r>
      <w:r>
        <w:rPr>
          <w:spacing w:val="37"/>
          <w:w w:val="95"/>
        </w:rPr>
        <w:t> </w:t>
      </w:r>
      <w:r>
        <w:rPr>
          <w:spacing w:val="37"/>
          <w:w w:val="95"/>
        </w:rPr>
      </w:r>
      <w:r>
        <w:rPr/>
        <w:t>用途之日起转为无形资产。</w:t>
      </w:r>
    </w:p>
    <w:p>
      <w:pPr>
        <w:pStyle w:val="BodyText"/>
        <w:spacing w:line="612" w:lineRule="exact" w:before="66"/>
        <w:ind w:left="552" w:right="0" w:hanging="420"/>
        <w:jc w:val="left"/>
      </w:pPr>
      <w:r>
        <w:rPr>
          <w:rFonts w:ascii="宋体" w:hAnsi="宋体" w:cs="宋体" w:eastAsia="宋体" w:hint="default"/>
          <w:b/>
          <w:bCs/>
        </w:rPr>
        <w:t>22、长期资产减值</w:t>
      </w:r>
      <w:r>
        <w:rPr>
          <w:rFonts w:ascii="宋体" w:hAnsi="宋体" w:cs="宋体" w:eastAsia="宋体" w:hint="default"/>
          <w:b/>
          <w:bCs/>
          <w:w w:val="99"/>
        </w:rPr>
        <w:t> </w:t>
      </w:r>
      <w:r>
        <w:rPr>
          <w:w w:val="95"/>
        </w:rPr>
        <w:t>本公司在资产负债表日判断长期资产是否存在可能发生减值的迹象。如果长期资产存在减值迹象的，</w:t>
      </w:r>
      <w:r>
        <w:rPr/>
      </w:r>
    </w:p>
    <w:p>
      <w:pPr>
        <w:pStyle w:val="BodyText"/>
        <w:spacing w:line="219" w:lineRule="exact" w:before="0"/>
        <w:ind w:left="132" w:right="0"/>
        <w:jc w:val="left"/>
      </w:pPr>
      <w:r>
        <w:rPr/>
        <w:t>以单项资产为基础估计其可收回金额；难以对单项资产的可收回金额进行估计的，以该资产所属的资产组</w:t>
      </w:r>
    </w:p>
    <w:p>
      <w:pPr>
        <w:pStyle w:val="BodyText"/>
        <w:spacing w:line="273" w:lineRule="auto" w:before="37"/>
        <w:ind w:left="552" w:right="0" w:hanging="420"/>
        <w:jc w:val="left"/>
      </w:pPr>
      <w:r>
        <w:rPr/>
        <w:t>为基础确定资产组的可收回金额。</w:t>
      </w:r>
      <w:r>
        <w:rPr>
          <w:w w:val="99"/>
        </w:rPr>
        <w:t> </w:t>
      </w:r>
      <w:r>
        <w:rPr>
          <w:w w:val="95"/>
        </w:rPr>
        <w:t>资产可收回金额的估计，根据其公允价值减去处置费用后的净额与资产预计未来现金流量的现值两者</w:t>
      </w:r>
      <w:r>
        <w:rPr/>
      </w:r>
    </w:p>
    <w:p>
      <w:pPr>
        <w:pStyle w:val="BodyText"/>
        <w:spacing w:line="273" w:lineRule="auto"/>
        <w:ind w:left="552" w:right="0" w:hanging="420"/>
        <w:jc w:val="left"/>
      </w:pPr>
      <w:r>
        <w:rPr/>
        <w:t>之间较高者确定。</w:t>
      </w:r>
      <w:r>
        <w:rPr>
          <w:w w:val="99"/>
        </w:rPr>
        <w:t> </w:t>
      </w:r>
      <w:r>
        <w:rPr>
          <w:w w:val="95"/>
        </w:rPr>
        <w:t>可收回金额的计量结果表明，长期资产的可收回金额低于其账面价值的，将长期资产的账面价值减记</w:t>
      </w:r>
      <w:r>
        <w:rPr/>
      </w:r>
    </w:p>
    <w:p>
      <w:pPr>
        <w:pStyle w:val="BodyText"/>
        <w:spacing w:line="273" w:lineRule="auto"/>
        <w:ind w:left="132" w:right="0"/>
        <w:jc w:val="left"/>
      </w:pPr>
      <w:r>
        <w:rPr>
          <w:w w:val="95"/>
        </w:rPr>
        <w:t>至可收回金额，减记的金额确认为资产减值损失，计入当期损益，同时计提相应的资产减值准备。资产减</w:t>
      </w:r>
      <w:r>
        <w:rPr>
          <w:spacing w:val="42"/>
          <w:w w:val="95"/>
        </w:rPr>
        <w:t> </w:t>
      </w:r>
      <w:r>
        <w:rPr>
          <w:spacing w:val="42"/>
          <w:w w:val="95"/>
        </w:rPr>
      </w:r>
      <w:r>
        <w:rPr/>
        <w:t>值损失一经确认，在以后会计期间不得转回。</w:t>
      </w:r>
    </w:p>
    <w:p>
      <w:pPr>
        <w:pStyle w:val="BodyText"/>
        <w:spacing w:line="273" w:lineRule="auto"/>
        <w:ind w:left="132" w:right="0" w:firstLine="420"/>
        <w:jc w:val="left"/>
      </w:pPr>
      <w:r>
        <w:rPr>
          <w:w w:val="95"/>
        </w:rPr>
        <w:t>资产减值损失确认后，减值资产的折旧或者摊销费用在未来期间作相应调整，以使该资产在剩余使用</w:t>
      </w:r>
      <w:r>
        <w:rPr>
          <w:w w:val="99"/>
        </w:rPr>
        <w:t> </w:t>
      </w:r>
      <w:r>
        <w:rPr/>
        <w:t>寿命内，系统地分摊调整后的资产账面价值（扣除预计净残值）。</w:t>
      </w:r>
    </w:p>
    <w:p>
      <w:pPr>
        <w:pStyle w:val="BodyText"/>
        <w:spacing w:line="240" w:lineRule="auto"/>
        <w:ind w:left="552" w:right="0"/>
        <w:jc w:val="left"/>
      </w:pPr>
      <w:r>
        <w:rPr/>
        <w:t>因企业合并所形成的商誉和使用寿命不确定的无形资产，无论是否存在减值迹象，每年都进行减值测</w:t>
      </w:r>
    </w:p>
    <w:p>
      <w:pPr>
        <w:pStyle w:val="BodyText"/>
        <w:spacing w:line="240" w:lineRule="auto" w:before="37"/>
        <w:ind w:left="132" w:right="0"/>
        <w:jc w:val="left"/>
      </w:pPr>
      <w:r>
        <w:rPr/>
        <w:t>试。</w:t>
      </w:r>
    </w:p>
    <w:p>
      <w:pPr>
        <w:pStyle w:val="BodyText"/>
        <w:spacing w:line="240" w:lineRule="auto" w:before="37"/>
        <w:ind w:left="552" w:right="0"/>
        <w:jc w:val="left"/>
      </w:pPr>
      <w:r>
        <w:rPr/>
        <w:t>商誉结合与其相关的资产组或者资产组组合进行减值测试。在对包含商誉的相关资产组或者资产组组</w:t>
      </w:r>
    </w:p>
    <w:p>
      <w:pPr>
        <w:pStyle w:val="BodyText"/>
        <w:spacing w:line="273" w:lineRule="auto" w:before="37"/>
        <w:ind w:left="132" w:right="252"/>
        <w:jc w:val="both"/>
      </w:pPr>
      <w:r>
        <w:rPr>
          <w:w w:val="95"/>
        </w:rPr>
        <w:t>合进行减值测试时，如与商誉相关的资产组或者资产组组合存在减值迹象的，先对不包含商誉的资产组或</w:t>
      </w:r>
      <w:r>
        <w:rPr>
          <w:spacing w:val="37"/>
          <w:w w:val="95"/>
        </w:rPr>
        <w:t> </w:t>
      </w:r>
      <w:r>
        <w:rPr>
          <w:spacing w:val="37"/>
          <w:w w:val="95"/>
        </w:rPr>
      </w:r>
      <w:r>
        <w:rPr>
          <w:w w:val="95"/>
        </w:rPr>
        <w:t>者资产组组合进行减值测试，计算可收回金额，并与相关账面价值相比较，确认相应的减值损失。再对包</w:t>
      </w:r>
      <w:r>
        <w:rPr>
          <w:spacing w:val="41"/>
          <w:w w:val="95"/>
        </w:rPr>
        <w:t> </w:t>
      </w:r>
      <w:r>
        <w:rPr>
          <w:spacing w:val="41"/>
          <w:w w:val="95"/>
        </w:rPr>
      </w:r>
      <w:r>
        <w:rPr>
          <w:w w:val="95"/>
        </w:rPr>
        <w:t>含商誉的资产组或者资产组组合进行减值测试，比较这些相关资产组或者资产组组合的账面价值（包括所</w:t>
      </w:r>
      <w:r>
        <w:rPr>
          <w:spacing w:val="40"/>
          <w:w w:val="95"/>
        </w:rPr>
        <w:t> </w:t>
      </w:r>
      <w:r>
        <w:rPr>
          <w:spacing w:val="40"/>
          <w:w w:val="95"/>
        </w:rPr>
      </w:r>
      <w:r>
        <w:rPr>
          <w:w w:val="95"/>
        </w:rPr>
        <w:t>分摊的商誉的账面价值部分）与其可收回金额，如相关资产组或者资产组组合的可收回金额低于其账面价</w:t>
      </w:r>
      <w:r>
        <w:rPr/>
      </w:r>
    </w:p>
    <w:p>
      <w:pPr>
        <w:spacing w:after="0" w:line="273" w:lineRule="auto"/>
        <w:jc w:val="both"/>
        <w:sectPr>
          <w:pgSz w:w="11910" w:h="16840"/>
          <w:pgMar w:header="746" w:footer="978" w:top="1040" w:bottom="1160" w:left="1000" w:right="880"/>
        </w:sectPr>
      </w:pPr>
    </w:p>
    <w:p>
      <w:pPr>
        <w:spacing w:line="240" w:lineRule="auto" w:before="6"/>
        <w:rPr>
          <w:rFonts w:ascii="宋体" w:hAnsi="宋体" w:cs="宋体" w:eastAsia="宋体" w:hint="default"/>
          <w:sz w:val="25"/>
          <w:szCs w:val="25"/>
        </w:rPr>
      </w:pPr>
    </w:p>
    <w:p>
      <w:pPr>
        <w:spacing w:line="535" w:lineRule="auto" w:before="34"/>
        <w:ind w:left="132" w:right="7104" w:firstLine="0"/>
        <w:jc w:val="left"/>
        <w:rPr>
          <w:rFonts w:ascii="宋体" w:hAnsi="宋体" w:cs="宋体" w:eastAsia="宋体" w:hint="default"/>
          <w:sz w:val="21"/>
          <w:szCs w:val="21"/>
        </w:rPr>
      </w:pPr>
      <w:r>
        <w:rPr>
          <w:rFonts w:ascii="宋体" w:hAnsi="宋体" w:cs="宋体" w:eastAsia="宋体" w:hint="default"/>
          <w:sz w:val="21"/>
          <w:szCs w:val="21"/>
        </w:rPr>
        <w:t>值的，确认商誉的减值损失。</w:t>
      </w:r>
      <w:r>
        <w:rPr>
          <w:rFonts w:ascii="宋体" w:hAnsi="宋体" w:cs="宋体" w:eastAsia="宋体" w:hint="default"/>
          <w:w w:val="99"/>
          <w:sz w:val="21"/>
          <w:szCs w:val="21"/>
        </w:rPr>
        <w:t> </w:t>
      </w:r>
      <w:r>
        <w:rPr>
          <w:rFonts w:ascii="宋体" w:hAnsi="宋体" w:cs="宋体" w:eastAsia="宋体" w:hint="default"/>
          <w:b/>
          <w:bCs/>
          <w:sz w:val="21"/>
          <w:szCs w:val="21"/>
        </w:rPr>
        <w:t>23、长期待摊费用</w:t>
      </w:r>
      <w:r>
        <w:rPr>
          <w:rFonts w:ascii="宋体" w:hAnsi="宋体" w:cs="宋体" w:eastAsia="宋体" w:hint="default"/>
          <w:sz w:val="21"/>
          <w:szCs w:val="21"/>
        </w:rPr>
      </w:r>
    </w:p>
    <w:p>
      <w:pPr>
        <w:pStyle w:val="Heading6"/>
        <w:spacing w:line="240" w:lineRule="auto" w:before="79"/>
        <w:ind w:right="96"/>
        <w:jc w:val="left"/>
        <w:rPr>
          <w:b w:val="0"/>
          <w:bCs w:val="0"/>
        </w:rPr>
      </w:pPr>
      <w:r>
        <w:rPr/>
        <w:t>1）摊销方法</w:t>
      </w:r>
      <w:r>
        <w:rPr>
          <w:b w:val="0"/>
          <w:bCs w:val="0"/>
        </w:rPr>
      </w:r>
    </w:p>
    <w:p>
      <w:pPr>
        <w:pStyle w:val="BodyText"/>
        <w:spacing w:line="273" w:lineRule="auto" w:before="37"/>
        <w:ind w:left="132" w:right="96" w:firstLine="420"/>
        <w:jc w:val="left"/>
      </w:pPr>
      <w:r>
        <w:rPr>
          <w:w w:val="95"/>
        </w:rPr>
        <w:t>长期待摊费用，是指本公司已经发生但应由本期和以后各期负担的分摊期限在1年以上的各项费用。</w:t>
      </w:r>
      <w:r>
        <w:rPr>
          <w:spacing w:val="-85"/>
          <w:w w:val="95"/>
        </w:rPr>
        <w:t> </w:t>
      </w:r>
      <w:r>
        <w:rPr>
          <w:spacing w:val="-85"/>
          <w:w w:val="95"/>
        </w:rPr>
      </w:r>
      <w:r>
        <w:rPr/>
        <w:t>长期待摊费用在受益期内按直线法分期摊销。</w:t>
      </w:r>
    </w:p>
    <w:p>
      <w:pPr>
        <w:pStyle w:val="Heading6"/>
        <w:spacing w:line="240" w:lineRule="auto" w:before="7"/>
        <w:ind w:right="96"/>
        <w:jc w:val="left"/>
        <w:rPr>
          <w:b w:val="0"/>
          <w:bCs w:val="0"/>
        </w:rPr>
      </w:pPr>
      <w:r>
        <w:rPr/>
        <w:t>2）摊销年限</w:t>
      </w:r>
      <w:r>
        <w:rPr>
          <w:b w:val="0"/>
          <w:bCs w:val="0"/>
        </w:rPr>
      </w:r>
    </w:p>
    <w:p>
      <w:pPr>
        <w:spacing w:line="240" w:lineRule="auto" w:before="13"/>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3544"/>
        <w:gridCol w:w="3969"/>
        <w:gridCol w:w="1985"/>
      </w:tblGrid>
      <w:tr>
        <w:trPr>
          <w:trHeight w:val="347" w:hRule="exact"/>
        </w:trPr>
        <w:tc>
          <w:tcPr>
            <w:tcW w:w="354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6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198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长期待摊费用</w:t>
            </w:r>
          </w:p>
        </w:tc>
        <w:tc>
          <w:tcPr>
            <w:tcW w:w="3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3-5年</w:t>
            </w:r>
          </w:p>
        </w:tc>
        <w:tc>
          <w:tcPr>
            <w:tcW w:w="19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b/>
          <w:bCs/>
          <w:sz w:val="19"/>
          <w:szCs w:val="19"/>
        </w:rPr>
      </w:pPr>
    </w:p>
    <w:p>
      <w:pPr>
        <w:pStyle w:val="Heading6"/>
        <w:spacing w:line="240" w:lineRule="auto" w:before="34"/>
        <w:ind w:right="96"/>
        <w:jc w:val="left"/>
        <w:rPr>
          <w:b w:val="0"/>
          <w:bCs w:val="0"/>
        </w:rPr>
      </w:pPr>
      <w:r>
        <w:rPr/>
        <w:t>24、职工薪酬</w:t>
      </w:r>
      <w:r>
        <w:rPr>
          <w:b w:val="0"/>
          <w:bCs w:val="0"/>
        </w:rPr>
      </w:r>
    </w:p>
    <w:p>
      <w:pPr>
        <w:spacing w:line="610" w:lineRule="atLeast" w:before="2"/>
        <w:ind w:left="552" w:right="212" w:hanging="420"/>
        <w:jc w:val="left"/>
        <w:rPr>
          <w:rFonts w:ascii="宋体" w:hAnsi="宋体" w:cs="宋体" w:eastAsia="宋体" w:hint="default"/>
          <w:sz w:val="21"/>
          <w:szCs w:val="21"/>
        </w:rPr>
      </w:pPr>
      <w:r>
        <w:rPr>
          <w:rFonts w:ascii="宋体" w:hAnsi="宋体" w:cs="宋体" w:eastAsia="宋体" w:hint="default"/>
          <w:b/>
          <w:bCs/>
          <w:sz w:val="21"/>
          <w:szCs w:val="21"/>
        </w:rPr>
        <w:t>（1）短期薪酬的会计处理方法</w:t>
      </w:r>
      <w:r>
        <w:rPr>
          <w:rFonts w:ascii="宋体" w:hAnsi="宋体" w:cs="宋体" w:eastAsia="宋体" w:hint="default"/>
          <w:b/>
          <w:bCs/>
          <w:w w:val="99"/>
          <w:sz w:val="21"/>
          <w:szCs w:val="21"/>
        </w:rPr>
        <w:t> </w:t>
      </w:r>
      <w:r>
        <w:rPr>
          <w:rFonts w:ascii="宋体" w:hAnsi="宋体" w:cs="宋体" w:eastAsia="宋体" w:hint="default"/>
          <w:spacing w:val="4"/>
          <w:sz w:val="21"/>
          <w:szCs w:val="21"/>
        </w:rPr>
        <w:t>短期薪酬是指本公司在职工提供相关服务的年度报告期间结束后十二个月内需要全部予以支付的职</w:t>
      </w:r>
    </w:p>
    <w:p>
      <w:pPr>
        <w:pStyle w:val="BodyText"/>
        <w:spacing w:line="273" w:lineRule="auto" w:before="37"/>
        <w:ind w:left="132" w:right="105"/>
        <w:jc w:val="left"/>
      </w:pPr>
      <w:r>
        <w:rPr>
          <w:spacing w:val="-3"/>
        </w:rPr>
        <w:t>工薪酬，离职后福利和辞退福利除外。本公司在职工提供服务的会计期间，将应付的短期薪酬确认为负债，</w:t>
      </w:r>
      <w:r>
        <w:rPr>
          <w:w w:val="99"/>
        </w:rPr>
        <w:t> </w:t>
      </w:r>
      <w:r>
        <w:rPr/>
        <w:t>并根据职工提供服务的受益对象计入相关资产成本和费用。</w:t>
      </w:r>
    </w:p>
    <w:p>
      <w:pPr>
        <w:spacing w:line="612" w:lineRule="exact" w:before="66"/>
        <w:ind w:left="552" w:right="96" w:hanging="420"/>
        <w:jc w:val="left"/>
        <w:rPr>
          <w:rFonts w:ascii="宋体" w:hAnsi="宋体" w:cs="宋体" w:eastAsia="宋体" w:hint="default"/>
          <w:sz w:val="21"/>
          <w:szCs w:val="21"/>
        </w:rPr>
      </w:pPr>
      <w:r>
        <w:rPr>
          <w:rFonts w:ascii="宋体" w:hAnsi="宋体" w:cs="宋体" w:eastAsia="宋体" w:hint="default"/>
          <w:b/>
          <w:bCs/>
          <w:sz w:val="21"/>
          <w:szCs w:val="21"/>
        </w:rPr>
        <w:t>（2）离职后福利的会计处理方法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离职后福利是指本公司为获得职工提供的服务而在职工退休或与企业解除劳动关系后，提供的各种形</w:t>
      </w:r>
      <w:r>
        <w:rPr>
          <w:rFonts w:ascii="宋体" w:hAnsi="宋体" w:cs="宋体" w:eastAsia="宋体" w:hint="default"/>
          <w:sz w:val="21"/>
          <w:szCs w:val="21"/>
        </w:rPr>
      </w:r>
    </w:p>
    <w:p>
      <w:pPr>
        <w:pStyle w:val="BodyText"/>
        <w:spacing w:line="219" w:lineRule="exact" w:before="0"/>
        <w:ind w:left="132" w:right="96"/>
        <w:jc w:val="left"/>
      </w:pPr>
      <w:r>
        <w:rPr/>
        <w:t>式的报酬和福利，短期薪酬和辞退福利除外。离职后福利计划分类为设定提存计划和设定受益计划。</w:t>
      </w:r>
    </w:p>
    <w:p>
      <w:pPr>
        <w:pStyle w:val="BodyText"/>
        <w:spacing w:line="273" w:lineRule="auto" w:before="37"/>
        <w:ind w:left="132" w:right="210" w:firstLine="420"/>
        <w:jc w:val="both"/>
      </w:pPr>
      <w:r>
        <w:rPr>
          <w:w w:val="95"/>
        </w:rPr>
        <w:t>离职后福利设定提存计划主要为参加由各地劳动及社会保障机构组织实施的社会基本养老保险、失业</w:t>
      </w:r>
      <w:r>
        <w:rPr>
          <w:w w:val="99"/>
        </w:rPr>
        <w:t> </w:t>
      </w:r>
      <w:r>
        <w:rPr>
          <w:w w:val="95"/>
        </w:rPr>
        <w:t>保险等。在职工为本公司提供服务的会计期间，将根据设定提存计划计算的应缴存金额确认为负债，并计</w:t>
      </w:r>
      <w:r>
        <w:rPr>
          <w:spacing w:val="43"/>
          <w:w w:val="95"/>
        </w:rPr>
        <w:t> </w:t>
      </w:r>
      <w:r>
        <w:rPr>
          <w:spacing w:val="43"/>
          <w:w w:val="95"/>
        </w:rPr>
      </w:r>
      <w:r>
        <w:rPr/>
        <w:t>入当期损益或相关资产成本。</w:t>
      </w:r>
    </w:p>
    <w:p>
      <w:pPr>
        <w:pStyle w:val="BodyText"/>
        <w:spacing w:line="240" w:lineRule="auto"/>
        <w:ind w:left="552" w:right="96"/>
        <w:jc w:val="left"/>
      </w:pPr>
      <w:r>
        <w:rPr/>
        <w:t>本公司按照国家规定的标准和年金计划定期缴付上述款项后，不再有其他的支付义务。</w:t>
      </w:r>
    </w:p>
    <w:p>
      <w:pPr>
        <w:spacing w:line="610" w:lineRule="atLeast" w:before="4"/>
        <w:ind w:left="552" w:right="96" w:hanging="420"/>
        <w:jc w:val="left"/>
        <w:rPr>
          <w:rFonts w:ascii="宋体" w:hAnsi="宋体" w:cs="宋体" w:eastAsia="宋体" w:hint="default"/>
          <w:sz w:val="21"/>
          <w:szCs w:val="21"/>
        </w:rPr>
      </w:pPr>
      <w:r>
        <w:rPr>
          <w:rFonts w:ascii="宋体" w:hAnsi="宋体" w:cs="宋体" w:eastAsia="宋体" w:hint="default"/>
          <w:b/>
          <w:bCs/>
          <w:sz w:val="21"/>
          <w:szCs w:val="21"/>
        </w:rPr>
        <w:t>（3）辞退福利的会计处理方法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辞退福利是指本公司在职工劳动合同到期之前解除与职工的劳动关系，或者为鼓励职工自愿接受裁减</w:t>
      </w:r>
      <w:r>
        <w:rPr>
          <w:rFonts w:ascii="宋体" w:hAnsi="宋体" w:cs="宋体" w:eastAsia="宋体" w:hint="default"/>
          <w:sz w:val="21"/>
          <w:szCs w:val="21"/>
        </w:rPr>
      </w:r>
    </w:p>
    <w:p>
      <w:pPr>
        <w:pStyle w:val="BodyText"/>
        <w:spacing w:line="240" w:lineRule="auto" w:before="37"/>
        <w:ind w:left="132" w:right="96"/>
        <w:jc w:val="left"/>
      </w:pPr>
      <w:r>
        <w:rPr/>
        <w:t>而给予职工的补偿，在发生当期计入当期损益。</w:t>
      </w:r>
    </w:p>
    <w:p>
      <w:pPr>
        <w:spacing w:line="240" w:lineRule="auto" w:before="10"/>
        <w:rPr>
          <w:rFonts w:ascii="宋体" w:hAnsi="宋体" w:cs="宋体" w:eastAsia="宋体" w:hint="default"/>
          <w:sz w:val="25"/>
          <w:szCs w:val="25"/>
        </w:rPr>
      </w:pPr>
    </w:p>
    <w:p>
      <w:pPr>
        <w:pStyle w:val="Heading6"/>
        <w:spacing w:line="240" w:lineRule="auto"/>
        <w:ind w:right="96"/>
        <w:jc w:val="left"/>
        <w:rPr>
          <w:b w:val="0"/>
          <w:bCs w:val="0"/>
        </w:rPr>
      </w:pPr>
      <w:r>
        <w:rPr/>
        <w:t>（4）其他长期职工福利的会计处理方法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52" w:right="96"/>
        <w:jc w:val="left"/>
      </w:pPr>
      <w:r>
        <w:rPr/>
        <w:t>其他长期职工福利是指除短期薪酬、离职后福利、辞退福利之外的其他所有职工福利。</w:t>
      </w:r>
      <w:r>
        <w:rPr>
          <w:w w:val="99"/>
        </w:rPr>
        <w:t> </w:t>
      </w:r>
      <w:r>
        <w:rPr>
          <w:w w:val="95"/>
        </w:rPr>
        <w:t>对符合设定提存计划条件的其他长期职工福利，在职工为本公司提供服务的会计期间，将应缴存金额</w:t>
      </w:r>
      <w:r>
        <w:rPr/>
      </w:r>
    </w:p>
    <w:p>
      <w:pPr>
        <w:pStyle w:val="BodyText"/>
        <w:spacing w:line="273" w:lineRule="auto"/>
        <w:ind w:left="132" w:right="96"/>
        <w:jc w:val="left"/>
      </w:pPr>
      <w:r>
        <w:rPr>
          <w:w w:val="95"/>
        </w:rPr>
        <w:t>确认为负债，并计入当期损益或相关资产成本；除上述情形外的其他长期职工福利，在资产负债表日，将</w:t>
      </w:r>
      <w:r>
        <w:rPr>
          <w:spacing w:val="43"/>
          <w:w w:val="95"/>
        </w:rPr>
        <w:t> </w:t>
      </w:r>
      <w:r>
        <w:rPr>
          <w:spacing w:val="43"/>
          <w:w w:val="95"/>
        </w:rPr>
      </w:r>
      <w:r>
        <w:rPr/>
        <w:t>设定受益计划产生的福利义务归属于职工提供服务的期间，并计入当期损益或相关资产成本。</w:t>
      </w:r>
    </w:p>
    <w:p>
      <w:pPr>
        <w:spacing w:line="240" w:lineRule="auto" w:before="9"/>
        <w:rPr>
          <w:rFonts w:ascii="宋体" w:hAnsi="宋体" w:cs="宋体" w:eastAsia="宋体" w:hint="default"/>
          <w:sz w:val="23"/>
          <w:szCs w:val="23"/>
        </w:rPr>
      </w:pPr>
    </w:p>
    <w:p>
      <w:pPr>
        <w:pStyle w:val="Heading6"/>
        <w:spacing w:line="240" w:lineRule="auto"/>
        <w:ind w:right="96"/>
        <w:jc w:val="left"/>
        <w:rPr>
          <w:b w:val="0"/>
          <w:bCs w:val="0"/>
        </w:rPr>
      </w:pPr>
      <w:r>
        <w:rPr/>
        <w:t>25、预计负债</w:t>
      </w:r>
      <w:r>
        <w:rPr>
          <w:b w:val="0"/>
          <w:bCs w:val="0"/>
        </w:rPr>
      </w:r>
    </w:p>
    <w:p>
      <w:pPr>
        <w:spacing w:line="240" w:lineRule="auto" w:before="10"/>
        <w:rPr>
          <w:rFonts w:ascii="宋体" w:hAnsi="宋体" w:cs="宋体" w:eastAsia="宋体" w:hint="default"/>
          <w:b/>
          <w:bCs/>
          <w:sz w:val="25"/>
          <w:szCs w:val="25"/>
        </w:rPr>
      </w:pPr>
    </w:p>
    <w:p>
      <w:pPr>
        <w:spacing w:line="273" w:lineRule="auto" w:before="0"/>
        <w:ind w:left="552" w:right="1264" w:hanging="420"/>
        <w:jc w:val="left"/>
        <w:rPr>
          <w:rFonts w:ascii="宋体" w:hAnsi="宋体" w:cs="宋体" w:eastAsia="宋体" w:hint="default"/>
          <w:sz w:val="21"/>
          <w:szCs w:val="21"/>
        </w:rPr>
      </w:pPr>
      <w:r>
        <w:rPr>
          <w:rFonts w:ascii="宋体" w:hAnsi="宋体" w:cs="宋体" w:eastAsia="宋体" w:hint="default"/>
          <w:b/>
          <w:bCs/>
          <w:sz w:val="21"/>
          <w:szCs w:val="21"/>
        </w:rPr>
        <w:t>（1）预计负债的确认标准</w:t>
      </w:r>
      <w:r>
        <w:rPr>
          <w:rFonts w:ascii="宋体" w:hAnsi="宋体" w:cs="宋体" w:eastAsia="宋体" w:hint="default"/>
          <w:b/>
          <w:bCs/>
          <w:w w:val="99"/>
          <w:sz w:val="21"/>
          <w:szCs w:val="21"/>
        </w:rPr>
        <w:t> </w:t>
      </w:r>
      <w:r>
        <w:rPr>
          <w:rFonts w:ascii="宋体" w:hAnsi="宋体" w:cs="宋体" w:eastAsia="宋体" w:hint="default"/>
          <w:w w:val="95"/>
          <w:sz w:val="21"/>
          <w:szCs w:val="21"/>
        </w:rPr>
        <w:t>与或有事项相关的义务同时满足下列条件时，本公司确认为预计负债：</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pgSz w:w="11910" w:h="16840"/>
          <w:pgMar w:header="746" w:footer="978" w:top="1040" w:bottom="1160" w:left="1000" w:right="920"/>
        </w:sectPr>
      </w:pPr>
    </w:p>
    <w:p>
      <w:pPr>
        <w:spacing w:line="240" w:lineRule="auto" w:before="6"/>
        <w:rPr>
          <w:rFonts w:ascii="宋体" w:hAnsi="宋体" w:cs="宋体" w:eastAsia="宋体" w:hint="default"/>
          <w:sz w:val="25"/>
          <w:szCs w:val="25"/>
        </w:rPr>
      </w:pPr>
    </w:p>
    <w:p>
      <w:pPr>
        <w:pStyle w:val="BodyText"/>
        <w:spacing w:line="273" w:lineRule="auto" w:before="34"/>
        <w:ind w:left="532" w:right="2524"/>
        <w:jc w:val="left"/>
      </w:pPr>
      <w:r>
        <w:rPr/>
        <w:t>该义务是本公司承担的现时义务；</w:t>
      </w:r>
      <w:r>
        <w:rPr>
          <w:w w:val="99"/>
        </w:rPr>
        <w:t> </w:t>
      </w:r>
      <w:r>
        <w:rPr>
          <w:w w:val="95"/>
        </w:rPr>
        <w:t>履行该义务很可能导致经济利益流出本公司；</w:t>
      </w:r>
      <w:r>
        <w:rPr>
          <w:spacing w:val="98"/>
          <w:w w:val="95"/>
        </w:rPr>
        <w:t> </w:t>
      </w:r>
      <w:r>
        <w:rPr>
          <w:spacing w:val="98"/>
          <w:w w:val="95"/>
        </w:rPr>
      </w:r>
      <w:r>
        <w:rPr/>
        <w:t>该义务的金额能够可靠地计量。</w:t>
      </w:r>
    </w:p>
    <w:p>
      <w:pPr>
        <w:spacing w:line="273" w:lineRule="auto" w:before="7"/>
        <w:ind w:left="532" w:right="2524" w:hanging="420"/>
        <w:jc w:val="left"/>
        <w:rPr>
          <w:rFonts w:ascii="宋体" w:hAnsi="宋体" w:cs="宋体" w:eastAsia="宋体" w:hint="default"/>
          <w:sz w:val="21"/>
          <w:szCs w:val="21"/>
        </w:rPr>
      </w:pPr>
      <w:r>
        <w:rPr>
          <w:rFonts w:ascii="宋体" w:hAnsi="宋体" w:cs="宋体" w:eastAsia="宋体" w:hint="default"/>
          <w:b/>
          <w:bCs/>
          <w:sz w:val="21"/>
          <w:szCs w:val="21"/>
        </w:rPr>
        <w:t>（2）预计负债的计量方法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本公司预计负债按履行相关现时义务所需的支出的最佳估计数进行初始计量。</w:t>
      </w:r>
      <w:r>
        <w:rPr>
          <w:rFonts w:ascii="宋体" w:hAnsi="宋体" w:cs="宋体" w:eastAsia="宋体" w:hint="default"/>
          <w:sz w:val="21"/>
          <w:szCs w:val="21"/>
        </w:rPr>
      </w:r>
    </w:p>
    <w:p>
      <w:pPr>
        <w:pStyle w:val="BodyText"/>
        <w:spacing w:line="273" w:lineRule="auto"/>
        <w:ind w:right="105" w:firstLine="420"/>
        <w:jc w:val="left"/>
      </w:pPr>
      <w:r>
        <w:rPr>
          <w:w w:val="95"/>
        </w:rPr>
        <w:t>本公司在确定最佳估计数时，综合考虑与或有事项有关的风险、不确定性和货币时间价值等因素。对</w:t>
      </w:r>
      <w:r>
        <w:rPr>
          <w:spacing w:val="-97"/>
          <w:w w:val="95"/>
        </w:rPr>
        <w:t> </w:t>
      </w:r>
      <w:r>
        <w:rPr>
          <w:spacing w:val="-97"/>
          <w:w w:val="95"/>
        </w:rPr>
      </w:r>
      <w:r>
        <w:rPr/>
        <w:t>于货币时间价值影响重大的，通过对相关未来现金流出进行折现后确定最佳估计数。</w:t>
      </w:r>
    </w:p>
    <w:p>
      <w:pPr>
        <w:pStyle w:val="BodyText"/>
        <w:spacing w:line="273" w:lineRule="auto"/>
        <w:ind w:left="532" w:right="105"/>
        <w:jc w:val="left"/>
      </w:pPr>
      <w:r>
        <w:rPr/>
        <w:t>最佳估计数分别以下情况处理：</w:t>
      </w:r>
      <w:r>
        <w:rPr>
          <w:w w:val="99"/>
        </w:rPr>
        <w:t> </w:t>
      </w:r>
      <w:r>
        <w:rPr>
          <w:w w:val="95"/>
        </w:rPr>
        <w:t>所需支出存在一个连续范围（或区间），且该范围内各种结果发生的可能性相同的，则最佳估计数按</w:t>
      </w:r>
      <w:r>
        <w:rPr/>
      </w:r>
    </w:p>
    <w:p>
      <w:pPr>
        <w:pStyle w:val="BodyText"/>
        <w:spacing w:line="273" w:lineRule="auto"/>
        <w:ind w:left="532" w:right="105" w:hanging="420"/>
        <w:jc w:val="left"/>
      </w:pPr>
      <w:r>
        <w:rPr/>
        <w:t>照该范围的中间值即上下限金额的平均数确定。</w:t>
      </w:r>
      <w:r>
        <w:rPr>
          <w:w w:val="99"/>
        </w:rPr>
        <w:t> </w:t>
      </w:r>
      <w:r>
        <w:rPr>
          <w:w w:val="95"/>
        </w:rPr>
        <w:t>所需支出不存在一个连续范围（或区间），或虽然存在一个连续范围但该范围内各种结果发生的可能</w:t>
      </w:r>
      <w:r>
        <w:rPr/>
      </w:r>
    </w:p>
    <w:p>
      <w:pPr>
        <w:pStyle w:val="BodyText"/>
        <w:spacing w:line="273" w:lineRule="auto"/>
        <w:ind w:right="105"/>
        <w:jc w:val="left"/>
      </w:pPr>
      <w:r>
        <w:rPr>
          <w:w w:val="95"/>
        </w:rPr>
        <w:t>性不相同的，如或有事项涉及单个项目的，则最佳估计数按照最可能发生金额确定；如或有事项涉及多个</w:t>
      </w:r>
      <w:r>
        <w:rPr>
          <w:spacing w:val="40"/>
          <w:w w:val="95"/>
        </w:rPr>
        <w:t> </w:t>
      </w:r>
      <w:r>
        <w:rPr>
          <w:spacing w:val="40"/>
          <w:w w:val="95"/>
        </w:rPr>
      </w:r>
      <w:r>
        <w:rPr/>
        <w:t>项目的，则最佳估计数按各种可能结果及相关概率计算确定。</w:t>
      </w:r>
    </w:p>
    <w:p>
      <w:pPr>
        <w:pStyle w:val="BodyText"/>
        <w:spacing w:line="273" w:lineRule="auto"/>
        <w:ind w:right="105" w:firstLine="420"/>
        <w:jc w:val="left"/>
      </w:pPr>
      <w:r>
        <w:rPr>
          <w:w w:val="95"/>
        </w:rPr>
        <w:t>本公司清偿预计负债所需支出全部或部分预期由第三方补偿的，补偿金额在基本确定能够收到时，作</w:t>
      </w:r>
      <w:r>
        <w:rPr>
          <w:w w:val="99"/>
        </w:rPr>
        <w:t> </w:t>
      </w:r>
      <w:r>
        <w:rPr/>
        <w:t>为资产单独确认，确认的补偿金额不超过预计负债的账面价值。</w:t>
      </w:r>
    </w:p>
    <w:p>
      <w:pPr>
        <w:spacing w:line="240" w:lineRule="auto" w:before="7"/>
        <w:rPr>
          <w:rFonts w:ascii="宋体" w:hAnsi="宋体" w:cs="宋体" w:eastAsia="宋体" w:hint="default"/>
          <w:sz w:val="23"/>
          <w:szCs w:val="23"/>
        </w:rPr>
      </w:pPr>
    </w:p>
    <w:p>
      <w:pPr>
        <w:pStyle w:val="Heading6"/>
        <w:spacing w:line="240" w:lineRule="auto"/>
        <w:ind w:left="112" w:right="5624"/>
        <w:jc w:val="left"/>
        <w:rPr>
          <w:b w:val="0"/>
          <w:bCs w:val="0"/>
        </w:rPr>
      </w:pPr>
      <w:r>
        <w:rPr/>
        <w:t>26、股份支付</w:t>
      </w:r>
      <w:r>
        <w:rPr>
          <w:b w:val="0"/>
          <w:bCs w:val="0"/>
        </w:rPr>
      </w:r>
    </w:p>
    <w:p>
      <w:pPr>
        <w:spacing w:line="240" w:lineRule="auto" w:before="9"/>
        <w:rPr>
          <w:rFonts w:ascii="宋体" w:hAnsi="宋体" w:cs="宋体" w:eastAsia="宋体" w:hint="default"/>
          <w:b/>
          <w:bCs/>
          <w:sz w:val="27"/>
          <w:szCs w:val="27"/>
        </w:rPr>
      </w:pPr>
    </w:p>
    <w:p>
      <w:pPr>
        <w:pStyle w:val="Heading6"/>
        <w:spacing w:line="578" w:lineRule="auto"/>
        <w:ind w:left="112" w:right="6460"/>
        <w:jc w:val="left"/>
        <w:rPr>
          <w:rFonts w:ascii="宋体" w:hAnsi="宋体" w:cs="宋体" w:eastAsia="宋体" w:hint="default"/>
          <w:b w:val="0"/>
          <w:bCs w:val="0"/>
          <w:sz w:val="18"/>
          <w:szCs w:val="18"/>
        </w:rPr>
      </w:pPr>
      <w:r>
        <w:rPr>
          <w:rFonts w:ascii="宋体" w:hAnsi="宋体" w:cs="宋体" w:eastAsia="宋体" w:hint="default"/>
          <w:b w:val="0"/>
          <w:bCs w:val="0"/>
          <w:sz w:val="18"/>
          <w:szCs w:val="18"/>
        </w:rPr>
        <w:t>无 </w:t>
      </w:r>
      <w:r>
        <w:rPr/>
        <w:t>27、优先股、永续债等其他金融工具</w:t>
      </w:r>
      <w:r>
        <w:rPr>
          <w:w w:val="99"/>
        </w:rPr>
        <w:t> </w:t>
      </w:r>
      <w:r>
        <w:rPr>
          <w:rFonts w:ascii="宋体" w:hAnsi="宋体" w:cs="宋体" w:eastAsia="宋体" w:hint="default"/>
          <w:b w:val="0"/>
          <w:bCs w:val="0"/>
          <w:sz w:val="18"/>
          <w:szCs w:val="18"/>
        </w:rPr>
        <w:t>无</w:t>
      </w:r>
    </w:p>
    <w:p>
      <w:pPr>
        <w:pStyle w:val="Heading6"/>
        <w:spacing w:line="240" w:lineRule="auto" w:before="99"/>
        <w:ind w:left="112" w:right="5624"/>
        <w:jc w:val="left"/>
        <w:rPr>
          <w:b w:val="0"/>
          <w:bCs w:val="0"/>
        </w:rPr>
      </w:pPr>
      <w:r>
        <w:rPr/>
        <w:t>28、收入</w:t>
      </w:r>
      <w:r>
        <w:rPr>
          <w:b w:val="0"/>
          <w:bCs w:val="0"/>
        </w:rPr>
      </w:r>
    </w:p>
    <w:p>
      <w:pPr>
        <w:spacing w:line="240" w:lineRule="auto" w:before="10"/>
        <w:rPr>
          <w:rFonts w:ascii="宋体" w:hAnsi="宋体" w:cs="宋体" w:eastAsia="宋体" w:hint="default"/>
          <w:b/>
          <w:bCs/>
          <w:sz w:val="25"/>
          <w:szCs w:val="25"/>
        </w:rPr>
      </w:pPr>
    </w:p>
    <w:p>
      <w:pPr>
        <w:spacing w:line="273" w:lineRule="auto" w:before="0"/>
        <w:ind w:left="532" w:right="105" w:hanging="420"/>
        <w:jc w:val="left"/>
        <w:rPr>
          <w:rFonts w:ascii="宋体" w:hAnsi="宋体" w:cs="宋体" w:eastAsia="宋体" w:hint="default"/>
          <w:sz w:val="21"/>
          <w:szCs w:val="21"/>
        </w:rPr>
      </w:pPr>
      <w:r>
        <w:rPr>
          <w:rFonts w:ascii="宋体" w:hAnsi="宋体" w:cs="宋体" w:eastAsia="宋体" w:hint="default"/>
          <w:b/>
          <w:bCs/>
          <w:sz w:val="21"/>
          <w:szCs w:val="21"/>
        </w:rPr>
        <w:t>（1）销售商品收入确认时间的具体判断标准</w:t>
      </w:r>
      <w:r>
        <w:rPr>
          <w:rFonts w:ascii="宋体" w:hAnsi="宋体" w:cs="宋体" w:eastAsia="宋体" w:hint="default"/>
          <w:b/>
          <w:bCs/>
          <w:w w:val="99"/>
          <w:sz w:val="21"/>
          <w:szCs w:val="21"/>
        </w:rPr>
        <w:t> </w:t>
      </w:r>
      <w:r>
        <w:rPr>
          <w:rFonts w:ascii="宋体" w:hAnsi="宋体" w:cs="宋体" w:eastAsia="宋体" w:hint="default"/>
          <w:w w:val="95"/>
          <w:sz w:val="21"/>
          <w:szCs w:val="21"/>
        </w:rPr>
        <w:t>公司已将商品所有权上的主要风险和报酬转移给购买方；公司既没有保留与所有权相联系的继续管理</w:t>
      </w:r>
      <w:r>
        <w:rPr>
          <w:rFonts w:ascii="宋体" w:hAnsi="宋体" w:cs="宋体" w:eastAsia="宋体" w:hint="default"/>
          <w:sz w:val="21"/>
          <w:szCs w:val="21"/>
        </w:rPr>
      </w:r>
    </w:p>
    <w:p>
      <w:pPr>
        <w:pStyle w:val="BodyText"/>
        <w:spacing w:line="273" w:lineRule="auto"/>
        <w:ind w:right="105"/>
        <w:jc w:val="left"/>
      </w:pPr>
      <w:r>
        <w:rPr>
          <w:spacing w:val="-3"/>
        </w:rPr>
        <w:t>权，也没有对已售出的商品实施有效控制；收入的金额能够可靠地计量；相关的经济利益很可能流入企业；</w:t>
      </w:r>
      <w:r>
        <w:rPr>
          <w:w w:val="99"/>
        </w:rPr>
        <w:t> </w:t>
      </w:r>
      <w:r>
        <w:rPr/>
        <w:t>相关的已发生或将发生的成本能够可靠地计量时，确认商品销售收入实现。</w:t>
      </w:r>
    </w:p>
    <w:p>
      <w:pPr>
        <w:pStyle w:val="BodyText"/>
        <w:spacing w:line="273" w:lineRule="auto" w:before="8"/>
        <w:ind w:right="105" w:firstLine="420"/>
        <w:jc w:val="left"/>
      </w:pPr>
      <w:r>
        <w:rPr>
          <w:w w:val="95"/>
        </w:rPr>
        <w:t>合同或协议价款的收取采用递延方式，实质上具有融资性质的，按照应收的合同或协议价款的公允价</w:t>
      </w:r>
      <w:r>
        <w:rPr>
          <w:w w:val="99"/>
        </w:rPr>
        <w:t> </w:t>
      </w:r>
      <w:r>
        <w:rPr/>
        <w:t>值确定销售商品收入金额。</w:t>
      </w:r>
    </w:p>
    <w:p>
      <w:pPr>
        <w:spacing w:line="273" w:lineRule="auto" w:before="7"/>
        <w:ind w:left="532" w:right="105" w:hanging="420"/>
        <w:jc w:val="left"/>
        <w:rPr>
          <w:rFonts w:ascii="宋体" w:hAnsi="宋体" w:cs="宋体" w:eastAsia="宋体" w:hint="default"/>
          <w:sz w:val="21"/>
          <w:szCs w:val="21"/>
        </w:rPr>
      </w:pPr>
      <w:r>
        <w:rPr>
          <w:rFonts w:ascii="宋体" w:hAnsi="宋体" w:cs="宋体" w:eastAsia="宋体" w:hint="default"/>
          <w:b/>
          <w:bCs/>
          <w:sz w:val="21"/>
          <w:szCs w:val="21"/>
        </w:rPr>
        <w:t>（2）确认让渡资产使用权收入的依据</w:t>
      </w:r>
      <w:r>
        <w:rPr>
          <w:rFonts w:ascii="宋体" w:hAnsi="宋体" w:cs="宋体" w:eastAsia="宋体" w:hint="default"/>
          <w:b/>
          <w:bCs/>
          <w:w w:val="99"/>
          <w:sz w:val="21"/>
          <w:szCs w:val="21"/>
        </w:rPr>
        <w:t> </w:t>
      </w:r>
      <w:r>
        <w:rPr>
          <w:rFonts w:ascii="宋体" w:hAnsi="宋体" w:cs="宋体" w:eastAsia="宋体" w:hint="default"/>
          <w:w w:val="95"/>
          <w:sz w:val="21"/>
          <w:szCs w:val="21"/>
        </w:rPr>
        <w:t>与交易相关的经济利益很可能流入企业，收入的金额能够可靠地计量时，分别下列情况确定让渡资产</w:t>
      </w:r>
      <w:r>
        <w:rPr>
          <w:rFonts w:ascii="宋体" w:hAnsi="宋体" w:cs="宋体" w:eastAsia="宋体" w:hint="default"/>
          <w:sz w:val="21"/>
          <w:szCs w:val="21"/>
        </w:rPr>
      </w:r>
    </w:p>
    <w:p>
      <w:pPr>
        <w:pStyle w:val="BodyText"/>
        <w:spacing w:line="273" w:lineRule="auto" w:before="8"/>
        <w:ind w:left="532" w:right="1311" w:hanging="420"/>
        <w:jc w:val="left"/>
      </w:pPr>
      <w:r>
        <w:rPr/>
        <w:t>使用权收入金额：</w:t>
      </w:r>
      <w:r>
        <w:rPr>
          <w:w w:val="99"/>
        </w:rPr>
        <w:t> </w:t>
      </w:r>
      <w:r>
        <w:rPr>
          <w:w w:val="95"/>
        </w:rPr>
        <w:t>1）利息收入金额，按照他人使用本企业货币资金的时间和实际利率计算确定。</w:t>
      </w:r>
      <w:r>
        <w:rPr/>
      </w:r>
    </w:p>
    <w:p>
      <w:pPr>
        <w:pStyle w:val="BodyText"/>
        <w:spacing w:line="240" w:lineRule="auto"/>
        <w:ind w:left="532" w:right="105"/>
        <w:jc w:val="left"/>
      </w:pPr>
      <w:r>
        <w:rPr/>
        <w:t>2）使用费收入金额，按照有关合同或协议约定的收费时间和方法计算确定。</w:t>
      </w:r>
    </w:p>
    <w:p>
      <w:pPr>
        <w:spacing w:line="273" w:lineRule="auto" w:before="37"/>
        <w:ind w:left="532" w:right="105" w:hanging="420"/>
        <w:jc w:val="left"/>
        <w:rPr>
          <w:rFonts w:ascii="宋体" w:hAnsi="宋体" w:cs="宋体" w:eastAsia="宋体" w:hint="default"/>
          <w:sz w:val="21"/>
          <w:szCs w:val="21"/>
        </w:rPr>
      </w:pPr>
      <w:r>
        <w:rPr>
          <w:rFonts w:ascii="宋体" w:hAnsi="宋体" w:cs="宋体" w:eastAsia="宋体" w:hint="default"/>
          <w:b/>
          <w:bCs/>
          <w:sz w:val="21"/>
          <w:szCs w:val="21"/>
        </w:rPr>
        <w:t>（3）提供劳务收入的确认依据和方法</w:t>
      </w:r>
      <w:r>
        <w:rPr>
          <w:rFonts w:ascii="宋体" w:hAnsi="宋体" w:cs="宋体" w:eastAsia="宋体" w:hint="default"/>
          <w:b/>
          <w:bCs/>
          <w:w w:val="99"/>
          <w:sz w:val="21"/>
          <w:szCs w:val="21"/>
        </w:rPr>
        <w:t> </w:t>
      </w:r>
      <w:r>
        <w:rPr>
          <w:rFonts w:ascii="宋体" w:hAnsi="宋体" w:cs="宋体" w:eastAsia="宋体" w:hint="default"/>
          <w:w w:val="95"/>
          <w:sz w:val="21"/>
          <w:szCs w:val="21"/>
        </w:rPr>
        <w:t>在资产负债表日提供劳务交易的结果能够可靠估计的，采用完工百分比法确认提供劳务收入。提供劳</w:t>
      </w:r>
      <w:r>
        <w:rPr>
          <w:rFonts w:ascii="宋体" w:hAnsi="宋体" w:cs="宋体" w:eastAsia="宋体" w:hint="default"/>
          <w:sz w:val="21"/>
          <w:szCs w:val="21"/>
        </w:rPr>
      </w:r>
    </w:p>
    <w:p>
      <w:pPr>
        <w:pStyle w:val="BodyText"/>
        <w:spacing w:line="273" w:lineRule="auto"/>
        <w:ind w:left="532" w:right="105" w:hanging="420"/>
        <w:jc w:val="left"/>
      </w:pPr>
      <w:r>
        <w:rPr/>
        <w:t>务交易的完工进度，依据已完工作的测量确定。</w:t>
      </w:r>
      <w:r>
        <w:rPr>
          <w:w w:val="99"/>
        </w:rPr>
        <w:t> </w:t>
      </w:r>
      <w:r>
        <w:rPr>
          <w:w w:val="95"/>
        </w:rPr>
        <w:t>提供劳务交易的结果能够可靠估计，是指同时满足下列条件：</w:t>
      </w:r>
      <w:r>
        <w:rPr/>
      </w:r>
    </w:p>
    <w:p>
      <w:pPr>
        <w:pStyle w:val="BodyText"/>
        <w:spacing w:line="240" w:lineRule="auto"/>
        <w:ind w:left="532" w:right="5624"/>
        <w:jc w:val="left"/>
      </w:pPr>
      <w:r>
        <w:rPr/>
        <w:t>①收入的金额能够可靠地计量；</w:t>
      </w:r>
    </w:p>
    <w:p>
      <w:pPr>
        <w:pStyle w:val="BodyText"/>
        <w:spacing w:line="240" w:lineRule="auto" w:before="37"/>
        <w:ind w:left="532" w:right="5624"/>
        <w:jc w:val="left"/>
      </w:pPr>
      <w:r>
        <w:rPr/>
        <w:t>②相关的经济利益很可能流入企业；</w:t>
      </w:r>
    </w:p>
    <w:p>
      <w:pPr>
        <w:pStyle w:val="BodyText"/>
        <w:spacing w:line="240" w:lineRule="auto" w:before="37"/>
        <w:ind w:left="532" w:right="5624"/>
        <w:jc w:val="left"/>
      </w:pPr>
      <w:r>
        <w:rPr/>
        <w:t>③交易的完工进度能够可靠地确定；</w:t>
      </w:r>
    </w:p>
    <w:p>
      <w:pPr>
        <w:pStyle w:val="BodyText"/>
        <w:spacing w:line="240" w:lineRule="auto" w:before="37"/>
        <w:ind w:left="532" w:right="105"/>
        <w:jc w:val="left"/>
      </w:pPr>
      <w:r>
        <w:rPr/>
        <w:t>④交易中已发生和将发生的成本能够可靠地计量。</w:t>
      </w:r>
    </w:p>
    <w:p>
      <w:pPr>
        <w:spacing w:after="0" w:line="240" w:lineRule="auto"/>
        <w:jc w:val="left"/>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pStyle w:val="BodyText"/>
        <w:spacing w:line="273" w:lineRule="auto" w:before="34"/>
        <w:ind w:right="210" w:firstLine="420"/>
        <w:jc w:val="both"/>
      </w:pPr>
      <w:r>
        <w:rPr>
          <w:w w:val="95"/>
        </w:rPr>
        <w:t>按照已收或应收的合同或协议价款确定提供劳务收入总额，但已收或应收的合同或协议价款不公允的</w:t>
      </w:r>
      <w:r>
        <w:rPr>
          <w:w w:val="99"/>
        </w:rPr>
        <w:t> </w:t>
      </w:r>
      <w:r>
        <w:rPr>
          <w:w w:val="95"/>
        </w:rPr>
        <w:t>除外。资产负债表日按照提供劳务收入总额乘以完工进度扣除以前会计期间累计已确认提供劳务收入后的</w:t>
      </w:r>
      <w:r>
        <w:rPr>
          <w:spacing w:val="39"/>
          <w:w w:val="95"/>
        </w:rPr>
        <w:t> </w:t>
      </w:r>
      <w:r>
        <w:rPr>
          <w:spacing w:val="39"/>
          <w:w w:val="95"/>
        </w:rPr>
      </w:r>
      <w:r>
        <w:rPr>
          <w:w w:val="95"/>
        </w:rPr>
        <w:t>金额，确认当期提供劳务收入；同时，按照提供劳务估计总成本乘以完工进度扣除以前会计期间累计已确</w:t>
      </w:r>
      <w:r>
        <w:rPr>
          <w:spacing w:val="43"/>
          <w:w w:val="95"/>
        </w:rPr>
        <w:t> </w:t>
      </w:r>
      <w:r>
        <w:rPr>
          <w:spacing w:val="43"/>
          <w:w w:val="95"/>
        </w:rPr>
      </w:r>
      <w:r>
        <w:rPr/>
        <w:t>认劳务成本后的金额，结转当期劳务成本。</w:t>
      </w:r>
    </w:p>
    <w:p>
      <w:pPr>
        <w:pStyle w:val="BodyText"/>
        <w:spacing w:line="240" w:lineRule="auto"/>
        <w:ind w:left="532" w:right="105"/>
        <w:jc w:val="left"/>
      </w:pPr>
      <w:r>
        <w:rPr/>
        <w:t>在资产负债表日提供劳务交易结果不能够可靠估计的，分别下列情况处理：</w:t>
      </w:r>
    </w:p>
    <w:p>
      <w:pPr>
        <w:pStyle w:val="BodyText"/>
        <w:spacing w:line="273" w:lineRule="auto" w:before="37"/>
        <w:ind w:right="215" w:firstLine="420"/>
        <w:jc w:val="both"/>
      </w:pPr>
      <w:r>
        <w:rPr>
          <w:w w:val="95"/>
        </w:rPr>
        <w:t>①已经发生的劳务成本预计能够得到补偿的，按照已经发生的劳务成本金额确认提供劳务收入，并按</w:t>
      </w:r>
      <w:r>
        <w:rPr>
          <w:w w:val="99"/>
        </w:rPr>
        <w:t> </w:t>
      </w:r>
      <w:r>
        <w:rPr/>
        <w:t>相同金额结转劳务成本。</w:t>
      </w:r>
    </w:p>
    <w:p>
      <w:pPr>
        <w:pStyle w:val="BodyText"/>
        <w:spacing w:line="273" w:lineRule="auto"/>
        <w:ind w:right="215" w:firstLine="420"/>
        <w:jc w:val="both"/>
      </w:pPr>
      <w:r>
        <w:rPr>
          <w:w w:val="95"/>
        </w:rPr>
        <w:t>②已经发生的劳务成本预计不能够得到补偿的，将已经发生的劳务成本计入当期损益，不确认提供劳</w:t>
      </w:r>
      <w:r>
        <w:rPr>
          <w:w w:val="99"/>
        </w:rPr>
        <w:t> </w:t>
      </w:r>
      <w:r>
        <w:rPr/>
        <w:t>务收入。</w:t>
      </w:r>
    </w:p>
    <w:p>
      <w:pPr>
        <w:pStyle w:val="BodyText"/>
        <w:spacing w:line="273" w:lineRule="auto"/>
        <w:ind w:right="210" w:firstLine="420"/>
        <w:jc w:val="both"/>
      </w:pPr>
      <w:r>
        <w:rPr>
          <w:w w:val="95"/>
        </w:rPr>
        <w:t>本公司与其他企业签订的合同或协议包括销售商品和提供劳务时，销售商品部分和提供劳务部分能够</w:t>
      </w:r>
      <w:r>
        <w:rPr>
          <w:w w:val="99"/>
        </w:rPr>
        <w:t> </w:t>
      </w:r>
      <w:r>
        <w:rPr>
          <w:w w:val="95"/>
        </w:rPr>
        <w:t>区分且能够单独计量的，将销售商品的部分作为销售商品处理，将提供劳务的部分作为提供劳务处理。销</w:t>
      </w:r>
      <w:r>
        <w:rPr>
          <w:spacing w:val="43"/>
          <w:w w:val="95"/>
        </w:rPr>
        <w:t> </w:t>
      </w:r>
      <w:r>
        <w:rPr>
          <w:spacing w:val="43"/>
          <w:w w:val="95"/>
        </w:rPr>
      </w:r>
      <w:r>
        <w:rPr>
          <w:w w:val="95"/>
        </w:rPr>
        <w:t>售商品部分和提供劳务部分不能够区分，或虽能区分但不能够单独计量的，将销售商品部分和提供劳务部</w:t>
      </w:r>
      <w:r>
        <w:rPr>
          <w:spacing w:val="40"/>
          <w:w w:val="95"/>
        </w:rPr>
        <w:t> </w:t>
      </w:r>
      <w:r>
        <w:rPr>
          <w:spacing w:val="40"/>
          <w:w w:val="95"/>
        </w:rPr>
      </w:r>
      <w:r>
        <w:rPr/>
        <w:t>分全部作为销售商品处理。</w:t>
      </w:r>
    </w:p>
    <w:p>
      <w:pPr>
        <w:pStyle w:val="BodyText"/>
        <w:spacing w:line="240" w:lineRule="auto"/>
        <w:ind w:left="532" w:right="105"/>
        <w:jc w:val="left"/>
      </w:pPr>
      <w:r>
        <w:rPr/>
        <w:t>具体地，本公司的收入确认原则方法如下：</w:t>
      </w:r>
    </w:p>
    <w:p>
      <w:pPr>
        <w:pStyle w:val="BodyText"/>
        <w:spacing w:line="273" w:lineRule="auto" w:before="37"/>
        <w:ind w:right="105" w:firstLine="420"/>
        <w:jc w:val="left"/>
      </w:pPr>
      <w:r>
        <w:rPr>
          <w:spacing w:val="2"/>
        </w:rPr>
        <w:t>①系统集成项目收入：a、一般系统集成项目为一次性确认收入，即服务已经提供，并经接受服务方</w:t>
      </w:r>
      <w:r>
        <w:rPr>
          <w:w w:val="99"/>
        </w:rPr>
        <w:t> </w:t>
      </w:r>
      <w:r>
        <w:rPr>
          <w:w w:val="95"/>
        </w:rPr>
        <w:t>验收合格，取得相关的收款依据时确认为收入的实现。b、复杂的系统集成项目，按工程项目服务已提供，</w:t>
      </w:r>
      <w:r>
        <w:rPr>
          <w:spacing w:val="48"/>
          <w:w w:val="95"/>
        </w:rPr>
        <w:t> </w:t>
      </w:r>
      <w:r>
        <w:rPr>
          <w:spacing w:val="48"/>
          <w:w w:val="95"/>
        </w:rPr>
      </w:r>
      <w:r>
        <w:rPr/>
        <w:t>接受服务方或并工程监理第三方，根据工程进度检验情况确认工程结算报告，公司据此开出结算票据取得</w:t>
      </w:r>
      <w:r>
        <w:rPr>
          <w:w w:val="99"/>
        </w:rPr>
        <w:t> </w:t>
      </w:r>
      <w:r>
        <w:rPr/>
        <w:t>相关的收款依据时确认收入的实现。</w:t>
      </w:r>
    </w:p>
    <w:p>
      <w:pPr>
        <w:pStyle w:val="BodyText"/>
        <w:spacing w:line="273" w:lineRule="auto"/>
        <w:ind w:right="212" w:firstLine="420"/>
        <w:jc w:val="both"/>
      </w:pPr>
      <w:r>
        <w:rPr>
          <w:w w:val="95"/>
        </w:rPr>
        <w:t>②技术服务项目收入：主要是指为各类系统集成项目提供后续的维护、改造及支持服务。收入确认的</w:t>
      </w:r>
      <w:r>
        <w:rPr>
          <w:w w:val="99"/>
        </w:rPr>
        <w:t> </w:t>
      </w:r>
      <w:r>
        <w:rPr>
          <w:w w:val="95"/>
        </w:rPr>
        <w:t>原则方法：根据服务合同，在服务期内维护及支持服务已提供并验收合格，公司开出结算票据或已取得收</w:t>
      </w:r>
      <w:r>
        <w:rPr>
          <w:spacing w:val="40"/>
          <w:w w:val="95"/>
        </w:rPr>
        <w:t> </w:t>
      </w:r>
      <w:r>
        <w:rPr>
          <w:spacing w:val="40"/>
          <w:w w:val="95"/>
        </w:rPr>
      </w:r>
      <w:r>
        <w:rPr/>
        <w:t>款的依据时，确认收入的实现。</w:t>
      </w:r>
    </w:p>
    <w:p>
      <w:pPr>
        <w:pStyle w:val="BodyText"/>
        <w:spacing w:line="273" w:lineRule="auto"/>
        <w:ind w:right="210" w:firstLine="420"/>
        <w:jc w:val="both"/>
      </w:pPr>
      <w:r>
        <w:rPr>
          <w:w w:val="95"/>
        </w:rPr>
        <w:t>③技术转让项目收入：主要是指公司自主或联合研发的软件系统转让项目。收入确认的原则方法：根</w:t>
      </w:r>
      <w:r>
        <w:rPr>
          <w:spacing w:val="-97"/>
          <w:w w:val="95"/>
        </w:rPr>
        <w:t> </w:t>
      </w:r>
      <w:r>
        <w:rPr>
          <w:spacing w:val="-97"/>
          <w:w w:val="95"/>
        </w:rPr>
      </w:r>
      <w:r>
        <w:rPr>
          <w:w w:val="95"/>
        </w:rPr>
        <w:t>据技术转让合同，技术已转让并验收，与合同相关的收入已经取得或取得收款的依据，相关的成本能够可</w:t>
      </w:r>
      <w:r>
        <w:rPr>
          <w:spacing w:val="43"/>
          <w:w w:val="95"/>
        </w:rPr>
        <w:t> </w:t>
      </w:r>
      <w:r>
        <w:rPr>
          <w:spacing w:val="43"/>
          <w:w w:val="95"/>
        </w:rPr>
      </w:r>
      <w:r>
        <w:rPr/>
        <w:t>靠计量时，确认收入的实现。</w:t>
      </w:r>
    </w:p>
    <w:p>
      <w:pPr>
        <w:pStyle w:val="BodyText"/>
        <w:spacing w:line="273" w:lineRule="auto"/>
        <w:ind w:right="212" w:firstLine="420"/>
        <w:jc w:val="both"/>
      </w:pPr>
      <w:r>
        <w:rPr>
          <w:w w:val="95"/>
        </w:rPr>
        <w:t>④商品销售：主要指公司销售的光通讯产品，收入确认的原则方法：公司产品已经发出，已将产品所</w:t>
      </w:r>
      <w:r>
        <w:rPr>
          <w:w w:val="99"/>
        </w:rPr>
        <w:t> </w:t>
      </w:r>
      <w:r>
        <w:rPr>
          <w:w w:val="95"/>
        </w:rPr>
        <w:t>有权上的重要风险和报酬转移给买方，公司不再对该商品实施继续管理权和实际控制权，相关的收入已收</w:t>
      </w:r>
      <w:r>
        <w:rPr>
          <w:spacing w:val="40"/>
          <w:w w:val="95"/>
        </w:rPr>
        <w:t> </w:t>
      </w:r>
      <w:r>
        <w:rPr>
          <w:spacing w:val="40"/>
          <w:w w:val="95"/>
        </w:rPr>
      </w:r>
      <w:r>
        <w:rPr/>
        <w:t>到或取得了收取货款的证据，并且与销售该商品有关的成本能够可靠的计量时，确认收入的实现。</w:t>
      </w:r>
    </w:p>
    <w:p>
      <w:pPr>
        <w:spacing w:line="240" w:lineRule="auto" w:before="7"/>
        <w:rPr>
          <w:rFonts w:ascii="宋体" w:hAnsi="宋体" w:cs="宋体" w:eastAsia="宋体" w:hint="default"/>
          <w:sz w:val="23"/>
          <w:szCs w:val="23"/>
        </w:rPr>
      </w:pPr>
    </w:p>
    <w:p>
      <w:pPr>
        <w:pStyle w:val="Heading6"/>
        <w:spacing w:line="240" w:lineRule="auto"/>
        <w:ind w:left="112" w:right="5624"/>
        <w:jc w:val="left"/>
        <w:rPr>
          <w:b w:val="0"/>
          <w:bCs w:val="0"/>
        </w:rPr>
      </w:pPr>
      <w:r>
        <w:rPr/>
        <w:t>29、政府补助</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left="112" w:right="105"/>
        <w:jc w:val="left"/>
        <w:rPr>
          <w:b w:val="0"/>
          <w:bCs w:val="0"/>
        </w:rPr>
      </w:pPr>
      <w:r>
        <w:rPr/>
        <w:t>（1）与资产相关的政府补助判断依据及会计处理方法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105"/>
        <w:jc w:val="left"/>
      </w:pPr>
      <w:r>
        <w:rPr/>
        <w:t>与资产相关的政府补助，是指本公司取得的、用于购建或以其他方式形成长期资产的政府补助。</w:t>
      </w:r>
      <w:r>
        <w:rPr>
          <w:w w:val="99"/>
        </w:rPr>
        <w:t> </w:t>
      </w:r>
      <w:r>
        <w:rPr>
          <w:w w:val="95"/>
        </w:rPr>
        <w:t>与资产相关的政府补助，确认为递延收益，按照所建造或购买的资产使用年限分期计入营业外收入；</w:t>
      </w:r>
      <w:r>
        <w:rPr>
          <w:spacing w:val="41"/>
          <w:w w:val="95"/>
        </w:rPr>
        <w:t> </w:t>
      </w:r>
      <w:r>
        <w:rPr>
          <w:spacing w:val="41"/>
          <w:w w:val="95"/>
        </w:rPr>
      </w:r>
      <w:r>
        <w:rPr>
          <w:w w:val="95"/>
        </w:rPr>
        <w:t>已确认的政府补助需要返还时，存在相关递延收益余额的，冲减相关递延收益账面余额，超出部分计</w:t>
      </w:r>
      <w:r>
        <w:rPr/>
      </w:r>
    </w:p>
    <w:p>
      <w:pPr>
        <w:pStyle w:val="BodyText"/>
        <w:spacing w:line="240" w:lineRule="auto"/>
        <w:ind w:right="105"/>
        <w:jc w:val="left"/>
      </w:pPr>
      <w:r>
        <w:rPr/>
        <w:t>入当期损益；不存在相关递延收益的，直接计入当期损益。</w:t>
      </w:r>
    </w:p>
    <w:p>
      <w:pPr>
        <w:spacing w:line="240" w:lineRule="auto" w:before="10"/>
        <w:rPr>
          <w:rFonts w:ascii="宋体" w:hAnsi="宋体" w:cs="宋体" w:eastAsia="宋体" w:hint="default"/>
          <w:sz w:val="25"/>
          <w:szCs w:val="25"/>
        </w:rPr>
      </w:pPr>
    </w:p>
    <w:p>
      <w:pPr>
        <w:pStyle w:val="Heading6"/>
        <w:spacing w:line="240" w:lineRule="auto"/>
        <w:ind w:left="112" w:right="105"/>
        <w:jc w:val="left"/>
        <w:rPr>
          <w:b w:val="0"/>
          <w:bCs w:val="0"/>
        </w:rPr>
      </w:pPr>
      <w:r>
        <w:rPr/>
        <w:t>（2）与收益相关的政府补助判断依据及会计处理方法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105"/>
        <w:jc w:val="left"/>
      </w:pPr>
      <w:r>
        <w:rPr/>
        <w:t>与收益相关的政府补助，是指除与资产相关的政府补助之外的政府补助。</w:t>
      </w:r>
      <w:r>
        <w:rPr>
          <w:w w:val="99"/>
        </w:rPr>
        <w:t> </w:t>
      </w:r>
      <w:r>
        <w:rPr>
          <w:w w:val="95"/>
        </w:rPr>
        <w:t>与收益相关的政府补助，用于补偿企业以后期间的相关费用或损失的，确认为递延收益，在确认相关</w:t>
      </w:r>
      <w:r>
        <w:rPr/>
      </w:r>
    </w:p>
    <w:p>
      <w:pPr>
        <w:pStyle w:val="BodyText"/>
        <w:spacing w:line="273" w:lineRule="auto"/>
        <w:ind w:right="105"/>
        <w:jc w:val="left"/>
      </w:pPr>
      <w:r>
        <w:rPr>
          <w:w w:val="95"/>
        </w:rPr>
        <w:t>费用的期间计入当期营业外收入；用于补偿企业已发生的相关费用或损失的，取得时直接计入当期营业外  </w:t>
      </w:r>
      <w:r>
        <w:rPr>
          <w:spacing w:val="37"/>
          <w:w w:val="95"/>
        </w:rPr>
        <w:t> </w:t>
      </w:r>
      <w:r>
        <w:rPr>
          <w:spacing w:val="37"/>
          <w:w w:val="95"/>
        </w:rPr>
      </w:r>
      <w:r>
        <w:rPr/>
        <w:t>收入。</w:t>
      </w:r>
    </w:p>
    <w:p>
      <w:pPr>
        <w:pStyle w:val="BodyText"/>
        <w:spacing w:line="240" w:lineRule="auto"/>
        <w:ind w:left="532" w:right="105"/>
        <w:jc w:val="left"/>
      </w:pPr>
      <w:r>
        <w:rPr/>
        <w:t>已确认的政府补助需要返还时，存在相关递延收益余额的，冲减相关递延收益账面余额，超出部分计</w:t>
      </w:r>
    </w:p>
    <w:p>
      <w:pPr>
        <w:spacing w:after="0" w:line="240" w:lineRule="auto"/>
        <w:jc w:val="left"/>
        <w:sectPr>
          <w:pgSz w:w="11910" w:h="16840"/>
          <w:pgMar w:header="746" w:footer="978" w:top="1040" w:bottom="1160" w:left="1020" w:right="920"/>
        </w:sectPr>
      </w:pPr>
    </w:p>
    <w:p>
      <w:pPr>
        <w:spacing w:line="240" w:lineRule="auto" w:before="6"/>
        <w:rPr>
          <w:rFonts w:ascii="宋体" w:hAnsi="宋体" w:cs="宋体" w:eastAsia="宋体" w:hint="default"/>
          <w:sz w:val="25"/>
          <w:szCs w:val="25"/>
        </w:rPr>
      </w:pPr>
    </w:p>
    <w:p>
      <w:pPr>
        <w:spacing w:line="535" w:lineRule="auto" w:before="34"/>
        <w:ind w:left="112" w:right="2554" w:firstLine="0"/>
        <w:jc w:val="left"/>
        <w:rPr>
          <w:rFonts w:ascii="宋体" w:hAnsi="宋体" w:cs="宋体" w:eastAsia="宋体" w:hint="default"/>
          <w:sz w:val="21"/>
          <w:szCs w:val="21"/>
        </w:rPr>
      </w:pPr>
      <w:r>
        <w:rPr>
          <w:rFonts w:ascii="宋体" w:hAnsi="宋体" w:cs="宋体" w:eastAsia="宋体" w:hint="default"/>
          <w:w w:val="95"/>
          <w:sz w:val="21"/>
          <w:szCs w:val="21"/>
        </w:rPr>
        <w:t>入当期损益；不存在相关递延收益的，直接计入当期损益。</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b/>
          <w:bCs/>
          <w:sz w:val="21"/>
          <w:szCs w:val="21"/>
        </w:rPr>
        <w:t>30、递延所得税资产/递延所得税负债</w:t>
      </w:r>
      <w:r>
        <w:rPr>
          <w:rFonts w:ascii="宋体" w:hAnsi="宋体" w:cs="宋体" w:eastAsia="宋体" w:hint="default"/>
          <w:sz w:val="21"/>
          <w:szCs w:val="21"/>
        </w:rPr>
      </w:r>
    </w:p>
    <w:p>
      <w:pPr>
        <w:pStyle w:val="BodyText"/>
        <w:spacing w:line="273" w:lineRule="auto" w:before="79"/>
        <w:ind w:right="130" w:firstLine="420"/>
        <w:jc w:val="both"/>
      </w:pPr>
      <w:r>
        <w:rPr>
          <w:spacing w:val="4"/>
        </w:rPr>
        <w:t>递延所得税资产和递延所得税负债根据资产和负债的计税基础与其账面价值的差额(暂时性差异)计</w:t>
      </w:r>
      <w:r>
        <w:rPr>
          <w:w w:val="99"/>
        </w:rPr>
        <w:t> </w:t>
      </w:r>
      <w:r>
        <w:rPr>
          <w:w w:val="95"/>
        </w:rPr>
        <w:t>算确认。于资产负债表日，递延所得税资产和递延所得税负债，按照预期收回该资产或清偿该负债期间的</w:t>
      </w:r>
      <w:r>
        <w:rPr>
          <w:spacing w:val="43"/>
          <w:w w:val="95"/>
        </w:rPr>
        <w:t> </w:t>
      </w:r>
      <w:r>
        <w:rPr>
          <w:spacing w:val="43"/>
          <w:w w:val="95"/>
        </w:rPr>
      </w:r>
      <w:r>
        <w:rPr/>
        <w:t>适用税率计量。</w:t>
      </w:r>
    </w:p>
    <w:p>
      <w:pPr>
        <w:spacing w:line="273" w:lineRule="auto" w:before="7"/>
        <w:ind w:left="532" w:right="104" w:hanging="420"/>
        <w:jc w:val="left"/>
        <w:rPr>
          <w:rFonts w:ascii="宋体" w:hAnsi="宋体" w:cs="宋体" w:eastAsia="宋体" w:hint="default"/>
          <w:sz w:val="21"/>
          <w:szCs w:val="21"/>
        </w:rPr>
      </w:pPr>
      <w:r>
        <w:rPr>
          <w:rFonts w:ascii="宋体" w:hAnsi="宋体" w:cs="宋体" w:eastAsia="宋体" w:hint="default"/>
          <w:b/>
          <w:bCs/>
          <w:sz w:val="21"/>
          <w:szCs w:val="21"/>
        </w:rPr>
        <w:t>（1）确认递延所得税资产的依据</w:t>
      </w:r>
      <w:r>
        <w:rPr>
          <w:rFonts w:ascii="宋体" w:hAnsi="宋体" w:cs="宋体" w:eastAsia="宋体" w:hint="default"/>
          <w:b/>
          <w:bCs/>
          <w:w w:val="99"/>
          <w:sz w:val="21"/>
          <w:szCs w:val="21"/>
        </w:rPr>
        <w:t> </w:t>
      </w:r>
      <w:r>
        <w:rPr>
          <w:rFonts w:ascii="宋体" w:hAnsi="宋体" w:cs="宋体" w:eastAsia="宋体" w:hint="default"/>
          <w:w w:val="95"/>
          <w:sz w:val="21"/>
          <w:szCs w:val="21"/>
        </w:rPr>
        <w:t>本公司以很可能取得用来抵扣可抵扣暂时性差异、能够结转以后年度的可抵扣亏损和税款抵减的应纳</w:t>
      </w:r>
      <w:r>
        <w:rPr>
          <w:rFonts w:ascii="宋体" w:hAnsi="宋体" w:cs="宋体" w:eastAsia="宋体" w:hint="default"/>
          <w:sz w:val="21"/>
          <w:szCs w:val="21"/>
        </w:rPr>
      </w:r>
    </w:p>
    <w:p>
      <w:pPr>
        <w:pStyle w:val="BodyText"/>
        <w:spacing w:line="273" w:lineRule="auto"/>
        <w:ind w:right="130"/>
        <w:jc w:val="both"/>
      </w:pPr>
      <w:r>
        <w:rPr>
          <w:w w:val="95"/>
        </w:rPr>
        <w:t>税所得额为限，确认由可抵扣暂时性差异产生的递延所得税资产。但是，同时具有下列特征的交易中因资</w:t>
      </w:r>
      <w:r>
        <w:rPr>
          <w:spacing w:val="43"/>
          <w:w w:val="95"/>
        </w:rPr>
        <w:t> </w:t>
      </w:r>
      <w:r>
        <w:rPr>
          <w:spacing w:val="43"/>
          <w:w w:val="95"/>
        </w:rPr>
      </w:r>
      <w:r>
        <w:rPr>
          <w:w w:val="95"/>
        </w:rPr>
        <w:t>产或负债的初始确认所产生的递延所得税资产不予确认：1）该交易不是企业合并；2）交易发生时既不影</w:t>
      </w:r>
      <w:r>
        <w:rPr>
          <w:spacing w:val="45"/>
          <w:w w:val="95"/>
        </w:rPr>
        <w:t> </w:t>
      </w:r>
      <w:r>
        <w:rPr>
          <w:spacing w:val="45"/>
          <w:w w:val="95"/>
        </w:rPr>
      </w:r>
      <w:r>
        <w:rPr/>
        <w:t>响会计利润也不影响应纳税所得额或可抵扣亏损。</w:t>
      </w:r>
    </w:p>
    <w:p>
      <w:pPr>
        <w:pStyle w:val="BodyText"/>
        <w:spacing w:line="273" w:lineRule="auto"/>
        <w:ind w:right="112" w:firstLine="420"/>
        <w:jc w:val="both"/>
      </w:pPr>
      <w:r>
        <w:rPr>
          <w:w w:val="95"/>
        </w:rPr>
        <w:t>对于与联营企业投资相关的可抵扣暂时性差异，同时满足下列条件的，确认相应的递延所得税资产：</w:t>
      </w:r>
      <w:r>
        <w:rPr>
          <w:spacing w:val="-79"/>
          <w:w w:val="95"/>
        </w:rPr>
        <w:t> </w:t>
      </w:r>
      <w:r>
        <w:rPr>
          <w:spacing w:val="-79"/>
          <w:w w:val="95"/>
        </w:rPr>
      </w:r>
      <w:r>
        <w:rPr>
          <w:w w:val="95"/>
        </w:rPr>
        <w:t>暂时性差异在可预见的未来很可能转回，且未来很可能获得用来抵扣可抵扣暂时性差异的应纳税所得额。</w:t>
      </w:r>
      <w:r>
        <w:rPr/>
      </w:r>
    </w:p>
    <w:p>
      <w:pPr>
        <w:spacing w:line="273" w:lineRule="auto" w:before="7"/>
        <w:ind w:left="532" w:right="104" w:hanging="420"/>
        <w:jc w:val="left"/>
        <w:rPr>
          <w:rFonts w:ascii="宋体" w:hAnsi="宋体" w:cs="宋体" w:eastAsia="宋体" w:hint="default"/>
          <w:sz w:val="21"/>
          <w:szCs w:val="21"/>
        </w:rPr>
      </w:pPr>
      <w:r>
        <w:rPr>
          <w:rFonts w:ascii="宋体" w:hAnsi="宋体" w:cs="宋体" w:eastAsia="宋体" w:hint="default"/>
          <w:b/>
          <w:bCs/>
          <w:sz w:val="21"/>
          <w:szCs w:val="21"/>
        </w:rPr>
        <w:t>（2）确认递延所得税负债的依据</w:t>
      </w:r>
      <w:r>
        <w:rPr>
          <w:rFonts w:ascii="宋体" w:hAnsi="宋体" w:cs="宋体" w:eastAsia="宋体" w:hint="default"/>
          <w:b/>
          <w:bCs/>
          <w:w w:val="99"/>
          <w:sz w:val="21"/>
          <w:szCs w:val="21"/>
        </w:rPr>
        <w:t> </w:t>
      </w:r>
      <w:r>
        <w:rPr>
          <w:rFonts w:ascii="宋体" w:hAnsi="宋体" w:cs="宋体" w:eastAsia="宋体" w:hint="default"/>
          <w:w w:val="95"/>
          <w:sz w:val="21"/>
          <w:szCs w:val="21"/>
        </w:rPr>
        <w:t>公司将当期与以前期间应交未交的应纳税暂时性差异确认为递延所得税负债。但不包括：</w:t>
      </w:r>
      <w:r>
        <w:rPr>
          <w:rFonts w:ascii="宋体" w:hAnsi="宋体" w:cs="宋体" w:eastAsia="宋体" w:hint="default"/>
          <w:w w:val="99"/>
          <w:sz w:val="21"/>
          <w:szCs w:val="21"/>
        </w:rPr>
        <w:t> </w:t>
      </w:r>
      <w:r>
        <w:rPr>
          <w:rFonts w:ascii="宋体" w:hAnsi="宋体" w:cs="宋体" w:eastAsia="宋体" w:hint="default"/>
          <w:sz w:val="21"/>
          <w:szCs w:val="21"/>
        </w:rPr>
        <w:t>1）商誉的初始确认所形成的暂时性差异；</w:t>
      </w:r>
    </w:p>
    <w:p>
      <w:pPr>
        <w:pStyle w:val="BodyText"/>
        <w:spacing w:line="273" w:lineRule="auto"/>
        <w:ind w:right="133" w:firstLine="420"/>
        <w:jc w:val="both"/>
      </w:pPr>
      <w:r>
        <w:rPr>
          <w:spacing w:val="2"/>
          <w:w w:val="95"/>
        </w:rPr>
        <w:t>2）非企业合并形成的交易或事项，且该交易或事项发生时既不影响会计利润，也不影响应纳税所得</w:t>
      </w:r>
      <w:r>
        <w:rPr>
          <w:spacing w:val="-82"/>
          <w:w w:val="95"/>
        </w:rPr>
        <w:t> </w:t>
      </w:r>
      <w:r>
        <w:rPr>
          <w:spacing w:val="-82"/>
          <w:w w:val="95"/>
        </w:rPr>
      </w:r>
      <w:r>
        <w:rPr/>
        <w:t>额（或可抵扣亏损）所形成的暂时性差异；</w:t>
      </w:r>
    </w:p>
    <w:p>
      <w:pPr>
        <w:pStyle w:val="BodyText"/>
        <w:spacing w:line="273" w:lineRule="auto"/>
        <w:ind w:right="133" w:firstLine="420"/>
        <w:jc w:val="both"/>
      </w:pPr>
      <w:r>
        <w:rPr>
          <w:spacing w:val="2"/>
          <w:w w:val="95"/>
        </w:rPr>
        <w:t>3）对于与子公司、联营企业投资相关的应纳税暂时性差异，该暂时性差异转回的时间能够控制并且</w:t>
      </w:r>
      <w:r>
        <w:rPr>
          <w:spacing w:val="-82"/>
          <w:w w:val="95"/>
        </w:rPr>
        <w:t> </w:t>
      </w:r>
      <w:r>
        <w:rPr>
          <w:spacing w:val="-82"/>
          <w:w w:val="95"/>
        </w:rPr>
      </w:r>
      <w:r>
        <w:rPr/>
        <w:t>该暂时性差异在可预见的未来很可能不会转回。</w:t>
      </w:r>
    </w:p>
    <w:p>
      <w:pPr>
        <w:spacing w:line="240" w:lineRule="auto" w:before="9"/>
        <w:rPr>
          <w:rFonts w:ascii="宋体" w:hAnsi="宋体" w:cs="宋体" w:eastAsia="宋体" w:hint="default"/>
          <w:sz w:val="23"/>
          <w:szCs w:val="23"/>
        </w:rPr>
      </w:pPr>
    </w:p>
    <w:p>
      <w:pPr>
        <w:pStyle w:val="Heading6"/>
        <w:spacing w:line="240" w:lineRule="auto"/>
        <w:ind w:left="112" w:right="104"/>
        <w:jc w:val="left"/>
        <w:rPr>
          <w:b w:val="0"/>
          <w:bCs w:val="0"/>
        </w:rPr>
      </w:pPr>
      <w:r>
        <w:rPr/>
        <w:t>31、租赁</w:t>
      </w:r>
      <w:r>
        <w:rPr>
          <w:b w:val="0"/>
          <w:bCs w:val="0"/>
        </w:rPr>
      </w:r>
    </w:p>
    <w:p>
      <w:pPr>
        <w:spacing w:line="610" w:lineRule="atLeast" w:before="2"/>
        <w:ind w:left="532" w:right="104" w:hanging="420"/>
        <w:jc w:val="left"/>
        <w:rPr>
          <w:rFonts w:ascii="宋体" w:hAnsi="宋体" w:cs="宋体" w:eastAsia="宋体" w:hint="default"/>
          <w:sz w:val="21"/>
          <w:szCs w:val="21"/>
        </w:rPr>
      </w:pPr>
      <w:r>
        <w:rPr>
          <w:rFonts w:ascii="宋体" w:hAnsi="宋体" w:cs="宋体" w:eastAsia="宋体" w:hint="default"/>
          <w:b/>
          <w:bCs/>
          <w:sz w:val="21"/>
          <w:szCs w:val="21"/>
        </w:rPr>
        <w:t>（1）经营租赁的会计处理方法</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1）公司租入资产所支付的租赁费，在不扣除免租期的整个租赁期内，按直线法进行分摊，计入当期</w:t>
      </w:r>
      <w:r>
        <w:rPr>
          <w:rFonts w:ascii="宋体" w:hAnsi="宋体" w:cs="宋体" w:eastAsia="宋体" w:hint="default"/>
          <w:spacing w:val="2"/>
          <w:sz w:val="21"/>
          <w:szCs w:val="21"/>
        </w:rPr>
      </w:r>
    </w:p>
    <w:p>
      <w:pPr>
        <w:pStyle w:val="BodyText"/>
        <w:spacing w:line="273" w:lineRule="auto" w:before="37"/>
        <w:ind w:left="532" w:right="104" w:hanging="420"/>
        <w:jc w:val="left"/>
      </w:pPr>
      <w:r>
        <w:rPr/>
        <w:t>费用。公司支付的与租赁交易相关的初始直接费用，计入当期费用。</w:t>
      </w:r>
      <w:r>
        <w:rPr>
          <w:w w:val="99"/>
        </w:rPr>
        <w:t> </w:t>
      </w:r>
      <w:r>
        <w:rPr>
          <w:w w:val="95"/>
        </w:rPr>
        <w:t>资产出租方承担了应由公司承担的与租赁相关的费用时，公司将该部分费用从租金总额中扣除，按扣</w:t>
      </w:r>
      <w:r>
        <w:rPr/>
      </w:r>
    </w:p>
    <w:p>
      <w:pPr>
        <w:pStyle w:val="BodyText"/>
        <w:spacing w:line="273" w:lineRule="auto" w:before="8"/>
        <w:ind w:left="532" w:right="104" w:hanging="420"/>
        <w:jc w:val="left"/>
      </w:pPr>
      <w:r>
        <w:rPr/>
        <w:t>除后的租金费用在租赁期内分摊，计入当期费用。</w:t>
      </w:r>
      <w:r>
        <w:rPr>
          <w:w w:val="99"/>
        </w:rPr>
        <w:t> </w:t>
      </w:r>
      <w:r>
        <w:rPr>
          <w:spacing w:val="2"/>
          <w:w w:val="95"/>
        </w:rPr>
        <w:t>2）公司出租资产所收取的租赁费，在不扣除免租期的整个租赁期内，按直线法进行分摊，确认为租</w:t>
      </w:r>
      <w:r>
        <w:rPr>
          <w:spacing w:val="2"/>
        </w:rPr>
      </w:r>
    </w:p>
    <w:p>
      <w:pPr>
        <w:pStyle w:val="BodyText"/>
        <w:spacing w:line="273" w:lineRule="auto"/>
        <w:ind w:right="130"/>
        <w:jc w:val="both"/>
      </w:pPr>
      <w:r>
        <w:rPr>
          <w:w w:val="95"/>
        </w:rPr>
        <w:t>赁收入。公司支付的与租赁交易相关的初始直接费用，计入当期费用；如金额较大的，则予以资本化，在</w:t>
      </w:r>
      <w:r>
        <w:rPr>
          <w:spacing w:val="44"/>
          <w:w w:val="95"/>
        </w:rPr>
        <w:t> </w:t>
      </w:r>
      <w:r>
        <w:rPr>
          <w:spacing w:val="44"/>
          <w:w w:val="95"/>
        </w:rPr>
      </w:r>
      <w:r>
        <w:rPr/>
        <w:t>整个租赁期间内按照与租赁收入确认相同的基础分期计入当期收益。</w:t>
      </w:r>
    </w:p>
    <w:p>
      <w:pPr>
        <w:pStyle w:val="BodyText"/>
        <w:spacing w:line="273" w:lineRule="auto" w:before="8"/>
        <w:ind w:right="135" w:firstLine="420"/>
        <w:jc w:val="both"/>
      </w:pPr>
      <w:r>
        <w:rPr>
          <w:w w:val="95"/>
        </w:rPr>
        <w:t>公司承担了应由承租方承担的与租赁相关的费用时，公司将该部分费用从租金收入总额中扣除，按扣</w:t>
      </w:r>
      <w:r>
        <w:rPr>
          <w:w w:val="99"/>
        </w:rPr>
        <w:t> </w:t>
      </w:r>
      <w:r>
        <w:rPr/>
        <w:t>除后的租金费用在租赁期内分配。</w:t>
      </w:r>
    </w:p>
    <w:p>
      <w:pPr>
        <w:spacing w:line="614" w:lineRule="exact" w:before="62"/>
        <w:ind w:left="532" w:right="104" w:hanging="420"/>
        <w:jc w:val="left"/>
        <w:rPr>
          <w:rFonts w:ascii="宋体" w:hAnsi="宋体" w:cs="宋体" w:eastAsia="宋体" w:hint="default"/>
          <w:sz w:val="21"/>
          <w:szCs w:val="21"/>
        </w:rPr>
      </w:pPr>
      <w:r>
        <w:rPr>
          <w:rFonts w:ascii="宋体" w:hAnsi="宋体" w:cs="宋体" w:eastAsia="宋体" w:hint="default"/>
          <w:b/>
          <w:bCs/>
          <w:sz w:val="21"/>
          <w:szCs w:val="21"/>
        </w:rPr>
        <w:t>（2）融资租赁的会计处理方法</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1）融资租入资产：公司在承租开始日，将租赁资产公允价值与最低租赁付款额现值两者中较低者作</w:t>
      </w:r>
      <w:r>
        <w:rPr>
          <w:rFonts w:ascii="宋体" w:hAnsi="宋体" w:cs="宋体" w:eastAsia="宋体" w:hint="default"/>
          <w:spacing w:val="2"/>
          <w:sz w:val="21"/>
          <w:szCs w:val="21"/>
        </w:rPr>
      </w:r>
    </w:p>
    <w:p>
      <w:pPr>
        <w:pStyle w:val="BodyText"/>
        <w:spacing w:line="219" w:lineRule="exact" w:before="0"/>
        <w:ind w:right="0"/>
        <w:jc w:val="left"/>
      </w:pPr>
      <w:r>
        <w:rPr/>
        <w:t>为租入资产的入账价值，将最低租赁付款额作为长期应付款的入账价值，其差额作为未确认的融资费用。</w:t>
      </w:r>
    </w:p>
    <w:p>
      <w:pPr>
        <w:pStyle w:val="BodyText"/>
        <w:spacing w:line="273" w:lineRule="auto" w:before="37"/>
        <w:ind w:left="532" w:right="104"/>
        <w:jc w:val="left"/>
      </w:pPr>
      <w:r>
        <w:rPr/>
        <w:t>公司采用实际利率法对未确认的融资费用，在资产租赁期间内摊销，计入财务费用。</w:t>
      </w:r>
      <w:r>
        <w:rPr>
          <w:w w:val="99"/>
        </w:rPr>
        <w:t> </w:t>
      </w:r>
      <w:r>
        <w:rPr>
          <w:spacing w:val="2"/>
          <w:w w:val="95"/>
        </w:rPr>
        <w:t>2）融资租出资产：公司在租赁开始日，将应收融资租赁款，未担保余值之和与其现值的差额确认为</w:t>
      </w:r>
      <w:r>
        <w:rPr>
          <w:spacing w:val="2"/>
        </w:rPr>
      </w:r>
    </w:p>
    <w:p>
      <w:pPr>
        <w:pStyle w:val="BodyText"/>
        <w:spacing w:line="273" w:lineRule="auto"/>
        <w:ind w:right="135"/>
        <w:jc w:val="both"/>
      </w:pPr>
      <w:r>
        <w:rPr>
          <w:w w:val="95"/>
        </w:rPr>
        <w:t>未实现融资收益，在将来收到租金的各期间内确认为租赁收入，公司发生的与出租交易相关的初始直接费</w:t>
      </w:r>
      <w:r>
        <w:rPr>
          <w:spacing w:val="37"/>
          <w:w w:val="95"/>
        </w:rPr>
        <w:t> </w:t>
      </w:r>
      <w:r>
        <w:rPr>
          <w:spacing w:val="37"/>
          <w:w w:val="95"/>
        </w:rPr>
      </w:r>
      <w:r>
        <w:rPr/>
        <w:t>用，计入应收融资租赁款的初始计量中，并减少租赁期内确认的收益金额。</w:t>
      </w:r>
    </w:p>
    <w:p>
      <w:pPr>
        <w:spacing w:after="0" w:line="273" w:lineRule="auto"/>
        <w:jc w:val="both"/>
        <w:sectPr>
          <w:footerReference w:type="default" r:id="rId26"/>
          <w:pgSz w:w="11910" w:h="16840"/>
          <w:pgMar w:footer="978" w:header="746" w:top="1040" w:bottom="1160" w:left="1020" w:right="1000"/>
          <w:pgNumType w:start="100"/>
        </w:sectPr>
      </w:pPr>
    </w:p>
    <w:p>
      <w:pPr>
        <w:spacing w:line="240" w:lineRule="auto" w:before="6"/>
        <w:rPr>
          <w:rFonts w:ascii="宋体" w:hAnsi="宋体" w:cs="宋体" w:eastAsia="宋体" w:hint="default"/>
          <w:sz w:val="25"/>
          <w:szCs w:val="25"/>
        </w:rPr>
      </w:pPr>
    </w:p>
    <w:p>
      <w:pPr>
        <w:pStyle w:val="Heading6"/>
        <w:spacing w:line="535" w:lineRule="auto" w:before="34"/>
        <w:ind w:right="6360"/>
        <w:jc w:val="left"/>
        <w:rPr>
          <w:rFonts w:ascii="宋体" w:hAnsi="宋体" w:cs="宋体" w:eastAsia="宋体" w:hint="default"/>
          <w:b w:val="0"/>
          <w:bCs w:val="0"/>
        </w:rPr>
      </w:pPr>
      <w:r>
        <w:rPr/>
        <w:t>32、其他重要的会计政策和会计估计</w:t>
      </w:r>
      <w:r>
        <w:rPr>
          <w:w w:val="99"/>
        </w:rPr>
        <w:t> </w:t>
      </w:r>
      <w:r>
        <w:rPr>
          <w:rFonts w:ascii="宋体" w:hAnsi="宋体" w:cs="宋体" w:eastAsia="宋体" w:hint="default"/>
          <w:b w:val="0"/>
          <w:bCs w:val="0"/>
        </w:rPr>
        <w:t>无</w:t>
      </w:r>
    </w:p>
    <w:p>
      <w:pPr>
        <w:pStyle w:val="Heading6"/>
        <w:spacing w:line="240" w:lineRule="auto" w:before="81"/>
        <w:ind w:right="104"/>
        <w:jc w:val="left"/>
        <w:rPr>
          <w:b w:val="0"/>
          <w:bCs w:val="0"/>
        </w:rPr>
      </w:pPr>
      <w:r>
        <w:rPr/>
        <w:t>33、重要会计政策和会计估计变更</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（1）重要会计政策变更</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（2）重要会计估计变更</w:t>
      </w:r>
      <w:r>
        <w:rPr>
          <w:b w:val="0"/>
          <w:bCs w:val="0"/>
        </w:rPr>
      </w:r>
    </w:p>
    <w:p>
      <w:pPr>
        <w:spacing w:line="240" w:lineRule="auto" w:before="12"/>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34、其他</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4"/>
        <w:spacing w:line="240" w:lineRule="auto"/>
        <w:ind w:right="104"/>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4"/>
        <w:jc w:val="left"/>
        <w:rPr>
          <w:b w:val="0"/>
          <w:bCs w:val="0"/>
        </w:rPr>
      </w:pPr>
      <w:r>
        <w:rPr/>
        <w:t>1、主要税种及税率</w:t>
      </w:r>
      <w:r>
        <w:rPr>
          <w:b w:val="0"/>
          <w:bCs w:val="0"/>
        </w:rPr>
      </w:r>
    </w:p>
    <w:p>
      <w:pPr>
        <w:spacing w:line="240" w:lineRule="auto" w:before="13"/>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业务收入、技术服务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6%、17%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工程收入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15%、25%、20%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39"/>
                <w:sz w:val="18"/>
                <w:szCs w:val="18"/>
              </w:rPr>
              <w:t> </w:t>
            </w:r>
            <w:r>
              <w:rPr>
                <w:rFonts w:ascii="宋体" w:hAnsi="宋体" w:cs="宋体" w:eastAsia="宋体" w:hint="default"/>
                <w:spacing w:val="-6"/>
                <w:sz w:val="18"/>
                <w:szCs w:val="18"/>
              </w:rPr>
              <w:t>70%（或租金收入）为纳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1.2%或</w:t>
            </w:r>
            <w:r>
              <w:rPr>
                <w:rFonts w:ascii="宋体" w:hAnsi="宋体" w:cs="宋体" w:eastAsia="宋体" w:hint="default"/>
                <w:spacing w:val="-48"/>
                <w:sz w:val="18"/>
                <w:szCs w:val="18"/>
              </w:rPr>
              <w:t> </w:t>
            </w:r>
            <w:r>
              <w:rPr>
                <w:rFonts w:ascii="宋体" w:hAnsi="宋体" w:cs="宋体" w:eastAsia="宋体" w:hint="default"/>
                <w:sz w:val="18"/>
                <w:szCs w:val="18"/>
              </w:rPr>
              <w:t>12%</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安徽皖通科技股份有限公司*1</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天津市天安怡和信息技术有限公司*2</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天津市金飞博光通讯技术有限公司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烟台华东电子软件技术有限公司*3</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25%</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安徽汉高信息科技有限公司*4</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15%</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安徽行云天下科技有限公司*5</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烟台华东电子数据科技有限公司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25%</w:t>
            </w:r>
          </w:p>
        </w:tc>
      </w:tr>
    </w:tbl>
    <w:p>
      <w:pPr>
        <w:spacing w:line="240" w:lineRule="auto" w:before="3"/>
        <w:rPr>
          <w:rFonts w:ascii="宋体" w:hAnsi="宋体" w:cs="宋体" w:eastAsia="宋体" w:hint="default"/>
          <w:sz w:val="19"/>
          <w:szCs w:val="19"/>
        </w:rPr>
      </w:pPr>
    </w:p>
    <w:p>
      <w:pPr>
        <w:pStyle w:val="Heading6"/>
        <w:spacing w:line="240" w:lineRule="auto" w:before="34"/>
        <w:ind w:right="0"/>
        <w:jc w:val="both"/>
        <w:rPr>
          <w:b w:val="0"/>
          <w:bCs w:val="0"/>
        </w:rPr>
      </w:pPr>
      <w:r>
        <w:rPr/>
        <w:t>2、税收优惠</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52" w:right="0"/>
        <w:jc w:val="left"/>
      </w:pPr>
      <w:r>
        <w:rPr/>
        <w:t>（1）增值税</w:t>
      </w:r>
      <w:r>
        <w:rPr>
          <w:w w:val="99"/>
        </w:rPr>
        <w:t> </w:t>
      </w:r>
      <w:r>
        <w:rPr>
          <w:spacing w:val="2"/>
          <w:w w:val="95"/>
        </w:rPr>
        <w:t>主要是系统集成项目配套的机器设备及销售的光通讯产品，按照应税收入的17%税率计算销项税额，</w:t>
      </w:r>
      <w:r>
        <w:rPr>
          <w:spacing w:val="2"/>
        </w:rPr>
      </w:r>
    </w:p>
    <w:p>
      <w:pPr>
        <w:pStyle w:val="BodyText"/>
        <w:spacing w:line="273" w:lineRule="auto"/>
        <w:ind w:left="132" w:right="132"/>
        <w:jc w:val="both"/>
      </w:pPr>
      <w:r>
        <w:rPr>
          <w:w w:val="95"/>
        </w:rPr>
        <w:t>扣除允许在当年抵扣的进项税额后，缴纳增值税。其中，对于自行开发生产的软件产品部分执行财政部国</w:t>
      </w:r>
      <w:r>
        <w:rPr>
          <w:spacing w:val="40"/>
          <w:w w:val="95"/>
        </w:rPr>
        <w:t> </w:t>
      </w:r>
      <w:r>
        <w:rPr>
          <w:spacing w:val="40"/>
          <w:w w:val="95"/>
        </w:rPr>
      </w:r>
      <w:r>
        <w:rPr>
          <w:spacing w:val="2"/>
          <w:w w:val="95"/>
        </w:rPr>
        <w:t>家税务总局2011年10月13日联合发文《关于软件产品增值税政策的通知》（财税[2011]100号）的规定，</w:t>
      </w:r>
      <w:r>
        <w:rPr>
          <w:spacing w:val="31"/>
          <w:w w:val="95"/>
        </w:rPr>
        <w:t> </w:t>
      </w:r>
      <w:r>
        <w:rPr>
          <w:spacing w:val="31"/>
          <w:w w:val="95"/>
        </w:rPr>
      </w:r>
      <w:r>
        <w:rPr>
          <w:spacing w:val="2"/>
          <w:w w:val="95"/>
        </w:rPr>
        <w:t>即自2011年1月1日起继续“按17%的法定税率征收增值税后，对其增值税实际税负超过3%的部分实行即征</w:t>
      </w:r>
      <w:r>
        <w:rPr>
          <w:spacing w:val="38"/>
          <w:w w:val="95"/>
        </w:rPr>
        <w:t> </w:t>
      </w:r>
      <w:r>
        <w:rPr>
          <w:spacing w:val="38"/>
          <w:w w:val="95"/>
        </w:rPr>
      </w:r>
      <w:r>
        <w:rPr/>
        <w:t>即退政策”。</w:t>
      </w:r>
    </w:p>
    <w:p>
      <w:pPr>
        <w:pStyle w:val="BodyText"/>
        <w:spacing w:line="273" w:lineRule="auto"/>
        <w:ind w:left="552" w:right="0"/>
        <w:jc w:val="left"/>
      </w:pPr>
      <w:r>
        <w:rPr/>
        <w:t>（2）营业税</w:t>
      </w:r>
      <w:r>
        <w:rPr>
          <w:w w:val="99"/>
        </w:rPr>
        <w:t> </w:t>
      </w:r>
      <w:r>
        <w:rPr>
          <w:spacing w:val="2"/>
          <w:w w:val="95"/>
        </w:rPr>
        <w:t>公司技术转让收入执行财政部和国家税务总局财税字（1999）273号文关于贯彻落实《中共中央国务</w:t>
      </w:r>
      <w:r>
        <w:rPr>
          <w:spacing w:val="2"/>
        </w:rPr>
      </w:r>
    </w:p>
    <w:p>
      <w:pPr>
        <w:pStyle w:val="BodyText"/>
        <w:spacing w:line="273" w:lineRule="auto"/>
        <w:ind w:left="132" w:right="130"/>
        <w:jc w:val="both"/>
      </w:pPr>
      <w:r>
        <w:rPr>
          <w:w w:val="95"/>
        </w:rPr>
        <w:t>院关于加强技术创新，发展高科技，实现产业化的决定》有关税收问题的通知的规定，免征营业税；对于</w:t>
      </w:r>
      <w:r>
        <w:rPr>
          <w:spacing w:val="43"/>
          <w:w w:val="95"/>
        </w:rPr>
        <w:t> </w:t>
      </w:r>
      <w:r>
        <w:rPr>
          <w:spacing w:val="43"/>
          <w:w w:val="95"/>
        </w:rPr>
      </w:r>
      <w:r>
        <w:rPr/>
        <w:t>技术收入的认定，执行皖地税政一字（1997）063号文规定。</w:t>
      </w:r>
    </w:p>
    <w:p>
      <w:pPr>
        <w:pStyle w:val="BodyText"/>
        <w:spacing w:line="273" w:lineRule="auto"/>
        <w:ind w:left="132" w:right="132" w:firstLine="420"/>
        <w:jc w:val="both"/>
      </w:pPr>
      <w:r>
        <w:rPr>
          <w:spacing w:val="2"/>
          <w:w w:val="95"/>
        </w:rPr>
        <w:t>根据财政部和国家税务总局印发《财政部国家税务总局关于在北京等8省市开展交通运输业和部分现</w:t>
      </w:r>
      <w:r>
        <w:rPr>
          <w:spacing w:val="-82"/>
          <w:w w:val="95"/>
        </w:rPr>
        <w:t> </w:t>
      </w:r>
      <w:r>
        <w:rPr>
          <w:spacing w:val="-82"/>
          <w:w w:val="95"/>
        </w:rPr>
      </w:r>
      <w:r>
        <w:rPr>
          <w:w w:val="95"/>
        </w:rPr>
        <w:t>代服务业营业税改征增值税试点的通知》（财税〔2012〕71号），将交通运输业和部分现代服务业营业税</w:t>
      </w:r>
      <w:r>
        <w:rPr>
          <w:spacing w:val="40"/>
          <w:w w:val="95"/>
        </w:rPr>
        <w:t> </w:t>
      </w:r>
      <w:r>
        <w:rPr>
          <w:spacing w:val="40"/>
          <w:w w:val="95"/>
        </w:rPr>
      </w:r>
      <w:r>
        <w:rPr>
          <w:w w:val="95"/>
        </w:rPr>
        <w:t>改征增值税试点范围。施行营业税改增值税后，公司的技术服务收入和技术转让收入由原来的缴纳5%的营</w:t>
      </w:r>
      <w:r>
        <w:rPr>
          <w:spacing w:val="37"/>
          <w:w w:val="95"/>
        </w:rPr>
        <w:t> </w:t>
      </w:r>
      <w:r>
        <w:rPr>
          <w:spacing w:val="37"/>
          <w:w w:val="95"/>
        </w:rPr>
      </w:r>
      <w:r>
        <w:rPr/>
        <w:t>业税变成了缴纳6%的增值税。</w:t>
      </w:r>
    </w:p>
    <w:p>
      <w:pPr>
        <w:pStyle w:val="BodyText"/>
        <w:spacing w:line="240" w:lineRule="auto"/>
        <w:ind w:left="552" w:right="7034"/>
        <w:jc w:val="left"/>
      </w:pPr>
      <w:r>
        <w:rPr/>
        <w:t>（3）所得额</w:t>
      </w:r>
    </w:p>
    <w:p>
      <w:pPr>
        <w:pStyle w:val="BodyText"/>
        <w:spacing w:line="273" w:lineRule="auto" w:before="37"/>
        <w:ind w:left="132" w:right="127" w:firstLine="420"/>
        <w:jc w:val="both"/>
      </w:pPr>
      <w:r>
        <w:rPr/>
        <w:t>*1</w:t>
      </w:r>
      <w:r>
        <w:rPr>
          <w:spacing w:val="-17"/>
        </w:rPr>
        <w:t> </w:t>
      </w:r>
      <w:r>
        <w:rPr>
          <w:spacing w:val="2"/>
        </w:rPr>
        <w:t>2014年7月2日，本公司取得安徽省科技厅、安徽省财政厅、安徽省国家税务局、安徽省地方税务</w:t>
      </w:r>
      <w:r>
        <w:rPr>
          <w:w w:val="99"/>
        </w:rPr>
        <w:t> </w:t>
      </w:r>
      <w:r>
        <w:rPr>
          <w:w w:val="95"/>
        </w:rPr>
        <w:t>局联合颁发的《高新技术企业证书》（证书编号为GF201434000328），有效期三年。根据有关规定，本公</w:t>
      </w:r>
      <w:r>
        <w:rPr>
          <w:spacing w:val="45"/>
          <w:w w:val="95"/>
        </w:rPr>
        <w:t> </w:t>
      </w:r>
      <w:r>
        <w:rPr>
          <w:spacing w:val="45"/>
          <w:w w:val="95"/>
        </w:rPr>
      </w:r>
      <w:r>
        <w:rPr/>
        <w:t>司2014年度享受国家关于高新技术企业的相关优惠政策，按15%的税率计缴企业所得税。</w:t>
      </w:r>
    </w:p>
    <w:p>
      <w:pPr>
        <w:pStyle w:val="BodyText"/>
        <w:spacing w:line="273" w:lineRule="auto"/>
        <w:ind w:left="132" w:right="130" w:firstLine="420"/>
        <w:jc w:val="both"/>
      </w:pPr>
      <w:r>
        <w:rPr/>
        <w:t>*2.</w:t>
      </w:r>
      <w:r>
        <w:rPr>
          <w:spacing w:val="-40"/>
        </w:rPr>
        <w:t> </w:t>
      </w:r>
      <w:r>
        <w:rPr/>
        <w:t>2014年10月21日，天津市天安怡和信息技术有限公司取得天津市科技厅、天津市财政局、天津市</w:t>
      </w:r>
      <w:r>
        <w:rPr>
          <w:w w:val="99"/>
        </w:rPr>
        <w:t> </w:t>
      </w:r>
      <w:r>
        <w:rPr>
          <w:w w:val="95"/>
        </w:rPr>
        <w:t>国家税务局、天津市地方税务局联合颁发的《高新技术企业证书》（证书编号为GF201412000274），有效</w:t>
      </w:r>
      <w:r>
        <w:rPr>
          <w:spacing w:val="43"/>
          <w:w w:val="95"/>
        </w:rPr>
        <w:t> </w:t>
      </w:r>
      <w:r>
        <w:rPr>
          <w:spacing w:val="43"/>
          <w:w w:val="95"/>
        </w:rPr>
      </w:r>
      <w:r>
        <w:rPr>
          <w:w w:val="95"/>
        </w:rPr>
        <w:t>期三年。根据有关规定，天津市天安怡和信息技术有限公司2014年度享受国家关于高新技术企业的相关优</w:t>
      </w:r>
      <w:r>
        <w:rPr>
          <w:spacing w:val="37"/>
          <w:w w:val="95"/>
        </w:rPr>
        <w:t> </w:t>
      </w:r>
      <w:r>
        <w:rPr>
          <w:spacing w:val="37"/>
          <w:w w:val="95"/>
        </w:rPr>
      </w:r>
      <w:r>
        <w:rPr/>
        <w:t>惠政策，按15%的税率计缴企业所得税。</w:t>
      </w:r>
    </w:p>
    <w:p>
      <w:pPr>
        <w:pStyle w:val="BodyText"/>
        <w:spacing w:line="273" w:lineRule="auto"/>
        <w:ind w:left="132" w:right="132" w:firstLine="420"/>
        <w:jc w:val="both"/>
      </w:pPr>
      <w:r>
        <w:rPr/>
        <w:t>*3.</w:t>
      </w:r>
      <w:r>
        <w:rPr>
          <w:spacing w:val="-40"/>
        </w:rPr>
        <w:t> </w:t>
      </w:r>
      <w:r>
        <w:rPr/>
        <w:t>2014年10月31日，根据山东省科技厅、山东省财政厅、山东省国家税务局、山东省地方税务局联</w:t>
      </w:r>
      <w:r>
        <w:rPr>
          <w:w w:val="99"/>
        </w:rPr>
        <w:t> </w:t>
      </w:r>
      <w:r>
        <w:rPr>
          <w:spacing w:val="2"/>
          <w:w w:val="95"/>
        </w:rPr>
        <w:t>合发布的《关于公布山东省2014年拟认定高新技术企业名单的通知》（鲁科函字[2014]136号），烟台华</w:t>
      </w:r>
      <w:r>
        <w:rPr>
          <w:spacing w:val="35"/>
          <w:w w:val="95"/>
        </w:rPr>
        <w:t> </w:t>
      </w:r>
      <w:r>
        <w:rPr>
          <w:spacing w:val="35"/>
          <w:w w:val="95"/>
        </w:rPr>
      </w:r>
      <w:r>
        <w:rPr>
          <w:w w:val="95"/>
        </w:rPr>
        <w:t>东电子软件技术有限公司在公布的名单中。根据有关规定，烟台华东电子软件技术有限公司2014年度享受</w:t>
      </w:r>
      <w:r>
        <w:rPr>
          <w:spacing w:val="37"/>
          <w:w w:val="95"/>
        </w:rPr>
        <w:t> </w:t>
      </w:r>
      <w:r>
        <w:rPr>
          <w:spacing w:val="37"/>
          <w:w w:val="95"/>
        </w:rPr>
      </w:r>
      <w:r>
        <w:rPr/>
        <w:t>国家关于高新技术企业的相关优惠政策，按15%的税率计缴企业所得税。</w:t>
      </w:r>
    </w:p>
    <w:p>
      <w:pPr>
        <w:pStyle w:val="BodyText"/>
        <w:spacing w:line="273" w:lineRule="auto"/>
        <w:ind w:left="132" w:right="0" w:firstLine="420"/>
        <w:jc w:val="left"/>
      </w:pPr>
      <w:r>
        <w:rPr/>
        <w:t>*4.</w:t>
      </w:r>
      <w:r>
        <w:rPr>
          <w:spacing w:val="-36"/>
        </w:rPr>
        <w:t> </w:t>
      </w:r>
      <w:r>
        <w:rPr/>
        <w:t>2014年7月2日，安徽汉高信息科技有限公司取得安徽省科技厅、安徽省财政厅、安徽省国家税务</w:t>
      </w:r>
      <w:r>
        <w:rPr>
          <w:w w:val="99"/>
        </w:rPr>
        <w:t> </w:t>
      </w:r>
      <w:r>
        <w:rPr>
          <w:w w:val="95"/>
        </w:rPr>
        <w:t>局、安徽省地方税务局联合颁发的《高新技术企业证书》（证书编号为GF201434000602），有效期三年。</w:t>
      </w:r>
      <w:r>
        <w:rPr>
          <w:spacing w:val="61"/>
          <w:w w:val="95"/>
        </w:rPr>
        <w:t> </w:t>
      </w:r>
      <w:r>
        <w:rPr>
          <w:spacing w:val="61"/>
          <w:w w:val="95"/>
        </w:rPr>
      </w:r>
      <w:r>
        <w:rPr/>
        <w:t>根据有关规定，安徽汉高信息科技有限公司2014年度享受国家关于高新技术企业的相关优惠政策，按15%</w:t>
      </w:r>
      <w:r>
        <w:rPr>
          <w:w w:val="99"/>
        </w:rPr>
        <w:t> </w:t>
      </w:r>
      <w:r>
        <w:rPr/>
        <w:t>的税率计缴企业所得税。</w:t>
      </w:r>
    </w:p>
    <w:p>
      <w:pPr>
        <w:spacing w:line="240" w:lineRule="auto" w:before="9"/>
        <w:rPr>
          <w:rFonts w:ascii="宋体" w:hAnsi="宋体" w:cs="宋体" w:eastAsia="宋体" w:hint="default"/>
          <w:sz w:val="23"/>
          <w:szCs w:val="23"/>
        </w:rPr>
      </w:pPr>
    </w:p>
    <w:p>
      <w:pPr>
        <w:pStyle w:val="Heading6"/>
        <w:spacing w:line="240" w:lineRule="auto"/>
        <w:ind w:right="0"/>
        <w:jc w:val="both"/>
        <w:rPr>
          <w:b w:val="0"/>
          <w:bCs w:val="0"/>
        </w:rPr>
      </w:pPr>
      <w:r>
        <w:rPr/>
        <w:t>3、其他</w:t>
      </w:r>
      <w:r>
        <w:rPr>
          <w:b w:val="0"/>
          <w:bCs w:val="0"/>
        </w:rPr>
      </w:r>
    </w:p>
    <w:p>
      <w:pPr>
        <w:spacing w:line="240" w:lineRule="auto" w:before="9"/>
        <w:rPr>
          <w:rFonts w:ascii="宋体" w:hAnsi="宋体" w:cs="宋体" w:eastAsia="宋体" w:hint="default"/>
          <w:b/>
          <w:bCs/>
          <w:sz w:val="27"/>
          <w:szCs w:val="27"/>
        </w:rPr>
      </w:pPr>
    </w:p>
    <w:p>
      <w:pPr>
        <w:spacing w:before="0"/>
        <w:ind w:left="13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after="0"/>
        <w:jc w:val="both"/>
        <w:rPr>
          <w:rFonts w:ascii="宋体" w:hAnsi="宋体" w:cs="宋体" w:eastAsia="宋体" w:hint="default"/>
          <w:sz w:val="18"/>
          <w:szCs w:val="18"/>
        </w:rPr>
        <w:sectPr>
          <w:pgSz w:w="11910" w:h="16840"/>
          <w:pgMar w:header="746" w:footer="978" w:top="1040" w:bottom="1160" w:left="1000" w:right="1000"/>
        </w:sectPr>
      </w:pPr>
    </w:p>
    <w:p>
      <w:pPr>
        <w:spacing w:line="240" w:lineRule="auto" w:before="5"/>
        <w:rPr>
          <w:rFonts w:ascii="宋体" w:hAnsi="宋体" w:cs="宋体" w:eastAsia="宋体" w:hint="default"/>
          <w:sz w:val="24"/>
          <w:szCs w:val="24"/>
        </w:rPr>
      </w:pPr>
    </w:p>
    <w:p>
      <w:pPr>
        <w:pStyle w:val="Heading4"/>
        <w:spacing w:line="240" w:lineRule="auto" w:before="26"/>
        <w:ind w:right="104"/>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4"/>
        <w:jc w:val="left"/>
        <w:rPr>
          <w:b w:val="0"/>
          <w:bCs w:val="0"/>
        </w:rPr>
      </w:pPr>
      <w:r>
        <w:rPr/>
        <w:t>1、货币资金</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462,741.13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376,468.65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734,761,949.53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549,868,469.23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24,342,925.55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18,755,233.16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759,567,616.21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569,000,171.04</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6" w:footer="978" w:top="1040" w:bottom="1160" w:left="1000" w:right="1020"/>
        </w:sectPr>
      </w:pPr>
    </w:p>
    <w:p>
      <w:pPr>
        <w:pStyle w:val="BodyText"/>
        <w:spacing w:line="273" w:lineRule="auto" w:before="34"/>
        <w:ind w:left="552" w:right="0"/>
        <w:jc w:val="left"/>
      </w:pPr>
      <w:r>
        <w:rPr>
          <w:w w:val="95"/>
        </w:rPr>
        <w:t>截至2015年12月31日止，本公司不存在质押、冻结，或有潜在收回风险的款项。</w:t>
      </w:r>
      <w:r>
        <w:rPr>
          <w:spacing w:val="50"/>
          <w:w w:val="95"/>
        </w:rPr>
        <w:t> </w:t>
      </w:r>
      <w:r>
        <w:rPr>
          <w:spacing w:val="50"/>
          <w:w w:val="95"/>
        </w:rPr>
      </w:r>
      <w:r>
        <w:rPr/>
        <w:t>其中受限制的货币资金明细如下：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5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160" w:left="1000" w:right="1020"/>
          <w:cols w:num="2" w:equalWidth="0">
            <w:col w:w="7902" w:space="289"/>
            <w:col w:w="1699"/>
          </w:cols>
        </w:sectPr>
      </w:pP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652"/>
        <w:gridCol w:w="3152"/>
        <w:gridCol w:w="2694"/>
      </w:tblGrid>
      <w:tr>
        <w:trPr>
          <w:trHeight w:val="347" w:hRule="exact"/>
        </w:trPr>
        <w:tc>
          <w:tcPr>
            <w:tcW w:w="36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tabs>
                <w:tab w:pos="448"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9,393,543.15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5,459,506.46</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10,750,582.4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9,345,846.88</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4,178,800.00</w:t>
            </w:r>
          </w:p>
        </w:tc>
        <w:tc>
          <w:tcPr>
            <w:tcW w:w="269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投标保函保证金</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20,000.00</w:t>
            </w:r>
          </w:p>
        </w:tc>
        <w:tc>
          <w:tcPr>
            <w:tcW w:w="269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52" w:type="dxa"/>
            <w:tcBorders>
              <w:top w:val="single" w:sz="6" w:space="0" w:color="000000"/>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2,318,528.73</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3152" w:type="dxa"/>
            <w:tcBorders>
              <w:top w:val="single" w:sz="6" w:space="0" w:color="000000"/>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450,000.00</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24,342,925.55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17,573,882.07</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2、以公允价值计量且其变动计入当期损益的金融资产</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3、衍生金融资产</w:t>
      </w:r>
      <w:r>
        <w:rPr>
          <w:b w:val="0"/>
          <w:bCs w:val="0"/>
        </w:rPr>
      </w:r>
    </w:p>
    <w:p>
      <w:pPr>
        <w:spacing w:line="240" w:lineRule="auto" w:before="12"/>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4、应收票据</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（1）应收票据分类列示</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23,025,032.85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6,269,199.25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23,025,032.85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6,269,199.25</w:t>
            </w:r>
          </w:p>
        </w:tc>
      </w:tr>
    </w:tbl>
    <w:p>
      <w:pPr>
        <w:spacing w:after="0" w:line="240" w:lineRule="auto"/>
        <w:jc w:val="right"/>
        <w:rPr>
          <w:rFonts w:ascii="宋体" w:hAnsi="宋体" w:cs="宋体" w:eastAsia="宋体" w:hint="default"/>
          <w:sz w:val="18"/>
          <w:szCs w:val="18"/>
        </w:rPr>
        <w:sectPr>
          <w:type w:val="continuous"/>
          <w:pgSz w:w="11910" w:h="16840"/>
          <w:pgMar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（2）期末公司已质押的应收票据</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（3）期末公司已背书或贴现且在资产负债表日尚未到期的应收票据</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895,725.00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895,725.00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4"/>
        <w:ind w:right="104"/>
        <w:jc w:val="left"/>
        <w:rPr>
          <w:b w:val="0"/>
          <w:bCs w:val="0"/>
        </w:rPr>
      </w:pPr>
      <w:r>
        <w:rPr/>
        <w:t>（4）期末公司因出票人未履约而将其转应收账款的票据</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5、应收账款</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（1）应收账款分类披露</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634"/>
        <w:gridCol w:w="763"/>
        <w:gridCol w:w="762"/>
        <w:gridCol w:w="762"/>
        <w:gridCol w:w="763"/>
        <w:gridCol w:w="789"/>
        <w:gridCol w:w="764"/>
        <w:gridCol w:w="851"/>
        <w:gridCol w:w="614"/>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6"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201,854</w:t>
            </w:r>
          </w:p>
          <w:p>
            <w:pPr>
              <w:pStyle w:val="TableParagraph"/>
              <w:spacing w:line="240" w:lineRule="auto" w:before="76"/>
              <w:ind w:left="99" w:right="0"/>
              <w:jc w:val="left"/>
              <w:rPr>
                <w:rFonts w:ascii="宋体" w:hAnsi="宋体" w:cs="宋体" w:eastAsia="宋体" w:hint="default"/>
                <w:sz w:val="18"/>
                <w:szCs w:val="18"/>
              </w:rPr>
            </w:pPr>
            <w:r>
              <w:rPr>
                <w:rFonts w:ascii="宋体"/>
                <w:sz w:val="18"/>
              </w:rPr>
              <w:t>,473.00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6"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12,495,</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480.32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6.19%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sz w:val="18"/>
              </w:rPr>
              <w:t>189,358,</w:t>
            </w:r>
          </w:p>
          <w:p>
            <w:pPr>
              <w:pStyle w:val="TableParagraph"/>
              <w:spacing w:line="240" w:lineRule="auto" w:before="76"/>
              <w:ind w:left="196" w:right="0"/>
              <w:jc w:val="center"/>
              <w:rPr>
                <w:rFonts w:ascii="宋体" w:hAnsi="宋体" w:cs="宋体" w:eastAsia="宋体" w:hint="default"/>
                <w:sz w:val="18"/>
                <w:szCs w:val="18"/>
              </w:rPr>
            </w:pPr>
            <w:r>
              <w:rPr>
                <w:rFonts w:ascii="宋体"/>
                <w:sz w:val="18"/>
              </w:rPr>
              <w:t>992.68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277,711</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,671.24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8" w:right="0"/>
              <w:jc w:val="left"/>
              <w:rPr>
                <w:rFonts w:ascii="宋体" w:hAnsi="宋体" w:cs="宋体" w:eastAsia="宋体" w:hint="default"/>
                <w:sz w:val="18"/>
                <w:szCs w:val="18"/>
              </w:rPr>
            </w:pPr>
            <w:r>
              <w:rPr>
                <w:rFonts w:ascii="宋体"/>
                <w:sz w:val="18"/>
              </w:rPr>
              <w:t>100.00%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sz w:val="18"/>
              </w:rPr>
              <w:t>9,452,</w:t>
            </w:r>
          </w:p>
          <w:p>
            <w:pPr>
              <w:pStyle w:val="TableParagraph"/>
              <w:spacing w:line="240" w:lineRule="auto" w:before="76"/>
              <w:ind w:left="40" w:right="0"/>
              <w:jc w:val="left"/>
              <w:rPr>
                <w:rFonts w:ascii="宋体" w:hAnsi="宋体" w:cs="宋体" w:eastAsia="宋体" w:hint="default"/>
                <w:sz w:val="18"/>
                <w:szCs w:val="18"/>
              </w:rPr>
            </w:pPr>
            <w:r>
              <w:rPr>
                <w:rFonts w:ascii="宋体"/>
                <w:sz w:val="18"/>
              </w:rPr>
              <w:t>326.61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268,259,3</w:t>
            </w:r>
          </w:p>
          <w:p>
            <w:pPr>
              <w:pStyle w:val="TableParagraph"/>
              <w:spacing w:line="240" w:lineRule="auto" w:before="76"/>
              <w:ind w:left="447" w:right="0"/>
              <w:jc w:val="left"/>
              <w:rPr>
                <w:rFonts w:ascii="宋体" w:hAnsi="宋体" w:cs="宋体" w:eastAsia="宋体" w:hint="default"/>
                <w:sz w:val="18"/>
                <w:szCs w:val="18"/>
              </w:rPr>
            </w:pPr>
            <w:r>
              <w:rPr>
                <w:rFonts w:ascii="宋体"/>
                <w:sz w:val="18"/>
              </w:rPr>
              <w:t>44.63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9" w:right="0"/>
              <w:jc w:val="left"/>
              <w:rPr>
                <w:rFonts w:ascii="宋体" w:hAnsi="宋体" w:cs="宋体" w:eastAsia="宋体" w:hint="default"/>
                <w:sz w:val="18"/>
                <w:szCs w:val="18"/>
              </w:rPr>
            </w:pPr>
            <w:r>
              <w:rPr>
                <w:rFonts w:ascii="宋体"/>
                <w:sz w:val="18"/>
              </w:rPr>
              <w:t>201,854</w:t>
            </w:r>
          </w:p>
          <w:p>
            <w:pPr>
              <w:pStyle w:val="TableParagraph"/>
              <w:spacing w:line="240" w:lineRule="auto" w:before="76"/>
              <w:ind w:left="99" w:right="0"/>
              <w:jc w:val="left"/>
              <w:rPr>
                <w:rFonts w:ascii="宋体" w:hAnsi="宋体" w:cs="宋体" w:eastAsia="宋体" w:hint="default"/>
                <w:sz w:val="18"/>
                <w:szCs w:val="18"/>
              </w:rPr>
            </w:pPr>
            <w:r>
              <w:rPr>
                <w:rFonts w:ascii="宋体"/>
                <w:sz w:val="18"/>
              </w:rPr>
              <w:t>,473.00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sz w:val="18"/>
              </w:rPr>
              <w:t>12,495,</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480.32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6.19%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 w:right="0"/>
              <w:jc w:val="center"/>
              <w:rPr>
                <w:rFonts w:ascii="宋体" w:hAnsi="宋体" w:cs="宋体" w:eastAsia="宋体" w:hint="default"/>
                <w:sz w:val="18"/>
                <w:szCs w:val="18"/>
              </w:rPr>
            </w:pPr>
            <w:r>
              <w:rPr>
                <w:rFonts w:ascii="宋体"/>
                <w:sz w:val="18"/>
              </w:rPr>
              <w:t>189,358,</w:t>
            </w:r>
          </w:p>
          <w:p>
            <w:pPr>
              <w:pStyle w:val="TableParagraph"/>
              <w:spacing w:line="240" w:lineRule="auto" w:before="76"/>
              <w:ind w:left="196" w:right="0"/>
              <w:jc w:val="center"/>
              <w:rPr>
                <w:rFonts w:ascii="宋体" w:hAnsi="宋体" w:cs="宋体" w:eastAsia="宋体" w:hint="default"/>
                <w:sz w:val="18"/>
                <w:szCs w:val="18"/>
              </w:rPr>
            </w:pPr>
            <w:r>
              <w:rPr>
                <w:rFonts w:ascii="宋体"/>
                <w:sz w:val="18"/>
              </w:rPr>
              <w:t>992.68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宋体" w:hAnsi="宋体" w:cs="宋体" w:eastAsia="宋体" w:hint="default"/>
                <w:sz w:val="18"/>
                <w:szCs w:val="18"/>
              </w:rPr>
            </w:pPr>
            <w:r>
              <w:rPr>
                <w:rFonts w:ascii="宋体"/>
                <w:sz w:val="18"/>
              </w:rPr>
              <w:t>277,711</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,671.24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sz w:val="18"/>
              </w:rPr>
              <w:t>100.00%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 w:right="0"/>
              <w:jc w:val="left"/>
              <w:rPr>
                <w:rFonts w:ascii="宋体" w:hAnsi="宋体" w:cs="宋体" w:eastAsia="宋体" w:hint="default"/>
                <w:sz w:val="18"/>
                <w:szCs w:val="18"/>
              </w:rPr>
            </w:pPr>
            <w:r>
              <w:rPr>
                <w:rFonts w:ascii="宋体"/>
                <w:sz w:val="18"/>
              </w:rPr>
              <w:t>9,452,</w:t>
            </w:r>
          </w:p>
          <w:p>
            <w:pPr>
              <w:pStyle w:val="TableParagraph"/>
              <w:spacing w:line="240" w:lineRule="auto" w:before="76"/>
              <w:ind w:left="40" w:right="0"/>
              <w:jc w:val="left"/>
              <w:rPr>
                <w:rFonts w:ascii="宋体" w:hAnsi="宋体" w:cs="宋体" w:eastAsia="宋体" w:hint="default"/>
                <w:sz w:val="18"/>
                <w:szCs w:val="18"/>
              </w:rPr>
            </w:pPr>
            <w:r>
              <w:rPr>
                <w:rFonts w:ascii="宋体"/>
                <w:sz w:val="18"/>
              </w:rPr>
              <w:t>326.61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left"/>
              <w:rPr>
                <w:rFonts w:ascii="宋体" w:hAnsi="宋体" w:cs="宋体" w:eastAsia="宋体" w:hint="default"/>
                <w:sz w:val="18"/>
                <w:szCs w:val="18"/>
              </w:rPr>
            </w:pPr>
            <w:r>
              <w:rPr>
                <w:rFonts w:ascii="宋体"/>
                <w:sz w:val="18"/>
              </w:rPr>
              <w:t>268,259,3</w:t>
            </w:r>
          </w:p>
          <w:p>
            <w:pPr>
              <w:pStyle w:val="TableParagraph"/>
              <w:spacing w:line="240" w:lineRule="auto" w:before="76"/>
              <w:ind w:left="447" w:right="0"/>
              <w:jc w:val="left"/>
              <w:rPr>
                <w:rFonts w:ascii="宋体" w:hAnsi="宋体" w:cs="宋体" w:eastAsia="宋体" w:hint="default"/>
                <w:sz w:val="18"/>
                <w:szCs w:val="18"/>
              </w:rPr>
            </w:pPr>
            <w:r>
              <w:rPr>
                <w:rFonts w:ascii="宋体"/>
                <w:sz w:val="18"/>
              </w:rPr>
              <w:t>44.63</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before="49"/>
        <w:ind w:left="13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60" w:lineRule="auto" w:before="117"/>
        <w:ind w:left="132" w:right="34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line="360" w:lineRule="auto" w:before="25"/>
        <w:ind w:left="132" w:right="-2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组合中，采用余额百分比法计提坏账准备的应收账款：</w:t>
      </w:r>
    </w:p>
    <w:p>
      <w:pPr>
        <w:spacing w:before="27"/>
        <w:ind w:left="13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00" w:right="1020"/>
          <w:cols w:num="2" w:equalWidth="0">
            <w:col w:w="4453" w:space="4285"/>
            <w:col w:w="1152"/>
          </w:cols>
        </w:sectPr>
      </w:pP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97,178,538.05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37,003,045.64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78" w:right="0"/>
              <w:jc w:val="left"/>
              <w:rPr>
                <w:rFonts w:ascii="宋体" w:hAnsi="宋体" w:cs="宋体" w:eastAsia="宋体" w:hint="default"/>
                <w:sz w:val="18"/>
                <w:szCs w:val="18"/>
              </w:rPr>
            </w:pPr>
            <w:r>
              <w:rPr>
                <w:rFonts w:ascii="宋体"/>
                <w:sz w:val="18"/>
              </w:rPr>
              <w:t>1,850,152.28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5.00%</w:t>
            </w:r>
          </w:p>
        </w:tc>
      </w:tr>
    </w:tbl>
    <w:p>
      <w:pPr>
        <w:spacing w:after="0" w:line="240" w:lineRule="auto"/>
        <w:jc w:val="right"/>
        <w:rPr>
          <w:rFonts w:ascii="宋体" w:hAnsi="宋体" w:cs="宋体" w:eastAsia="宋体" w:hint="default"/>
          <w:sz w:val="18"/>
          <w:szCs w:val="18"/>
        </w:rPr>
        <w:sectPr>
          <w:type w:val="continuous"/>
          <w:pgSz w:w="11910" w:h="16840"/>
          <w:pgMar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45,997,891.38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4,599,789.14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14,465,812.59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2,893,162.52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4,553,422.16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1,366,026.65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1,449,022.41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579,608.96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1,206,740.77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1,206,740.77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201,854,473.00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12,495,480.32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6.19%</w:t>
            </w:r>
          </w:p>
        </w:tc>
      </w:tr>
    </w:tbl>
    <w:p>
      <w:pPr>
        <w:spacing w:line="360" w:lineRule="auto" w:before="50"/>
        <w:ind w:left="132" w:right="57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组合中，采用其他方法计提坏账准备的应收账款：</w:t>
      </w:r>
    </w:p>
    <w:p>
      <w:pPr>
        <w:spacing w:line="240" w:lineRule="auto" w:before="2"/>
        <w:rPr>
          <w:rFonts w:ascii="宋体" w:hAnsi="宋体" w:cs="宋体" w:eastAsia="宋体" w:hint="default"/>
          <w:sz w:val="20"/>
          <w:szCs w:val="20"/>
        </w:rPr>
      </w:pPr>
    </w:p>
    <w:p>
      <w:pPr>
        <w:pStyle w:val="Heading6"/>
        <w:spacing w:line="240" w:lineRule="auto"/>
        <w:ind w:right="104"/>
        <w:jc w:val="left"/>
        <w:rPr>
          <w:b w:val="0"/>
          <w:bCs w:val="0"/>
        </w:rPr>
      </w:pPr>
      <w:r>
        <w:rPr/>
        <w:t>（2）本期计提、收回或转回的坏账准备情况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6" w:footer="978" w:top="1040" w:bottom="1160" w:left="1000" w:right="1020"/>
        </w:sectPr>
      </w:pPr>
    </w:p>
    <w:p>
      <w:pPr>
        <w:spacing w:line="357" w:lineRule="auto" w:before="44"/>
        <w:ind w:left="13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3,567,133.71</w:t>
      </w:r>
      <w:r>
        <w:rPr>
          <w:rFonts w:ascii="宋体" w:hAnsi="宋体" w:cs="宋体" w:eastAsia="宋体" w:hint="default"/>
          <w:spacing w:val="-47"/>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00" w:right="1020"/>
          <w:cols w:num="2" w:equalWidth="0">
            <w:col w:w="6613" w:space="2125"/>
            <w:col w:w="1152"/>
          </w:cols>
        </w:sectPr>
      </w:pP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6"/>
        <w:spacing w:line="240" w:lineRule="auto" w:before="34"/>
        <w:ind w:right="104"/>
        <w:jc w:val="left"/>
        <w:rPr>
          <w:b w:val="0"/>
          <w:bCs w:val="0"/>
        </w:rPr>
      </w:pPr>
      <w:r>
        <w:rPr/>
        <w:t>（3）本期实际核销的应收账款情况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1,028,284.52</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2" w:right="6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（4）按欠款方归集的期末余额前五名的应收账款情况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before="44"/>
        <w:ind w:left="0" w:right="3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2302"/>
        <w:gridCol w:w="2552"/>
        <w:gridCol w:w="1701"/>
      </w:tblGrid>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52"/>
              <w:jc w:val="right"/>
              <w:rPr>
                <w:rFonts w:ascii="宋体" w:hAnsi="宋体" w:cs="宋体" w:eastAsia="宋体" w:hint="default"/>
                <w:sz w:val="18"/>
                <w:szCs w:val="18"/>
              </w:rPr>
            </w:pPr>
            <w:r>
              <w:rPr>
                <w:rFonts w:ascii="宋体" w:hAnsi="宋体" w:cs="宋体" w:eastAsia="宋体" w:hint="default"/>
                <w:spacing w:val="-1"/>
                <w:sz w:val="18"/>
                <w:szCs w:val="18"/>
              </w:rPr>
              <w:t>占应收账款期末余额的比例(%)</w:t>
            </w:r>
          </w:p>
        </w:tc>
        <w:tc>
          <w:tcPr>
            <w:tcW w:w="170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213"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11,209,445.02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5.55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862,928.19</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9,230,780.30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4.57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426,373.30</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7,596,013.50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3.76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7,030,461.68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3.48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696,836.19</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5,467,684.00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2.71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40,534,384.50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20.08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1,986,137.68</w:t>
            </w:r>
          </w:p>
        </w:tc>
      </w:tr>
    </w:tbl>
    <w:p>
      <w:pPr>
        <w:spacing w:after="0" w:line="240" w:lineRule="auto"/>
        <w:jc w:val="right"/>
        <w:rPr>
          <w:rFonts w:ascii="宋体" w:hAnsi="宋体" w:cs="宋体" w:eastAsia="宋体" w:hint="default"/>
          <w:sz w:val="18"/>
          <w:szCs w:val="18"/>
        </w:rPr>
        <w:sectPr>
          <w:type w:val="continuous"/>
          <w:pgSz w:w="11910" w:h="16840"/>
          <w:pgMar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（5）因金融资产转移而终止确认的应收账款</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（6）转移应收账款且继续涉入形成的资产、负债金额</w:t>
      </w:r>
      <w:r>
        <w:rPr>
          <w:b w:val="0"/>
          <w:bCs w:val="0"/>
        </w:rPr>
      </w:r>
    </w:p>
    <w:p>
      <w:pPr>
        <w:spacing w:line="240" w:lineRule="auto" w:before="7"/>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6、预付款项</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（1）预付款项按账龄列示</w:t>
      </w:r>
      <w:r>
        <w:rPr>
          <w:b w:val="0"/>
          <w:bCs w:val="0"/>
        </w:rPr>
      </w:r>
    </w:p>
    <w:p>
      <w:pPr>
        <w:spacing w:line="240" w:lineRule="auto" w:before="7"/>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78,391,168.38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43,761,167.22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80.92%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6,288,811.76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7,820,444.48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2,151,577.03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2,442,176.58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222,843.94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55,920.64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87,054,401.11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54,079,708.92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年且金额重要的预付款项未及时结算原因的说明：</w:t>
      </w:r>
    </w:p>
    <w:p>
      <w:pPr>
        <w:spacing w:line="240" w:lineRule="auto" w:before="3"/>
        <w:rPr>
          <w:rFonts w:ascii="宋体" w:hAnsi="宋体" w:cs="宋体" w:eastAsia="宋体" w:hint="default"/>
          <w:sz w:val="29"/>
          <w:szCs w:val="29"/>
        </w:rPr>
      </w:pPr>
    </w:p>
    <w:p>
      <w:pPr>
        <w:spacing w:before="44"/>
        <w:ind w:left="0" w:right="3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261"/>
        <w:gridCol w:w="2126"/>
        <w:gridCol w:w="1984"/>
        <w:gridCol w:w="2127"/>
      </w:tblGrid>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6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12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425" w:right="0"/>
              <w:jc w:val="left"/>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北京陆海联华射频技术有限公司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1,500,000.00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2至3年</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尚未决算</w:t>
            </w: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1,500,000.00</w:t>
            </w:r>
          </w:p>
        </w:tc>
        <w:tc>
          <w:tcPr>
            <w:tcW w:w="1984"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6"/>
        <w:spacing w:line="240" w:lineRule="auto" w:before="34"/>
        <w:ind w:right="104"/>
        <w:jc w:val="left"/>
        <w:rPr>
          <w:b w:val="0"/>
          <w:bCs w:val="0"/>
        </w:rPr>
      </w:pPr>
      <w:r>
        <w:rPr/>
        <w:t>（2）按预付对象归集的期末余额前五名的预付款情况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1"/>
        <w:ind w:left="132" w:right="104"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985"/>
        <w:gridCol w:w="1701"/>
        <w:gridCol w:w="2268"/>
        <w:gridCol w:w="1417"/>
        <w:gridCol w:w="2127"/>
      </w:tblGrid>
      <w:tr>
        <w:trPr>
          <w:trHeight w:val="347" w:hRule="exact"/>
        </w:trPr>
        <w:tc>
          <w:tcPr>
            <w:tcW w:w="198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right="624"/>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left="48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26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left="90" w:right="0"/>
              <w:jc w:val="left"/>
              <w:rPr>
                <w:rFonts w:ascii="宋体" w:hAnsi="宋体" w:cs="宋体" w:eastAsia="宋体" w:hint="default"/>
                <w:sz w:val="18"/>
                <w:szCs w:val="18"/>
              </w:rPr>
            </w:pPr>
            <w:r>
              <w:rPr>
                <w:rFonts w:ascii="宋体" w:hAnsi="宋体" w:cs="宋体" w:eastAsia="宋体" w:hint="default"/>
                <w:sz w:val="18"/>
                <w:szCs w:val="18"/>
              </w:rPr>
              <w:t>占预付账款总额的比例(%)</w:t>
            </w:r>
          </w:p>
        </w:tc>
        <w:tc>
          <w:tcPr>
            <w:tcW w:w="141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2127"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4"/>
              <w:ind w:right="683"/>
              <w:jc w:val="right"/>
              <w:rPr>
                <w:rFonts w:ascii="宋体" w:hAnsi="宋体" w:cs="宋体" w:eastAsia="宋体" w:hint="default"/>
                <w:sz w:val="20"/>
                <w:szCs w:val="20"/>
              </w:rPr>
            </w:pPr>
            <w:r>
              <w:rPr>
                <w:rFonts w:ascii="宋体" w:hAnsi="宋体" w:cs="宋体" w:eastAsia="宋体" w:hint="default"/>
                <w:w w:val="95"/>
                <w:sz w:val="20"/>
                <w:szCs w:val="20"/>
              </w:rPr>
              <w:t>第一名</w:t>
            </w:r>
            <w:r>
              <w:rPr>
                <w:rFonts w:ascii="宋体" w:hAnsi="宋体" w:cs="宋体" w:eastAsia="宋体" w:hint="default"/>
                <w:sz w:val="20"/>
                <w:szCs w:val="20"/>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5,937,891.00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6.82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工程项目未验收结算</w:t>
            </w: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3"/>
              <w:ind w:right="683"/>
              <w:jc w:val="right"/>
              <w:rPr>
                <w:rFonts w:ascii="宋体" w:hAnsi="宋体" w:cs="宋体" w:eastAsia="宋体" w:hint="default"/>
                <w:sz w:val="20"/>
                <w:szCs w:val="20"/>
              </w:rPr>
            </w:pPr>
            <w:r>
              <w:rPr>
                <w:rFonts w:ascii="宋体" w:hAnsi="宋体" w:cs="宋体" w:eastAsia="宋体" w:hint="default"/>
                <w:w w:val="95"/>
                <w:sz w:val="20"/>
                <w:szCs w:val="20"/>
              </w:rPr>
              <w:t>第二名</w:t>
            </w:r>
            <w:r>
              <w:rPr>
                <w:rFonts w:ascii="宋体" w:hAnsi="宋体" w:cs="宋体" w:eastAsia="宋体" w:hint="default"/>
                <w:sz w:val="20"/>
                <w:szCs w:val="20"/>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4,306,851.15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4.95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工程项目未验收结算</w:t>
            </w: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4"/>
              <w:ind w:right="683"/>
              <w:jc w:val="right"/>
              <w:rPr>
                <w:rFonts w:ascii="宋体" w:hAnsi="宋体" w:cs="宋体" w:eastAsia="宋体" w:hint="default"/>
                <w:sz w:val="20"/>
                <w:szCs w:val="20"/>
              </w:rPr>
            </w:pPr>
            <w:r>
              <w:rPr>
                <w:rFonts w:ascii="宋体" w:hAnsi="宋体" w:cs="宋体" w:eastAsia="宋体" w:hint="default"/>
                <w:w w:val="95"/>
                <w:sz w:val="20"/>
                <w:szCs w:val="20"/>
              </w:rPr>
              <w:t>第三名</w:t>
            </w:r>
            <w:r>
              <w:rPr>
                <w:rFonts w:ascii="宋体" w:hAnsi="宋体" w:cs="宋体" w:eastAsia="宋体" w:hint="default"/>
                <w:sz w:val="20"/>
                <w:szCs w:val="20"/>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3,219,880.00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3.70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工程项目未验收结算</w:t>
            </w: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3"/>
              <w:ind w:right="683"/>
              <w:jc w:val="right"/>
              <w:rPr>
                <w:rFonts w:ascii="宋体" w:hAnsi="宋体" w:cs="宋体" w:eastAsia="宋体" w:hint="default"/>
                <w:sz w:val="20"/>
                <w:szCs w:val="20"/>
              </w:rPr>
            </w:pPr>
            <w:r>
              <w:rPr>
                <w:rFonts w:ascii="宋体" w:hAnsi="宋体" w:cs="宋体" w:eastAsia="宋体" w:hint="default"/>
                <w:w w:val="95"/>
                <w:sz w:val="20"/>
                <w:szCs w:val="20"/>
              </w:rPr>
              <w:t>第四名</w:t>
            </w:r>
            <w:r>
              <w:rPr>
                <w:rFonts w:ascii="宋体" w:hAnsi="宋体" w:cs="宋体" w:eastAsia="宋体" w:hint="default"/>
                <w:sz w:val="20"/>
                <w:szCs w:val="20"/>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3,030,892.77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3.48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工程项目未验收结算</w:t>
            </w: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4"/>
              <w:ind w:right="683"/>
              <w:jc w:val="right"/>
              <w:rPr>
                <w:rFonts w:ascii="宋体" w:hAnsi="宋体" w:cs="宋体" w:eastAsia="宋体" w:hint="default"/>
                <w:sz w:val="20"/>
                <w:szCs w:val="20"/>
              </w:rPr>
            </w:pPr>
            <w:r>
              <w:rPr>
                <w:rFonts w:ascii="宋体" w:hAnsi="宋体" w:cs="宋体" w:eastAsia="宋体" w:hint="default"/>
                <w:w w:val="95"/>
                <w:sz w:val="20"/>
                <w:szCs w:val="20"/>
              </w:rPr>
              <w:t>第五名</w:t>
            </w:r>
            <w:r>
              <w:rPr>
                <w:rFonts w:ascii="宋体" w:hAnsi="宋体" w:cs="宋体" w:eastAsia="宋体" w:hint="default"/>
                <w:sz w:val="20"/>
                <w:szCs w:val="20"/>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2,755,300.00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3.17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工程项目未验收结算</w:t>
            </w: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19,250,814.92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22.11</w:t>
            </w:r>
          </w:p>
        </w:tc>
        <w:tc>
          <w:tcPr>
            <w:tcW w:w="141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7、应收利息</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（1）应收利息分类</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6"/>
        <w:spacing w:line="240" w:lineRule="auto" w:before="34"/>
        <w:ind w:right="104"/>
        <w:jc w:val="left"/>
        <w:rPr>
          <w:b w:val="0"/>
          <w:bCs w:val="0"/>
        </w:rPr>
      </w:pPr>
      <w:r>
        <w:rPr/>
        <w:t>（2）重要逾期利息</w:t>
      </w:r>
      <w:r>
        <w:rPr>
          <w:b w:val="0"/>
          <w:bCs w:val="0"/>
        </w:rPr>
      </w:r>
    </w:p>
    <w:p>
      <w:pPr>
        <w:spacing w:line="240" w:lineRule="auto" w:before="0"/>
        <w:rPr>
          <w:rFonts w:ascii="宋体" w:hAnsi="宋体" w:cs="宋体" w:eastAsia="宋体" w:hint="default"/>
          <w:b/>
          <w:bCs/>
          <w:sz w:val="27"/>
          <w:szCs w:val="27"/>
        </w:rPr>
      </w:pPr>
    </w:p>
    <w:tbl>
      <w:tblPr>
        <w:tblW w:w="0" w:type="auto"/>
        <w:jc w:val="left"/>
        <w:tblInd w:w="101"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3" w:right="4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8、应收股利</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（1）应收股利</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（2）重要的账龄超过</w:t>
      </w:r>
      <w:r>
        <w:rPr>
          <w:spacing w:val="-56"/>
        </w:rPr>
        <w:t> </w:t>
      </w:r>
      <w:r>
        <w:rPr/>
        <w:t>1</w:t>
      </w:r>
      <w:r>
        <w:rPr>
          <w:spacing w:val="-57"/>
        </w:rPr>
        <w:t> </w:t>
      </w:r>
      <w:r>
        <w:rPr/>
        <w:t>年的应收股利</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3" w:right="4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9、其他应收款</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（1）其他应收款分类披露</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6"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73,669,</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637.21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center"/>
              <w:rPr>
                <w:rFonts w:ascii="宋体" w:hAnsi="宋体" w:cs="宋体" w:eastAsia="宋体" w:hint="default"/>
                <w:sz w:val="18"/>
                <w:szCs w:val="18"/>
              </w:rPr>
            </w:pPr>
            <w:r>
              <w:rPr>
                <w:rFonts w:ascii="宋体"/>
                <w:sz w:val="18"/>
              </w:rPr>
              <w:t>5,935,7</w:t>
            </w:r>
          </w:p>
          <w:p>
            <w:pPr>
              <w:pStyle w:val="TableParagraph"/>
              <w:spacing w:line="240" w:lineRule="auto" w:before="76"/>
              <w:ind w:left="253" w:right="0"/>
              <w:jc w:val="center"/>
              <w:rPr>
                <w:rFonts w:ascii="宋体" w:hAnsi="宋体" w:cs="宋体" w:eastAsia="宋体" w:hint="default"/>
                <w:sz w:val="18"/>
                <w:szCs w:val="18"/>
              </w:rPr>
            </w:pPr>
            <w:r>
              <w:rPr>
                <w:rFonts w:ascii="宋体"/>
                <w:sz w:val="18"/>
              </w:rPr>
              <w:t>44.45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8.06%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67,733,8</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92.76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76,084</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,695.7</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5"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6,553,76</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6.97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8.61%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69,530,92</w:t>
            </w:r>
          </w:p>
          <w:p>
            <w:pPr>
              <w:pStyle w:val="TableParagraph"/>
              <w:spacing w:line="240" w:lineRule="auto" w:before="76"/>
              <w:ind w:left="539" w:right="0"/>
              <w:jc w:val="left"/>
              <w:rPr>
                <w:rFonts w:ascii="宋体" w:hAnsi="宋体" w:cs="宋体" w:eastAsia="宋体" w:hint="default"/>
                <w:sz w:val="18"/>
                <w:szCs w:val="18"/>
              </w:rPr>
            </w:pPr>
            <w:r>
              <w:rPr>
                <w:rFonts w:ascii="宋体"/>
                <w:sz w:val="18"/>
              </w:rPr>
              <w:t>8.79</w:t>
            </w:r>
          </w:p>
        </w:tc>
      </w:tr>
      <w:tr>
        <w:trPr>
          <w:trHeight w:val="72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9" w:right="0"/>
              <w:jc w:val="left"/>
              <w:rPr>
                <w:rFonts w:ascii="宋体" w:hAnsi="宋体" w:cs="宋体" w:eastAsia="宋体" w:hint="default"/>
                <w:sz w:val="18"/>
                <w:szCs w:val="18"/>
              </w:rPr>
            </w:pPr>
            <w:r>
              <w:rPr>
                <w:rFonts w:ascii="宋体"/>
                <w:sz w:val="18"/>
              </w:rPr>
              <w:t>73,669,</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637.21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3" w:right="0"/>
              <w:jc w:val="center"/>
              <w:rPr>
                <w:rFonts w:ascii="宋体" w:hAnsi="宋体" w:cs="宋体" w:eastAsia="宋体" w:hint="default"/>
                <w:sz w:val="18"/>
                <w:szCs w:val="18"/>
              </w:rPr>
            </w:pPr>
            <w:r>
              <w:rPr>
                <w:rFonts w:ascii="宋体"/>
                <w:sz w:val="18"/>
              </w:rPr>
              <w:t>5,935,7</w:t>
            </w:r>
          </w:p>
          <w:p>
            <w:pPr>
              <w:pStyle w:val="TableParagraph"/>
              <w:spacing w:line="240" w:lineRule="auto" w:before="76"/>
              <w:ind w:left="253" w:right="0"/>
              <w:jc w:val="center"/>
              <w:rPr>
                <w:rFonts w:ascii="宋体" w:hAnsi="宋体" w:cs="宋体" w:eastAsia="宋体" w:hint="default"/>
                <w:sz w:val="18"/>
                <w:szCs w:val="18"/>
              </w:rPr>
            </w:pPr>
            <w:r>
              <w:rPr>
                <w:rFonts w:ascii="宋体"/>
                <w:sz w:val="18"/>
              </w:rPr>
              <w:t>44.45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8.06%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 w:right="0"/>
              <w:jc w:val="left"/>
              <w:rPr>
                <w:rFonts w:ascii="宋体" w:hAnsi="宋体" w:cs="宋体" w:eastAsia="宋体" w:hint="default"/>
                <w:sz w:val="18"/>
                <w:szCs w:val="18"/>
              </w:rPr>
            </w:pPr>
            <w:r>
              <w:rPr>
                <w:rFonts w:ascii="宋体"/>
                <w:sz w:val="18"/>
              </w:rPr>
              <w:t>67,733,8</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92.76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1" w:right="0"/>
              <w:jc w:val="left"/>
              <w:rPr>
                <w:rFonts w:ascii="宋体" w:hAnsi="宋体" w:cs="宋体" w:eastAsia="宋体" w:hint="default"/>
                <w:sz w:val="18"/>
                <w:szCs w:val="18"/>
              </w:rPr>
            </w:pPr>
            <w:r>
              <w:rPr>
                <w:rFonts w:ascii="宋体"/>
                <w:sz w:val="18"/>
              </w:rPr>
              <w:t>76,084</w:t>
            </w:r>
          </w:p>
          <w:p>
            <w:pPr>
              <w:pStyle w:val="TableParagraph"/>
              <w:spacing w:line="240" w:lineRule="auto" w:before="76"/>
              <w:ind w:left="81" w:right="0"/>
              <w:jc w:val="left"/>
              <w:rPr>
                <w:rFonts w:ascii="宋体" w:hAnsi="宋体" w:cs="宋体" w:eastAsia="宋体" w:hint="default"/>
                <w:sz w:val="18"/>
                <w:szCs w:val="18"/>
              </w:rPr>
            </w:pPr>
            <w:r>
              <w:rPr>
                <w:rFonts w:ascii="宋体"/>
                <w:sz w:val="18"/>
              </w:rPr>
              <w:t>,695.7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left"/>
              <w:rPr>
                <w:rFonts w:ascii="宋体" w:hAnsi="宋体" w:cs="宋体" w:eastAsia="宋体" w:hint="default"/>
                <w:sz w:val="18"/>
                <w:szCs w:val="18"/>
              </w:rPr>
            </w:pPr>
            <w:r>
              <w:rPr>
                <w:rFonts w:ascii="宋体"/>
                <w:sz w:val="18"/>
              </w:rPr>
              <w:t>6,553,76</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6.97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left"/>
              <w:rPr>
                <w:rFonts w:ascii="宋体" w:hAnsi="宋体" w:cs="宋体" w:eastAsia="宋体" w:hint="default"/>
                <w:sz w:val="18"/>
                <w:szCs w:val="18"/>
              </w:rPr>
            </w:pPr>
            <w:r>
              <w:rPr>
                <w:rFonts w:ascii="宋体"/>
                <w:sz w:val="18"/>
              </w:rPr>
              <w:t>69,530,92</w:t>
            </w:r>
          </w:p>
          <w:p>
            <w:pPr>
              <w:pStyle w:val="TableParagraph"/>
              <w:spacing w:line="240" w:lineRule="auto" w:before="76"/>
              <w:ind w:left="539" w:right="0"/>
              <w:jc w:val="left"/>
              <w:rPr>
                <w:rFonts w:ascii="宋体" w:hAnsi="宋体" w:cs="宋体" w:eastAsia="宋体" w:hint="default"/>
                <w:sz w:val="18"/>
                <w:szCs w:val="18"/>
              </w:rPr>
            </w:pPr>
            <w:r>
              <w:rPr>
                <w:rFonts w:ascii="宋体"/>
                <w:sz w:val="18"/>
              </w:rPr>
              <w:t>8.79</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21"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980" w:right="1020"/>
        </w:sectPr>
      </w:pPr>
    </w:p>
    <w:p>
      <w:pPr>
        <w:spacing w:before="50"/>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7"/>
        <w:ind w:left="152" w:right="34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line="360" w:lineRule="auto" w:before="25"/>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组合中，采用余额百分比法计提坏账准备的其他应收款：</w:t>
      </w:r>
    </w:p>
    <w:p>
      <w:pPr>
        <w:spacing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980" w:right="1020"/>
          <w:cols w:num="2" w:equalWidth="0">
            <w:col w:w="4653" w:space="4085"/>
            <w:col w:w="1172"/>
          </w:cols>
        </w:sectPr>
      </w:pP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25,505,049.41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23,719,380.77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1,185,969.04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11,083,815.88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1,108,381.59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7,243,734.80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1,448,746.96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3,356,950.75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1,007,085.23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2,625,239.95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1,050,095.98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135,465.65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135,465.65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73,669,637.21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5,935,744.45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2" w:right="559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组合中，采用其他方法计提坏账准备的其他应收款：</w:t>
      </w:r>
    </w:p>
    <w:p>
      <w:pPr>
        <w:spacing w:before="29"/>
        <w:ind w:left="15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left="152" w:right="0"/>
        <w:jc w:val="left"/>
        <w:rPr>
          <w:b w:val="0"/>
          <w:bCs w:val="0"/>
        </w:rPr>
      </w:pPr>
      <w:r>
        <w:rPr/>
        <w:t>（2）本期计提、收回或转回的坏账准备情况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40" w:bottom="1160" w:left="980" w:right="1020"/>
        </w:sectPr>
      </w:pPr>
    </w:p>
    <w:p>
      <w:pPr>
        <w:spacing w:line="357" w:lineRule="auto" w:before="44"/>
        <w:ind w:left="152"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宋体" w:hAnsi="宋体" w:cs="宋体" w:eastAsia="宋体" w:hint="default"/>
          <w:sz w:val="18"/>
          <w:szCs w:val="18"/>
        </w:rPr>
        <w:t>39,900.99</w:t>
      </w:r>
      <w:r>
        <w:rPr>
          <w:rFonts w:ascii="宋体" w:hAnsi="宋体" w:cs="宋体" w:eastAsia="宋体" w:hint="default"/>
          <w:spacing w:val="-48"/>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宋体" w:hAnsi="宋体" w:cs="宋体" w:eastAsia="宋体" w:hint="default"/>
          <w:sz w:val="18"/>
          <w:szCs w:val="18"/>
        </w:rPr>
        <w:t>657,923.51</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980" w:right="1020"/>
          <w:cols w:num="2" w:equalWidth="0">
            <w:col w:w="6905" w:space="1834"/>
            <w:col w:w="1171"/>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6"/>
        <w:spacing w:line="240" w:lineRule="auto" w:before="34"/>
        <w:ind w:left="152" w:right="5774"/>
        <w:jc w:val="left"/>
        <w:rPr>
          <w:b w:val="0"/>
          <w:bCs w:val="0"/>
        </w:rPr>
      </w:pPr>
      <w:r>
        <w:rPr/>
        <w:t>（3）本期实际核销的其他应收款情况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3d3d3"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52" w:right="5774"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22"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after="0"/>
        <w:jc w:val="left"/>
        <w:rPr>
          <w:rFonts w:ascii="宋体" w:hAnsi="宋体" w:cs="宋体" w:eastAsia="宋体" w:hint="default"/>
          <w:sz w:val="18"/>
          <w:szCs w:val="18"/>
        </w:rPr>
        <w:sectPr>
          <w:type w:val="continuous"/>
          <w:pgSz w:w="11910" w:h="16840"/>
          <w:pgMar w:top="1040" w:bottom="1160" w:left="98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（4）其他应收款按款项性质分类情况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68,517,051.12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67,198,193.59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2,011,496.33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2,139,635.43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286,967.53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345,040.45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3,660,000.00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2,854,122.23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2,741,826.29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73,669,637.21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76,084,695.76</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（5）按欠款方归集的期末余额前五名的其他应收款情况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3"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57" w:hRule="exact"/>
        </w:trPr>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sz w:val="18"/>
              </w:rPr>
              <w:t>6,098,629.20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4385645.40，6</w:t>
            </w:r>
            <w:r>
              <w:rPr>
                <w:rFonts w:ascii="宋体" w:hAnsi="宋体" w:cs="宋体" w:eastAsia="宋体" w:hint="default"/>
                <w:spacing w:val="-39"/>
                <w:sz w:val="18"/>
                <w:szCs w:val="18"/>
              </w:rPr>
              <w:t> </w:t>
            </w:r>
            <w:r>
              <w:rPr>
                <w:rFonts w:ascii="宋体" w:hAnsi="宋体" w:cs="宋体" w:eastAsia="宋体" w:hint="default"/>
                <w:sz w:val="18"/>
                <w:szCs w:val="18"/>
              </w:rPr>
              <w:t>个月</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8.28%</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85,649.19</w:t>
            </w:r>
          </w:p>
        </w:tc>
      </w:tr>
      <w:tr>
        <w:trPr>
          <w:trHeight w:val="357" w:hRule="exact"/>
        </w:trPr>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1712983.80</w:t>
            </w:r>
          </w:p>
        </w:tc>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sz w:val="18"/>
              </w:rPr>
              <w:t>4,622,000.00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3620000，1-2</w:t>
            </w:r>
            <w:r>
              <w:rPr>
                <w:rFonts w:ascii="宋体" w:hAnsi="宋体" w:cs="宋体" w:eastAsia="宋体" w:hint="default"/>
                <w:spacing w:val="-5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1000000,2-3</w:t>
            </w:r>
            <w:r>
              <w:rPr>
                <w:rFonts w:ascii="宋体" w:hAnsi="宋体" w:cs="宋体" w:eastAsia="宋体" w:hint="default"/>
                <w:spacing w:val="-51"/>
                <w:sz w:val="18"/>
                <w:szCs w:val="18"/>
              </w:rPr>
              <w:t> </w:t>
            </w:r>
            <w:r>
              <w:rPr>
                <w:rFonts w:ascii="宋体" w:hAnsi="宋体" w:cs="宋体" w:eastAsia="宋体" w:hint="default"/>
                <w:sz w:val="18"/>
                <w:szCs w:val="18"/>
              </w:rPr>
              <w:t>年</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6.27%</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281,400.00</w:t>
            </w:r>
          </w:p>
        </w:tc>
      </w:tr>
      <w:tr>
        <w:trPr>
          <w:trHeight w:val="358" w:hRule="exact"/>
        </w:trPr>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2000</w:t>
            </w:r>
          </w:p>
        </w:tc>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2" w:right="0"/>
              <w:jc w:val="left"/>
              <w:rPr>
                <w:rFonts w:ascii="宋体" w:hAnsi="宋体" w:cs="宋体" w:eastAsia="宋体" w:hint="default"/>
                <w:sz w:val="18"/>
                <w:szCs w:val="18"/>
              </w:rPr>
            </w:pPr>
            <w:r>
              <w:rPr>
                <w:rFonts w:ascii="宋体"/>
                <w:sz w:val="18"/>
              </w:rPr>
              <w:t>2,118,055.90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423,611.18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2" w:right="0"/>
              <w:jc w:val="left"/>
              <w:rPr>
                <w:rFonts w:ascii="宋体" w:hAnsi="宋体" w:cs="宋体" w:eastAsia="宋体" w:hint="default"/>
                <w:sz w:val="18"/>
                <w:szCs w:val="18"/>
              </w:rPr>
            </w:pPr>
            <w:r>
              <w:rPr>
                <w:rFonts w:ascii="宋体"/>
                <w:sz w:val="18"/>
              </w:rPr>
              <w:t>1,981,178.00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0" w:right="0"/>
              <w:jc w:val="left"/>
              <w:rPr>
                <w:rFonts w:ascii="宋体" w:hAnsi="宋体" w:cs="宋体" w:eastAsia="宋体" w:hint="default"/>
                <w:sz w:val="18"/>
                <w:szCs w:val="18"/>
              </w:rPr>
            </w:pPr>
            <w:r>
              <w:rPr>
                <w:rFonts w:ascii="宋体"/>
                <w:sz w:val="18"/>
              </w:rPr>
              <w:t>16,819,863.10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890,660.37</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（6）涉及政府补助的应收款项</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83" w:right="5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6"/>
        <w:spacing w:line="240" w:lineRule="auto" w:before="34"/>
        <w:ind w:right="104"/>
        <w:jc w:val="left"/>
        <w:rPr>
          <w:b w:val="0"/>
          <w:bCs w:val="0"/>
        </w:rPr>
      </w:pPr>
      <w:r>
        <w:rPr/>
        <w:t>（7）因金融资产转移而终止确认的其他应收款</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（8）转移其他应收款且继续涉入形成的资产、负债金额</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left="152" w:right="7034"/>
        <w:jc w:val="left"/>
        <w:rPr>
          <w:b w:val="0"/>
          <w:bCs w:val="0"/>
        </w:rPr>
      </w:pPr>
      <w:r>
        <w:rPr/>
        <w:t>10、存货</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left="152" w:right="7034"/>
        <w:jc w:val="left"/>
        <w:rPr>
          <w:b w:val="0"/>
          <w:bCs w:val="0"/>
        </w:rPr>
      </w:pPr>
      <w:r>
        <w:rPr/>
        <w:t>（1）存货分类</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5,296,548.58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4,689,039.14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5,154,579.57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4,547,070.13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571,445.47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571,445.47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3,877,239.58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3,877,239.58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127,990,413.09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127,990,413.09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78,269,763.88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78,269,763.88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396,552.50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396,552.50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144,797,893.47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144,797,893.47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75,896,973.03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75,896,973.03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2,663,380.23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2,663,380.23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281,717,483.34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281,109,973.90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163,199,806.06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162,592,296.62</w:t>
            </w:r>
          </w:p>
        </w:tc>
      </w:tr>
    </w:tbl>
    <w:p>
      <w:pPr>
        <w:spacing w:line="240" w:lineRule="auto" w:before="3"/>
        <w:rPr>
          <w:rFonts w:ascii="宋体" w:hAnsi="宋体" w:cs="宋体" w:eastAsia="宋体" w:hint="default"/>
          <w:sz w:val="19"/>
          <w:szCs w:val="19"/>
        </w:rPr>
      </w:pPr>
    </w:p>
    <w:p>
      <w:pPr>
        <w:pStyle w:val="Heading6"/>
        <w:spacing w:line="240" w:lineRule="auto" w:before="34"/>
        <w:ind w:left="152" w:right="7034"/>
        <w:jc w:val="left"/>
        <w:rPr>
          <w:b w:val="0"/>
          <w:bCs w:val="0"/>
        </w:rPr>
      </w:pPr>
      <w:r>
        <w:rPr/>
        <w:t>（2）存货跌价准备</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607,509.44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607,509.44</w:t>
            </w:r>
          </w:p>
        </w:tc>
      </w:tr>
    </w:tbl>
    <w:p>
      <w:pPr>
        <w:spacing w:line="240" w:lineRule="auto" w:before="3"/>
        <w:rPr>
          <w:rFonts w:ascii="宋体" w:hAnsi="宋体" w:cs="宋体" w:eastAsia="宋体" w:hint="default"/>
          <w:sz w:val="19"/>
          <w:szCs w:val="19"/>
        </w:rPr>
      </w:pPr>
    </w:p>
    <w:p>
      <w:pPr>
        <w:pStyle w:val="Heading6"/>
        <w:spacing w:line="240" w:lineRule="auto" w:before="34"/>
        <w:ind w:left="152" w:right="0"/>
        <w:jc w:val="left"/>
        <w:rPr>
          <w:b w:val="0"/>
          <w:bCs w:val="0"/>
        </w:rPr>
      </w:pPr>
      <w:r>
        <w:rPr/>
        <w:t>（3）存货期末余额含有借款费用资本化金额的说明</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left="152" w:right="0"/>
        <w:jc w:val="left"/>
        <w:rPr>
          <w:b w:val="0"/>
          <w:bCs w:val="0"/>
        </w:rPr>
      </w:pPr>
      <w:r>
        <w:rPr/>
        <w:t>（4）期末建造合同形成的已完工未结算资产情况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3d3d3"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1"/>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52" w:right="7034"/>
        <w:jc w:val="left"/>
        <w:rPr>
          <w:b w:val="0"/>
          <w:bCs w:val="0"/>
        </w:rPr>
      </w:pPr>
      <w:r>
        <w:rPr/>
        <w:t>11、划分为持有待售的资产</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27"/>
          <w:pgSz w:w="11910" w:h="16840"/>
          <w:pgMar w:footer="978" w:header="746" w:top="1040" w:bottom="1160" w:left="980" w:right="1020"/>
          <w:pgNumType w:start="11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12、一年内到期的非流动资产</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13、其他流动资产</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121,000,000.00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1,200,342.86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1,200,342.86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126,000,000.00</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14、可供出售金融资产</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（1）可供出售金融资产情况</w:t>
      </w:r>
      <w:r>
        <w:rPr>
          <w:b w:val="0"/>
          <w:bCs w:val="0"/>
        </w:rPr>
      </w:r>
    </w:p>
    <w:p>
      <w:pPr>
        <w:spacing w:line="240" w:lineRule="auto" w:before="7"/>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58"/>
        <w:gridCol w:w="1292"/>
        <w:gridCol w:w="1272"/>
        <w:gridCol w:w="1196"/>
        <w:gridCol w:w="1248"/>
        <w:gridCol w:w="1367"/>
        <w:gridCol w:w="1367"/>
      </w:tblGrid>
      <w:tr>
        <w:trPr>
          <w:trHeight w:val="402" w:hRule="exact"/>
        </w:trPr>
        <w:tc>
          <w:tcPr>
            <w:tcW w:w="18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58" w:type="dxa"/>
            <w:vMerge/>
            <w:tcBorders>
              <w:left w:val="single" w:sz="4" w:space="0" w:color="000000"/>
              <w:bottom w:val="single" w:sz="4" w:space="0" w:color="000000"/>
              <w:right w:val="single" w:sz="4" w:space="0" w:color="000000"/>
            </w:tcBorders>
            <w:shd w:val="clear" w:color="auto" w:fill="D3D3D3"/>
          </w:tcPr>
          <w:p>
            <w:pPr/>
          </w:p>
        </w:tc>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 w:right="0"/>
              <w:jc w:val="center"/>
              <w:rPr>
                <w:rFonts w:ascii="宋体" w:hAnsi="宋体" w:cs="宋体" w:eastAsia="宋体" w:hint="default"/>
                <w:sz w:val="18"/>
                <w:szCs w:val="18"/>
              </w:rPr>
            </w:pPr>
            <w:r>
              <w:rPr>
                <w:rFonts w:ascii="宋体"/>
                <w:sz w:val="18"/>
              </w:rPr>
              <w:t>21,000,000.00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 w:right="0"/>
              <w:jc w:val="center"/>
              <w:rPr>
                <w:rFonts w:ascii="宋体" w:hAnsi="宋体" w:cs="宋体" w:eastAsia="宋体" w:hint="default"/>
                <w:sz w:val="18"/>
                <w:szCs w:val="18"/>
              </w:rPr>
            </w:pPr>
            <w:r>
              <w:rPr>
                <w:rFonts w:ascii="宋体"/>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center"/>
              <w:rPr>
                <w:rFonts w:ascii="宋体" w:hAnsi="宋体" w:cs="宋体" w:eastAsia="宋体" w:hint="default"/>
                <w:sz w:val="18"/>
                <w:szCs w:val="18"/>
              </w:rPr>
            </w:pPr>
            <w:r>
              <w:rPr>
                <w:rFonts w:ascii="宋体"/>
                <w:sz w:val="18"/>
              </w:rPr>
              <w:t>3,000,000.00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center"/>
              <w:rPr>
                <w:rFonts w:ascii="宋体" w:hAnsi="宋体" w:cs="宋体" w:eastAsia="宋体" w:hint="default"/>
                <w:sz w:val="18"/>
                <w:szCs w:val="18"/>
              </w:rPr>
            </w:pPr>
            <w:r>
              <w:rPr>
                <w:rFonts w:ascii="宋体"/>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sz w:val="18"/>
              </w:rPr>
              <w:t>21,000,000.00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宋体" w:hAnsi="宋体" w:cs="宋体" w:eastAsia="宋体" w:hint="default"/>
                <w:sz w:val="18"/>
                <w:szCs w:val="18"/>
              </w:rPr>
            </w:pPr>
            <w:r>
              <w:rPr>
                <w:rFonts w:ascii="宋体"/>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center"/>
              <w:rPr>
                <w:rFonts w:ascii="宋体" w:hAnsi="宋体" w:cs="宋体" w:eastAsia="宋体" w:hint="default"/>
                <w:sz w:val="18"/>
                <w:szCs w:val="18"/>
              </w:rPr>
            </w:pPr>
            <w:r>
              <w:rPr>
                <w:rFonts w:ascii="宋体"/>
                <w:sz w:val="18"/>
              </w:rPr>
              <w:t>3,000,000.00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 w:right="0"/>
              <w:jc w:val="center"/>
              <w:rPr>
                <w:rFonts w:ascii="宋体" w:hAnsi="宋体" w:cs="宋体" w:eastAsia="宋体" w:hint="default"/>
                <w:sz w:val="18"/>
                <w:szCs w:val="18"/>
              </w:rPr>
            </w:pPr>
            <w:r>
              <w:rPr>
                <w:rFonts w:ascii="宋体"/>
                <w:sz w:val="18"/>
              </w:rPr>
              <w:t>21,000,000.00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 w:right="0"/>
              <w:jc w:val="center"/>
              <w:rPr>
                <w:rFonts w:ascii="宋体" w:hAnsi="宋体" w:cs="宋体" w:eastAsia="宋体" w:hint="default"/>
                <w:sz w:val="18"/>
                <w:szCs w:val="18"/>
              </w:rPr>
            </w:pPr>
            <w:r>
              <w:rPr>
                <w:rFonts w:ascii="宋体"/>
                <w:sz w:val="18"/>
              </w:rPr>
              <w:t>18,000,000.00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center"/>
              <w:rPr>
                <w:rFonts w:ascii="宋体" w:hAnsi="宋体" w:cs="宋体" w:eastAsia="宋体" w:hint="default"/>
                <w:sz w:val="18"/>
                <w:szCs w:val="18"/>
              </w:rPr>
            </w:pPr>
            <w:r>
              <w:rPr>
                <w:rFonts w:ascii="宋体"/>
                <w:sz w:val="18"/>
              </w:rPr>
              <w:t>3,000,000.00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center"/>
              <w:rPr>
                <w:rFonts w:ascii="宋体" w:hAnsi="宋体" w:cs="宋体" w:eastAsia="宋体" w:hint="default"/>
                <w:sz w:val="18"/>
                <w:szCs w:val="18"/>
              </w:rPr>
            </w:pPr>
            <w:r>
              <w:rPr>
                <w:rFonts w:ascii="宋体"/>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6"/>
        <w:spacing w:line="240" w:lineRule="auto" w:before="34"/>
        <w:ind w:right="104"/>
        <w:jc w:val="left"/>
        <w:rPr>
          <w:b w:val="0"/>
          <w:bCs w:val="0"/>
        </w:rPr>
      </w:pPr>
      <w:r>
        <w:rPr/>
        <w:t>（2）期末按公允价值计量的可供出售金融资产</w:t>
      </w:r>
      <w:r>
        <w:rPr>
          <w:b w:val="0"/>
          <w:bCs w:val="0"/>
        </w:rPr>
      </w:r>
    </w:p>
    <w:p>
      <w:pPr>
        <w:spacing w:line="240" w:lineRule="auto" w:before="2"/>
        <w:rPr>
          <w:rFonts w:ascii="宋体" w:hAnsi="宋体" w:cs="宋体" w:eastAsia="宋体" w:hint="default"/>
          <w:b/>
          <w:bCs/>
          <w:sz w:val="24"/>
          <w:szCs w:val="24"/>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（3）期末按成本计量的可供出售金融资产</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6" w:right="66"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71"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251"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251"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71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9"/>
              <w:jc w:val="left"/>
              <w:rPr>
                <w:rFonts w:ascii="宋体" w:hAnsi="宋体" w:cs="宋体" w:eastAsia="宋体" w:hint="default"/>
                <w:sz w:val="18"/>
                <w:szCs w:val="18"/>
              </w:rPr>
            </w:pPr>
            <w:r>
              <w:rPr>
                <w:rFonts w:ascii="宋体" w:hAnsi="宋体" w:cs="宋体" w:eastAsia="宋体" w:hint="default"/>
                <w:sz w:val="18"/>
                <w:szCs w:val="18"/>
              </w:rPr>
              <w:t>北京清科 致达投资</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7" w:right="0"/>
              <w:jc w:val="left"/>
              <w:rPr>
                <w:rFonts w:ascii="宋体" w:hAnsi="宋体" w:cs="宋体" w:eastAsia="宋体" w:hint="default"/>
                <w:sz w:val="18"/>
                <w:szCs w:val="18"/>
              </w:rPr>
            </w:pPr>
            <w:r>
              <w:rPr>
                <w:rFonts w:ascii="宋体"/>
                <w:sz w:val="18"/>
              </w:rPr>
              <w:t>3.33%</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管理中心</w:t>
            </w:r>
          </w:p>
          <w:p>
            <w:pPr>
              <w:pStyle w:val="TableParagraph"/>
              <w:spacing w:line="316" w:lineRule="auto" w:before="76"/>
              <w:ind w:left="22" w:right="109"/>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9"/>
              <w:jc w:val="both"/>
              <w:rPr>
                <w:rFonts w:ascii="宋体" w:hAnsi="宋体" w:cs="宋体" w:eastAsia="宋体" w:hint="default"/>
                <w:sz w:val="18"/>
                <w:szCs w:val="18"/>
              </w:rPr>
            </w:pPr>
            <w:r>
              <w:rPr>
                <w:rFonts w:ascii="宋体" w:hAnsi="宋体" w:cs="宋体" w:eastAsia="宋体" w:hint="default"/>
                <w:sz w:val="18"/>
                <w:szCs w:val="18"/>
              </w:rPr>
              <w:t>安徽高速 物流股份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87" w:right="0"/>
              <w:jc w:val="left"/>
              <w:rPr>
                <w:rFonts w:ascii="宋体" w:hAnsi="宋体" w:cs="宋体" w:eastAsia="宋体" w:hint="default"/>
                <w:sz w:val="18"/>
                <w:szCs w:val="18"/>
              </w:rPr>
            </w:pPr>
            <w:r>
              <w:rPr>
                <w:rFonts w:ascii="宋体"/>
                <w:sz w:val="18"/>
              </w:rPr>
              <w:t>9.77%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21,000,00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（4）报告期内可供出售金融资产减值的变动情况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18,000,000.00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18,000,000.00</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（5）可供出售权益工具期末公允价值严重下跌或非暂时性下跌但未计提减值准备的相关说明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7" w:right="48"/>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15、持有至到期投资</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（1）持有至到期投资情况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（2）期末重要的持有至到期投资</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（3）本期重分类的持有至到期投资</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16、长期应收款</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（1）长期应收款情况</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（2）因金融资产转移而终止确认的长期应收款</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（3）转移长期应收款且继续涉入形成的资产、负债金额</w:t>
      </w:r>
      <w:r>
        <w:rPr>
          <w:b w:val="0"/>
          <w:bCs w:val="0"/>
        </w:rPr>
      </w:r>
    </w:p>
    <w:p>
      <w:pPr>
        <w:spacing w:line="240" w:lineRule="auto" w:before="12"/>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17、长期股权投资</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0"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4"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2"/>
              <w:jc w:val="both"/>
              <w:rPr>
                <w:rFonts w:ascii="宋体" w:hAnsi="宋体" w:cs="宋体" w:eastAsia="宋体" w:hint="default"/>
                <w:sz w:val="18"/>
                <w:szCs w:val="18"/>
              </w:rPr>
            </w:pPr>
            <w:r>
              <w:rPr>
                <w:rFonts w:ascii="宋体" w:hAnsi="宋体" w:cs="宋体" w:eastAsia="宋体" w:hint="default"/>
                <w:sz w:val="18"/>
                <w:szCs w:val="18"/>
              </w:rPr>
              <w:t>武汉宏途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163,684.</w:t>
            </w:r>
          </w:p>
          <w:p>
            <w:pPr>
              <w:pStyle w:val="TableParagraph"/>
              <w:spacing w:line="240" w:lineRule="auto" w:before="76"/>
              <w:ind w:right="19"/>
              <w:jc w:val="right"/>
              <w:rPr>
                <w:rFonts w:ascii="宋体" w:hAnsi="宋体" w:cs="宋体" w:eastAsia="宋体" w:hint="default"/>
                <w:sz w:val="18"/>
                <w:szCs w:val="18"/>
              </w:rPr>
            </w:pPr>
            <w:r>
              <w:rPr>
                <w:rFonts w:ascii="宋体"/>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-163,684</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2"/>
              <w:jc w:val="both"/>
              <w:rPr>
                <w:rFonts w:ascii="宋体" w:hAnsi="宋体" w:cs="宋体" w:eastAsia="宋体" w:hint="default"/>
                <w:sz w:val="18"/>
                <w:szCs w:val="18"/>
              </w:rPr>
            </w:pPr>
            <w:r>
              <w:rPr>
                <w:rFonts w:ascii="宋体" w:hAnsi="宋体" w:cs="宋体" w:eastAsia="宋体" w:hint="default"/>
                <w:sz w:val="18"/>
                <w:szCs w:val="18"/>
              </w:rPr>
              <w:t>天津玺朗 文化传媒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6,339,86</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4.73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-256,172</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6,083,69</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2.58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left"/>
              <w:rPr>
                <w:rFonts w:ascii="宋体" w:hAnsi="宋体" w:cs="宋体" w:eastAsia="宋体" w:hint="default"/>
                <w:sz w:val="18"/>
                <w:szCs w:val="18"/>
              </w:rPr>
            </w:pPr>
            <w:r>
              <w:rPr>
                <w:rFonts w:ascii="宋体"/>
                <w:sz w:val="18"/>
              </w:rPr>
              <w:t>6,503,54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8.97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-419,856</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6,083,69</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2.58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sz w:val="18"/>
              </w:rPr>
              <w:t>6,503,54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8.97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宋体" w:hAnsi="宋体" w:cs="宋体" w:eastAsia="宋体" w:hint="default"/>
                <w:sz w:val="18"/>
                <w:szCs w:val="18"/>
              </w:rPr>
            </w:pPr>
            <w:r>
              <w:rPr>
                <w:rFonts w:ascii="宋体"/>
                <w:sz w:val="18"/>
              </w:rPr>
              <w:t>-419,856</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宋体" w:hAnsi="宋体" w:cs="宋体" w:eastAsia="宋体" w:hint="default"/>
                <w:sz w:val="18"/>
                <w:szCs w:val="18"/>
              </w:rPr>
            </w:pPr>
            <w:r>
              <w:rPr>
                <w:rFonts w:ascii="宋体"/>
                <w:sz w:val="18"/>
              </w:rPr>
              <w:t>6,083,69</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2.58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18、投资性房地产</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（1）采用成本计量模式的投资性房地产</w:t>
      </w:r>
      <w:r>
        <w:rPr>
          <w:b w:val="0"/>
          <w:bCs w:val="0"/>
        </w:rPr>
      </w:r>
    </w:p>
    <w:p>
      <w:pPr>
        <w:spacing w:line="240" w:lineRule="auto" w:before="7"/>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2,263,495.52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2,263,495.52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8" w:firstLine="360"/>
              <w:jc w:val="left"/>
              <w:rPr>
                <w:rFonts w:ascii="宋体" w:hAnsi="宋体" w:cs="宋体" w:eastAsia="宋体" w:hint="default"/>
                <w:sz w:val="18"/>
                <w:szCs w:val="18"/>
              </w:rPr>
            </w:pPr>
            <w:r>
              <w:rPr>
                <w:rFonts w:ascii="宋体" w:hAnsi="宋体" w:cs="宋体" w:eastAsia="宋体" w:hint="default"/>
                <w:sz w:val="18"/>
                <w:szCs w:val="18"/>
              </w:rPr>
              <w:t>（2）存货\固定资 产\在建工程转入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（3）企业合并增加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2,263,495.52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2,263,495.52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2,263,495.52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2,263,495.52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（2）其他转出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709,498.72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709,498.72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27,961.07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27,961.07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27,961.07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27,961.07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737,459.79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737,459.79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737,459.79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737,459.79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（2）其他转出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（2）其他转出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58"/>
              <w:jc w:val="right"/>
              <w:rPr>
                <w:rFonts w:ascii="宋体" w:hAnsi="宋体" w:cs="宋体" w:eastAsia="宋体" w:hint="default"/>
                <w:sz w:val="18"/>
                <w:szCs w:val="18"/>
              </w:rPr>
            </w:pPr>
            <w:r>
              <w:rPr>
                <w:rFonts w:ascii="宋体" w:hAnsi="宋体" w:cs="宋体" w:eastAsia="宋体" w:hint="default"/>
                <w:spacing w:val="-1"/>
                <w:sz w:val="18"/>
                <w:szCs w:val="18"/>
              </w:rPr>
              <w:t>1.期末账面价值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58"/>
              <w:jc w:val="right"/>
              <w:rPr>
                <w:rFonts w:ascii="宋体" w:hAnsi="宋体" w:cs="宋体" w:eastAsia="宋体" w:hint="default"/>
                <w:sz w:val="18"/>
                <w:szCs w:val="18"/>
              </w:rPr>
            </w:pPr>
            <w:r>
              <w:rPr>
                <w:rFonts w:ascii="宋体" w:hAnsi="宋体" w:cs="宋体" w:eastAsia="宋体" w:hint="default"/>
                <w:spacing w:val="-1"/>
                <w:sz w:val="18"/>
                <w:szCs w:val="18"/>
              </w:rPr>
              <w:t>2.期初账面价值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2" w:right="0"/>
              <w:jc w:val="left"/>
              <w:rPr>
                <w:rFonts w:ascii="宋体" w:hAnsi="宋体" w:cs="宋体" w:eastAsia="宋体" w:hint="default"/>
                <w:sz w:val="18"/>
                <w:szCs w:val="18"/>
              </w:rPr>
            </w:pPr>
            <w:r>
              <w:rPr>
                <w:rFonts w:ascii="宋体"/>
                <w:sz w:val="18"/>
              </w:rPr>
              <w:t>1,553,996.80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1" w:right="0"/>
              <w:jc w:val="left"/>
              <w:rPr>
                <w:rFonts w:ascii="宋体" w:hAnsi="宋体" w:cs="宋体" w:eastAsia="宋体" w:hint="default"/>
                <w:sz w:val="18"/>
                <w:szCs w:val="18"/>
              </w:rPr>
            </w:pPr>
            <w:r>
              <w:rPr>
                <w:rFonts w:ascii="宋体"/>
                <w:sz w:val="18"/>
              </w:rPr>
              <w:t>1,553,996.80</w:t>
            </w:r>
          </w:p>
        </w:tc>
      </w:tr>
    </w:tbl>
    <w:p>
      <w:pPr>
        <w:spacing w:line="240" w:lineRule="auto" w:before="0"/>
        <w:rPr>
          <w:rFonts w:ascii="Times New Roman" w:hAnsi="Times New Roman" w:cs="Times New Roman" w:eastAsia="Times New Roman" w:hint="default"/>
          <w:sz w:val="22"/>
          <w:szCs w:val="22"/>
        </w:rPr>
      </w:pPr>
    </w:p>
    <w:p>
      <w:pPr>
        <w:pStyle w:val="Heading6"/>
        <w:spacing w:line="240" w:lineRule="auto" w:before="34"/>
        <w:ind w:right="104"/>
        <w:jc w:val="left"/>
        <w:rPr>
          <w:b w:val="0"/>
          <w:bCs w:val="0"/>
        </w:rPr>
      </w:pPr>
      <w:r>
        <w:rPr/>
        <w:t>（2）采用公允价值计量模式的投资性房地产</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（3）未办妥产权证书的投资性房地产情况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19、固定资产</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（1）固定资产情况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497" w:right="46" w:hanging="449"/>
              <w:jc w:val="left"/>
              <w:rPr>
                <w:rFonts w:ascii="宋体" w:hAnsi="宋体" w:cs="宋体" w:eastAsia="宋体" w:hint="default"/>
                <w:sz w:val="18"/>
                <w:szCs w:val="18"/>
              </w:rPr>
            </w:pPr>
            <w:r>
              <w:rPr>
                <w:rFonts w:ascii="宋体" w:hAnsi="宋体" w:cs="宋体" w:eastAsia="宋体" w:hint="default"/>
                <w:sz w:val="18"/>
                <w:szCs w:val="18"/>
              </w:rPr>
              <w:t>办公设备及其他 设备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108,978,798.86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15,327,100.50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20,361,120.19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3,888,319.65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9,708,115.76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158,263,454.96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3" w:firstLine="180"/>
              <w:jc w:val="left"/>
              <w:rPr>
                <w:rFonts w:ascii="宋体" w:hAnsi="宋体" w:cs="宋体" w:eastAsia="宋体" w:hint="default"/>
                <w:sz w:val="18"/>
                <w:szCs w:val="18"/>
              </w:rPr>
            </w:pPr>
            <w:r>
              <w:rPr>
                <w:rFonts w:ascii="宋体" w:hAnsi="宋体" w:cs="宋体" w:eastAsia="宋体" w:hint="default"/>
                <w:sz w:val="18"/>
                <w:szCs w:val="18"/>
              </w:rPr>
              <w:t>2.本期增加金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735,709.61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22,313.58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3,241,674.24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1,228,244.42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4,959,091.75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10,187,033.60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22,313.58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2,351,819.37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395,241.51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4,242,189.51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7,011,563.97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firstLine="343"/>
              <w:jc w:val="left"/>
              <w:rPr>
                <w:rFonts w:ascii="宋体" w:hAnsi="宋体" w:cs="宋体" w:eastAsia="宋体" w:hint="default"/>
                <w:sz w:val="18"/>
                <w:szCs w:val="18"/>
              </w:rPr>
            </w:pPr>
            <w:r>
              <w:rPr>
                <w:rFonts w:ascii="宋体" w:hAnsi="宋体" w:cs="宋体" w:eastAsia="宋体" w:hint="default"/>
                <w:spacing w:val="-4"/>
                <w:sz w:val="18"/>
                <w:szCs w:val="18"/>
              </w:rPr>
              <w:t>（2）在建工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735,709.61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889,854.87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833,002.91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716,902.24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3,175,469.63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4"/>
                <w:sz w:val="18"/>
                <w:szCs w:val="18"/>
              </w:rPr>
              <w:t>（3）企业合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3" w:firstLine="180"/>
              <w:jc w:val="left"/>
              <w:rPr>
                <w:rFonts w:ascii="宋体" w:hAnsi="宋体" w:cs="宋体" w:eastAsia="宋体" w:hint="default"/>
                <w:sz w:val="18"/>
                <w:szCs w:val="18"/>
              </w:rPr>
            </w:pPr>
            <w:r>
              <w:rPr>
                <w:rFonts w:ascii="宋体" w:hAnsi="宋体" w:cs="宋体" w:eastAsia="宋体" w:hint="default"/>
                <w:sz w:val="18"/>
                <w:szCs w:val="18"/>
              </w:rPr>
              <w:t>3.本期减少金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11,603,331.93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331,211.00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204,903.07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2,275,710.08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14,415,156.08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firstLine="343"/>
              <w:jc w:val="left"/>
              <w:rPr>
                <w:rFonts w:ascii="宋体" w:hAnsi="宋体" w:cs="宋体" w:eastAsia="宋体" w:hint="default"/>
                <w:sz w:val="18"/>
                <w:szCs w:val="18"/>
              </w:rPr>
            </w:pPr>
            <w:r>
              <w:rPr>
                <w:rFonts w:ascii="宋体" w:hAnsi="宋体" w:cs="宋体" w:eastAsia="宋体" w:hint="default"/>
                <w:spacing w:val="-4"/>
                <w:sz w:val="18"/>
                <w:szCs w:val="18"/>
              </w:rPr>
              <w:t>（1）处置或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11,603,331.93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331,211.00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204,903.07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2,275,710.08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14,415,156.08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98,111,176.54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15,349,414.08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23,271,583.43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4,911,661.00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12,391,497.43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154,035,332.48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11,617,089.62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2,509,143.51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8,603,967.96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1,332,105.41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3,584,272.47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27,646,578.97</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3" w:firstLine="180"/>
              <w:jc w:val="left"/>
              <w:rPr>
                <w:rFonts w:ascii="宋体" w:hAnsi="宋体" w:cs="宋体" w:eastAsia="宋体" w:hint="default"/>
                <w:sz w:val="18"/>
                <w:szCs w:val="18"/>
              </w:rPr>
            </w:pPr>
            <w:r>
              <w:rPr>
                <w:rFonts w:ascii="宋体" w:hAnsi="宋体" w:cs="宋体" w:eastAsia="宋体" w:hint="default"/>
                <w:sz w:val="18"/>
                <w:szCs w:val="18"/>
              </w:rPr>
              <w:t>2.本期增加金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3,668,711.55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1,409,599.50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1,973,717.80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468,003.28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2,172,531.26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9,692,563.39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
              <w:jc w:val="right"/>
              <w:rPr>
                <w:rFonts w:ascii="宋体" w:hAnsi="宋体" w:cs="宋体" w:eastAsia="宋体" w:hint="default"/>
                <w:sz w:val="18"/>
                <w:szCs w:val="18"/>
              </w:rPr>
            </w:pPr>
            <w:r>
              <w:rPr>
                <w:rFonts w:ascii="宋体" w:hAnsi="宋体" w:cs="宋体" w:eastAsia="宋体" w:hint="default"/>
                <w:sz w:val="18"/>
                <w:szCs w:val="18"/>
              </w:rPr>
              <w:t>（1）计提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3,668,711.55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1,409,599.50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1,973,717.80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468,003.28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2,172,531.26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9,692,563.39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3" w:firstLine="180"/>
              <w:jc w:val="left"/>
              <w:rPr>
                <w:rFonts w:ascii="宋体" w:hAnsi="宋体" w:cs="宋体" w:eastAsia="宋体" w:hint="default"/>
                <w:sz w:val="18"/>
                <w:szCs w:val="18"/>
              </w:rPr>
            </w:pPr>
            <w:r>
              <w:rPr>
                <w:rFonts w:ascii="宋体" w:hAnsi="宋体" w:cs="宋体" w:eastAsia="宋体" w:hint="default"/>
                <w:sz w:val="18"/>
                <w:szCs w:val="18"/>
              </w:rPr>
              <w:t>3.本期减少金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3,759,815.67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303,800.46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193,645.06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1,376,794.85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5,634,056.04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firstLine="343"/>
              <w:jc w:val="left"/>
              <w:rPr>
                <w:rFonts w:ascii="宋体" w:hAnsi="宋体" w:cs="宋体" w:eastAsia="宋体" w:hint="default"/>
                <w:sz w:val="18"/>
                <w:szCs w:val="18"/>
              </w:rPr>
            </w:pPr>
            <w:r>
              <w:rPr>
                <w:rFonts w:ascii="宋体" w:hAnsi="宋体" w:cs="宋体" w:eastAsia="宋体" w:hint="default"/>
                <w:spacing w:val="-4"/>
                <w:sz w:val="18"/>
                <w:szCs w:val="18"/>
              </w:rPr>
              <w:t>（1）处置或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3,759,815.67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303,800.46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193,645.06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1,376,794.85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5,634,056.04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11,525,985.50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3,918,743.01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10,273,885.30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1,606,463.63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4,380,008.88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31,705,086.32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3" w:firstLine="180"/>
              <w:jc w:val="left"/>
              <w:rPr>
                <w:rFonts w:ascii="宋体" w:hAnsi="宋体" w:cs="宋体" w:eastAsia="宋体" w:hint="default"/>
                <w:sz w:val="18"/>
                <w:szCs w:val="18"/>
              </w:rPr>
            </w:pPr>
            <w:r>
              <w:rPr>
                <w:rFonts w:ascii="宋体" w:hAnsi="宋体" w:cs="宋体" w:eastAsia="宋体" w:hint="default"/>
                <w:sz w:val="18"/>
                <w:szCs w:val="18"/>
              </w:rPr>
              <w:t>2.本期增加金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62"/>
              <w:jc w:val="right"/>
              <w:rPr>
                <w:rFonts w:ascii="宋体" w:hAnsi="宋体" w:cs="宋体" w:eastAsia="宋体" w:hint="default"/>
                <w:sz w:val="18"/>
                <w:szCs w:val="18"/>
              </w:rPr>
            </w:pPr>
            <w:r>
              <w:rPr>
                <w:rFonts w:ascii="宋体" w:hAnsi="宋体" w:cs="宋体" w:eastAsia="宋体" w:hint="default"/>
                <w:sz w:val="18"/>
                <w:szCs w:val="18"/>
              </w:rPr>
              <w:t>（1）计提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3" w:firstLine="180"/>
              <w:jc w:val="left"/>
              <w:rPr>
                <w:rFonts w:ascii="宋体" w:hAnsi="宋体" w:cs="宋体" w:eastAsia="宋体" w:hint="default"/>
                <w:sz w:val="18"/>
                <w:szCs w:val="18"/>
              </w:rPr>
            </w:pPr>
            <w:r>
              <w:rPr>
                <w:rFonts w:ascii="宋体" w:hAnsi="宋体" w:cs="宋体" w:eastAsia="宋体" w:hint="default"/>
                <w:sz w:val="18"/>
                <w:szCs w:val="18"/>
              </w:rPr>
              <w:t>3.本期减少金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4"/>
                <w:sz w:val="18"/>
                <w:szCs w:val="18"/>
              </w:rPr>
              <w:t>（1）处置或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3" w:firstLine="180"/>
              <w:jc w:val="left"/>
              <w:rPr>
                <w:rFonts w:ascii="宋体" w:hAnsi="宋体" w:cs="宋体" w:eastAsia="宋体" w:hint="default"/>
                <w:sz w:val="18"/>
                <w:szCs w:val="18"/>
              </w:rPr>
            </w:pPr>
            <w:r>
              <w:rPr>
                <w:rFonts w:ascii="宋体" w:hAnsi="宋体" w:cs="宋体" w:eastAsia="宋体" w:hint="default"/>
                <w:sz w:val="18"/>
                <w:szCs w:val="18"/>
              </w:rPr>
              <w:t>1.期末账面价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86,585,191.04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11,430,671.07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12,997,698.13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3,305,197.37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8,011,488.55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122,330,246.16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3" w:firstLine="180"/>
              <w:jc w:val="left"/>
              <w:rPr>
                <w:rFonts w:ascii="宋体" w:hAnsi="宋体" w:cs="宋体" w:eastAsia="宋体" w:hint="default"/>
                <w:sz w:val="18"/>
                <w:szCs w:val="18"/>
              </w:rPr>
            </w:pPr>
            <w:r>
              <w:rPr>
                <w:rFonts w:ascii="宋体" w:hAnsi="宋体" w:cs="宋体" w:eastAsia="宋体" w:hint="default"/>
                <w:sz w:val="18"/>
                <w:szCs w:val="18"/>
              </w:rPr>
              <w:t>2.期初账面价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97,361,709.24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12,817,956.99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11,757,152.23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2,556,214.24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6,123,843.29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130,616,875.99</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（2）暂时闲置的固定资产情况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pStyle w:val="Heading6"/>
        <w:spacing w:line="240" w:lineRule="auto" w:before="34"/>
        <w:ind w:right="104"/>
        <w:jc w:val="left"/>
        <w:rPr>
          <w:b w:val="0"/>
          <w:bCs w:val="0"/>
        </w:rPr>
      </w:pPr>
      <w:r>
        <w:rPr/>
        <w:t>（3）通过融资租赁租入的固定资产情况</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left="152" w:right="5774"/>
        <w:jc w:val="left"/>
        <w:rPr>
          <w:b w:val="0"/>
          <w:bCs w:val="0"/>
        </w:rPr>
      </w:pPr>
      <w:r>
        <w:rPr/>
        <w:t>（4）通过经营租赁租出的固定资产</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5;height:397" coordorigin="13,13" coordsize="4775,397">
              <v:shape style="position:absolute;left:13;top:13;width:4775;height:397" coordorigin="13,13" coordsize="4775,397" path="m13,13l4788,13,4788,410,13,410,13,13xe" filled="true" fillcolor="#d3d3d3" stroked="false">
                <v:path arrowok="t"/>
                <v:fill type="solid"/>
              </v:shape>
            </v:group>
            <v:group style="position:absolute;left:4793;top:13;width:4783;height:397" coordorigin="4793,13" coordsize="4783,397">
              <v:shape style="position:absolute;left:4793;top:13;width:4783;height:397" coordorigin="4793,13" coordsize="4783,397" path="m4793,13l9576,13,9576,410,4793,410,479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0;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6"/>
        <w:spacing w:line="240" w:lineRule="auto" w:before="34"/>
        <w:ind w:left="152" w:right="5774"/>
        <w:jc w:val="left"/>
        <w:rPr>
          <w:b w:val="0"/>
          <w:bCs w:val="0"/>
        </w:rPr>
      </w:pPr>
      <w:r>
        <w:rPr/>
        <w:t>（5）未办妥产权证书的固定资产情况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52" w:right="7034"/>
        <w:jc w:val="left"/>
        <w:rPr>
          <w:b w:val="0"/>
          <w:bCs w:val="0"/>
        </w:rPr>
      </w:pPr>
      <w:r>
        <w:rPr/>
        <w:t>20、在建工程</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left="152" w:right="7034"/>
        <w:jc w:val="left"/>
        <w:rPr>
          <w:b w:val="0"/>
          <w:bCs w:val="0"/>
        </w:rPr>
      </w:pPr>
      <w:r>
        <w:rPr/>
        <w:t>（1）在建工程情况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智能路网管理系 统建设项目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374,425.43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374,425.43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655,077.11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655,077.11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高新区建设服务 外包基地项目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371,650.34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371,650.34</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交通运输智慧信 息服务平台建设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164,621.48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164,621.48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莱山区综合科技 大楼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675,684.00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675,684.00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1,214,730.91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1,214,730.91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1,026,727.45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1,026,727.45</w:t>
            </w:r>
          </w:p>
        </w:tc>
      </w:tr>
    </w:tbl>
    <w:p>
      <w:pPr>
        <w:spacing w:line="240" w:lineRule="auto" w:before="4"/>
        <w:rPr>
          <w:rFonts w:ascii="宋体" w:hAnsi="宋体" w:cs="宋体" w:eastAsia="宋体" w:hint="default"/>
          <w:sz w:val="19"/>
          <w:szCs w:val="19"/>
        </w:rPr>
      </w:pPr>
    </w:p>
    <w:p>
      <w:pPr>
        <w:pStyle w:val="Heading6"/>
        <w:spacing w:line="240" w:lineRule="auto" w:before="34"/>
        <w:ind w:left="152" w:right="5774"/>
        <w:jc w:val="left"/>
        <w:rPr>
          <w:b w:val="0"/>
          <w:bCs w:val="0"/>
        </w:rPr>
      </w:pPr>
      <w:r>
        <w:rPr/>
        <w:t>（2）重要在建工程项目本期变动情况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8"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0"/>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2" w:right="92"/>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4" w:right="90"/>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2" w:right="92"/>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智能路</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8"/>
              <w:jc w:val="left"/>
              <w:rPr>
                <w:rFonts w:ascii="宋体" w:hAnsi="宋体" w:cs="宋体" w:eastAsia="宋体" w:hint="default"/>
                <w:sz w:val="18"/>
                <w:szCs w:val="18"/>
              </w:rPr>
            </w:pPr>
            <w:r>
              <w:rPr>
                <w:rFonts w:ascii="宋体" w:hAnsi="宋体" w:cs="宋体" w:eastAsia="宋体" w:hint="default"/>
                <w:sz w:val="18"/>
                <w:szCs w:val="18"/>
              </w:rPr>
              <w:t>网管理 系统建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sz w:val="18"/>
              </w:rPr>
              <w:t>36,910,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3" w:right="0"/>
              <w:jc w:val="left"/>
              <w:rPr>
                <w:rFonts w:ascii="宋体" w:hAnsi="宋体" w:cs="宋体" w:eastAsia="宋体" w:hint="default"/>
                <w:sz w:val="18"/>
                <w:szCs w:val="18"/>
              </w:rPr>
            </w:pPr>
            <w:r>
              <w:rPr>
                <w:rFonts w:ascii="宋体"/>
                <w:sz w:val="18"/>
              </w:rPr>
              <w:t>655,077</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.11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sz w:val="18"/>
              </w:rPr>
              <w:t>1,146,2</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80.81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8" w:right="0"/>
              <w:jc w:val="center"/>
              <w:rPr>
                <w:rFonts w:ascii="宋体" w:hAnsi="宋体" w:cs="宋体" w:eastAsia="宋体" w:hint="default"/>
                <w:sz w:val="18"/>
                <w:szCs w:val="18"/>
              </w:rPr>
            </w:pPr>
            <w:r>
              <w:rPr>
                <w:rFonts w:ascii="宋体"/>
                <w:sz w:val="18"/>
              </w:rPr>
              <w:t>1,426,9</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32.49</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4" w:right="0"/>
              <w:jc w:val="left"/>
              <w:rPr>
                <w:rFonts w:ascii="宋体" w:hAnsi="宋体" w:cs="宋体" w:eastAsia="宋体" w:hint="default"/>
                <w:sz w:val="18"/>
                <w:szCs w:val="18"/>
              </w:rPr>
            </w:pPr>
            <w:r>
              <w:rPr>
                <w:rFonts w:ascii="宋体"/>
                <w:sz w:val="18"/>
              </w:rPr>
              <w:t>374,425</w:t>
            </w:r>
          </w:p>
          <w:p>
            <w:pPr>
              <w:pStyle w:val="TableParagraph"/>
              <w:spacing w:line="240" w:lineRule="auto" w:before="76"/>
              <w:ind w:left="434" w:right="0"/>
              <w:jc w:val="left"/>
              <w:rPr>
                <w:rFonts w:ascii="宋体" w:hAnsi="宋体" w:cs="宋体" w:eastAsia="宋体" w:hint="default"/>
                <w:sz w:val="18"/>
                <w:szCs w:val="18"/>
              </w:rPr>
            </w:pPr>
            <w:r>
              <w:rPr>
                <w:rFonts w:ascii="宋体"/>
                <w:sz w:val="18"/>
              </w:rPr>
              <w:t>.43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sz w:val="18"/>
              </w:rPr>
              <w:t>29.40%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sz w:val="18"/>
              </w:rPr>
              <w:t>29.4%</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0"/>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98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8"/>
              <w:jc w:val="both"/>
              <w:rPr>
                <w:rFonts w:ascii="宋体" w:hAnsi="宋体" w:cs="宋体" w:eastAsia="宋体" w:hint="default"/>
                <w:sz w:val="18"/>
                <w:szCs w:val="18"/>
              </w:rPr>
            </w:pPr>
            <w:r>
              <w:rPr>
                <w:rFonts w:ascii="宋体" w:hAnsi="宋体" w:cs="宋体" w:eastAsia="宋体" w:hint="default"/>
                <w:sz w:val="18"/>
                <w:szCs w:val="18"/>
              </w:rPr>
              <w:t>交通运 输智慧 信息服 务平台 建设项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sz w:val="18"/>
              </w:rPr>
              <w:t>47,950,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729,624</w:t>
            </w:r>
          </w:p>
          <w:p>
            <w:pPr>
              <w:pStyle w:val="TableParagraph"/>
              <w:spacing w:line="240" w:lineRule="auto" w:before="76"/>
              <w:ind w:left="434" w:right="0"/>
              <w:jc w:val="left"/>
              <w:rPr>
                <w:rFonts w:ascii="宋体" w:hAnsi="宋体" w:cs="宋体" w:eastAsia="宋体" w:hint="default"/>
                <w:sz w:val="18"/>
                <w:szCs w:val="18"/>
              </w:rPr>
            </w:pPr>
            <w:r>
              <w:rPr>
                <w:rFonts w:ascii="宋体"/>
                <w:sz w:val="18"/>
              </w:rPr>
              <w:t>.87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sz w:val="18"/>
              </w:rPr>
              <w:t>565,003</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.39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164,621</w:t>
            </w:r>
          </w:p>
          <w:p>
            <w:pPr>
              <w:pStyle w:val="TableParagraph"/>
              <w:spacing w:line="240" w:lineRule="auto" w:before="76"/>
              <w:ind w:left="434" w:right="0"/>
              <w:jc w:val="left"/>
              <w:rPr>
                <w:rFonts w:ascii="宋体" w:hAnsi="宋体" w:cs="宋体" w:eastAsia="宋体" w:hint="default"/>
                <w:sz w:val="18"/>
                <w:szCs w:val="18"/>
              </w:rPr>
            </w:pPr>
            <w:r>
              <w:rPr>
                <w:rFonts w:ascii="宋体"/>
                <w:sz w:val="18"/>
              </w:rPr>
              <w:t>.48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21.40%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51"/>
              <w:jc w:val="right"/>
              <w:rPr>
                <w:rFonts w:ascii="宋体" w:hAnsi="宋体" w:cs="宋体" w:eastAsia="宋体" w:hint="default"/>
                <w:sz w:val="18"/>
                <w:szCs w:val="18"/>
              </w:rPr>
            </w:pPr>
            <w:r>
              <w:rPr>
                <w:rFonts w:ascii="宋体"/>
                <w:spacing w:val="-1"/>
                <w:sz w:val="18"/>
              </w:rPr>
              <w:t>21.4%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3" w:right="160"/>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市场营 销及服 务网络 建设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2" w:right="0"/>
              <w:jc w:val="left"/>
              <w:rPr>
                <w:rFonts w:ascii="宋体" w:hAnsi="宋体" w:cs="宋体" w:eastAsia="宋体" w:hint="default"/>
                <w:sz w:val="18"/>
                <w:szCs w:val="18"/>
              </w:rPr>
            </w:pPr>
            <w:r>
              <w:rPr>
                <w:rFonts w:ascii="宋体"/>
                <w:sz w:val="18"/>
              </w:rPr>
              <w:t>42,210,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1" w:right="0"/>
              <w:jc w:val="center"/>
              <w:rPr>
                <w:rFonts w:ascii="宋体" w:hAnsi="宋体" w:cs="宋体" w:eastAsia="宋体" w:hint="default"/>
                <w:sz w:val="18"/>
                <w:szCs w:val="18"/>
              </w:rPr>
            </w:pPr>
            <w:r>
              <w:rPr>
                <w:rFonts w:ascii="宋体"/>
                <w:sz w:val="18"/>
              </w:rPr>
              <w:t>1,209,0</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65.77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2" w:right="0"/>
              <w:jc w:val="left"/>
              <w:rPr>
                <w:rFonts w:ascii="宋体" w:hAnsi="宋体" w:cs="宋体" w:eastAsia="宋体" w:hint="default"/>
                <w:sz w:val="18"/>
                <w:szCs w:val="18"/>
              </w:rPr>
            </w:pPr>
            <w:r>
              <w:rPr>
                <w:rFonts w:ascii="宋体"/>
                <w:sz w:val="18"/>
              </w:rPr>
              <w:t>347,868</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3" w:right="0"/>
              <w:jc w:val="left"/>
              <w:rPr>
                <w:rFonts w:ascii="宋体" w:hAnsi="宋体" w:cs="宋体" w:eastAsia="宋体" w:hint="default"/>
                <w:sz w:val="18"/>
                <w:szCs w:val="18"/>
              </w:rPr>
            </w:pPr>
            <w:r>
              <w:rPr>
                <w:rFonts w:ascii="宋体"/>
                <w:sz w:val="18"/>
              </w:rPr>
              <w:t>861,197</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1"/>
              <w:jc w:val="right"/>
              <w:rPr>
                <w:rFonts w:ascii="宋体" w:hAnsi="宋体" w:cs="宋体" w:eastAsia="宋体" w:hint="default"/>
                <w:sz w:val="18"/>
                <w:szCs w:val="18"/>
              </w:rPr>
            </w:pPr>
            <w:r>
              <w:rPr>
                <w:rFonts w:ascii="宋体"/>
                <w:spacing w:val="-1"/>
                <w:sz w:val="18"/>
              </w:rPr>
              <w:t>4.81%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160"/>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8"/>
              <w:jc w:val="both"/>
              <w:rPr>
                <w:rFonts w:ascii="宋体" w:hAnsi="宋体" w:cs="宋体" w:eastAsia="宋体" w:hint="default"/>
                <w:sz w:val="18"/>
                <w:szCs w:val="18"/>
              </w:rPr>
            </w:pPr>
            <w:r>
              <w:rPr>
                <w:rFonts w:ascii="宋体" w:hAnsi="宋体" w:cs="宋体" w:eastAsia="宋体" w:hint="default"/>
                <w:sz w:val="18"/>
                <w:szCs w:val="18"/>
              </w:rPr>
              <w:t>高新区 建设服 务外包 基地项 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371,650</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sz w:val="18"/>
              </w:rPr>
              <w:t>371,650</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firstLine="91"/>
              <w:jc w:val="left"/>
              <w:rPr>
                <w:rFonts w:ascii="宋体" w:hAnsi="宋体" w:cs="宋体" w:eastAsia="宋体" w:hint="default"/>
                <w:sz w:val="18"/>
                <w:szCs w:val="18"/>
              </w:rPr>
            </w:pPr>
            <w:r>
              <w:rPr>
                <w:rFonts w:ascii="宋体" w:hAnsi="宋体" w:cs="宋体" w:eastAsia="宋体" w:hint="default"/>
                <w:sz w:val="18"/>
                <w:szCs w:val="18"/>
              </w:rPr>
              <w:t>港口物 流软件 及信息 服务-产 品升级 与开发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sz w:val="18"/>
              </w:rPr>
              <w:t>75,140,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52,136.</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52,136.</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宋体" w:hAnsi="宋体" w:cs="宋体" w:eastAsia="宋体" w:hint="default"/>
                <w:sz w:val="18"/>
                <w:szCs w:val="18"/>
              </w:rPr>
            </w:pPr>
            <w:r>
              <w:rPr>
                <w:rFonts w:ascii="宋体"/>
                <w:spacing w:val="-1"/>
                <w:sz w:val="18"/>
              </w:rPr>
              <w:t>1.36%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1"/>
              <w:jc w:val="right"/>
              <w:rPr>
                <w:rFonts w:ascii="宋体" w:hAnsi="宋体" w:cs="宋体" w:eastAsia="宋体" w:hint="default"/>
                <w:sz w:val="18"/>
                <w:szCs w:val="18"/>
              </w:rPr>
            </w:pPr>
            <w:r>
              <w:rPr>
                <w:rFonts w:ascii="宋体"/>
                <w:spacing w:val="-1"/>
                <w:sz w:val="18"/>
              </w:rPr>
              <w:t>1.36%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60"/>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基于</w:t>
            </w:r>
          </w:p>
          <w:p>
            <w:pPr>
              <w:pStyle w:val="TableParagraph"/>
              <w:spacing w:line="240" w:lineRule="auto" w:before="76"/>
              <w:ind w:left="22" w:right="0"/>
              <w:jc w:val="both"/>
              <w:rPr>
                <w:rFonts w:ascii="宋体" w:hAnsi="宋体" w:cs="宋体" w:eastAsia="宋体" w:hint="default"/>
                <w:sz w:val="18"/>
                <w:szCs w:val="18"/>
              </w:rPr>
            </w:pPr>
            <w:r>
              <w:rPr>
                <w:rFonts w:ascii="宋体"/>
                <w:sz w:val="18"/>
              </w:rPr>
              <w:t>TD-LTE</w:t>
            </w:r>
          </w:p>
          <w:p>
            <w:pPr>
              <w:pStyle w:val="TableParagraph"/>
              <w:spacing w:line="316" w:lineRule="auto" w:before="76"/>
              <w:ind w:left="22" w:right="158"/>
              <w:jc w:val="both"/>
              <w:rPr>
                <w:rFonts w:ascii="宋体" w:hAnsi="宋体" w:cs="宋体" w:eastAsia="宋体" w:hint="default"/>
                <w:sz w:val="18"/>
                <w:szCs w:val="18"/>
              </w:rPr>
            </w:pPr>
            <w:r>
              <w:rPr>
                <w:rFonts w:ascii="宋体" w:hAnsi="宋体" w:cs="宋体" w:eastAsia="宋体" w:hint="default"/>
                <w:sz w:val="18"/>
                <w:szCs w:val="18"/>
              </w:rPr>
              <w:t>技术的 企业网 通讯终 端产业 化建设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72" w:right="0"/>
              <w:jc w:val="left"/>
              <w:rPr>
                <w:rFonts w:ascii="宋体" w:hAnsi="宋体" w:cs="宋体" w:eastAsia="宋体" w:hint="default"/>
                <w:sz w:val="18"/>
                <w:szCs w:val="18"/>
              </w:rPr>
            </w:pPr>
            <w:r>
              <w:rPr>
                <w:rFonts w:ascii="宋体"/>
                <w:sz w:val="18"/>
              </w:rPr>
              <w:t>40,550,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74" w:right="0"/>
              <w:jc w:val="left"/>
              <w:rPr>
                <w:rFonts w:ascii="宋体" w:hAnsi="宋体" w:cs="宋体" w:eastAsia="宋体" w:hint="default"/>
                <w:sz w:val="18"/>
                <w:szCs w:val="18"/>
              </w:rPr>
            </w:pPr>
            <w:r>
              <w:rPr>
                <w:rFonts w:ascii="宋体"/>
                <w:sz w:val="18"/>
              </w:rPr>
              <w:t>783,528</w:t>
            </w:r>
          </w:p>
          <w:p>
            <w:pPr>
              <w:pStyle w:val="TableParagraph"/>
              <w:spacing w:line="240" w:lineRule="auto" w:before="76"/>
              <w:ind w:left="434" w:right="0"/>
              <w:jc w:val="left"/>
              <w:rPr>
                <w:rFonts w:ascii="宋体" w:hAnsi="宋体" w:cs="宋体" w:eastAsia="宋体" w:hint="default"/>
                <w:sz w:val="18"/>
                <w:szCs w:val="18"/>
              </w:rPr>
            </w:pPr>
            <w:r>
              <w:rPr>
                <w:rFonts w:ascii="宋体"/>
                <w:sz w:val="18"/>
              </w:rPr>
              <w:t>.23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72" w:right="0"/>
              <w:jc w:val="left"/>
              <w:rPr>
                <w:rFonts w:ascii="宋体" w:hAnsi="宋体" w:cs="宋体" w:eastAsia="宋体" w:hint="default"/>
                <w:sz w:val="18"/>
                <w:szCs w:val="18"/>
              </w:rPr>
            </w:pPr>
            <w:r>
              <w:rPr>
                <w:rFonts w:ascii="宋体"/>
                <w:sz w:val="18"/>
              </w:rPr>
              <w:t>783,528</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.23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51"/>
              <w:jc w:val="right"/>
              <w:rPr>
                <w:rFonts w:ascii="宋体" w:hAnsi="宋体" w:cs="宋体" w:eastAsia="宋体" w:hint="default"/>
                <w:sz w:val="18"/>
                <w:szCs w:val="18"/>
              </w:rPr>
            </w:pPr>
            <w:r>
              <w:rPr>
                <w:rFonts w:ascii="宋体"/>
                <w:spacing w:val="-1"/>
                <w:sz w:val="18"/>
              </w:rPr>
              <w:t>8.24%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60"/>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莱山区 综合科 技大楼</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675,684</w:t>
            </w:r>
          </w:p>
          <w:p>
            <w:pPr>
              <w:pStyle w:val="TableParagraph"/>
              <w:spacing w:line="240" w:lineRule="auto" w:before="76"/>
              <w:ind w:left="434" w:right="0"/>
              <w:jc w:val="left"/>
              <w:rPr>
                <w:rFonts w:ascii="宋体" w:hAnsi="宋体" w:cs="宋体" w:eastAsia="宋体" w:hint="default"/>
                <w:sz w:val="18"/>
                <w:szCs w:val="18"/>
              </w:rPr>
            </w:pPr>
            <w:r>
              <w:rPr>
                <w:rFonts w:ascii="宋体"/>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675,684</w:t>
            </w:r>
          </w:p>
          <w:p>
            <w:pPr>
              <w:pStyle w:val="TableParagraph"/>
              <w:spacing w:line="240" w:lineRule="auto" w:before="76"/>
              <w:ind w:left="434" w:right="0"/>
              <w:jc w:val="left"/>
              <w:rPr>
                <w:rFonts w:ascii="宋体" w:hAnsi="宋体" w:cs="宋体" w:eastAsia="宋体" w:hint="default"/>
                <w:sz w:val="18"/>
                <w:szCs w:val="18"/>
              </w:rPr>
            </w:pPr>
            <w:r>
              <w:rPr>
                <w:rFonts w:ascii="宋体"/>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4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left"/>
              <w:rPr>
                <w:rFonts w:ascii="宋体" w:hAnsi="宋体" w:cs="宋体" w:eastAsia="宋体" w:hint="default"/>
                <w:sz w:val="18"/>
                <w:szCs w:val="18"/>
              </w:rPr>
            </w:pPr>
            <w:r>
              <w:rPr>
                <w:rFonts w:ascii="宋体"/>
                <w:sz w:val="18"/>
              </w:rPr>
              <w:t>242,760</w:t>
            </w:r>
          </w:p>
          <w:p>
            <w:pPr>
              <w:pStyle w:val="TableParagraph"/>
              <w:spacing w:line="240" w:lineRule="auto" w:before="76"/>
              <w:ind w:left="72"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 w:right="0"/>
              <w:jc w:val="center"/>
              <w:rPr>
                <w:rFonts w:ascii="宋体" w:hAnsi="宋体" w:cs="宋体" w:eastAsia="宋体" w:hint="default"/>
                <w:sz w:val="18"/>
                <w:szCs w:val="18"/>
              </w:rPr>
            </w:pPr>
            <w:r>
              <w:rPr>
                <w:rFonts w:ascii="宋体"/>
                <w:sz w:val="18"/>
              </w:rPr>
              <w:t>1,026,7</w:t>
            </w:r>
          </w:p>
          <w:p>
            <w:pPr>
              <w:pStyle w:val="TableParagraph"/>
              <w:spacing w:line="240" w:lineRule="auto" w:before="76"/>
              <w:ind w:left="229" w:right="0"/>
              <w:jc w:val="center"/>
              <w:rPr>
                <w:rFonts w:ascii="宋体" w:hAnsi="宋体" w:cs="宋体" w:eastAsia="宋体" w:hint="default"/>
                <w:sz w:val="18"/>
                <w:szCs w:val="18"/>
              </w:rPr>
            </w:pPr>
            <w:r>
              <w:rPr>
                <w:rFonts w:ascii="宋体"/>
                <w:sz w:val="18"/>
              </w:rPr>
              <w:t>27.45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 w:right="0"/>
              <w:jc w:val="center"/>
              <w:rPr>
                <w:rFonts w:ascii="宋体" w:hAnsi="宋体" w:cs="宋体" w:eastAsia="宋体" w:hint="default"/>
                <w:sz w:val="18"/>
                <w:szCs w:val="18"/>
              </w:rPr>
            </w:pPr>
            <w:r>
              <w:rPr>
                <w:rFonts w:ascii="宋体"/>
                <w:sz w:val="18"/>
              </w:rPr>
              <w:t>4,596,3</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20.43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 w:right="0"/>
              <w:jc w:val="center"/>
              <w:rPr>
                <w:rFonts w:ascii="宋体" w:hAnsi="宋体" w:cs="宋体" w:eastAsia="宋体" w:hint="default"/>
                <w:sz w:val="18"/>
                <w:szCs w:val="18"/>
              </w:rPr>
            </w:pPr>
            <w:r>
              <w:rPr>
                <w:rFonts w:ascii="宋体"/>
                <w:sz w:val="18"/>
              </w:rPr>
              <w:t>3,175,4</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69.63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 w:right="0"/>
              <w:jc w:val="center"/>
              <w:rPr>
                <w:rFonts w:ascii="宋体" w:hAnsi="宋体" w:cs="宋体" w:eastAsia="宋体" w:hint="default"/>
                <w:sz w:val="18"/>
                <w:szCs w:val="18"/>
              </w:rPr>
            </w:pPr>
            <w:r>
              <w:rPr>
                <w:rFonts w:ascii="宋体"/>
                <w:sz w:val="18"/>
              </w:rPr>
              <w:t>1,232,8</w:t>
            </w:r>
          </w:p>
          <w:p>
            <w:pPr>
              <w:pStyle w:val="TableParagraph"/>
              <w:spacing w:line="240" w:lineRule="auto" w:before="76"/>
              <w:ind w:left="229" w:right="0"/>
              <w:jc w:val="center"/>
              <w:rPr>
                <w:rFonts w:ascii="宋体" w:hAnsi="宋体" w:cs="宋体" w:eastAsia="宋体" w:hint="default"/>
                <w:sz w:val="18"/>
                <w:szCs w:val="18"/>
              </w:rPr>
            </w:pPr>
            <w:r>
              <w:rPr>
                <w:rFonts w:ascii="宋体"/>
                <w:sz w:val="18"/>
              </w:rPr>
              <w:t>47.34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 w:right="0"/>
              <w:jc w:val="center"/>
              <w:rPr>
                <w:rFonts w:ascii="宋体" w:hAnsi="宋体" w:cs="宋体" w:eastAsia="宋体" w:hint="default"/>
                <w:sz w:val="18"/>
                <w:szCs w:val="18"/>
              </w:rPr>
            </w:pPr>
            <w:r>
              <w:rPr>
                <w:rFonts w:ascii="宋体"/>
                <w:sz w:val="18"/>
              </w:rPr>
              <w:t>1,214,7</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30.91</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70"/>
              <w:jc w:val="right"/>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70"/>
              <w:jc w:val="right"/>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（3）本期计提在建工程减值准备情况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21、工程物资</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22、固定资产清理</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23、生产性生物资产</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（1）采用成本计量模式的生产性生物资产</w:t>
      </w:r>
      <w:r>
        <w:rPr>
          <w:b w:val="0"/>
          <w:bCs w:val="0"/>
        </w:rPr>
      </w:r>
    </w:p>
    <w:p>
      <w:pPr>
        <w:spacing w:line="240" w:lineRule="auto" w:before="12"/>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（2）采用公允价值计量模式的生产性生物资产</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24、油气资产</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25、无形资产</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（1）无形资产情况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0" w:right="0"/>
              <w:jc w:val="left"/>
              <w:rPr>
                <w:rFonts w:ascii="宋体" w:hAnsi="宋体" w:cs="宋体" w:eastAsia="宋体" w:hint="default"/>
                <w:sz w:val="18"/>
                <w:szCs w:val="18"/>
              </w:rPr>
            </w:pPr>
            <w:r>
              <w:rPr>
                <w:rFonts w:ascii="宋体"/>
                <w:sz w:val="18"/>
              </w:rPr>
              <w:t>6,779,136.00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48,714,126.89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263,058.13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55,756,321.02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18,643,327.30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780,227.44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19,423,554.74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780,227.44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780,227.44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（2）内部研</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18,643,327.30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18,643,327.30</w:t>
            </w:r>
          </w:p>
        </w:tc>
      </w:tr>
      <w:tr>
        <w:trPr>
          <w:trHeight w:val="71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9" w:firstLine="540"/>
              <w:jc w:val="left"/>
              <w:rPr>
                <w:rFonts w:ascii="宋体" w:hAnsi="宋体" w:cs="宋体" w:eastAsia="宋体" w:hint="default"/>
                <w:sz w:val="18"/>
                <w:szCs w:val="18"/>
              </w:rPr>
            </w:pPr>
            <w:r>
              <w:rPr>
                <w:rFonts w:ascii="宋体" w:hAnsi="宋体" w:cs="宋体" w:eastAsia="宋体" w:hint="default"/>
                <w:sz w:val="18"/>
                <w:szCs w:val="18"/>
              </w:rPr>
              <w:t>（3）企业合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pacing w:val="-1"/>
                <w:sz w:val="18"/>
                <w:szCs w:val="18"/>
              </w:rPr>
              <w:t>3.本期减少金额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308,566.77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308,566.77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9"/>
              <w:jc w:val="right"/>
              <w:rPr>
                <w:rFonts w:ascii="宋体" w:hAnsi="宋体" w:cs="宋体" w:eastAsia="宋体" w:hint="default"/>
                <w:sz w:val="18"/>
                <w:szCs w:val="18"/>
              </w:rPr>
            </w:pPr>
            <w:r>
              <w:rPr>
                <w:rFonts w:ascii="宋体" w:hAnsi="宋体" w:cs="宋体" w:eastAsia="宋体" w:hint="default"/>
                <w:sz w:val="18"/>
                <w:szCs w:val="18"/>
              </w:rPr>
              <w:t>（1）处置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（2）其他转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308,566.77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308,566.77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6,779,136.00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67,048,887.42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1,043,285.57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74,871,308.99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903,863.30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7,409,798.15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44,570.57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8,358,232.02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135,576.72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5,303,165.34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56,941.67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5,495,683.73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9"/>
              <w:jc w:val="right"/>
              <w:rPr>
                <w:rFonts w:ascii="宋体" w:hAnsi="宋体" w:cs="宋体" w:eastAsia="宋体" w:hint="default"/>
                <w:sz w:val="18"/>
                <w:szCs w:val="18"/>
              </w:rPr>
            </w:pPr>
            <w:r>
              <w:rPr>
                <w:rFonts w:ascii="宋体" w:hAnsi="宋体" w:cs="宋体" w:eastAsia="宋体" w:hint="default"/>
                <w:sz w:val="18"/>
                <w:szCs w:val="18"/>
              </w:rPr>
              <w:t>（1）计提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135,576.72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5,303,165.34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56,941.67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5,495,683.73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3.本期减少金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308,566.77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308,566.77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（1）处置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其他转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308,566.77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308,566.77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1,039,440.02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12,404,396.72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101,512.24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13,545,348.98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2.本期增加金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（1）计提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3.本期减少金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1.期末账面价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5,739,695.98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54,644,490.70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941,773.33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61,325,960.01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2.期初账面价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5,875,272.70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41,304,328.74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218,487.56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47,398,089.00</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8"/>
          <w:sz w:val="18"/>
          <w:szCs w:val="18"/>
        </w:rPr>
        <w:t> </w:t>
      </w:r>
      <w:r>
        <w:rPr>
          <w:rFonts w:ascii="宋体" w:hAnsi="宋体" w:cs="宋体" w:eastAsia="宋体" w:hint="default"/>
          <w:sz w:val="18"/>
          <w:szCs w:val="18"/>
        </w:rPr>
        <w:t>89.10%。</w:t>
      </w:r>
    </w:p>
    <w:p>
      <w:pPr>
        <w:spacing w:after="0"/>
        <w:jc w:val="left"/>
        <w:rPr>
          <w:rFonts w:ascii="宋体" w:hAnsi="宋体" w:cs="宋体" w:eastAsia="宋体" w:hint="default"/>
          <w:sz w:val="18"/>
          <w:szCs w:val="18"/>
        </w:rPr>
        <w:sectPr>
          <w:footerReference w:type="default" r:id="rId28"/>
          <w:pgSz w:w="11910" w:h="16840"/>
          <w:pgMar w:footer="978" w:header="746" w:top="1040" w:bottom="1160" w:left="1000" w:right="1020"/>
          <w:pgNumType w:start="1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（2）未办妥产权证书的土地使用权情况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26、开发支出</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76"/>
        <w:gridCol w:w="1276"/>
        <w:gridCol w:w="1276"/>
        <w:gridCol w:w="425"/>
        <w:gridCol w:w="425"/>
        <w:gridCol w:w="1418"/>
        <w:gridCol w:w="1345"/>
        <w:gridCol w:w="781"/>
        <w:gridCol w:w="1345"/>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道路运输车辆 卫星定位系统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6,128,671.03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7,005,749.24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13,134,420.27</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162"/>
              <w:jc w:val="both"/>
              <w:rPr>
                <w:rFonts w:ascii="宋体" w:hAnsi="宋体" w:cs="宋体" w:eastAsia="宋体" w:hint="default"/>
                <w:sz w:val="18"/>
                <w:szCs w:val="18"/>
              </w:rPr>
            </w:pPr>
            <w:r>
              <w:rPr>
                <w:rFonts w:ascii="宋体" w:hAnsi="宋体" w:cs="宋体" w:eastAsia="宋体" w:hint="default"/>
                <w:sz w:val="18"/>
                <w:szCs w:val="18"/>
              </w:rPr>
              <w:t>高速公路机电 系统管理信息 化平台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1,464,958.57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4,478,291.34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5,943,249.91</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both"/>
              <w:rPr>
                <w:rFonts w:ascii="宋体" w:hAnsi="宋体" w:cs="宋体" w:eastAsia="宋体" w:hint="default"/>
                <w:sz w:val="18"/>
                <w:szCs w:val="18"/>
              </w:rPr>
            </w:pPr>
            <w:r>
              <w:rPr>
                <w:rFonts w:ascii="宋体" w:hAnsi="宋体" w:cs="宋体" w:eastAsia="宋体" w:hint="default"/>
                <w:sz w:val="18"/>
                <w:szCs w:val="18"/>
              </w:rPr>
              <w:t>高速公路运营 综合管理平台 研究开发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2,856,315.55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1,703,805.37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4,560,120.92</w:t>
            </w: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162"/>
              <w:jc w:val="left"/>
              <w:rPr>
                <w:rFonts w:ascii="宋体" w:hAnsi="宋体" w:cs="宋体" w:eastAsia="宋体" w:hint="default"/>
                <w:sz w:val="18"/>
                <w:szCs w:val="18"/>
              </w:rPr>
            </w:pPr>
            <w:r>
              <w:rPr>
                <w:rFonts w:ascii="宋体" w:hAnsi="宋体" w:cs="宋体" w:eastAsia="宋体" w:hint="default"/>
                <w:sz w:val="18"/>
                <w:szCs w:val="18"/>
              </w:rPr>
              <w:t>公共安全应急 指挥调度平台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6,373,059.34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4,664,878.43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11,037,937.77</w:t>
            </w: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交通运输智慧 信息服务平台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1,810,293.90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5,081,160.37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6,891,454.27</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162"/>
              <w:jc w:val="both"/>
              <w:rPr>
                <w:rFonts w:ascii="宋体" w:hAnsi="宋体" w:cs="宋体" w:eastAsia="宋体" w:hint="default"/>
                <w:sz w:val="18"/>
                <w:szCs w:val="18"/>
              </w:rPr>
            </w:pPr>
            <w:r>
              <w:rPr>
                <w:rFonts w:ascii="宋体" w:hAnsi="宋体" w:cs="宋体" w:eastAsia="宋体" w:hint="default"/>
                <w:sz w:val="18"/>
                <w:szCs w:val="18"/>
              </w:rPr>
              <w:t>跨平台高速公 路车道收费系 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2,604,647.92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2,518,639.85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5,123,287.77</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路网管理与应 急处置综合数 据平台系统 V2.0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1,229,857.79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1,229,857.79</w:t>
            </w: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162"/>
              <w:jc w:val="both"/>
              <w:rPr>
                <w:rFonts w:ascii="宋体" w:hAnsi="宋体" w:cs="宋体" w:eastAsia="宋体" w:hint="default"/>
                <w:sz w:val="18"/>
                <w:szCs w:val="18"/>
              </w:rPr>
            </w:pPr>
            <w:r>
              <w:rPr>
                <w:rFonts w:ascii="宋体" w:hAnsi="宋体" w:cs="宋体" w:eastAsia="宋体" w:hint="default"/>
                <w:sz w:val="18"/>
                <w:szCs w:val="18"/>
              </w:rPr>
              <w:t>全国车辆购置 税征管便民纳 税服务系统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10,602.32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10,602.32</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智能路网管理 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2,275,478.20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6,839,234.74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9,114,712.94</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162"/>
              <w:jc w:val="both"/>
              <w:rPr>
                <w:rFonts w:ascii="宋体" w:hAnsi="宋体" w:cs="宋体" w:eastAsia="宋体" w:hint="default"/>
                <w:sz w:val="18"/>
                <w:szCs w:val="18"/>
              </w:rPr>
            </w:pPr>
            <w:r>
              <w:rPr>
                <w:rFonts w:ascii="宋体" w:hAnsi="宋体" w:cs="宋体" w:eastAsia="宋体" w:hint="default"/>
                <w:sz w:val="18"/>
                <w:szCs w:val="18"/>
              </w:rPr>
              <w:t>公众出行服务 和汽车后市场 服务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1,333,965.30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1,333,965.30</w:t>
            </w:r>
          </w:p>
        </w:tc>
      </w:tr>
      <w:tr>
        <w:trPr>
          <w:trHeight w:val="712"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智能航运船联 网平台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2,006,230.68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2,006,230.68</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276"/>
        <w:gridCol w:w="1276"/>
        <w:gridCol w:w="1276"/>
        <w:gridCol w:w="425"/>
        <w:gridCol w:w="425"/>
        <w:gridCol w:w="1418"/>
        <w:gridCol w:w="1345"/>
        <w:gridCol w:w="781"/>
        <w:gridCol w:w="1345"/>
      </w:tblGrid>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语音数据一体 化车载终端 8006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735,686.95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848,818.14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1,584,505.09</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流动机械数据 采集端</w:t>
            </w:r>
            <w:r>
              <w:rPr>
                <w:rFonts w:ascii="宋体" w:hAnsi="宋体" w:cs="宋体" w:eastAsia="宋体" w:hint="default"/>
                <w:spacing w:val="-45"/>
                <w:sz w:val="18"/>
                <w:szCs w:val="18"/>
              </w:rPr>
              <w:t> </w:t>
            </w:r>
            <w:r>
              <w:rPr>
                <w:rFonts w:ascii="宋体" w:hAnsi="宋体" w:cs="宋体" w:eastAsia="宋体" w:hint="default"/>
                <w:sz w:val="18"/>
                <w:szCs w:val="18"/>
              </w:rPr>
              <w:t>6010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560,513.97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835,109.72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1,395,623.69</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通用船舶代理 管理系统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1,815,410.82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1,815,410.82</w:t>
            </w: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TD-LTE</w:t>
            </w:r>
            <w:r>
              <w:rPr>
                <w:rFonts w:ascii="宋体" w:hAnsi="宋体" w:cs="宋体" w:eastAsia="宋体" w:hint="default"/>
                <w:spacing w:val="-47"/>
                <w:sz w:val="18"/>
                <w:szCs w:val="18"/>
              </w:rPr>
              <w:t> </w:t>
            </w: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3,083,592.44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3,083,592.44</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口岸集装箱物 流平台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678,680.01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678,680.01</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通用码头生产 管理操作系统 V7.0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1,063,958.44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1,063,958.44</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both"/>
              <w:rPr>
                <w:rFonts w:ascii="宋体" w:hAnsi="宋体" w:cs="宋体" w:eastAsia="宋体" w:hint="default"/>
                <w:sz w:val="18"/>
                <w:szCs w:val="18"/>
              </w:rPr>
            </w:pPr>
            <w:r>
              <w:rPr>
                <w:rFonts w:ascii="宋体" w:hAnsi="宋体" w:cs="宋体" w:eastAsia="宋体" w:hint="default"/>
                <w:sz w:val="18"/>
                <w:szCs w:val="18"/>
              </w:rPr>
              <w:t>语音数据一体 化手持无线终 端</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638,752.16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638,752.16</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口岸集装箱集 成平台</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671,720.00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671,720.00</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皖通科技 JAVAEE</w:t>
            </w:r>
            <w:r>
              <w:rPr>
                <w:rFonts w:ascii="宋体" w:hAnsi="宋体" w:cs="宋体" w:eastAsia="宋体" w:hint="default"/>
                <w:spacing w:val="-47"/>
                <w:sz w:val="18"/>
                <w:szCs w:val="18"/>
              </w:rPr>
              <w:t> </w:t>
            </w:r>
            <w:r>
              <w:rPr>
                <w:rFonts w:ascii="宋体" w:hAnsi="宋体" w:cs="宋体" w:eastAsia="宋体" w:hint="default"/>
                <w:sz w:val="18"/>
                <w:szCs w:val="18"/>
              </w:rPr>
              <w:t>统一开</w:t>
            </w:r>
            <w:r>
              <w:rPr>
                <w:rFonts w:ascii="宋体" w:hAnsi="宋体" w:cs="宋体" w:eastAsia="宋体" w:hint="default"/>
                <w:sz w:val="18"/>
                <w:szCs w:val="18"/>
              </w:rPr>
              <w:t> 发平台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1,346,164.11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1,580,095.65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2,926,259.76</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物联网传感数 据采集及设备 服务管理平台 联管理平台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2,195,686.38</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2,195,686.38</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both"/>
              <w:rPr>
                <w:rFonts w:ascii="宋体" w:hAnsi="宋体" w:cs="宋体" w:eastAsia="宋体" w:hint="default"/>
                <w:sz w:val="18"/>
                <w:szCs w:val="18"/>
              </w:rPr>
            </w:pPr>
            <w:r>
              <w:rPr>
                <w:rFonts w:ascii="宋体" w:hAnsi="宋体" w:cs="宋体" w:eastAsia="宋体" w:hint="default"/>
                <w:sz w:val="18"/>
                <w:szCs w:val="18"/>
              </w:rPr>
              <w:t>智慧交通数据 分析及管理决 策平台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1,113,324.21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977,500.04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2,090,824.25</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试验室质量管 控系统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270,247.85</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270,247.85</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both"/>
              <w:rPr>
                <w:rFonts w:ascii="宋体" w:hAnsi="宋体" w:cs="宋体" w:eastAsia="宋体" w:hint="default"/>
                <w:sz w:val="18"/>
                <w:szCs w:val="18"/>
              </w:rPr>
            </w:pPr>
            <w:r>
              <w:rPr>
                <w:rFonts w:ascii="宋体" w:hAnsi="宋体" w:cs="宋体" w:eastAsia="宋体" w:hint="default"/>
                <w:sz w:val="18"/>
                <w:szCs w:val="18"/>
              </w:rPr>
              <w:t>高速公路联网 收费票据管理 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220,329.25</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220,329.25</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拌和场生产管 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146,010.74</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146,010.74</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高速公路养护 管理系统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104,122.51</w:t>
            </w:r>
          </w:p>
        </w:tc>
        <w:tc>
          <w:tcPr>
            <w:tcW w:w="12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104,122.51</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30,205,510.48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49,066,052.85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18,643,327.30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17,586,353.48</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43,041,882.55</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27、商誉</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（1）商誉账面原值</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261"/>
        <w:gridCol w:w="2268"/>
        <w:gridCol w:w="708"/>
        <w:gridCol w:w="709"/>
        <w:gridCol w:w="709"/>
        <w:gridCol w:w="547"/>
        <w:gridCol w:w="1367"/>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84,135,934.22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84,135,934.22</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4,181,796.25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4,181,796.25</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88,317,730.47</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88,317,730.47</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（2）商誉减值准备</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60"/>
        <w:gridCol w:w="1174"/>
        <w:gridCol w:w="2734"/>
        <w:gridCol w:w="2734"/>
        <w:gridCol w:w="1367"/>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44" w:right="52" w:hanging="89"/>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7" w:lineRule="auto" w:before="50"/>
        <w:ind w:left="132" w:right="5054"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3"/>
        <w:rPr>
          <w:rFonts w:ascii="宋体" w:hAnsi="宋体" w:cs="宋体" w:eastAsia="宋体" w:hint="default"/>
          <w:sz w:val="20"/>
          <w:szCs w:val="20"/>
        </w:rPr>
      </w:pPr>
    </w:p>
    <w:p>
      <w:pPr>
        <w:pStyle w:val="Heading6"/>
        <w:spacing w:line="240" w:lineRule="auto"/>
        <w:ind w:right="104"/>
        <w:jc w:val="left"/>
        <w:rPr>
          <w:b w:val="0"/>
          <w:bCs w:val="0"/>
        </w:rPr>
      </w:pPr>
      <w:r>
        <w:rPr/>
        <w:t>28、长期待摊费用</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装修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861,197.00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861,197.00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861,197.00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861,197.00</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29、递延所得税资产/递延所得税负债</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（1）未经抵销的递延所得税资产</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36,431,224.77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5,501,074.04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34,006,093.58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5,107,353.02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5,173,226.84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870,285.53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4,389,964.18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818,896.44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300,171.89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45,025.78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4,132,143.31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619,821.50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4,497,770.00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674,665.50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3,149,757.95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472,463.69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46,402,393.50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7,091,050.85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45,677,959.02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7,018,534.65</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（2）未经抵销的递延所得税负债</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因收购烟台华东电子产 生的暂时性差异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1,970,492.93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295,573.94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8,181,365.33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1,227,204.80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1,970,492.93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295,573.94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8,181,365.33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1,227,204.80</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（3）以抵销后净额列示的递延所得税资产或负债</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2" w:right="49"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1" w:right="49"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7,091,050.85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7,018,534.65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295,573.94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1,227,204.80</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（4）未确认递延所得税资产明细</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2,676,713.09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1,135,241.17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607,509.44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629,216.94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15,369,002.36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9,570,314.02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18,653,224.89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11,334,772.13</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（5）未确认递延所得税资产的可抵扣亏损将于以下年度到期</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sz w:val="18"/>
              </w:rPr>
              <w:t>2016</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349,502.03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349,502.03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2017</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391,324.79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391,324.79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sz w:val="18"/>
              </w:rPr>
              <w:t>2018</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354,776.81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354,776.81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2019</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39,637.54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39,637.54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sz w:val="18"/>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1,541,471.92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2,676,713.09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1,135,241.17</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30、其他非流动资产</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45,320,000.00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45,320,000.00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73" w:lineRule="auto" w:before="0"/>
        <w:ind w:left="132" w:right="104" w:firstLine="300"/>
        <w:jc w:val="left"/>
      </w:pPr>
      <w:r>
        <w:rPr>
          <w:w w:val="95"/>
        </w:rPr>
        <w:t>其他非流动资产的说明：期末其他非流动资产系三级孙公司烟台华东电子科技有限公司预付烟台高新</w:t>
      </w:r>
      <w:r>
        <w:rPr>
          <w:spacing w:val="38"/>
          <w:w w:val="95"/>
        </w:rPr>
        <w:t> </w:t>
      </w:r>
      <w:r>
        <w:rPr>
          <w:spacing w:val="38"/>
          <w:w w:val="95"/>
        </w:rPr>
      </w:r>
      <w:r>
        <w:rPr/>
        <w:t>技术产业开发区财政局土地款。</w:t>
      </w:r>
    </w:p>
    <w:p>
      <w:pPr>
        <w:spacing w:line="240" w:lineRule="auto" w:before="9"/>
        <w:rPr>
          <w:rFonts w:ascii="宋体" w:hAnsi="宋体" w:cs="宋体" w:eastAsia="宋体" w:hint="default"/>
          <w:sz w:val="23"/>
          <w:szCs w:val="23"/>
        </w:rPr>
      </w:pPr>
    </w:p>
    <w:p>
      <w:pPr>
        <w:pStyle w:val="Heading6"/>
        <w:spacing w:line="240" w:lineRule="auto"/>
        <w:ind w:right="104"/>
        <w:jc w:val="left"/>
        <w:rPr>
          <w:b w:val="0"/>
          <w:bCs w:val="0"/>
        </w:rPr>
      </w:pPr>
      <w:r>
        <w:rPr/>
        <w:t>31、短期借款</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（1）短期借款分类</w:t>
      </w:r>
      <w:r>
        <w:rPr>
          <w:b w:val="0"/>
          <w:bCs w:val="0"/>
        </w:rPr>
      </w:r>
    </w:p>
    <w:p>
      <w:pPr>
        <w:spacing w:line="240" w:lineRule="auto" w:before="9"/>
        <w:rPr>
          <w:rFonts w:ascii="宋体" w:hAnsi="宋体" w:cs="宋体" w:eastAsia="宋体" w:hint="default"/>
          <w:b/>
          <w:bCs/>
          <w:sz w:val="27"/>
          <w:szCs w:val="27"/>
        </w:rPr>
      </w:pPr>
    </w:p>
    <w:p>
      <w:pPr>
        <w:spacing w:before="0"/>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10,000,000.00</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
        <w:rPr>
          <w:rFonts w:ascii="宋体" w:hAnsi="宋体" w:cs="宋体" w:eastAsia="宋体" w:hint="default"/>
          <w:sz w:val="13"/>
          <w:szCs w:val="13"/>
        </w:rPr>
      </w:pPr>
    </w:p>
    <w:p>
      <w:pPr>
        <w:pStyle w:val="BodyText"/>
        <w:spacing w:line="273" w:lineRule="auto" w:before="0"/>
        <w:ind w:left="132" w:right="195" w:firstLine="420"/>
        <w:jc w:val="both"/>
      </w:pPr>
      <w:r>
        <w:rPr>
          <w:w w:val="95"/>
        </w:rPr>
        <w:t>期末余额系子公司安徽汉高信息科技有限公司向中信银行合肥分行借款人民币1,000万元，借款期限</w:t>
      </w:r>
      <w:r>
        <w:rPr>
          <w:spacing w:val="-85"/>
          <w:w w:val="95"/>
        </w:rPr>
        <w:t> </w:t>
      </w:r>
      <w:r>
        <w:rPr>
          <w:spacing w:val="-85"/>
          <w:w w:val="95"/>
        </w:rPr>
      </w:r>
      <w:r>
        <w:rPr>
          <w:w w:val="95"/>
        </w:rPr>
        <w:t>自2015年5月13日至2016年5月13日，由本公司、安徽省交通物资有限责任公司共同提供最高额度为4,500</w:t>
      </w:r>
      <w:r>
        <w:rPr>
          <w:spacing w:val="57"/>
          <w:w w:val="95"/>
        </w:rPr>
        <w:t> </w:t>
      </w:r>
      <w:r>
        <w:rPr>
          <w:spacing w:val="57"/>
          <w:w w:val="95"/>
        </w:rPr>
      </w:r>
      <w:r>
        <w:rPr/>
        <w:t>万元担保。</w:t>
      </w:r>
    </w:p>
    <w:p>
      <w:pPr>
        <w:spacing w:line="240" w:lineRule="auto" w:before="7"/>
        <w:rPr>
          <w:rFonts w:ascii="宋体" w:hAnsi="宋体" w:cs="宋体" w:eastAsia="宋体" w:hint="default"/>
          <w:sz w:val="23"/>
          <w:szCs w:val="23"/>
        </w:rPr>
      </w:pPr>
    </w:p>
    <w:p>
      <w:pPr>
        <w:pStyle w:val="Heading6"/>
        <w:spacing w:line="240" w:lineRule="auto"/>
        <w:ind w:right="104"/>
        <w:jc w:val="left"/>
        <w:rPr>
          <w:b w:val="0"/>
          <w:bCs w:val="0"/>
        </w:rPr>
      </w:pPr>
      <w:r>
        <w:rPr/>
        <w:t>（2）已逾期未偿还的短期借款情况</w:t>
      </w:r>
      <w:r>
        <w:rPr>
          <w:b w:val="0"/>
          <w:bCs w:val="0"/>
        </w:rPr>
      </w:r>
    </w:p>
    <w:p>
      <w:pPr>
        <w:spacing w:line="240" w:lineRule="auto" w:before="7"/>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5"/>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32、以公允价值计量且其变动计入当期损益的金融负债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33、衍生金融负债</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34、应付票据</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23,906,543.86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15,440,560.01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23,906,543.86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15,440,560.01</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35、应付账款</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（1）应付账款列示</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192,138,610.79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21,241,251.45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144,490,774.96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216,703,244.76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336,629,385.75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237,944,496.21</w:t>
            </w:r>
          </w:p>
        </w:tc>
      </w:tr>
    </w:tbl>
    <w:p>
      <w:pPr>
        <w:spacing w:line="240" w:lineRule="auto" w:before="2"/>
        <w:rPr>
          <w:rFonts w:ascii="宋体" w:hAnsi="宋体" w:cs="宋体" w:eastAsia="宋体" w:hint="default"/>
          <w:sz w:val="19"/>
          <w:szCs w:val="19"/>
        </w:rPr>
      </w:pPr>
    </w:p>
    <w:p>
      <w:pPr>
        <w:pStyle w:val="Heading6"/>
        <w:spacing w:line="240" w:lineRule="auto" w:before="34"/>
        <w:ind w:right="104"/>
        <w:jc w:val="left"/>
        <w:rPr>
          <w:b w:val="0"/>
          <w:bCs w:val="0"/>
        </w:rPr>
      </w:pPr>
      <w:r>
        <w:rPr/>
        <w:t>（2）账龄超过</w:t>
      </w:r>
      <w:r>
        <w:rPr>
          <w:spacing w:val="-56"/>
        </w:rPr>
        <w:t> </w:t>
      </w:r>
      <w:r>
        <w:rPr/>
        <w:t>1</w:t>
      </w:r>
      <w:r>
        <w:rPr>
          <w:spacing w:val="-57"/>
        </w:rPr>
        <w:t> </w:t>
      </w:r>
      <w:r>
        <w:rPr/>
        <w:t>年的重要应付账款</w:t>
      </w:r>
      <w:r>
        <w:rPr>
          <w:b w:val="0"/>
          <w:bCs w:val="0"/>
        </w:rPr>
      </w:r>
    </w:p>
    <w:p>
      <w:pPr>
        <w:spacing w:line="240" w:lineRule="auto" w:before="7"/>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36、预收款项</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（1）预收款项列示</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预收工程项目款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114,777,238.22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59,707,027.31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114,777,238.22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59,707,027.31</w:t>
            </w:r>
          </w:p>
        </w:tc>
      </w:tr>
    </w:tbl>
    <w:p>
      <w:pPr>
        <w:spacing w:line="240" w:lineRule="auto" w:before="2"/>
        <w:rPr>
          <w:rFonts w:ascii="宋体" w:hAnsi="宋体" w:cs="宋体" w:eastAsia="宋体" w:hint="default"/>
          <w:sz w:val="19"/>
          <w:szCs w:val="19"/>
        </w:rPr>
      </w:pPr>
    </w:p>
    <w:p>
      <w:pPr>
        <w:pStyle w:val="Heading6"/>
        <w:spacing w:line="240" w:lineRule="auto" w:before="34"/>
        <w:ind w:right="104"/>
        <w:jc w:val="left"/>
        <w:rPr>
          <w:b w:val="0"/>
          <w:bCs w:val="0"/>
        </w:rPr>
      </w:pPr>
      <w:r>
        <w:rPr/>
        <w:t>（2）账龄超过</w:t>
      </w:r>
      <w:r>
        <w:rPr>
          <w:spacing w:val="-56"/>
        </w:rPr>
        <w:t> </w:t>
      </w:r>
      <w:r>
        <w:rPr/>
        <w:t>1</w:t>
      </w:r>
      <w:r>
        <w:rPr>
          <w:spacing w:val="-57"/>
        </w:rPr>
        <w:t> </w:t>
      </w:r>
      <w:r>
        <w:rPr/>
        <w:t>年的重要预收款项</w:t>
      </w:r>
      <w:r>
        <w:rPr>
          <w:b w:val="0"/>
          <w:bCs w:val="0"/>
        </w:rPr>
      </w:r>
    </w:p>
    <w:p>
      <w:pPr>
        <w:spacing w:line="240" w:lineRule="auto" w:before="7"/>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4,737,152.65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工程未完工结算</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4,314,005.20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工程未完工结算</w:t>
            </w:r>
          </w:p>
        </w:tc>
      </w:tr>
    </w:tbl>
    <w:p>
      <w:pPr>
        <w:spacing w:after="0" w:line="240" w:lineRule="auto"/>
        <w:jc w:val="center"/>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1,066,982.00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工程未完工结算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10,118,139.85</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37、应付职工薪酬</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（1）应付职工薪酬列示</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10"/>
        <w:gridCol w:w="1985"/>
        <w:gridCol w:w="1842"/>
        <w:gridCol w:w="1701"/>
        <w:gridCol w:w="1632"/>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13,751,452.71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97,215,521.64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95,069,292.76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15,897,681.59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5"/>
                <w:sz w:val="18"/>
                <w:szCs w:val="18"/>
              </w:rPr>
              <w:t>、</w:t>
            </w:r>
            <w:r>
              <w:rPr>
                <w:rFonts w:ascii="宋体" w:hAnsi="宋体" w:cs="宋体" w:eastAsia="宋体" w:hint="default"/>
                <w:sz w:val="18"/>
                <w:szCs w:val="18"/>
              </w:rPr>
              <w:t>离职后福利</w:t>
            </w:r>
            <w:r>
              <w:rPr>
                <w:rFonts w:ascii="宋体" w:hAnsi="宋体" w:cs="宋体" w:eastAsia="宋体" w:hint="default"/>
                <w:spacing w:val="-2"/>
                <w:sz w:val="18"/>
                <w:szCs w:val="18"/>
              </w:rPr>
              <w:t>-</w:t>
            </w:r>
            <w:r>
              <w:rPr>
                <w:rFonts w:ascii="宋体" w:hAnsi="宋体" w:cs="宋体" w:eastAsia="宋体" w:hint="default"/>
                <w:sz w:val="18"/>
                <w:szCs w:val="18"/>
              </w:rPr>
              <w:t>设定提存计划</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8,223,146.67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8,214,715.87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8,430.80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17,615.00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17,615.00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13,751,452.71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105,456,283.31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103,301,623.63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15,906,112.39</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（2）短期薪酬列示</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1、工资、奖金、津贴和</w:t>
            </w:r>
            <w:r>
              <w:rPr>
                <w:rFonts w:ascii="宋体" w:hAnsi="宋体" w:cs="宋体" w:eastAsia="宋体" w:hint="default"/>
                <w:sz w:val="18"/>
                <w:szCs w:val="18"/>
              </w:rPr>
              <w:t> 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11,454,140.81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86,367,207.70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84,091,764.20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13,729,584.31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2,891,219.59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2,891,219.59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3,932,727.35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3,926,254.75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6,472.60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8"/>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3,192,841.32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3,186,858.22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5,983.10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8"/>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373,061.12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372,952.32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8"/>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358,560.03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358,179.33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380.70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8,264.88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8,264.88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71,363.00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2,897,133.76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2,968,286.76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5、工会经费和职工教育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2,044,886.62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949,165.08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1,007,699.30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1,986,352.40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181,062.28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178,068.16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184,068.16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175,062.28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13,751,452.71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97,215,521.64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95,069,292.76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15,897,681.59</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（3）设定提存计划列示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7,744,077.02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7,736,462.12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7,614.90</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479,069.65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478,253.75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815.90</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2" w:right="0"/>
              <w:jc w:val="left"/>
              <w:rPr>
                <w:rFonts w:ascii="宋体" w:hAnsi="宋体" w:cs="宋体" w:eastAsia="宋体" w:hint="default"/>
                <w:sz w:val="18"/>
                <w:szCs w:val="18"/>
              </w:rPr>
            </w:pPr>
            <w:r>
              <w:rPr>
                <w:rFonts w:ascii="宋体"/>
                <w:sz w:val="18"/>
              </w:rPr>
              <w:t>8,223,146.67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0" w:right="0"/>
              <w:jc w:val="left"/>
              <w:rPr>
                <w:rFonts w:ascii="宋体" w:hAnsi="宋体" w:cs="宋体" w:eastAsia="宋体" w:hint="default"/>
                <w:sz w:val="18"/>
                <w:szCs w:val="18"/>
              </w:rPr>
            </w:pPr>
            <w:r>
              <w:rPr>
                <w:rFonts w:ascii="宋体"/>
                <w:sz w:val="18"/>
              </w:rPr>
              <w:t>8,214,715.87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61" w:right="0"/>
              <w:jc w:val="left"/>
              <w:rPr>
                <w:rFonts w:ascii="宋体" w:hAnsi="宋体" w:cs="宋体" w:eastAsia="宋体" w:hint="default"/>
                <w:sz w:val="18"/>
                <w:szCs w:val="18"/>
              </w:rPr>
            </w:pPr>
            <w:r>
              <w:rPr>
                <w:rFonts w:ascii="宋体"/>
                <w:sz w:val="18"/>
              </w:rPr>
              <w:t>8,430.80</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535" w:lineRule="auto" w:before="92"/>
        <w:ind w:left="132" w:right="5234" w:firstLine="420"/>
        <w:jc w:val="left"/>
        <w:rPr>
          <w:rFonts w:ascii="宋体" w:hAnsi="宋体" w:cs="宋体" w:eastAsia="宋体" w:hint="default"/>
          <w:sz w:val="21"/>
          <w:szCs w:val="21"/>
        </w:rPr>
      </w:pPr>
      <w:r>
        <w:rPr>
          <w:rFonts w:ascii="宋体" w:hAnsi="宋体" w:cs="宋体" w:eastAsia="宋体" w:hint="default"/>
          <w:w w:val="95"/>
          <w:sz w:val="21"/>
          <w:szCs w:val="21"/>
        </w:rPr>
        <w:t>期末应付职工薪酬中无拖欠性质的金额。</w:t>
      </w:r>
      <w:r>
        <w:rPr>
          <w:rFonts w:ascii="宋体" w:hAnsi="宋体" w:cs="宋体" w:eastAsia="宋体" w:hint="default"/>
          <w:w w:val="99"/>
          <w:sz w:val="21"/>
          <w:szCs w:val="21"/>
        </w:rPr>
        <w:t> </w:t>
      </w:r>
      <w:r>
        <w:rPr>
          <w:rFonts w:ascii="宋体" w:hAnsi="宋体" w:cs="宋体" w:eastAsia="宋体" w:hint="default"/>
          <w:b/>
          <w:bCs/>
          <w:sz w:val="21"/>
          <w:szCs w:val="21"/>
        </w:rPr>
        <w:t>38、应交税费</w:t>
      </w:r>
      <w:r>
        <w:rPr>
          <w:rFonts w:ascii="宋体" w:hAnsi="宋体" w:cs="宋体" w:eastAsia="宋体" w:hint="default"/>
          <w:sz w:val="21"/>
          <w:szCs w:val="21"/>
        </w:rPr>
      </w:r>
    </w:p>
    <w:p>
      <w:pPr>
        <w:spacing w:before="10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364,431.54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2,499,461.25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4,508,956.16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5,782,184.06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3,340,339.52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5,267,506.24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65,936.15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235,658.03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632,361.42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712,140.08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271,415.20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282,840.16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95,322.37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43,740.87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243,855.47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298,469.22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112,099.45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78,060.17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167,311.02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195,103.27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148,021.70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210,341.05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1,071.40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9,950,065.04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15,606,575.80</w:t>
            </w:r>
          </w:p>
        </w:tc>
      </w:tr>
    </w:tbl>
    <w:p>
      <w:pPr>
        <w:spacing w:before="52"/>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537" w:lineRule="auto" w:before="89"/>
        <w:ind w:left="132" w:right="1814"/>
        <w:jc w:val="left"/>
        <w:rPr>
          <w:rFonts w:ascii="宋体" w:hAnsi="宋体" w:cs="宋体" w:eastAsia="宋体" w:hint="default"/>
        </w:rPr>
      </w:pPr>
      <w:r>
        <w:rPr>
          <w:w w:val="95"/>
        </w:rPr>
        <w:t>应交税费期末余额比期初余额减少比例为36.24%，系由于本期缴纳上期税金所致。</w:t>
      </w:r>
      <w:r>
        <w:rPr>
          <w:spacing w:val="61"/>
          <w:w w:val="95"/>
        </w:rPr>
        <w:t> </w:t>
      </w:r>
      <w:r>
        <w:rPr>
          <w:spacing w:val="61"/>
          <w:w w:val="95"/>
        </w:rPr>
      </w:r>
      <w:r>
        <w:rPr>
          <w:rFonts w:ascii="宋体" w:hAnsi="宋体" w:cs="宋体" w:eastAsia="宋体" w:hint="default"/>
          <w:b/>
          <w:bCs/>
        </w:rPr>
        <w:t>39、应付利息</w:t>
      </w:r>
      <w:r>
        <w:rPr>
          <w:rFonts w:ascii="宋体" w:hAnsi="宋体" w:cs="宋体" w:eastAsia="宋体" w:hint="default"/>
        </w:rPr>
      </w:r>
    </w:p>
    <w:p>
      <w:pPr>
        <w:spacing w:before="10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16,250.00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40、应付股利</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年未支付的应付股利，应披露未支付原因：</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41、其他应付款</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（1）按款项性质列示其他应付款</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1,686,651.00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5,022,942.20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垫付款项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713,625.18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1,454,709.94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1,400,905.69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1,088,481.87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3,801,181.87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7,566,134.01</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（2）账龄超过</w:t>
      </w:r>
      <w:r>
        <w:rPr>
          <w:spacing w:val="-56"/>
        </w:rPr>
        <w:t> </w:t>
      </w:r>
      <w:r>
        <w:rPr/>
        <w:t>1</w:t>
      </w:r>
      <w:r>
        <w:rPr>
          <w:spacing w:val="-57"/>
        </w:rPr>
        <w:t> </w:t>
      </w:r>
      <w:r>
        <w:rPr/>
        <w:t>年的重要其他应付款</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42、划分为持有待售的负债</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43、一年内到期的非流动负债</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预计一年内转入利润表的递延收益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478,800.00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478,800.00</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44、其他流动负债</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after="0"/>
        <w:jc w:val="left"/>
        <w:rPr>
          <w:rFonts w:ascii="宋体" w:hAnsi="宋体" w:cs="宋体" w:eastAsia="宋体" w:hint="default"/>
          <w:sz w:val="18"/>
          <w:szCs w:val="18"/>
        </w:rPr>
        <w:sectPr>
          <w:footerReference w:type="default" r:id="rId29"/>
          <w:pgSz w:w="11910" w:h="16840"/>
          <w:pgMar w:footer="1508" w:header="746" w:top="1040" w:bottom="1700" w:left="1000" w:right="1020"/>
          <w:pgNumType w:start="129"/>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23" w:right="31" w:hanging="89"/>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05" w:right="32"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45、长期借款</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（1）长期借款分类</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0"/>
        <w:ind w:left="132" w:right="757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3"/>
        <w:rPr>
          <w:rFonts w:ascii="宋体" w:hAnsi="宋体" w:cs="宋体" w:eastAsia="宋体" w:hint="default"/>
          <w:sz w:val="20"/>
          <w:szCs w:val="20"/>
        </w:rPr>
      </w:pPr>
    </w:p>
    <w:p>
      <w:pPr>
        <w:pStyle w:val="Heading6"/>
        <w:spacing w:line="240" w:lineRule="auto"/>
        <w:ind w:right="104"/>
        <w:jc w:val="left"/>
        <w:rPr>
          <w:b w:val="0"/>
          <w:bCs w:val="0"/>
        </w:rPr>
      </w:pPr>
      <w:r>
        <w:rPr/>
        <w:t>46、应付债券</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（1）应付债券</w:t>
      </w:r>
      <w:r>
        <w:rPr>
          <w:b w:val="0"/>
          <w:bCs w:val="0"/>
        </w:rPr>
      </w:r>
    </w:p>
    <w:p>
      <w:pPr>
        <w:spacing w:line="240" w:lineRule="auto" w:before="7"/>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6"/>
        <w:spacing w:line="240" w:lineRule="auto" w:before="34"/>
        <w:ind w:right="104"/>
        <w:jc w:val="left"/>
        <w:rPr>
          <w:b w:val="0"/>
          <w:bCs w:val="0"/>
        </w:rPr>
      </w:pPr>
      <w:r>
        <w:rPr/>
        <w:t>（2）应付债券的增减变动（不包括划分为金融负债的优先股、永续债等其他金融工具）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24"/>
          <w:szCs w:val="24"/>
        </w:rPr>
      </w:pPr>
    </w:p>
    <w:p>
      <w:pPr>
        <w:pStyle w:val="Heading6"/>
        <w:spacing w:line="240" w:lineRule="auto" w:before="34"/>
        <w:ind w:right="104"/>
        <w:jc w:val="left"/>
        <w:rPr>
          <w:b w:val="0"/>
          <w:bCs w:val="0"/>
        </w:rPr>
      </w:pPr>
      <w:r>
        <w:rPr/>
        <w:t>（3）可转换公司债券的转股条件、转股时间说明</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（4）划分为金融负债的其他金融工具说明</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30"/>
          <w:pgSz w:w="11910" w:h="16840"/>
          <w:pgMar w:footer="978" w:header="746" w:top="1040" w:bottom="1160" w:left="1000" w:right="1020"/>
          <w:pgNumType w:start="130"/>
        </w:sectPr>
      </w:pPr>
    </w:p>
    <w:p>
      <w:pPr>
        <w:spacing w:line="357" w:lineRule="auto" w:before="44"/>
        <w:ind w:left="13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00" w:right="1020"/>
          <w:cols w:num="2" w:equalWidth="0">
            <w:col w:w="4633" w:space="4016"/>
            <w:col w:w="1241"/>
          </w:cols>
        </w:sectPr>
      </w:pP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66" w:right="76"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32" w:right="649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3"/>
        <w:rPr>
          <w:rFonts w:ascii="宋体" w:hAnsi="宋体" w:cs="宋体" w:eastAsia="宋体" w:hint="default"/>
          <w:sz w:val="20"/>
          <w:szCs w:val="20"/>
        </w:rPr>
      </w:pPr>
    </w:p>
    <w:p>
      <w:pPr>
        <w:pStyle w:val="Heading6"/>
        <w:spacing w:line="240" w:lineRule="auto"/>
        <w:ind w:right="104"/>
        <w:jc w:val="left"/>
        <w:rPr>
          <w:b w:val="0"/>
          <w:bCs w:val="0"/>
        </w:rPr>
      </w:pPr>
      <w:r>
        <w:rPr/>
        <w:t>47、长期应付款</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（1）按款项性质列示长期应付款</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48、长期应付职工薪酬</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（1）长期应付职工薪酬表</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（2）设定受益计划变动情况</w:t>
      </w:r>
      <w:r>
        <w:rPr>
          <w:b w:val="0"/>
          <w:bCs w:val="0"/>
        </w:rPr>
      </w:r>
    </w:p>
    <w:p>
      <w:pPr>
        <w:spacing w:line="240" w:lineRule="auto" w:before="4"/>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1"/>
        <w:ind w:left="132" w:right="253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49、专项应付款</w:t>
      </w:r>
      <w:r>
        <w:rPr>
          <w:b w:val="0"/>
          <w:bCs w:val="0"/>
        </w:rPr>
      </w:r>
    </w:p>
    <w:p>
      <w:pPr>
        <w:spacing w:line="240" w:lineRule="auto" w:before="7"/>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50、预计负债</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51、递延收益</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2,670,957.95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0" w:right="0"/>
              <w:jc w:val="left"/>
              <w:rPr>
                <w:rFonts w:ascii="宋体" w:hAnsi="宋体" w:cs="宋体" w:eastAsia="宋体" w:hint="default"/>
                <w:sz w:val="18"/>
                <w:szCs w:val="18"/>
              </w:rPr>
            </w:pPr>
            <w:r>
              <w:rPr>
                <w:rFonts w:ascii="宋体"/>
                <w:sz w:val="18"/>
              </w:rPr>
              <w:t>6,044,000.00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4,217,187.95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4,497,770.00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2" w:right="0"/>
              <w:jc w:val="left"/>
              <w:rPr>
                <w:rFonts w:ascii="宋体" w:hAnsi="宋体" w:cs="宋体" w:eastAsia="宋体" w:hint="default"/>
                <w:sz w:val="18"/>
                <w:szCs w:val="18"/>
              </w:rPr>
            </w:pPr>
            <w:r>
              <w:rPr>
                <w:rFonts w:ascii="宋体"/>
                <w:sz w:val="18"/>
              </w:rPr>
              <w:t>2,670,957.95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0" w:right="0"/>
              <w:jc w:val="left"/>
              <w:rPr>
                <w:rFonts w:ascii="宋体" w:hAnsi="宋体" w:cs="宋体" w:eastAsia="宋体" w:hint="default"/>
                <w:sz w:val="18"/>
                <w:szCs w:val="18"/>
              </w:rPr>
            </w:pPr>
            <w:r>
              <w:rPr>
                <w:rFonts w:ascii="宋体"/>
                <w:sz w:val="18"/>
              </w:rPr>
              <w:t>6,044,000.00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2" w:right="0"/>
              <w:jc w:val="left"/>
              <w:rPr>
                <w:rFonts w:ascii="宋体" w:hAnsi="宋体" w:cs="宋体" w:eastAsia="宋体" w:hint="default"/>
                <w:sz w:val="18"/>
                <w:szCs w:val="18"/>
              </w:rPr>
            </w:pPr>
            <w:r>
              <w:rPr>
                <w:rFonts w:ascii="宋体"/>
                <w:sz w:val="18"/>
              </w:rPr>
              <w:t>4,217,187.95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1" w:right="0"/>
              <w:jc w:val="left"/>
              <w:rPr>
                <w:rFonts w:ascii="宋体" w:hAnsi="宋体" w:cs="宋体" w:eastAsia="宋体" w:hint="default"/>
                <w:sz w:val="18"/>
                <w:szCs w:val="18"/>
              </w:rPr>
            </w:pPr>
            <w:r>
              <w:rPr>
                <w:rFonts w:ascii="宋体"/>
                <w:sz w:val="18"/>
              </w:rPr>
              <w:t>4,497,770.00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85"/>
        <w:gridCol w:w="1276"/>
        <w:gridCol w:w="1275"/>
        <w:gridCol w:w="1418"/>
        <w:gridCol w:w="1134"/>
        <w:gridCol w:w="1276"/>
        <w:gridCol w:w="1207"/>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52" w:right="91"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3" w:right="71" w:hanging="269"/>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49" w:right="101" w:hanging="46"/>
              <w:jc w:val="left"/>
              <w:rPr>
                <w:rFonts w:ascii="宋体" w:hAnsi="宋体" w:cs="宋体" w:eastAsia="宋体" w:hint="default"/>
                <w:sz w:val="18"/>
                <w:szCs w:val="18"/>
              </w:rPr>
            </w:pPr>
            <w:r>
              <w:rPr>
                <w:rFonts w:ascii="宋体" w:hAnsi="宋体" w:cs="宋体" w:eastAsia="宋体" w:hint="default"/>
                <w:sz w:val="18"/>
                <w:szCs w:val="18"/>
              </w:rPr>
              <w:t>与资产相关/ 与收益相关</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1"/>
              <w:jc w:val="left"/>
              <w:rPr>
                <w:rFonts w:ascii="宋体" w:hAnsi="宋体" w:cs="宋体" w:eastAsia="宋体" w:hint="default"/>
                <w:sz w:val="18"/>
                <w:szCs w:val="18"/>
              </w:rPr>
            </w:pPr>
            <w:r>
              <w:rPr>
                <w:rFonts w:ascii="宋体" w:hAnsi="宋体" w:cs="宋体" w:eastAsia="宋体" w:hint="default"/>
                <w:sz w:val="18"/>
                <w:szCs w:val="18"/>
              </w:rPr>
              <w:t>企业自主创新政策仪器 设备购置补助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3,444,000.00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146,230.00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3,297,770.00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智能航运船联网平台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center"/>
              <w:rPr>
                <w:rFonts w:ascii="宋体" w:hAnsi="宋体" w:cs="宋体" w:eastAsia="宋体" w:hint="default"/>
                <w:sz w:val="18"/>
                <w:szCs w:val="18"/>
              </w:rPr>
            </w:pPr>
            <w:r>
              <w:rPr>
                <w:rFonts w:ascii="宋体"/>
                <w:sz w:val="18"/>
              </w:rPr>
              <w:t>2,670,957.95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4,070,957.95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1"/>
              <w:jc w:val="left"/>
              <w:rPr>
                <w:rFonts w:ascii="宋体" w:hAnsi="宋体" w:cs="宋体" w:eastAsia="宋体" w:hint="default"/>
                <w:sz w:val="18"/>
                <w:szCs w:val="18"/>
              </w:rPr>
            </w:pPr>
            <w:r>
              <w:rPr>
                <w:rFonts w:ascii="宋体" w:hAnsi="宋体" w:cs="宋体" w:eastAsia="宋体" w:hint="default"/>
                <w:sz w:val="18"/>
                <w:szCs w:val="18"/>
              </w:rPr>
              <w:t>省智能语音产业合肥基 地引导资金支持项目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center"/>
              <w:rPr>
                <w:rFonts w:ascii="宋体" w:hAnsi="宋体" w:cs="宋体" w:eastAsia="宋体" w:hint="default"/>
                <w:sz w:val="18"/>
                <w:szCs w:val="18"/>
              </w:rPr>
            </w:pPr>
            <w:r>
              <w:rPr>
                <w:rFonts w:ascii="宋体"/>
                <w:sz w:val="18"/>
              </w:rPr>
              <w:t>2,670,957.95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6,044,000.00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4,217,187.95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4,497,770.00</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r>
    </w:tbl>
    <w:p>
      <w:pPr>
        <w:spacing w:before="52"/>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52、其他非流动负债</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53、股本</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195"/>
        <w:gridCol w:w="1357"/>
        <w:gridCol w:w="1036"/>
        <w:gridCol w:w="1196"/>
        <w:gridCol w:w="1453"/>
        <w:gridCol w:w="567"/>
        <w:gridCol w:w="1418"/>
        <w:gridCol w:w="134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3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8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3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357" w:type="dxa"/>
            <w:vMerge/>
            <w:tcBorders>
              <w:left w:val="single" w:sz="4" w:space="0" w:color="000000"/>
              <w:bottom w:val="single" w:sz="4" w:space="0" w:color="000000"/>
              <w:right w:val="single" w:sz="4" w:space="0" w:color="000000"/>
            </w:tcBorders>
            <w:shd w:val="clear" w:color="auto" w:fill="D3D3D3"/>
          </w:tcPr>
          <w:p>
            <w:pPr/>
          </w:p>
        </w:tc>
        <w:tc>
          <w:tcPr>
            <w:tcW w:w="1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34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left"/>
              <w:rPr>
                <w:rFonts w:ascii="宋体" w:hAnsi="宋体" w:cs="宋体" w:eastAsia="宋体" w:hint="default"/>
                <w:sz w:val="18"/>
                <w:szCs w:val="18"/>
              </w:rPr>
            </w:pPr>
            <w:r>
              <w:rPr>
                <w:rFonts w:ascii="宋体"/>
                <w:sz w:val="18"/>
              </w:rPr>
              <w:t>243,282,678.00</w:t>
            </w:r>
          </w:p>
        </w:tc>
        <w:tc>
          <w:tcPr>
            <w:tcW w:w="103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9" w:right="0"/>
              <w:jc w:val="left"/>
              <w:rPr>
                <w:rFonts w:ascii="宋体" w:hAnsi="宋体" w:cs="宋体" w:eastAsia="宋体" w:hint="default"/>
                <w:sz w:val="18"/>
                <w:szCs w:val="18"/>
              </w:rPr>
            </w:pPr>
            <w:r>
              <w:rPr>
                <w:rFonts w:ascii="宋体"/>
                <w:sz w:val="18"/>
              </w:rPr>
              <w:t>48,656,535.00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4" w:right="0"/>
              <w:jc w:val="left"/>
              <w:rPr>
                <w:rFonts w:ascii="宋体" w:hAnsi="宋体" w:cs="宋体" w:eastAsia="宋体" w:hint="default"/>
                <w:sz w:val="18"/>
                <w:szCs w:val="18"/>
              </w:rPr>
            </w:pPr>
            <w:r>
              <w:rPr>
                <w:rFonts w:ascii="宋体"/>
                <w:sz w:val="18"/>
              </w:rPr>
              <w:t>48,656,535.00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left"/>
              <w:rPr>
                <w:rFonts w:ascii="宋体" w:hAnsi="宋体" w:cs="宋体" w:eastAsia="宋体" w:hint="default"/>
                <w:sz w:val="18"/>
                <w:szCs w:val="18"/>
              </w:rPr>
            </w:pPr>
            <w:r>
              <w:rPr>
                <w:rFonts w:ascii="宋体"/>
                <w:sz w:val="18"/>
              </w:rPr>
              <w:t>291,939,213.00</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2"/>
        <w:ind w:left="132" w:right="111" w:firstLine="420"/>
        <w:jc w:val="both"/>
        <w:rPr>
          <w:sz w:val="20"/>
          <w:szCs w:val="20"/>
        </w:rPr>
      </w:pPr>
      <w:r>
        <w:rPr>
          <w:spacing w:val="2"/>
          <w:w w:val="95"/>
        </w:rPr>
        <w:t>根据公司2015年3月11日召开的2014年度股东大会审议通过2014年度利润分配以及资本公积金转增股</w:t>
      </w:r>
      <w:r>
        <w:rPr>
          <w:w w:val="99"/>
        </w:rPr>
        <w:t> </w:t>
      </w:r>
      <w:r>
        <w:rPr>
          <w:spacing w:val="2"/>
        </w:rPr>
        <w:t>本方案，分配方案为以公司现有总股本</w:t>
      </w:r>
      <w:r>
        <w:rPr>
          <w:spacing w:val="2"/>
          <w:sz w:val="18"/>
          <w:szCs w:val="18"/>
        </w:rPr>
        <w:t>243,282,678</w:t>
      </w:r>
      <w:r>
        <w:rPr>
          <w:spacing w:val="2"/>
        </w:rPr>
        <w:t>股为基数，向全体股东每10股派发现金红利人民币0.5</w:t>
      </w:r>
      <w:r>
        <w:rPr>
          <w:spacing w:val="-99"/>
        </w:rPr>
        <w:t> </w:t>
      </w:r>
      <w:r>
        <w:rPr>
          <w:spacing w:val="-99"/>
        </w:rPr>
      </w:r>
      <w:r>
        <w:rPr/>
        <w:t>元（含税），同时用资本公积金转增股本，向全体股东每10股转增2股，不送股，共计转增股本</w:t>
      </w:r>
      <w:r>
        <w:rPr>
          <w:sz w:val="18"/>
          <w:szCs w:val="18"/>
        </w:rPr>
        <w:t>48,656,535</w:t>
      </w:r>
      <w:r>
        <w:rPr>
          <w:spacing w:val="-85"/>
          <w:sz w:val="18"/>
          <w:szCs w:val="18"/>
        </w:rPr>
        <w:t> </w:t>
      </w:r>
      <w:r>
        <w:rPr>
          <w:spacing w:val="-85"/>
          <w:sz w:val="18"/>
          <w:szCs w:val="18"/>
        </w:rPr>
      </w:r>
      <w:r>
        <w:rPr/>
        <w:t>元</w:t>
      </w:r>
      <w:r>
        <w:rPr>
          <w:sz w:val="20"/>
          <w:szCs w:val="20"/>
        </w:rPr>
        <w:t>。</w:t>
      </w:r>
    </w:p>
    <w:p>
      <w:pPr>
        <w:spacing w:line="240" w:lineRule="auto" w:before="7"/>
        <w:rPr>
          <w:rFonts w:ascii="宋体" w:hAnsi="宋体" w:cs="宋体" w:eastAsia="宋体" w:hint="default"/>
          <w:sz w:val="23"/>
          <w:szCs w:val="23"/>
        </w:rPr>
      </w:pPr>
    </w:p>
    <w:p>
      <w:pPr>
        <w:pStyle w:val="Heading6"/>
        <w:spacing w:line="240" w:lineRule="auto"/>
        <w:ind w:right="104"/>
        <w:jc w:val="left"/>
        <w:rPr>
          <w:b w:val="0"/>
          <w:bCs w:val="0"/>
        </w:rPr>
      </w:pPr>
      <w:r>
        <w:rPr/>
        <w:t>54、其他权益工具</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（1）期末发行在外的优先股、永续债等其他金融工具基本情况</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（2）期末发行在外的优先股、永续债等金融工具变动情况表</w:t>
      </w:r>
      <w:r>
        <w:rPr>
          <w:b w:val="0"/>
          <w:bCs w:val="0"/>
        </w:rPr>
      </w:r>
    </w:p>
    <w:p>
      <w:pPr>
        <w:spacing w:line="240" w:lineRule="auto" w:before="9"/>
        <w:rPr>
          <w:rFonts w:ascii="宋体" w:hAnsi="宋体" w:cs="宋体" w:eastAsia="宋体" w:hint="default"/>
          <w:b/>
          <w:bCs/>
          <w:sz w:val="27"/>
          <w:szCs w:val="27"/>
        </w:rPr>
      </w:pPr>
    </w:p>
    <w:p>
      <w:pPr>
        <w:spacing w:before="0"/>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66" w:right="76"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0"/>
        <w:ind w:left="132" w:right="361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6"/>
        <w:spacing w:line="240" w:lineRule="auto"/>
        <w:ind w:right="104"/>
        <w:jc w:val="left"/>
        <w:rPr>
          <w:b w:val="0"/>
          <w:bCs w:val="0"/>
        </w:rPr>
      </w:pPr>
      <w:r>
        <w:rPr/>
        <w:t>55、资本公积</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2" w:right="0"/>
              <w:jc w:val="left"/>
              <w:rPr>
                <w:rFonts w:ascii="宋体" w:hAnsi="宋体" w:cs="宋体" w:eastAsia="宋体" w:hint="default"/>
                <w:sz w:val="18"/>
                <w:szCs w:val="18"/>
              </w:rPr>
            </w:pPr>
            <w:r>
              <w:rPr>
                <w:rFonts w:ascii="宋体"/>
                <w:sz w:val="18"/>
              </w:rPr>
              <w:t>650,811,846.75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48,656,535.00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1" w:right="0"/>
              <w:jc w:val="left"/>
              <w:rPr>
                <w:rFonts w:ascii="宋体" w:hAnsi="宋体" w:cs="宋体" w:eastAsia="宋体" w:hint="default"/>
                <w:sz w:val="18"/>
                <w:szCs w:val="18"/>
              </w:rPr>
            </w:pPr>
            <w:r>
              <w:rPr>
                <w:rFonts w:ascii="宋体"/>
                <w:sz w:val="18"/>
              </w:rPr>
              <w:t>602,155,311.75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2" w:right="0"/>
              <w:jc w:val="left"/>
              <w:rPr>
                <w:rFonts w:ascii="宋体" w:hAnsi="宋体" w:cs="宋体" w:eastAsia="宋体" w:hint="default"/>
                <w:sz w:val="18"/>
                <w:szCs w:val="18"/>
              </w:rPr>
            </w:pPr>
            <w:r>
              <w:rPr>
                <w:rFonts w:ascii="宋体"/>
                <w:sz w:val="18"/>
              </w:rPr>
              <w:t>650,811,846.75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48,656,535.00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1" w:right="0"/>
              <w:jc w:val="left"/>
              <w:rPr>
                <w:rFonts w:ascii="宋体" w:hAnsi="宋体" w:cs="宋体" w:eastAsia="宋体" w:hint="default"/>
                <w:sz w:val="18"/>
                <w:szCs w:val="18"/>
              </w:rPr>
            </w:pPr>
            <w:r>
              <w:rPr>
                <w:rFonts w:ascii="宋体"/>
                <w:sz w:val="18"/>
              </w:rPr>
              <w:t>602,155,311.75</w:t>
            </w:r>
          </w:p>
        </w:tc>
      </w:tr>
    </w:tbl>
    <w:p>
      <w:pPr>
        <w:spacing w:before="52"/>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537" w:lineRule="auto" w:before="89"/>
        <w:ind w:left="132" w:right="5849" w:firstLine="420"/>
        <w:jc w:val="left"/>
        <w:rPr>
          <w:rFonts w:ascii="宋体" w:hAnsi="宋体" w:cs="宋体" w:eastAsia="宋体" w:hint="default"/>
          <w:sz w:val="21"/>
          <w:szCs w:val="21"/>
        </w:rPr>
      </w:pPr>
      <w:r>
        <w:rPr>
          <w:rFonts w:ascii="宋体" w:hAnsi="宋体" w:cs="宋体" w:eastAsia="宋体" w:hint="default"/>
          <w:sz w:val="21"/>
          <w:szCs w:val="21"/>
        </w:rPr>
        <w:t>本期增加详见附注六、注释24.股本。</w:t>
      </w:r>
      <w:r>
        <w:rPr>
          <w:rFonts w:ascii="宋体" w:hAnsi="宋体" w:cs="宋体" w:eastAsia="宋体" w:hint="default"/>
          <w:w w:val="99"/>
          <w:sz w:val="21"/>
          <w:szCs w:val="21"/>
        </w:rPr>
        <w:t> </w:t>
      </w:r>
      <w:r>
        <w:rPr>
          <w:rFonts w:ascii="宋体" w:hAnsi="宋体" w:cs="宋体" w:eastAsia="宋体" w:hint="default"/>
          <w:b/>
          <w:bCs/>
          <w:sz w:val="21"/>
          <w:szCs w:val="21"/>
        </w:rPr>
        <w:t>56、库存股</w:t>
      </w:r>
      <w:r>
        <w:rPr>
          <w:rFonts w:ascii="宋体" w:hAnsi="宋体" w:cs="宋体" w:eastAsia="宋体" w:hint="default"/>
          <w:sz w:val="21"/>
          <w:szCs w:val="21"/>
        </w:rPr>
      </w:r>
    </w:p>
    <w:p>
      <w:pPr>
        <w:spacing w:before="102"/>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57、其他综合收益</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418"/>
        <w:gridCol w:w="992"/>
        <w:gridCol w:w="1276"/>
        <w:gridCol w:w="1984"/>
        <w:gridCol w:w="851"/>
        <w:gridCol w:w="992"/>
        <w:gridCol w:w="1259"/>
        <w:gridCol w:w="796"/>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6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62" w:right="90"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56" w:right="20" w:hanging="334"/>
              <w:jc w:val="left"/>
              <w:rPr>
                <w:rFonts w:ascii="宋体" w:hAnsi="宋体" w:cs="宋体" w:eastAsia="宋体" w:hint="default"/>
                <w:sz w:val="18"/>
                <w:szCs w:val="18"/>
              </w:rPr>
            </w:pPr>
            <w:r>
              <w:rPr>
                <w:rFonts w:ascii="宋体" w:hAnsi="宋体" w:cs="宋体" w:eastAsia="宋体" w:hint="default"/>
                <w:spacing w:val="-5"/>
                <w:sz w:val="18"/>
                <w:szCs w:val="18"/>
              </w:rPr>
              <w:t>减：前期计入其他综合收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益当期转入损益</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50" w:right="60" w:hanging="92"/>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1" w:right="39"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1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54" w:right="84" w:hanging="272"/>
              <w:jc w:val="left"/>
              <w:rPr>
                <w:rFonts w:ascii="宋体" w:hAnsi="宋体" w:cs="宋体" w:eastAsia="宋体" w:hint="default"/>
                <w:sz w:val="18"/>
                <w:szCs w:val="18"/>
              </w:rPr>
            </w:pPr>
            <w:r>
              <w:rPr>
                <w:rFonts w:ascii="宋体" w:hAnsi="宋体" w:cs="宋体" w:eastAsia="宋体" w:hint="default"/>
                <w:sz w:val="18"/>
                <w:szCs w:val="18"/>
              </w:rPr>
              <w:t>税后归属于少 数股东</w:t>
            </w:r>
          </w:p>
        </w:tc>
        <w:tc>
          <w:tcPr>
            <w:tcW w:w="796" w:type="dxa"/>
            <w:vMerge/>
            <w:tcBorders>
              <w:left w:val="single" w:sz="4" w:space="0" w:color="000000"/>
              <w:bottom w:val="single" w:sz="4" w:space="0" w:color="000000"/>
              <w:right w:val="single" w:sz="4" w:space="0" w:color="000000"/>
            </w:tcBorders>
            <w:shd w:val="clear" w:color="auto" w:fill="D3D3D3"/>
          </w:tcPr>
          <w:p>
            <w:pP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58、专项储备</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59、盈余公积</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98"/>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4" w:right="0"/>
              <w:jc w:val="left"/>
              <w:rPr>
                <w:rFonts w:ascii="宋体" w:hAnsi="宋体" w:cs="宋体" w:eastAsia="宋体" w:hint="default"/>
                <w:sz w:val="18"/>
                <w:szCs w:val="18"/>
              </w:rPr>
            </w:pPr>
            <w:r>
              <w:rPr>
                <w:rFonts w:ascii="宋体"/>
                <w:sz w:val="18"/>
              </w:rPr>
              <w:t>28,962,449.46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2" w:right="0"/>
              <w:jc w:val="left"/>
              <w:rPr>
                <w:rFonts w:ascii="宋体" w:hAnsi="宋体" w:cs="宋体" w:eastAsia="宋体" w:hint="default"/>
                <w:sz w:val="18"/>
                <w:szCs w:val="18"/>
              </w:rPr>
            </w:pPr>
            <w:r>
              <w:rPr>
                <w:rFonts w:ascii="宋体"/>
                <w:sz w:val="18"/>
              </w:rPr>
              <w:t>4,725,783.06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33,688,232.52</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4" w:right="0"/>
              <w:jc w:val="left"/>
              <w:rPr>
                <w:rFonts w:ascii="宋体" w:hAnsi="宋体" w:cs="宋体" w:eastAsia="宋体" w:hint="default"/>
                <w:sz w:val="18"/>
                <w:szCs w:val="18"/>
              </w:rPr>
            </w:pPr>
            <w:r>
              <w:rPr>
                <w:rFonts w:ascii="宋体"/>
                <w:sz w:val="18"/>
              </w:rPr>
              <w:t>28,962,449.46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2" w:right="0"/>
              <w:jc w:val="left"/>
              <w:rPr>
                <w:rFonts w:ascii="宋体" w:hAnsi="宋体" w:cs="宋体" w:eastAsia="宋体" w:hint="default"/>
                <w:sz w:val="18"/>
                <w:szCs w:val="18"/>
              </w:rPr>
            </w:pPr>
            <w:r>
              <w:rPr>
                <w:rFonts w:ascii="宋体"/>
                <w:sz w:val="18"/>
              </w:rPr>
              <w:t>4,725,783.06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0" w:right="0"/>
              <w:jc w:val="left"/>
              <w:rPr>
                <w:rFonts w:ascii="宋体" w:hAnsi="宋体" w:cs="宋体" w:eastAsia="宋体" w:hint="default"/>
                <w:sz w:val="18"/>
                <w:szCs w:val="18"/>
              </w:rPr>
            </w:pPr>
            <w:r>
              <w:rPr>
                <w:rFonts w:ascii="宋体"/>
                <w:sz w:val="18"/>
              </w:rPr>
              <w:t>33,688,232.52</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60、未分配利润</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249,287,881.43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200,892,692.68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249,287,881.43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200,892,692.68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69,494,426.63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57,132,485.37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4,725,783.06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4,452,164.22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12,164,133.90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4,285,132.40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301,892,391.10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249,287,881.43</w:t>
            </w:r>
          </w:p>
        </w:tc>
      </w:tr>
    </w:tbl>
    <w:p>
      <w:pPr>
        <w:spacing w:line="360" w:lineRule="auto" w:before="50"/>
        <w:ind w:left="132" w:right="3074"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1)、由于《企业会计准则》及其相关新规定进行追溯调整，影响期初未分配利润元。</w:t>
      </w:r>
    </w:p>
    <w:p>
      <w:pPr>
        <w:spacing w:before="27"/>
        <w:ind w:left="132" w:right="104" w:firstLine="0"/>
        <w:jc w:val="left"/>
        <w:rPr>
          <w:rFonts w:ascii="宋体" w:hAnsi="宋体" w:cs="宋体" w:eastAsia="宋体" w:hint="default"/>
          <w:sz w:val="18"/>
          <w:szCs w:val="18"/>
        </w:rPr>
      </w:pPr>
      <w:r>
        <w:rPr>
          <w:rFonts w:ascii="宋体" w:hAnsi="宋体" w:cs="宋体" w:eastAsia="宋体" w:hint="default"/>
          <w:sz w:val="18"/>
          <w:szCs w:val="18"/>
        </w:rPr>
        <w:t>2)、由于会计政策变更，影响期初未分配利润元。</w:t>
      </w:r>
    </w:p>
    <w:p>
      <w:pPr>
        <w:spacing w:before="115"/>
        <w:ind w:left="132" w:right="104" w:firstLine="0"/>
        <w:jc w:val="left"/>
        <w:rPr>
          <w:rFonts w:ascii="宋体" w:hAnsi="宋体" w:cs="宋体" w:eastAsia="宋体" w:hint="default"/>
          <w:sz w:val="18"/>
          <w:szCs w:val="18"/>
        </w:rPr>
      </w:pPr>
      <w:r>
        <w:rPr>
          <w:rFonts w:ascii="宋体" w:hAnsi="宋体" w:cs="宋体" w:eastAsia="宋体" w:hint="default"/>
          <w:sz w:val="18"/>
          <w:szCs w:val="18"/>
        </w:rPr>
        <w:t>3)、由于重大会计差错更正，影响期初未分配利润元。</w:t>
      </w:r>
    </w:p>
    <w:p>
      <w:pPr>
        <w:spacing w:before="117"/>
        <w:ind w:left="132" w:right="104" w:firstLine="0"/>
        <w:jc w:val="left"/>
        <w:rPr>
          <w:rFonts w:ascii="宋体" w:hAnsi="宋体" w:cs="宋体" w:eastAsia="宋体" w:hint="default"/>
          <w:sz w:val="18"/>
          <w:szCs w:val="18"/>
        </w:rPr>
      </w:pPr>
      <w:r>
        <w:rPr>
          <w:rFonts w:ascii="宋体" w:hAnsi="宋体" w:cs="宋体" w:eastAsia="宋体" w:hint="default"/>
          <w:sz w:val="18"/>
          <w:szCs w:val="18"/>
        </w:rPr>
        <w:t>4)、由于同一控制导致的合并范围变更，影响期初未分配利润元。</w:t>
      </w:r>
    </w:p>
    <w:p>
      <w:pPr>
        <w:spacing w:before="117"/>
        <w:ind w:left="132" w:right="104" w:firstLine="0"/>
        <w:jc w:val="left"/>
        <w:rPr>
          <w:rFonts w:ascii="宋体" w:hAnsi="宋体" w:cs="宋体" w:eastAsia="宋体" w:hint="default"/>
          <w:sz w:val="18"/>
          <w:szCs w:val="18"/>
        </w:rPr>
      </w:pPr>
      <w:r>
        <w:rPr>
          <w:rFonts w:ascii="宋体" w:hAnsi="宋体" w:cs="宋体" w:eastAsia="宋体" w:hint="default"/>
          <w:sz w:val="18"/>
          <w:szCs w:val="18"/>
        </w:rPr>
        <w:t>5)、其他调整合计影响期初未分配利润元。</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61、营业收入和营业成本</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881,866,236.90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698,925,412.69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781,070,522.93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617,110,861.08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170,769.61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135,672.19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230,340.70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430,309.76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882,037,006.51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699,061,084.88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781,300,863.63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617,541,170.84</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62、营业税金及附加</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8,151,934.88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9,141,574.97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1,221,513.41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1,499,200.64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575,637.48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711,140.37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378,799.53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491,685.94</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1,086.23</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90" w:right="0"/>
              <w:jc w:val="left"/>
              <w:rPr>
                <w:rFonts w:ascii="宋体" w:hAnsi="宋体" w:cs="宋体" w:eastAsia="宋体" w:hint="default"/>
                <w:sz w:val="18"/>
                <w:szCs w:val="18"/>
              </w:rPr>
            </w:pPr>
            <w:r>
              <w:rPr>
                <w:rFonts w:ascii="宋体"/>
                <w:sz w:val="18"/>
              </w:rPr>
              <w:t>10,327,962.04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86" w:right="0"/>
              <w:jc w:val="left"/>
              <w:rPr>
                <w:rFonts w:ascii="宋体" w:hAnsi="宋体" w:cs="宋体" w:eastAsia="宋体" w:hint="default"/>
                <w:sz w:val="18"/>
                <w:szCs w:val="18"/>
              </w:rPr>
            </w:pPr>
            <w:r>
              <w:rPr>
                <w:rFonts w:ascii="宋体"/>
                <w:sz w:val="18"/>
              </w:rPr>
              <w:t>11,844,688.15</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63、销售费用</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5,898,046.93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5,672,534.00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348,808.26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314,400.17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1,127,164.34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1,723,081.39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2,519,079.92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1,951,547.30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11,292,141.32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11,193,971.63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308,727.89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315,177.00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412,527.01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564,260.64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197,184.13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3,102,266.70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2,027,547.16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46,740.55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26,554.53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3,596,681.19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2,421,554.40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28,849,368.24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26,300,628.22</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64、管理费用</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23,808,866.75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21,519,451.30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24,506,596.61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16,388,139.14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14,526,570.43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11,465,248.94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69,720.00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5,670.00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3,776,575.02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3,628,749.75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994,154.87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1,723,358.17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2,370,793.11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3,385,447.35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3,148,359.91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2,065,458.85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500,744.98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744,284.89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215,145.24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427,539.65</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86,582.00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752,673.86</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97,249.64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8,894,211.04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5,894,984.04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82,995,569.60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68,001,005.94</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65、财务费用</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734,933.36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635,916.66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6,094,040.31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2,539,065.32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155,484.53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350,370.53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635,634.57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630,877.59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-4,567,987.85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-921,900.54</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66、资产减值损失</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3,453,415.71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-5,062,269.16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9,463,199.69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3,453,415.71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4,400,930.53</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67、公允价值变动收益</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68、投资收益</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-366,618.94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4" w:right="0"/>
              <w:jc w:val="left"/>
              <w:rPr>
                <w:rFonts w:ascii="宋体" w:hAnsi="宋体" w:cs="宋体" w:eastAsia="宋体" w:hint="default"/>
                <w:sz w:val="18"/>
                <w:szCs w:val="18"/>
              </w:rPr>
            </w:pPr>
            <w:r>
              <w:rPr>
                <w:rFonts w:ascii="宋体"/>
                <w:sz w:val="18"/>
              </w:rPr>
              <w:t>-859,507.75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4,504,409.76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6,954,174.68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4,329,434.70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11,091,965.50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3,469,926.95</w:t>
            </w:r>
          </w:p>
        </w:tc>
      </w:tr>
    </w:tbl>
    <w:p>
      <w:pPr>
        <w:spacing w:before="50"/>
        <w:ind w:left="13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7034"/>
        <w:jc w:val="left"/>
        <w:rPr>
          <w:b w:val="0"/>
          <w:bCs w:val="0"/>
        </w:rPr>
      </w:pPr>
      <w:r>
        <w:rPr/>
        <w:t>69、营业外收入</w:t>
      </w:r>
      <w:r>
        <w:rPr>
          <w:b w:val="0"/>
          <w:bCs w:val="0"/>
        </w:rPr>
      </w:r>
    </w:p>
    <w:p>
      <w:pPr>
        <w:spacing w:line="240" w:lineRule="auto" w:before="4"/>
        <w:rPr>
          <w:rFonts w:ascii="宋体" w:hAnsi="宋体" w:cs="宋体" w:eastAsia="宋体" w:hint="default"/>
          <w:b/>
          <w:bCs/>
          <w:sz w:val="24"/>
          <w:szCs w:val="24"/>
        </w:rPr>
      </w:pPr>
    </w:p>
    <w:p>
      <w:pPr>
        <w:spacing w:before="44"/>
        <w:ind w:left="0" w:right="27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1" w:right="10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7,383.67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7,383.67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15,137,549.75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15,008,652.09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11,858,583.95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1,672.34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538.21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1,672.34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15,139,242.09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15,016,573.97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11,860,276.29</w:t>
            </w:r>
          </w:p>
        </w:tc>
      </w:tr>
    </w:tbl>
    <w:p>
      <w:pPr>
        <w:spacing w:before="50"/>
        <w:ind w:left="132" w:right="7034"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162"/>
        <w:gridCol w:w="1203"/>
        <w:gridCol w:w="709"/>
        <w:gridCol w:w="1335"/>
        <w:gridCol w:w="992"/>
        <w:gridCol w:w="709"/>
        <w:gridCol w:w="1275"/>
        <w:gridCol w:w="1218"/>
        <w:gridCol w:w="1063"/>
      </w:tblGrid>
      <w:tr>
        <w:trPr>
          <w:trHeight w:val="714" w:hRule="exact"/>
        </w:trPr>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9" w:right="78" w:hanging="180"/>
              <w:jc w:val="left"/>
              <w:rPr>
                <w:rFonts w:ascii="宋体" w:hAnsi="宋体" w:cs="宋体" w:eastAsia="宋体" w:hint="default"/>
                <w:sz w:val="18"/>
                <w:szCs w:val="18"/>
              </w:rPr>
            </w:pPr>
            <w:r>
              <w:rPr>
                <w:rFonts w:ascii="宋体" w:hAnsi="宋体" w:cs="宋体" w:eastAsia="宋体" w:hint="default"/>
                <w:sz w:val="18"/>
                <w:szCs w:val="18"/>
              </w:rPr>
              <w:t>发放原 因</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 w:right="39"/>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8" w:right="78"/>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本期发生金额</w:t>
            </w: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6" w:right="30" w:hanging="46"/>
              <w:jc w:val="left"/>
              <w:rPr>
                <w:rFonts w:ascii="宋体" w:hAnsi="宋体" w:cs="宋体" w:eastAsia="宋体" w:hint="default"/>
                <w:sz w:val="18"/>
                <w:szCs w:val="18"/>
              </w:rPr>
            </w:pPr>
            <w:r>
              <w:rPr>
                <w:rFonts w:ascii="宋体" w:hAnsi="宋体" w:cs="宋体" w:eastAsia="宋体" w:hint="default"/>
                <w:sz w:val="18"/>
                <w:szCs w:val="18"/>
              </w:rPr>
              <w:t>与资产相关/ 与收益相关</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智能船联网</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center"/>
              <w:rPr>
                <w:rFonts w:ascii="宋体" w:hAnsi="宋体" w:cs="宋体" w:eastAsia="宋体" w:hint="default"/>
                <w:sz w:val="18"/>
                <w:szCs w:val="18"/>
              </w:rPr>
            </w:pPr>
            <w:r>
              <w:rPr>
                <w:rFonts w:ascii="宋体" w:hAnsi="宋体" w:cs="宋体" w:eastAsia="宋体" w:hint="default"/>
                <w:sz w:val="18"/>
                <w:szCs w:val="18"/>
              </w:rPr>
              <w:t>财政支付中心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4,070,957.95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3,329,042.05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9" w:hRule="exact"/>
        </w:trPr>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TD-LTE</w:t>
            </w:r>
          </w:p>
        </w:tc>
        <w:tc>
          <w:tcPr>
            <w:tcW w:w="1203"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992"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218"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技术的港口宽</w:t>
            </w:r>
          </w:p>
        </w:tc>
        <w:tc>
          <w:tcPr>
            <w:tcW w:w="12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财政支付中心</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3,000,000.00</w:t>
            </w:r>
          </w:p>
        </w:tc>
        <w:tc>
          <w:tcPr>
            <w:tcW w:w="1218"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带集群项目</w:t>
            </w:r>
          </w:p>
        </w:tc>
        <w:tc>
          <w:tcPr>
            <w:tcW w:w="1203"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992"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162" w:type="dxa"/>
            <w:tcBorders>
              <w:top w:val="single" w:sz="4" w:space="0" w:color="000000"/>
              <w:left w:val="single" w:sz="4" w:space="0" w:color="000000"/>
              <w:bottom w:val="nil" w:sz="6" w:space="0" w:color="auto"/>
              <w:right w:val="single" w:sz="4" w:space="0" w:color="000000"/>
            </w:tcBorders>
          </w:tcPr>
          <w:p>
            <w:pPr/>
          </w:p>
        </w:tc>
        <w:tc>
          <w:tcPr>
            <w:tcW w:w="1203"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992"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21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软件产品退税</w:t>
            </w:r>
          </w:p>
        </w:tc>
        <w:tc>
          <w:tcPr>
            <w:tcW w:w="12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财政支付中心</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vMerge/>
            <w:tcBorders>
              <w:left w:val="single" w:sz="4" w:space="0" w:color="000000"/>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3,278,965.80</w:t>
            </w: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4,680,686.04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162" w:type="dxa"/>
            <w:tcBorders>
              <w:top w:val="nil" w:sz="6" w:space="0" w:color="auto"/>
              <w:left w:val="single" w:sz="4" w:space="0" w:color="000000"/>
              <w:bottom w:val="single" w:sz="4" w:space="0" w:color="000000"/>
              <w:right w:val="single" w:sz="4" w:space="0" w:color="000000"/>
            </w:tcBorders>
          </w:tcPr>
          <w:p>
            <w:pPr/>
          </w:p>
        </w:tc>
        <w:tc>
          <w:tcPr>
            <w:tcW w:w="1203"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992"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21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8"/>
              <w:jc w:val="left"/>
              <w:rPr>
                <w:rFonts w:ascii="宋体" w:hAnsi="宋体" w:cs="宋体" w:eastAsia="宋体" w:hint="default"/>
                <w:sz w:val="18"/>
                <w:szCs w:val="18"/>
              </w:rPr>
            </w:pPr>
            <w:r>
              <w:rPr>
                <w:rFonts w:ascii="宋体" w:hAnsi="宋体" w:cs="宋体" w:eastAsia="宋体" w:hint="default"/>
                <w:sz w:val="18"/>
                <w:szCs w:val="18"/>
              </w:rPr>
              <w:t>促进企业发展 奖励资金</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9"/>
              <w:jc w:val="both"/>
              <w:rPr>
                <w:rFonts w:ascii="宋体" w:hAnsi="宋体" w:cs="宋体" w:eastAsia="宋体" w:hint="default"/>
                <w:sz w:val="18"/>
                <w:szCs w:val="18"/>
              </w:rPr>
            </w:pPr>
            <w:r>
              <w:rPr>
                <w:rFonts w:ascii="宋体" w:hAnsi="宋体" w:cs="宋体" w:eastAsia="宋体" w:hint="default"/>
                <w:sz w:val="18"/>
                <w:szCs w:val="18"/>
              </w:rPr>
              <w:t>合肥高新技术 财政国库支付 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0"/>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1,200,000.00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6" w:firstLine="91"/>
              <w:jc w:val="left"/>
              <w:rPr>
                <w:rFonts w:ascii="宋体" w:hAnsi="宋体" w:cs="宋体" w:eastAsia="宋体" w:hint="default"/>
                <w:sz w:val="18"/>
                <w:szCs w:val="18"/>
              </w:rPr>
            </w:pPr>
            <w:r>
              <w:rPr>
                <w:rFonts w:ascii="宋体" w:hAnsi="宋体" w:cs="宋体" w:eastAsia="宋体" w:hint="default"/>
                <w:sz w:val="18"/>
                <w:szCs w:val="18"/>
              </w:rPr>
              <w:t>高速公路路 面养护决策 政府补助</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合肥市财政国 库支付中心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600,000.00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9" w:hRule="exact"/>
        </w:trPr>
        <w:tc>
          <w:tcPr>
            <w:tcW w:w="1162" w:type="dxa"/>
            <w:tcBorders>
              <w:top w:val="single" w:sz="4" w:space="0" w:color="000000"/>
              <w:left w:val="single" w:sz="4" w:space="0" w:color="000000"/>
              <w:bottom w:val="nil" w:sz="6" w:space="0" w:color="auto"/>
              <w:right w:val="single" w:sz="4" w:space="0" w:color="000000"/>
            </w:tcBorders>
          </w:tcPr>
          <w:p>
            <w:pPr/>
          </w:p>
        </w:tc>
        <w:tc>
          <w:tcPr>
            <w:tcW w:w="1203"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w:t>
            </w:r>
          </w:p>
        </w:tc>
        <w:tc>
          <w:tcPr>
            <w:tcW w:w="992"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21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1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6" w:firstLine="91"/>
              <w:jc w:val="left"/>
              <w:rPr>
                <w:rFonts w:ascii="宋体" w:hAnsi="宋体" w:cs="宋体" w:eastAsia="宋体" w:hint="default"/>
                <w:sz w:val="18"/>
                <w:szCs w:val="18"/>
              </w:rPr>
            </w:pPr>
            <w:r>
              <w:rPr>
                <w:rFonts w:ascii="宋体" w:hAnsi="宋体" w:cs="宋体" w:eastAsia="宋体" w:hint="default"/>
                <w:sz w:val="18"/>
                <w:szCs w:val="18"/>
              </w:rPr>
              <w:t>新产品销售 奖励</w:t>
            </w:r>
          </w:p>
        </w:tc>
        <w:tc>
          <w:tcPr>
            <w:tcW w:w="120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9"/>
              <w:jc w:val="left"/>
              <w:rPr>
                <w:rFonts w:ascii="宋体" w:hAnsi="宋体" w:cs="宋体" w:eastAsia="宋体" w:hint="default"/>
                <w:sz w:val="18"/>
                <w:szCs w:val="18"/>
              </w:rPr>
            </w:pPr>
            <w:r>
              <w:rPr>
                <w:rFonts w:ascii="宋体" w:hAnsi="宋体" w:cs="宋体" w:eastAsia="宋体" w:hint="default"/>
                <w:sz w:val="18"/>
                <w:szCs w:val="18"/>
              </w:rPr>
              <w:t>合肥市高新区 财政国库中心</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0"/>
              <w:jc w:val="left"/>
              <w:rPr>
                <w:rFonts w:ascii="宋体" w:hAnsi="宋体" w:cs="宋体" w:eastAsia="宋体" w:hint="default"/>
                <w:sz w:val="18"/>
                <w:szCs w:val="18"/>
              </w:rPr>
            </w:pPr>
            <w:r>
              <w:rPr>
                <w:rFonts w:ascii="宋体" w:hAnsi="宋体" w:cs="宋体" w:eastAsia="宋体" w:hint="default"/>
                <w:sz w:val="18"/>
                <w:szCs w:val="18"/>
              </w:rPr>
              <w:t>招商引资等地方 性扶持政策而获</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600,000.00</w:t>
            </w:r>
          </w:p>
        </w:tc>
        <w:tc>
          <w:tcPr>
            <w:tcW w:w="12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101,800.00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162" w:type="dxa"/>
            <w:tcBorders>
              <w:top w:val="nil" w:sz="6" w:space="0" w:color="auto"/>
              <w:left w:val="single" w:sz="4" w:space="0" w:color="000000"/>
              <w:bottom w:val="single" w:sz="4" w:space="0" w:color="000000"/>
              <w:right w:val="single" w:sz="4" w:space="0" w:color="000000"/>
            </w:tcBorders>
          </w:tcPr>
          <w:p>
            <w:pPr/>
          </w:p>
        </w:tc>
        <w:tc>
          <w:tcPr>
            <w:tcW w:w="1203"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得的补助</w:t>
            </w:r>
          </w:p>
        </w:tc>
        <w:tc>
          <w:tcPr>
            <w:tcW w:w="992"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21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48"/>
              <w:jc w:val="both"/>
              <w:rPr>
                <w:rFonts w:ascii="宋体" w:hAnsi="宋体" w:cs="宋体" w:eastAsia="宋体" w:hint="default"/>
                <w:sz w:val="18"/>
                <w:szCs w:val="18"/>
              </w:rPr>
            </w:pPr>
            <w:r>
              <w:rPr>
                <w:rFonts w:ascii="宋体" w:hAnsi="宋体" w:cs="宋体" w:eastAsia="宋体" w:hint="default"/>
                <w:sz w:val="18"/>
                <w:szCs w:val="18"/>
              </w:rPr>
              <w:t>“高速公路运 营综合管理平 台项目”政府</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合肥市财政国 库支付中心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478,800.00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pacing w:val="-1"/>
                <w:sz w:val="18"/>
              </w:rPr>
              <w:t>1,557,600.00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00"/>
        </w:sectPr>
      </w:pPr>
    </w:p>
    <w:p>
      <w:pPr>
        <w:spacing w:line="240" w:lineRule="auto" w:before="2"/>
        <w:rPr>
          <w:rFonts w:ascii="宋体" w:hAnsi="宋体" w:cs="宋体" w:eastAsia="宋体"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1162"/>
        <w:gridCol w:w="1203"/>
        <w:gridCol w:w="709"/>
        <w:gridCol w:w="1335"/>
        <w:gridCol w:w="992"/>
        <w:gridCol w:w="709"/>
        <w:gridCol w:w="1275"/>
        <w:gridCol w:w="1218"/>
        <w:gridCol w:w="1063"/>
      </w:tblGrid>
      <w:tr>
        <w:trPr>
          <w:trHeight w:val="36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补助资金摊销</w:t>
            </w:r>
          </w:p>
        </w:tc>
        <w:tc>
          <w:tcPr>
            <w:tcW w:w="120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48" w:firstLine="91"/>
              <w:jc w:val="left"/>
              <w:rPr>
                <w:rFonts w:ascii="宋体" w:hAnsi="宋体" w:cs="宋体" w:eastAsia="宋体" w:hint="default"/>
                <w:sz w:val="18"/>
                <w:szCs w:val="18"/>
              </w:rPr>
            </w:pPr>
            <w:r>
              <w:rPr>
                <w:rFonts w:ascii="宋体" w:hAnsi="宋体" w:cs="宋体" w:eastAsia="宋体" w:hint="default"/>
                <w:sz w:val="18"/>
                <w:szCs w:val="18"/>
              </w:rPr>
              <w:t>职工岗位技 能提升培训补 贴</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89"/>
              <w:jc w:val="both"/>
              <w:rPr>
                <w:rFonts w:ascii="宋体" w:hAnsi="宋体" w:cs="宋体" w:eastAsia="宋体" w:hint="default"/>
                <w:sz w:val="18"/>
                <w:szCs w:val="18"/>
              </w:rPr>
            </w:pPr>
            <w:r>
              <w:rPr>
                <w:rFonts w:ascii="宋体" w:hAnsi="宋体" w:cs="宋体" w:eastAsia="宋体" w:hint="default"/>
                <w:sz w:val="18"/>
                <w:szCs w:val="18"/>
              </w:rPr>
              <w:t>合肥高新开发 区财政国库支 付中心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0"/>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326,300.00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389,500.00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高新技术企业 奖励</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合肥高新开发 区财政国库支 付中心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300,000.00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91" w:firstLine="91"/>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年卓越</w:t>
            </w:r>
            <w:r>
              <w:rPr>
                <w:rFonts w:ascii="宋体" w:hAnsi="宋体" w:cs="宋体" w:eastAsia="宋体" w:hint="default"/>
                <w:sz w:val="18"/>
                <w:szCs w:val="18"/>
              </w:rPr>
              <w:t> 绩效奖</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合肥高新财政 国库支付中心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0"/>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宋体" w:hAnsi="宋体" w:cs="宋体" w:eastAsia="宋体" w:hint="default"/>
                <w:sz w:val="18"/>
                <w:szCs w:val="18"/>
              </w:rPr>
            </w:pPr>
            <w:r>
              <w:rPr>
                <w:rFonts w:ascii="宋体"/>
                <w:spacing w:val="-1"/>
                <w:sz w:val="18"/>
              </w:rPr>
              <w:t>200,000.00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6" w:firstLine="91"/>
              <w:jc w:val="left"/>
              <w:rPr>
                <w:rFonts w:ascii="宋体" w:hAnsi="宋体" w:cs="宋体" w:eastAsia="宋体" w:hint="default"/>
                <w:sz w:val="18"/>
                <w:szCs w:val="18"/>
              </w:rPr>
            </w:pPr>
            <w:r>
              <w:rPr>
                <w:rFonts w:ascii="宋体" w:hAnsi="宋体" w:cs="宋体" w:eastAsia="宋体" w:hint="default"/>
                <w:sz w:val="18"/>
                <w:szCs w:val="18"/>
              </w:rPr>
              <w:t>上市公司融 资</w:t>
            </w:r>
            <w:r>
              <w:rPr>
                <w:rFonts w:ascii="宋体" w:hAnsi="宋体" w:cs="宋体" w:eastAsia="宋体" w:hint="default"/>
                <w:spacing w:val="1"/>
                <w:sz w:val="18"/>
                <w:szCs w:val="18"/>
              </w:rPr>
              <w:t> </w:t>
            </w:r>
            <w:r>
              <w:rPr>
                <w:rFonts w:ascii="宋体" w:hAnsi="宋体" w:cs="宋体" w:eastAsia="宋体" w:hint="default"/>
                <w:sz w:val="18"/>
                <w:szCs w:val="18"/>
              </w:rPr>
              <w:t>财政补贴</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合肥市高新区 财政国库中心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奖励上市而给予 的政府补助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200,000.00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省级工程技术 中心奖励</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合肥市财政国 库支付中心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200,000.00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8"/>
              <w:jc w:val="left"/>
              <w:rPr>
                <w:rFonts w:ascii="宋体" w:hAnsi="宋体" w:cs="宋体" w:eastAsia="宋体" w:hint="default"/>
                <w:sz w:val="18"/>
                <w:szCs w:val="18"/>
              </w:rPr>
            </w:pPr>
            <w:r>
              <w:rPr>
                <w:rFonts w:ascii="宋体" w:hAnsi="宋体" w:cs="宋体" w:eastAsia="宋体" w:hint="default"/>
                <w:sz w:val="18"/>
                <w:szCs w:val="18"/>
              </w:rPr>
              <w:t>摊销</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企业自主创新 政策仪器设备 购置补助</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合肥市财政国 库支付中心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146,230.00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48" w:firstLine="180"/>
              <w:jc w:val="left"/>
              <w:rPr>
                <w:rFonts w:ascii="宋体" w:hAnsi="宋体" w:cs="宋体" w:eastAsia="宋体" w:hint="default"/>
                <w:sz w:val="18"/>
                <w:szCs w:val="18"/>
              </w:rPr>
            </w:pPr>
            <w:r>
              <w:rPr>
                <w:rFonts w:ascii="宋体" w:hAnsi="宋体" w:cs="宋体" w:eastAsia="宋体" w:hint="default"/>
                <w:sz w:val="18"/>
                <w:szCs w:val="18"/>
              </w:rPr>
              <w:t>鼓励自主创 新新兴产业 奖励</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合肥高新财政 国库支付中心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0"/>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宋体" w:hAnsi="宋体" w:cs="宋体" w:eastAsia="宋体" w:hint="default"/>
                <w:sz w:val="18"/>
                <w:szCs w:val="18"/>
              </w:rPr>
            </w:pPr>
            <w:r>
              <w:rPr>
                <w:rFonts w:ascii="宋体"/>
                <w:spacing w:val="-1"/>
                <w:sz w:val="18"/>
              </w:rPr>
              <w:t>100,000.00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其他项目补助</w:t>
            </w:r>
          </w:p>
        </w:tc>
        <w:tc>
          <w:tcPr>
            <w:tcW w:w="120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436,296.00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4,950,024.00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15,137,549.75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15,008,652.0</w:t>
            </w:r>
          </w:p>
          <w:p>
            <w:pPr>
              <w:pStyle w:val="TableParagraph"/>
              <w:spacing w:line="240" w:lineRule="auto" w:before="76"/>
              <w:ind w:right="21"/>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before="51"/>
        <w:ind w:left="13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00" w:right="100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70、营业外支出</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1" w:right="10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115,830.71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156,383.67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115,830.71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115,830.71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156,383.67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115,830.71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15,526.80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7,262.71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2,352.23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7,262.71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13,476.27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13,476.27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236,569.69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174,267.08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236,569.69</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71、所得税费用</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（1）所得税费用表</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12,198,435.46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13,140,511.96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859,114.66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-1,396,392.61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13,057,550.12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11,744,119.35</w:t>
            </w:r>
          </w:p>
        </w:tc>
      </w:tr>
    </w:tbl>
    <w:p>
      <w:pPr>
        <w:spacing w:line="240" w:lineRule="auto" w:before="2"/>
        <w:rPr>
          <w:rFonts w:ascii="宋体" w:hAnsi="宋体" w:cs="宋体" w:eastAsia="宋体" w:hint="default"/>
          <w:sz w:val="19"/>
          <w:szCs w:val="19"/>
        </w:rPr>
      </w:pPr>
    </w:p>
    <w:p>
      <w:pPr>
        <w:pStyle w:val="Heading6"/>
        <w:spacing w:line="240" w:lineRule="auto" w:before="34"/>
        <w:ind w:right="104"/>
        <w:jc w:val="left"/>
        <w:rPr>
          <w:b w:val="0"/>
          <w:bCs w:val="0"/>
        </w:rPr>
      </w:pPr>
      <w:r>
        <w:rPr/>
        <w:t>（2）会计利润与所得税费用调整过程</w:t>
      </w:r>
      <w:r>
        <w:rPr>
          <w:b w:val="0"/>
          <w:bCs w:val="0"/>
        </w:rPr>
      </w:r>
    </w:p>
    <w:p>
      <w:pPr>
        <w:spacing w:line="240" w:lineRule="auto" w:before="7"/>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87,912,231.79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13,186,834.77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-60,252.14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-833,082.68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38,425.82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706,249.36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23,527.16</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916,051.99</w:t>
            </w:r>
          </w:p>
        </w:tc>
      </w:tr>
      <w:tr>
        <w:trPr>
          <w:trHeight w:val="400"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-1,351,495.95</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431,291.79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13,057,550.12</w:t>
            </w:r>
          </w:p>
        </w:tc>
      </w:tr>
    </w:tbl>
    <w:p>
      <w:pPr>
        <w:spacing w:line="578" w:lineRule="auto" w:before="50"/>
        <w:ind w:left="132" w:right="7394"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b/>
          <w:bCs/>
          <w:sz w:val="21"/>
          <w:szCs w:val="21"/>
        </w:rPr>
        <w:t>72、其他综合收益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p>
    <w:p>
      <w:pPr>
        <w:pStyle w:val="Heading6"/>
        <w:spacing w:line="240" w:lineRule="auto" w:before="97"/>
        <w:ind w:right="104"/>
        <w:jc w:val="left"/>
        <w:rPr>
          <w:b w:val="0"/>
          <w:bCs w:val="0"/>
        </w:rPr>
      </w:pPr>
      <w:r>
        <w:rPr/>
        <w:t>73、现金流量表项目</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（1）收到的其他与经营活动有关的现金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6,094,040.31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1,449,030.97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16,485,561.80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12,352,424.66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投标履约保证金及往来款项收入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163,222,451.22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137,437,122.20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1,692.34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185,803,745.67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151,238,629.63</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（2）支付的其他与经营活动有关的现金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120,738.98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17,883.41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635,634.57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630,877.59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保证金等往来款项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186,239,422.77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118,291,581.82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支付的营业及管理费用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34,562,402.82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33,576,106.00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221,558,199.14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152,516,448.82</w:t>
            </w:r>
          </w:p>
        </w:tc>
      </w:tr>
    </w:tbl>
    <w:p>
      <w:pPr>
        <w:spacing w:before="52"/>
        <w:ind w:left="132" w:right="10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（3）收到的其他与投资活动有关的现金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after="0"/>
        <w:jc w:val="left"/>
        <w:rPr>
          <w:rFonts w:ascii="宋体" w:hAnsi="宋体" w:cs="宋体" w:eastAsia="宋体" w:hint="default"/>
          <w:sz w:val="18"/>
          <w:szCs w:val="18"/>
        </w:rPr>
        <w:sectPr>
          <w:footerReference w:type="default" r:id="rId31"/>
          <w:pgSz w:w="11910" w:h="16840"/>
          <w:pgMar w:footer="978" w:header="746" w:top="1040" w:bottom="1160" w:left="1000" w:right="1020"/>
          <w:pgNumType w:start="14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（4）支付的其他与投资活动有关的现金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121,000,000.00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121,000,000.00</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（5）收到的其他与筹资活动有关的现金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3,673,484.34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1,090,034.35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8,407,559.78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12,081,044.12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1,090,034.35</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（6）支付的其他与筹资活动有关的现金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银行保函保证金等</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4,720,240.56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4,629,514.46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与发行相关的律师会计师费用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1,679,026.06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11,028,781.08</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74、现金流量表补充资料</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（1）现金流量表补充资料</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74,854,681.67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60,702,454.98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3,453,415.71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4,400,930.53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9,720,524.46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8,722,826.33</w:t>
            </w:r>
          </w:p>
        </w:tc>
      </w:tr>
      <w:tr>
        <w:trPr>
          <w:trHeight w:val="400"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5,495,683.73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3,897,482.27</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r>
        <w:rPr/>
        <w:pict>
          <v:group style="position:absolute;margin-left:338.950012pt;margin-top:72.400024pt;width:99pt;height:19.850pt;mso-position-horizontal-relative:page;mso-position-vertical-relative:page;z-index:-870184" coordorigin="6779,1448" coordsize="1980,397">
            <v:shape style="position:absolute;left:6779;top:1448;width:1980;height:397" coordorigin="6779,1448" coordsize="1980,397" path="m6779,1448l8759,1448,8759,1845,6779,1845,6779,1448xe" filled="true" fillcolor="#ffffff" stroked="false">
              <v:path arrowok="t"/>
              <v:fill type="solid"/>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tabs>
                <w:tab w:pos="1052" w:val="left" w:leader="none"/>
              </w:tabs>
              <w:spacing w:line="240" w:lineRule="auto" w:before="50"/>
              <w:ind w:left="-124" w:right="19"/>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115,810.71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149,000.00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-3,631,637.80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-454,117.69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-11,038,728.05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-3,469,926.95</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-72,516.20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-1,297,311.42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-931,630.86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-99,081.19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-118,517,677.28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13,442,859.34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43,388,620.70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-16,165,767.09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121,091,627.65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-78,921,935.53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123,928,174.44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-9,092,586.42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749,708,207.10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551,426,288.97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551,426,288.97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356,086,974.44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5,000,000.00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193,281,918.13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200,339,314.53</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（2）本期支付的取得子公司的现金净额</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（3）本期收到的处置子公司的现金净额</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0"/>
        <w:jc w:val="left"/>
        <w:rPr>
          <w:b w:val="0"/>
          <w:bCs w:val="0"/>
        </w:rPr>
      </w:pPr>
      <w:r>
        <w:rPr/>
        <w:t>（4）现金和现金等价物的构成</w:t>
      </w:r>
      <w:r>
        <w:rPr>
          <w:b w:val="0"/>
          <w:bCs w:val="0"/>
        </w:rPr>
      </w:r>
    </w:p>
    <w:p>
      <w:pPr>
        <w:spacing w:line="240" w:lineRule="auto" w:before="4"/>
        <w:rPr>
          <w:rFonts w:ascii="宋体" w:hAnsi="宋体" w:cs="宋体" w:eastAsia="宋体" w:hint="default"/>
          <w:b/>
          <w:bCs/>
          <w:sz w:val="24"/>
          <w:szCs w:val="24"/>
        </w:rPr>
      </w:pPr>
    </w:p>
    <w:p>
      <w:pPr>
        <w:spacing w:before="44"/>
        <w:ind w:left="0" w:right="2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749,708,207.10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551,426,288.97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462,741.13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376,468.65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734,761,949.53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549,868,469.23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14,483,516.44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1,181,351.09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5,000,000.00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749,708,207.10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556,426,288.97</w:t>
            </w:r>
          </w:p>
        </w:tc>
      </w:tr>
    </w:tbl>
    <w:p>
      <w:pPr>
        <w:spacing w:before="51"/>
        <w:ind w:left="13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78" w:lineRule="auto" w:before="118"/>
        <w:ind w:left="132" w:right="4194" w:firstLine="0"/>
        <w:jc w:val="left"/>
        <w:rPr>
          <w:rFonts w:ascii="宋体" w:hAnsi="宋体" w:cs="宋体" w:eastAsia="宋体" w:hint="default"/>
          <w:sz w:val="21"/>
          <w:szCs w:val="21"/>
        </w:rPr>
      </w:pPr>
      <w:r>
        <w:rPr>
          <w:rFonts w:ascii="宋体" w:hAnsi="宋体" w:cs="宋体" w:eastAsia="宋体" w:hint="default"/>
          <w:b/>
          <w:bCs/>
          <w:sz w:val="21"/>
          <w:szCs w:val="21"/>
        </w:rPr>
        <w:t>75、所有者权益变动表项目注释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说明对上年期末余额进行调整的“其他”项目名称及调整金额等事项： </w:t>
      </w:r>
      <w:r>
        <w:rPr>
          <w:rFonts w:ascii="宋体" w:hAnsi="宋体" w:cs="宋体" w:eastAsia="宋体" w:hint="default"/>
          <w:b/>
          <w:bCs/>
          <w:sz w:val="21"/>
          <w:szCs w:val="21"/>
        </w:rPr>
        <w:t>76、所有权或使用权受到限制的资产</w:t>
      </w:r>
      <w:r>
        <w:rPr>
          <w:rFonts w:ascii="宋体" w:hAnsi="宋体" w:cs="宋体" w:eastAsia="宋体" w:hint="default"/>
          <w:sz w:val="21"/>
          <w:szCs w:val="21"/>
        </w:rPr>
      </w:r>
    </w:p>
    <w:p>
      <w:pPr>
        <w:spacing w:before="66"/>
        <w:ind w:left="0" w:right="2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225"/>
              <w:jc w:val="righ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24,342,925.55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70"/>
              <w:jc w:val="right"/>
              <w:rPr>
                <w:rFonts w:ascii="宋体" w:hAnsi="宋体" w:cs="宋体" w:eastAsia="宋体" w:hint="default"/>
                <w:sz w:val="18"/>
                <w:szCs w:val="18"/>
              </w:rPr>
            </w:pPr>
            <w:r>
              <w:rPr>
                <w:rFonts w:ascii="宋体" w:hAnsi="宋体" w:cs="宋体" w:eastAsia="宋体" w:hint="default"/>
                <w:sz w:val="18"/>
                <w:szCs w:val="18"/>
              </w:rPr>
              <w:t>票据、保函、保证金等。</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24,342,925.55</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before="50"/>
        <w:ind w:left="13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t>77、外币货币性项目</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0"/>
        <w:jc w:val="left"/>
        <w:rPr>
          <w:b w:val="0"/>
          <w:bCs w:val="0"/>
        </w:rPr>
      </w:pPr>
      <w:r>
        <w:rPr/>
        <w:t>（1）外币货币性项目</w:t>
      </w:r>
      <w:r>
        <w:rPr>
          <w:b w:val="0"/>
          <w:bCs w:val="0"/>
        </w:rPr>
      </w:r>
    </w:p>
    <w:p>
      <w:pPr>
        <w:spacing w:line="240" w:lineRule="auto" w:before="4"/>
        <w:rPr>
          <w:rFonts w:ascii="宋体" w:hAnsi="宋体" w:cs="宋体" w:eastAsia="宋体" w:hint="default"/>
          <w:b/>
          <w:bCs/>
          <w:sz w:val="24"/>
          <w:szCs w:val="24"/>
        </w:rPr>
      </w:pPr>
    </w:p>
    <w:p>
      <w:pPr>
        <w:spacing w:before="44"/>
        <w:ind w:left="0" w:right="2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sz w:val="18"/>
              </w:rPr>
              <w:t>7.0952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144.88</w:t>
            </w:r>
          </w:p>
        </w:tc>
      </w:tr>
    </w:tbl>
    <w:p>
      <w:pPr>
        <w:spacing w:before="52"/>
        <w:ind w:left="13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73" w:lineRule="auto"/>
        <w:ind w:right="0"/>
        <w:jc w:val="left"/>
        <w:rPr>
          <w:b w:val="0"/>
          <w:bCs w:val="0"/>
        </w:rPr>
      </w:pPr>
      <w:r>
        <w:rPr>
          <w:spacing w:val="3"/>
          <w:w w:val="95"/>
        </w:rPr>
        <w:t>（2）境外经营实体说明，包括对于重要的境外经营实体，应披露其境外主要经营地、记账本位币及选择</w:t>
      </w:r>
      <w:r>
        <w:rPr>
          <w:spacing w:val="95"/>
          <w:w w:val="95"/>
        </w:rPr>
        <w:t> </w:t>
      </w:r>
      <w:r>
        <w:rPr>
          <w:spacing w:val="95"/>
          <w:w w:val="95"/>
        </w:rPr>
      </w:r>
      <w:r>
        <w:rPr/>
        <w:t>依据，记账本位币发生变化的还应披露原因。</w:t>
      </w:r>
      <w:r>
        <w:rPr>
          <w:b w:val="0"/>
          <w:bCs w:val="0"/>
        </w:rPr>
      </w:r>
    </w:p>
    <w:p>
      <w:pPr>
        <w:spacing w:line="240" w:lineRule="auto" w:before="6"/>
        <w:rPr>
          <w:rFonts w:ascii="宋体" w:hAnsi="宋体" w:cs="宋体" w:eastAsia="宋体" w:hint="default"/>
          <w:b/>
          <w:bCs/>
          <w:sz w:val="25"/>
          <w:szCs w:val="25"/>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78" w:top="1040" w:bottom="1160" w:left="1000" w:right="980"/>
        </w:sectPr>
      </w:pPr>
    </w:p>
    <w:p>
      <w:pPr>
        <w:spacing w:line="240" w:lineRule="auto" w:before="6"/>
        <w:rPr>
          <w:rFonts w:ascii="宋体" w:hAnsi="宋体" w:cs="宋体" w:eastAsia="宋体" w:hint="default"/>
          <w:sz w:val="25"/>
          <w:szCs w:val="25"/>
        </w:rPr>
      </w:pPr>
    </w:p>
    <w:p>
      <w:pPr>
        <w:spacing w:line="578" w:lineRule="auto" w:before="34"/>
        <w:ind w:left="152" w:right="3614" w:firstLine="0"/>
        <w:jc w:val="left"/>
        <w:rPr>
          <w:rFonts w:ascii="宋体" w:hAnsi="宋体" w:cs="宋体" w:eastAsia="宋体" w:hint="default"/>
          <w:sz w:val="21"/>
          <w:szCs w:val="21"/>
        </w:rPr>
      </w:pPr>
      <w:r>
        <w:rPr>
          <w:rFonts w:ascii="宋体" w:hAnsi="宋体" w:cs="宋体" w:eastAsia="宋体" w:hint="default"/>
          <w:b/>
          <w:bCs/>
          <w:sz w:val="21"/>
          <w:szCs w:val="21"/>
        </w:rPr>
        <w:t>78、套期</w:t>
      </w:r>
      <w:r>
        <w:rPr>
          <w:rFonts w:ascii="宋体" w:hAnsi="宋体" w:cs="宋体" w:eastAsia="宋体" w:hint="default"/>
          <w:b/>
          <w:bCs/>
          <w:w w:val="99"/>
          <w:sz w:val="21"/>
          <w:szCs w:val="21"/>
        </w:rPr>
        <w:t> </w:t>
      </w:r>
      <w:r>
        <w:rPr>
          <w:rFonts w:ascii="宋体" w:hAnsi="宋体" w:cs="宋体" w:eastAsia="宋体" w:hint="default"/>
          <w:sz w:val="18"/>
          <w:szCs w:val="18"/>
        </w:rPr>
        <w:t>按照套期类别披露套期项目及相关套期工具、被套期风险的定性和定量信息： </w:t>
      </w:r>
      <w:r>
        <w:rPr>
          <w:rFonts w:ascii="宋体" w:hAnsi="宋体" w:cs="宋体" w:eastAsia="宋体" w:hint="default"/>
          <w:b/>
          <w:bCs/>
          <w:sz w:val="21"/>
          <w:szCs w:val="21"/>
        </w:rPr>
        <w:t>79、其他</w:t>
      </w:r>
      <w:r>
        <w:rPr>
          <w:rFonts w:ascii="宋体" w:hAnsi="宋体" w:cs="宋体" w:eastAsia="宋体" w:hint="default"/>
          <w:sz w:val="21"/>
          <w:szCs w:val="21"/>
        </w:rPr>
      </w:r>
    </w:p>
    <w:p>
      <w:pPr>
        <w:pStyle w:val="Heading4"/>
        <w:spacing w:line="240" w:lineRule="auto" w:before="18"/>
        <w:ind w:left="152" w:right="7034"/>
        <w:jc w:val="left"/>
        <w:rPr>
          <w:b w:val="0"/>
          <w:bCs w:val="0"/>
        </w:rPr>
      </w:pPr>
      <w:r>
        <w:rPr/>
        <w:t>八、合并范围的变更</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2" w:right="7034"/>
        <w:jc w:val="left"/>
        <w:rPr>
          <w:b w:val="0"/>
          <w:bCs w:val="0"/>
        </w:rPr>
      </w:pPr>
      <w:r>
        <w:rPr/>
        <w:t>1、非同一控制下企业合并</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left="152" w:right="5774"/>
        <w:jc w:val="left"/>
        <w:rPr>
          <w:b w:val="0"/>
          <w:bCs w:val="0"/>
        </w:rPr>
      </w:pPr>
      <w:r>
        <w:rPr/>
        <w:t>（1）本期发生的非同一控制下企业合并</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851"/>
        <w:gridCol w:w="709"/>
        <w:gridCol w:w="850"/>
        <w:gridCol w:w="992"/>
        <w:gridCol w:w="851"/>
        <w:gridCol w:w="709"/>
        <w:gridCol w:w="1134"/>
        <w:gridCol w:w="1559"/>
        <w:gridCol w:w="1914"/>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8" w:right="79"/>
              <w:jc w:val="left"/>
              <w:rPr>
                <w:rFonts w:ascii="宋体" w:hAnsi="宋体" w:cs="宋体" w:eastAsia="宋体" w:hint="default"/>
                <w:sz w:val="18"/>
                <w:szCs w:val="18"/>
              </w:rPr>
            </w:pPr>
            <w:r>
              <w:rPr>
                <w:rFonts w:ascii="宋体" w:hAnsi="宋体" w:cs="宋体" w:eastAsia="宋体" w:hint="default"/>
                <w:sz w:val="18"/>
                <w:szCs w:val="18"/>
              </w:rPr>
              <w:t>股权取 得时点</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0" w:right="58"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0" w:right="39"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9" w:right="60"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2" w:right="110"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4" w:right="54" w:hanging="272"/>
              <w:jc w:val="left"/>
              <w:rPr>
                <w:rFonts w:ascii="宋体" w:hAnsi="宋体" w:cs="宋体" w:eastAsia="宋体" w:hint="default"/>
                <w:sz w:val="18"/>
                <w:szCs w:val="18"/>
              </w:rPr>
            </w:pPr>
            <w:r>
              <w:rPr>
                <w:rFonts w:ascii="宋体" w:hAnsi="宋体" w:cs="宋体" w:eastAsia="宋体" w:hint="default"/>
                <w:sz w:val="18"/>
                <w:szCs w:val="18"/>
              </w:rPr>
              <w:t>购买日至期末被购 买方的收入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购买日至期末被购买方 的净利润</w:t>
            </w:r>
          </w:p>
        </w:tc>
      </w:tr>
    </w:tbl>
    <w:p>
      <w:pPr>
        <w:spacing w:before="49"/>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left="152" w:right="7034"/>
        <w:jc w:val="left"/>
        <w:rPr>
          <w:b w:val="0"/>
          <w:bCs w:val="0"/>
        </w:rPr>
      </w:pPr>
      <w:r>
        <w:rPr/>
        <w:t>（2）合并成本及商誉</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3d3d3"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51"/>
        <w:ind w:left="152" w:right="505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52" w:right="5774"/>
        <w:jc w:val="left"/>
        <w:rPr>
          <w:b w:val="0"/>
          <w:bCs w:val="0"/>
        </w:rPr>
      </w:pPr>
      <w:r>
        <w:rPr/>
        <w:t>（3）被购买方于购买日可辨认资产、负债</w:t>
      </w:r>
      <w:r>
        <w:rPr>
          <w:b w:val="0"/>
          <w:bCs w:val="0"/>
        </w:rPr>
      </w:r>
    </w:p>
    <w:p>
      <w:pPr>
        <w:spacing w:line="240" w:lineRule="auto" w:before="7"/>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0"/>
        <w:ind w:left="152" w:right="651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6"/>
        <w:spacing w:line="240" w:lineRule="auto"/>
        <w:ind w:left="152" w:right="0"/>
        <w:jc w:val="both"/>
        <w:rPr>
          <w:b w:val="0"/>
          <w:bCs w:val="0"/>
        </w:rPr>
      </w:pPr>
      <w:r>
        <w:rPr/>
        <w:t>（4）购买日之前持有的股权按照公允价值重新计量产生的利得或损失</w:t>
      </w:r>
      <w:r>
        <w:rPr>
          <w:b w:val="0"/>
          <w:bCs w:val="0"/>
        </w:rPr>
      </w:r>
    </w:p>
    <w:p>
      <w:pPr>
        <w:spacing w:line="240" w:lineRule="auto" w:before="9"/>
        <w:rPr>
          <w:rFonts w:ascii="宋体" w:hAnsi="宋体" w:cs="宋体" w:eastAsia="宋体" w:hint="default"/>
          <w:b/>
          <w:bCs/>
          <w:sz w:val="27"/>
          <w:szCs w:val="2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after="0"/>
        <w:jc w:val="both"/>
        <w:rPr>
          <w:rFonts w:ascii="宋体" w:hAnsi="宋体" w:cs="宋体" w:eastAsia="宋体" w:hint="default"/>
          <w:sz w:val="18"/>
          <w:szCs w:val="18"/>
        </w:rPr>
        <w:sectPr>
          <w:pgSz w:w="11910" w:h="16840"/>
          <w:pgMar w:header="746" w:footer="978" w:top="1040" w:bottom="1160" w:left="980" w:right="1020"/>
        </w:sectPr>
      </w:pPr>
    </w:p>
    <w:p>
      <w:pPr>
        <w:spacing w:line="240" w:lineRule="auto" w:before="6"/>
        <w:rPr>
          <w:rFonts w:ascii="宋体" w:hAnsi="宋体" w:cs="宋体" w:eastAsia="宋体" w:hint="default"/>
          <w:sz w:val="25"/>
          <w:szCs w:val="25"/>
        </w:rPr>
      </w:pPr>
    </w:p>
    <w:p>
      <w:pPr>
        <w:pStyle w:val="Heading6"/>
        <w:spacing w:line="240" w:lineRule="auto" w:before="34"/>
        <w:ind w:left="152" w:right="0"/>
        <w:jc w:val="left"/>
        <w:rPr>
          <w:b w:val="0"/>
          <w:bCs w:val="0"/>
        </w:rPr>
      </w:pPr>
      <w:r>
        <w:rPr/>
        <w:t>（5）购买日或合并当期期末无法合理确定合并对价或被购买方可辨认资产、负债公允价值的相关说明</w:t>
      </w:r>
      <w:r>
        <w:rPr>
          <w:b w:val="0"/>
          <w:bCs w:val="0"/>
        </w:rPr>
      </w:r>
    </w:p>
    <w:p>
      <w:pPr>
        <w:spacing w:line="240" w:lineRule="auto" w:before="12"/>
        <w:rPr>
          <w:rFonts w:ascii="宋体" w:hAnsi="宋体" w:cs="宋体" w:eastAsia="宋体" w:hint="default"/>
          <w:b/>
          <w:bCs/>
          <w:sz w:val="25"/>
          <w:szCs w:val="25"/>
        </w:rPr>
      </w:pPr>
    </w:p>
    <w:p>
      <w:pPr>
        <w:pStyle w:val="Heading6"/>
        <w:spacing w:line="535" w:lineRule="auto"/>
        <w:ind w:left="152" w:right="7519"/>
        <w:jc w:val="left"/>
        <w:rPr>
          <w:b w:val="0"/>
          <w:bCs w:val="0"/>
        </w:rPr>
      </w:pPr>
      <w:r>
        <w:rPr/>
        <w:t>（6）其他说明</w:t>
      </w:r>
      <w:r>
        <w:rPr>
          <w:w w:val="99"/>
        </w:rPr>
        <w:t> </w:t>
      </w:r>
      <w:r>
        <w:rPr/>
        <w:t>2、同一控制下企业合并</w:t>
      </w:r>
      <w:r>
        <w:rPr>
          <w:b w:val="0"/>
          <w:bCs w:val="0"/>
        </w:rPr>
      </w:r>
    </w:p>
    <w:p>
      <w:pPr>
        <w:pStyle w:val="Heading6"/>
        <w:spacing w:line="240" w:lineRule="auto" w:before="79"/>
        <w:ind w:left="152" w:right="5774"/>
        <w:jc w:val="left"/>
        <w:rPr>
          <w:b w:val="0"/>
          <w:bCs w:val="0"/>
        </w:rPr>
      </w:pPr>
      <w:r>
        <w:rPr/>
        <w:t>（1）本期发生的同一控制下企业合并</w:t>
      </w:r>
      <w:r>
        <w:rPr>
          <w:b w:val="0"/>
          <w:bCs w:val="0"/>
        </w:rPr>
      </w:r>
    </w:p>
    <w:p>
      <w:pPr>
        <w:spacing w:line="240" w:lineRule="auto" w:before="12"/>
        <w:rPr>
          <w:rFonts w:ascii="宋体" w:hAnsi="宋体" w:cs="宋体" w:eastAsia="宋体" w:hint="default"/>
          <w:b/>
          <w:bCs/>
          <w:sz w:val="27"/>
          <w:szCs w:val="27"/>
        </w:rPr>
      </w:pPr>
    </w:p>
    <w:p>
      <w:pPr>
        <w:spacing w:before="0"/>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851"/>
        <w:gridCol w:w="1271"/>
        <w:gridCol w:w="1063"/>
        <w:gridCol w:w="501"/>
        <w:gridCol w:w="850"/>
        <w:gridCol w:w="1418"/>
        <w:gridCol w:w="1487"/>
        <w:gridCol w:w="1064"/>
        <w:gridCol w:w="1064"/>
      </w:tblGrid>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0" w:right="89"/>
              <w:jc w:val="left"/>
              <w:rPr>
                <w:rFonts w:ascii="宋体" w:hAnsi="宋体" w:cs="宋体" w:eastAsia="宋体" w:hint="default"/>
                <w:sz w:val="18"/>
                <w:szCs w:val="18"/>
              </w:rPr>
            </w:pPr>
            <w:r>
              <w:rPr>
                <w:rFonts w:ascii="宋体" w:hAnsi="宋体" w:cs="宋体" w:eastAsia="宋体" w:hint="default"/>
                <w:sz w:val="18"/>
                <w:szCs w:val="18"/>
              </w:rPr>
              <w:t>企业合并中取 得的权益比例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6" w:right="64" w:hanging="92"/>
              <w:jc w:val="left"/>
              <w:rPr>
                <w:rFonts w:ascii="宋体" w:hAnsi="宋体" w:cs="宋体" w:eastAsia="宋体" w:hint="default"/>
                <w:sz w:val="18"/>
                <w:szCs w:val="18"/>
              </w:rPr>
            </w:pPr>
            <w:r>
              <w:rPr>
                <w:rFonts w:ascii="宋体" w:hAnsi="宋体" w:cs="宋体" w:eastAsia="宋体" w:hint="default"/>
                <w:sz w:val="18"/>
                <w:szCs w:val="18"/>
              </w:rPr>
              <w:t>合并 日</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0" w:right="57"/>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4" w:right="71"/>
              <w:jc w:val="center"/>
              <w:rPr>
                <w:rFonts w:ascii="宋体" w:hAnsi="宋体" w:cs="宋体" w:eastAsia="宋体" w:hint="default"/>
                <w:sz w:val="18"/>
                <w:szCs w:val="18"/>
              </w:rPr>
            </w:pPr>
            <w:r>
              <w:rPr>
                <w:rFonts w:ascii="宋体" w:hAnsi="宋体" w:cs="宋体" w:eastAsia="宋体" w:hint="default"/>
                <w:sz w:val="18"/>
                <w:szCs w:val="18"/>
              </w:rPr>
              <w:t>合并当期期初至 合并日被合并方 的收入</w:t>
            </w:r>
          </w:p>
        </w:tc>
        <w:tc>
          <w:tcPr>
            <w:tcW w:w="14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8" w:right="106"/>
              <w:jc w:val="center"/>
              <w:rPr>
                <w:rFonts w:ascii="宋体" w:hAnsi="宋体" w:cs="宋体" w:eastAsia="宋体" w:hint="default"/>
                <w:sz w:val="18"/>
                <w:szCs w:val="18"/>
              </w:rPr>
            </w:pPr>
            <w:r>
              <w:rPr>
                <w:rFonts w:ascii="宋体" w:hAnsi="宋体" w:cs="宋体" w:eastAsia="宋体" w:hint="default"/>
                <w:sz w:val="18"/>
                <w:szCs w:val="18"/>
              </w:rPr>
              <w:t>合并当期期初至 合并日被合并方 的净利润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6" w:right="76"/>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52" w:right="7034"/>
        <w:jc w:val="left"/>
        <w:rPr>
          <w:b w:val="0"/>
          <w:bCs w:val="0"/>
        </w:rPr>
      </w:pPr>
      <w:r>
        <w:rPr/>
        <w:t>（2）合并成本</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3d3d3"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50"/>
        <w:ind w:left="152" w:right="757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2"/>
        <w:rPr>
          <w:rFonts w:ascii="宋体" w:hAnsi="宋体" w:cs="宋体" w:eastAsia="宋体" w:hint="default"/>
          <w:sz w:val="19"/>
          <w:szCs w:val="19"/>
        </w:rPr>
      </w:pPr>
    </w:p>
    <w:p>
      <w:pPr>
        <w:pStyle w:val="Heading6"/>
        <w:spacing w:line="240" w:lineRule="auto"/>
        <w:ind w:left="152" w:right="0"/>
        <w:jc w:val="left"/>
        <w:rPr>
          <w:b w:val="0"/>
          <w:bCs w:val="0"/>
        </w:rPr>
      </w:pPr>
      <w:r>
        <w:rPr/>
        <w:t>（3）合并日被合并方资产、负债的账面价值</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823" w:lineRule="exact"/>
        <w:ind w:left="11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2;width:3185;height:397" coordorigin="13,12" coordsize="3185,397">
              <v:shape style="position:absolute;left:13;top:12;width:3185;height:397" coordorigin="13,12" coordsize="3185,397" path="m13,12l3198,12,3198,409,13,409,13,12xe" filled="true" fillcolor="#d3d3d3" stroked="false">
                <v:path arrowok="t"/>
                <v:fill type="solid"/>
              </v:shape>
            </v:group>
            <v:group style="position:absolute;left:3203;top:12;width:6375;height:397" coordorigin="3203,12" coordsize="6375,397">
              <v:shape style="position:absolute;left:3203;top:12;width:6375;height:397" coordorigin="3203,12" coordsize="6375,397" path="m3203,12l9578,12,9578,409,3203,409,3203,12xe" filled="true" fillcolor="#e1ffff" stroked="false">
                <v:path arrowok="t"/>
                <v:fill type="solid"/>
              </v:shape>
            </v:group>
            <v:group style="position:absolute;left:13;top:414;width:3185;height:397" coordorigin="13,414" coordsize="3185,397">
              <v:shape style="position:absolute;left:13;top:414;width:3185;height:397" coordorigin="13,414" coordsize="3185,397" path="m13,414l3198,414,3198,811,13,811,13,414xe" filled="true" fillcolor="#d3d3d3" stroked="false">
                <v:path arrowok="t"/>
                <v:fill type="solid"/>
              </v:shape>
            </v:group>
            <v:group style="position:absolute;left:3203;top:414;width:3185;height:397" coordorigin="3203,414" coordsize="3185,397">
              <v:shape style="position:absolute;left:3203;top:414;width:3185;height:397" coordorigin="3203,414" coordsize="3185,397" path="m3203,414l6388,414,6388,811,3203,811,3203,414xe" filled="true" fillcolor="#d3d3d3" stroked="false">
                <v:path arrowok="t"/>
                <v:fill type="solid"/>
              </v:shape>
            </v:group>
            <v:group style="position:absolute;left:6393;top:414;width:3185;height:397" coordorigin="6393,414" coordsize="3185,397">
              <v:shape style="position:absolute;left:6393;top:414;width:3185;height:397" coordorigin="6393,414" coordsize="3185,397" path="m6393,414l9578,414,9578,811,6393,811,6393,414xe" filled="true" fillcolor="#d3d3d3"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6"/>
        <w:ind w:left="152" w:right="649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3"/>
        <w:rPr>
          <w:rFonts w:ascii="宋体" w:hAnsi="宋体" w:cs="宋体" w:eastAsia="宋体" w:hint="default"/>
          <w:sz w:val="20"/>
          <w:szCs w:val="20"/>
        </w:rPr>
      </w:pPr>
    </w:p>
    <w:p>
      <w:pPr>
        <w:pStyle w:val="Heading6"/>
        <w:spacing w:line="240" w:lineRule="auto"/>
        <w:ind w:left="152" w:right="7034"/>
        <w:jc w:val="left"/>
        <w:rPr>
          <w:b w:val="0"/>
          <w:bCs w:val="0"/>
        </w:rPr>
      </w:pPr>
      <w:r>
        <w:rPr/>
        <w:t>3、反向购买</w:t>
      </w:r>
      <w:r>
        <w:rPr>
          <w:b w:val="0"/>
          <w:bCs w:val="0"/>
        </w:rPr>
      </w:r>
    </w:p>
    <w:p>
      <w:pPr>
        <w:spacing w:line="240" w:lineRule="auto" w:before="9"/>
        <w:rPr>
          <w:rFonts w:ascii="宋体" w:hAnsi="宋体" w:cs="宋体" w:eastAsia="宋体" w:hint="default"/>
          <w:b/>
          <w:bCs/>
          <w:sz w:val="27"/>
          <w:szCs w:val="27"/>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6"/>
        <w:spacing w:line="240" w:lineRule="auto"/>
        <w:ind w:left="152" w:right="7034"/>
        <w:jc w:val="left"/>
        <w:rPr>
          <w:b w:val="0"/>
          <w:bCs w:val="0"/>
        </w:rPr>
      </w:pPr>
      <w:r>
        <w:rPr/>
        <w:t>4、处置子公司</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6" w:footer="978" w:top="1040" w:bottom="1160" w:left="980" w:right="102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5"/>
        <w:ind w:left="15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980" w:right="1020"/>
          <w:cols w:num="2" w:equalWidth="0">
            <w:col w:w="4293" w:space="4445"/>
            <w:col w:w="1172"/>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993"/>
        <w:gridCol w:w="708"/>
        <w:gridCol w:w="507"/>
        <w:gridCol w:w="627"/>
        <w:gridCol w:w="843"/>
        <w:gridCol w:w="735"/>
        <w:gridCol w:w="974"/>
        <w:gridCol w:w="496"/>
        <w:gridCol w:w="638"/>
        <w:gridCol w:w="567"/>
        <w:gridCol w:w="850"/>
        <w:gridCol w:w="851"/>
        <w:gridCol w:w="775"/>
      </w:tblGrid>
      <w:tr>
        <w:trPr>
          <w:trHeight w:val="1024"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0" w:right="76"/>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8" w:right="67"/>
              <w:jc w:val="both"/>
              <w:rPr>
                <w:rFonts w:ascii="宋体" w:hAnsi="宋体" w:cs="宋体" w:eastAsia="宋体" w:hint="default"/>
                <w:sz w:val="18"/>
                <w:szCs w:val="18"/>
              </w:rPr>
            </w:pPr>
            <w:r>
              <w:rPr>
                <w:rFonts w:ascii="宋体" w:hAnsi="宋体" w:cs="宋体" w:eastAsia="宋体" w:hint="default"/>
                <w:sz w:val="18"/>
                <w:szCs w:val="18"/>
              </w:rPr>
              <w:t>股权 处置 比例</w:t>
            </w:r>
          </w:p>
        </w:tc>
        <w:tc>
          <w:tcPr>
            <w:tcW w:w="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 w:right="36"/>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5" w:right="56"/>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2" w:right="90"/>
              <w:jc w:val="both"/>
              <w:rPr>
                <w:rFonts w:ascii="宋体" w:hAnsi="宋体" w:cs="宋体" w:eastAsia="宋体" w:hint="default"/>
                <w:sz w:val="18"/>
                <w:szCs w:val="18"/>
              </w:rPr>
            </w:pPr>
            <w:r>
              <w:rPr>
                <w:rFonts w:ascii="宋体" w:hAnsi="宋体" w:cs="宋体" w:eastAsia="宋体" w:hint="default"/>
                <w:sz w:val="18"/>
                <w:szCs w:val="18"/>
              </w:rPr>
              <w:t>丧失控 制权时 点的确</w:t>
            </w:r>
          </w:p>
        </w:tc>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32" w:right="30"/>
              <w:jc w:val="both"/>
              <w:rPr>
                <w:rFonts w:ascii="宋体" w:hAnsi="宋体" w:cs="宋体" w:eastAsia="宋体" w:hint="default"/>
                <w:sz w:val="18"/>
                <w:szCs w:val="18"/>
              </w:rPr>
            </w:pPr>
            <w:r>
              <w:rPr>
                <w:rFonts w:ascii="宋体" w:hAnsi="宋体" w:cs="宋体" w:eastAsia="宋体" w:hint="default"/>
                <w:sz w:val="18"/>
                <w:szCs w:val="18"/>
              </w:rPr>
              <w:t>处置价款与 处置投资对 应的合并财</w:t>
            </w:r>
          </w:p>
        </w:tc>
        <w:tc>
          <w:tcPr>
            <w:tcW w:w="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3" w:right="60"/>
              <w:jc w:val="both"/>
              <w:rPr>
                <w:rFonts w:ascii="宋体" w:hAnsi="宋体" w:cs="宋体" w:eastAsia="宋体" w:hint="default"/>
                <w:sz w:val="18"/>
                <w:szCs w:val="18"/>
              </w:rPr>
            </w:pPr>
            <w:r>
              <w:rPr>
                <w:rFonts w:ascii="宋体" w:hAnsi="宋体" w:cs="宋体" w:eastAsia="宋体" w:hint="default"/>
                <w:sz w:val="18"/>
                <w:szCs w:val="18"/>
              </w:rPr>
              <w:t>丧失 控制 权之</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43" w:right="43"/>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8" w:right="96"/>
              <w:jc w:val="both"/>
              <w:rPr>
                <w:rFonts w:ascii="宋体" w:hAnsi="宋体" w:cs="宋体" w:eastAsia="宋体" w:hint="default"/>
                <w:sz w:val="18"/>
                <w:szCs w:val="18"/>
              </w:rPr>
            </w:pPr>
            <w:r>
              <w:rPr>
                <w:rFonts w:ascii="宋体" w:hAnsi="宋体" w:cs="宋体" w:eastAsia="宋体" w:hint="default"/>
                <w:sz w:val="18"/>
                <w:szCs w:val="18"/>
              </w:rPr>
              <w:t>丧失 控制 权之</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59" w:right="58"/>
              <w:jc w:val="both"/>
              <w:rPr>
                <w:rFonts w:ascii="宋体" w:hAnsi="宋体" w:cs="宋体" w:eastAsia="宋体" w:hint="default"/>
                <w:sz w:val="18"/>
                <w:szCs w:val="18"/>
              </w:rPr>
            </w:pPr>
            <w:r>
              <w:rPr>
                <w:rFonts w:ascii="宋体" w:hAnsi="宋体" w:cs="宋体" w:eastAsia="宋体" w:hint="default"/>
                <w:sz w:val="18"/>
                <w:szCs w:val="18"/>
              </w:rPr>
              <w:t>按照公允 价值重新 计量剩余</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59" w:right="60"/>
              <w:jc w:val="both"/>
              <w:rPr>
                <w:rFonts w:ascii="宋体" w:hAnsi="宋体" w:cs="宋体" w:eastAsia="宋体" w:hint="default"/>
                <w:sz w:val="18"/>
                <w:szCs w:val="18"/>
              </w:rPr>
            </w:pPr>
            <w:r>
              <w:rPr>
                <w:rFonts w:ascii="宋体" w:hAnsi="宋体" w:cs="宋体" w:eastAsia="宋体" w:hint="default"/>
                <w:sz w:val="18"/>
                <w:szCs w:val="18"/>
              </w:rPr>
              <w:t>丧失控制 权之日剩 余股权公</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112" w:right="110"/>
              <w:jc w:val="both"/>
              <w:rPr>
                <w:rFonts w:ascii="宋体" w:hAnsi="宋体" w:cs="宋体" w:eastAsia="宋体" w:hint="default"/>
                <w:sz w:val="18"/>
                <w:szCs w:val="18"/>
              </w:rPr>
            </w:pPr>
            <w:r>
              <w:rPr>
                <w:rFonts w:ascii="宋体" w:hAnsi="宋体" w:cs="宋体" w:eastAsia="宋体" w:hint="default"/>
                <w:sz w:val="18"/>
                <w:szCs w:val="18"/>
              </w:rPr>
              <w:t>与原子 公司股 权投资</w:t>
            </w:r>
          </w:p>
        </w:tc>
      </w:tr>
    </w:tbl>
    <w:p>
      <w:pPr>
        <w:spacing w:after="0" w:line="316" w:lineRule="auto"/>
        <w:jc w:val="both"/>
        <w:rPr>
          <w:rFonts w:ascii="宋体" w:hAnsi="宋体" w:cs="宋体" w:eastAsia="宋体" w:hint="default"/>
          <w:sz w:val="18"/>
          <w:szCs w:val="18"/>
        </w:rPr>
        <w:sectPr>
          <w:type w:val="continuous"/>
          <w:pgSz w:w="11910" w:h="16840"/>
          <w:pgMar w:top="1040" w:bottom="1160" w:left="98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993"/>
        <w:gridCol w:w="708"/>
        <w:gridCol w:w="507"/>
        <w:gridCol w:w="627"/>
        <w:gridCol w:w="843"/>
        <w:gridCol w:w="735"/>
        <w:gridCol w:w="974"/>
        <w:gridCol w:w="496"/>
        <w:gridCol w:w="638"/>
        <w:gridCol w:w="567"/>
        <w:gridCol w:w="850"/>
        <w:gridCol w:w="851"/>
        <w:gridCol w:w="775"/>
      </w:tblGrid>
      <w:tr>
        <w:trPr>
          <w:trHeight w:val="318" w:hRule="exact"/>
        </w:trPr>
        <w:tc>
          <w:tcPr>
            <w:tcW w:w="993" w:type="dxa"/>
            <w:vMerge w:val="restart"/>
            <w:tcBorders>
              <w:top w:val="single" w:sz="4" w:space="0" w:color="000000"/>
              <w:left w:val="single" w:sz="4" w:space="0" w:color="000000"/>
              <w:right w:val="single" w:sz="4" w:space="0" w:color="000000"/>
            </w:tcBorders>
            <w:shd w:val="clear" w:color="auto" w:fill="D3D3D3"/>
          </w:tcPr>
          <w:p>
            <w:pPr/>
          </w:p>
        </w:tc>
        <w:tc>
          <w:tcPr>
            <w:tcW w:w="708" w:type="dxa"/>
            <w:vMerge w:val="restart"/>
            <w:tcBorders>
              <w:top w:val="single" w:sz="4" w:space="0" w:color="000000"/>
              <w:left w:val="single" w:sz="4" w:space="0" w:color="000000"/>
              <w:right w:val="single" w:sz="4" w:space="0" w:color="000000"/>
            </w:tcBorders>
            <w:shd w:val="clear" w:color="auto" w:fill="D3D3D3"/>
          </w:tcPr>
          <w:p>
            <w:pPr/>
          </w:p>
        </w:tc>
        <w:tc>
          <w:tcPr>
            <w:tcW w:w="507" w:type="dxa"/>
            <w:vMerge w:val="restart"/>
            <w:tcBorders>
              <w:top w:val="single" w:sz="4" w:space="0" w:color="000000"/>
              <w:left w:val="single" w:sz="4" w:space="0" w:color="000000"/>
              <w:right w:val="single" w:sz="4" w:space="0" w:color="000000"/>
            </w:tcBorders>
            <w:shd w:val="clear" w:color="auto" w:fill="D3D3D3"/>
          </w:tcPr>
          <w:p>
            <w:pPr/>
          </w:p>
        </w:tc>
        <w:tc>
          <w:tcPr>
            <w:tcW w:w="627" w:type="dxa"/>
            <w:vMerge w:val="restart"/>
            <w:tcBorders>
              <w:top w:val="single" w:sz="4" w:space="0" w:color="000000"/>
              <w:left w:val="single" w:sz="4" w:space="0" w:color="000000"/>
              <w:right w:val="single" w:sz="4" w:space="0" w:color="000000"/>
            </w:tcBorders>
            <w:shd w:val="clear" w:color="auto" w:fill="D3D3D3"/>
          </w:tcPr>
          <w:p>
            <w:pPr/>
          </w:p>
        </w:tc>
        <w:tc>
          <w:tcPr>
            <w:tcW w:w="843" w:type="dxa"/>
            <w:vMerge w:val="restart"/>
            <w:tcBorders>
              <w:top w:val="single" w:sz="4" w:space="0" w:color="000000"/>
              <w:left w:val="single" w:sz="4" w:space="0" w:color="000000"/>
              <w:right w:val="single" w:sz="4" w:space="0" w:color="000000"/>
            </w:tcBorders>
            <w:shd w:val="clear" w:color="auto" w:fill="D3D3D3"/>
          </w:tcPr>
          <w:p>
            <w:pPr/>
          </w:p>
        </w:tc>
        <w:tc>
          <w:tcPr>
            <w:tcW w:w="73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97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务报表层面</w:t>
            </w:r>
          </w:p>
        </w:tc>
        <w:tc>
          <w:tcPr>
            <w:tcW w:w="49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60"/>
              <w:jc w:val="right"/>
              <w:rPr>
                <w:rFonts w:ascii="宋体" w:hAnsi="宋体" w:cs="宋体" w:eastAsia="宋体" w:hint="default"/>
                <w:sz w:val="18"/>
                <w:szCs w:val="18"/>
              </w:rPr>
            </w:pPr>
            <w:r>
              <w:rPr>
                <w:rFonts w:ascii="宋体" w:hAnsi="宋体" w:cs="宋体" w:eastAsia="宋体" w:hint="default"/>
                <w:sz w:val="18"/>
                <w:szCs w:val="18"/>
              </w:rPr>
              <w:t>日剩</w:t>
            </w: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43"/>
              <w:jc w:val="right"/>
              <w:rPr>
                <w:rFonts w:ascii="宋体" w:hAnsi="宋体" w:cs="宋体" w:eastAsia="宋体" w:hint="default"/>
                <w:sz w:val="18"/>
                <w:szCs w:val="18"/>
              </w:rPr>
            </w:pPr>
            <w:r>
              <w:rPr>
                <w:rFonts w:ascii="宋体" w:hAnsi="宋体" w:cs="宋体" w:eastAsia="宋体" w:hint="default"/>
                <w:sz w:val="18"/>
                <w:szCs w:val="18"/>
              </w:rPr>
              <w:t>股权的</w:t>
            </w:r>
          </w:p>
        </w:tc>
        <w:tc>
          <w:tcPr>
            <w:tcW w:w="5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日剩</w:t>
            </w:r>
          </w:p>
        </w:tc>
        <w:tc>
          <w:tcPr>
            <w:tcW w:w="85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58"/>
              <w:jc w:val="right"/>
              <w:rPr>
                <w:rFonts w:ascii="宋体" w:hAnsi="宋体" w:cs="宋体" w:eastAsia="宋体" w:hint="default"/>
                <w:sz w:val="18"/>
                <w:szCs w:val="18"/>
              </w:rPr>
            </w:pPr>
            <w:r>
              <w:rPr>
                <w:rFonts w:ascii="宋体" w:hAnsi="宋体" w:cs="宋体" w:eastAsia="宋体" w:hint="default"/>
                <w:sz w:val="18"/>
                <w:szCs w:val="18"/>
              </w:rPr>
              <w:t>股权产生</w:t>
            </w:r>
          </w:p>
        </w:tc>
        <w:tc>
          <w:tcPr>
            <w:tcW w:w="85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59" w:right="0"/>
              <w:jc w:val="left"/>
              <w:rPr>
                <w:rFonts w:ascii="宋体" w:hAnsi="宋体" w:cs="宋体" w:eastAsia="宋体" w:hint="default"/>
                <w:sz w:val="18"/>
                <w:szCs w:val="18"/>
              </w:rPr>
            </w:pPr>
            <w:r>
              <w:rPr>
                <w:rFonts w:ascii="宋体" w:hAnsi="宋体" w:cs="宋体" w:eastAsia="宋体" w:hint="default"/>
                <w:sz w:val="18"/>
                <w:szCs w:val="18"/>
              </w:rPr>
              <w:t>允价值的</w:t>
            </w:r>
          </w:p>
        </w:tc>
        <w:tc>
          <w:tcPr>
            <w:tcW w:w="77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相关的</w:t>
            </w:r>
          </w:p>
        </w:tc>
      </w:tr>
      <w:tr>
        <w:trPr>
          <w:trHeight w:val="312" w:hRule="exact"/>
        </w:trPr>
        <w:tc>
          <w:tcPr>
            <w:tcW w:w="993"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507" w:type="dxa"/>
            <w:vMerge/>
            <w:tcBorders>
              <w:left w:val="single" w:sz="4" w:space="0" w:color="000000"/>
              <w:right w:val="single" w:sz="4" w:space="0" w:color="000000"/>
            </w:tcBorders>
            <w:shd w:val="clear" w:color="auto" w:fill="D3D3D3"/>
          </w:tcPr>
          <w:p>
            <w:pPr/>
          </w:p>
        </w:tc>
        <w:tc>
          <w:tcPr>
            <w:tcW w:w="627" w:type="dxa"/>
            <w:vMerge/>
            <w:tcBorders>
              <w:left w:val="single" w:sz="4" w:space="0" w:color="000000"/>
              <w:right w:val="single" w:sz="4" w:space="0" w:color="000000"/>
            </w:tcBorders>
            <w:shd w:val="clear" w:color="auto" w:fill="D3D3D3"/>
          </w:tcPr>
          <w:p>
            <w:pPr/>
          </w:p>
        </w:tc>
        <w:tc>
          <w:tcPr>
            <w:tcW w:w="843" w:type="dxa"/>
            <w:vMerge/>
            <w:tcBorders>
              <w:left w:val="single" w:sz="4" w:space="0" w:color="000000"/>
              <w:right w:val="single" w:sz="4" w:space="0" w:color="000000"/>
            </w:tcBorders>
            <w:shd w:val="clear" w:color="auto" w:fill="D3D3D3"/>
          </w:tcPr>
          <w:p>
            <w:pPr/>
          </w:p>
        </w:tc>
        <w:tc>
          <w:tcPr>
            <w:tcW w:w="735" w:type="dxa"/>
            <w:tcBorders>
              <w:top w:val="nil" w:sz="6" w:space="0" w:color="auto"/>
              <w:left w:val="single" w:sz="4" w:space="0" w:color="000000"/>
              <w:bottom w:val="nil" w:sz="6" w:space="0" w:color="auto"/>
              <w:right w:val="single" w:sz="4" w:space="0" w:color="000000"/>
            </w:tcBorders>
            <w:shd w:val="clear" w:color="auto" w:fill="D3D3D3"/>
          </w:tcPr>
          <w:p>
            <w:pPr/>
          </w:p>
        </w:tc>
        <w:tc>
          <w:tcPr>
            <w:tcW w:w="9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享有该子公</w:t>
            </w:r>
          </w:p>
        </w:tc>
        <w:tc>
          <w:tcPr>
            <w:tcW w:w="4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0"/>
              <w:jc w:val="right"/>
              <w:rPr>
                <w:rFonts w:ascii="宋体" w:hAnsi="宋体" w:cs="宋体" w:eastAsia="宋体" w:hint="default"/>
                <w:sz w:val="18"/>
                <w:szCs w:val="18"/>
              </w:rPr>
            </w:pPr>
            <w:r>
              <w:rPr>
                <w:rFonts w:ascii="宋体" w:hAnsi="宋体" w:cs="宋体" w:eastAsia="宋体" w:hint="default"/>
                <w:sz w:val="18"/>
                <w:szCs w:val="18"/>
              </w:rPr>
              <w:t>余股</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43"/>
              <w:jc w:val="right"/>
              <w:rPr>
                <w:rFonts w:ascii="宋体" w:hAnsi="宋体" w:cs="宋体" w:eastAsia="宋体" w:hint="default"/>
                <w:sz w:val="18"/>
                <w:szCs w:val="18"/>
              </w:rPr>
            </w:pPr>
            <w:r>
              <w:rPr>
                <w:rFonts w:ascii="宋体" w:hAnsi="宋体" w:cs="宋体" w:eastAsia="宋体" w:hint="default"/>
                <w:sz w:val="18"/>
                <w:szCs w:val="18"/>
              </w:rPr>
              <w:t>账面价</w:t>
            </w:r>
          </w:p>
        </w:tc>
        <w:tc>
          <w:tcPr>
            <w:tcW w:w="5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余股</w:t>
            </w:r>
          </w:p>
        </w:tc>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58"/>
              <w:jc w:val="right"/>
              <w:rPr>
                <w:rFonts w:ascii="宋体" w:hAnsi="宋体" w:cs="宋体" w:eastAsia="宋体" w:hint="default"/>
                <w:sz w:val="18"/>
                <w:szCs w:val="18"/>
              </w:rPr>
            </w:pPr>
            <w:r>
              <w:rPr>
                <w:rFonts w:ascii="宋体" w:hAnsi="宋体" w:cs="宋体" w:eastAsia="宋体" w:hint="default"/>
                <w:sz w:val="18"/>
                <w:szCs w:val="18"/>
              </w:rPr>
              <w:t>的利得或</w:t>
            </w:r>
          </w:p>
        </w:tc>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59" w:right="0"/>
              <w:jc w:val="left"/>
              <w:rPr>
                <w:rFonts w:ascii="宋体" w:hAnsi="宋体" w:cs="宋体" w:eastAsia="宋体" w:hint="default"/>
                <w:sz w:val="18"/>
                <w:szCs w:val="18"/>
              </w:rPr>
            </w:pPr>
            <w:r>
              <w:rPr>
                <w:rFonts w:ascii="宋体" w:hAnsi="宋体" w:cs="宋体" w:eastAsia="宋体" w:hint="default"/>
                <w:sz w:val="18"/>
                <w:szCs w:val="18"/>
              </w:rPr>
              <w:t>确定方法</w:t>
            </w:r>
          </w:p>
        </w:tc>
        <w:tc>
          <w:tcPr>
            <w:tcW w:w="7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其他综</w:t>
            </w:r>
          </w:p>
        </w:tc>
      </w:tr>
      <w:tr>
        <w:trPr>
          <w:trHeight w:val="312" w:hRule="exact"/>
        </w:trPr>
        <w:tc>
          <w:tcPr>
            <w:tcW w:w="993"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507" w:type="dxa"/>
            <w:vMerge/>
            <w:tcBorders>
              <w:left w:val="single" w:sz="4" w:space="0" w:color="000000"/>
              <w:right w:val="single" w:sz="4" w:space="0" w:color="000000"/>
            </w:tcBorders>
            <w:shd w:val="clear" w:color="auto" w:fill="D3D3D3"/>
          </w:tcPr>
          <w:p>
            <w:pPr/>
          </w:p>
        </w:tc>
        <w:tc>
          <w:tcPr>
            <w:tcW w:w="627" w:type="dxa"/>
            <w:vMerge/>
            <w:tcBorders>
              <w:left w:val="single" w:sz="4" w:space="0" w:color="000000"/>
              <w:right w:val="single" w:sz="4" w:space="0" w:color="000000"/>
            </w:tcBorders>
            <w:shd w:val="clear" w:color="auto" w:fill="D3D3D3"/>
          </w:tcPr>
          <w:p>
            <w:pPr/>
          </w:p>
        </w:tc>
        <w:tc>
          <w:tcPr>
            <w:tcW w:w="843" w:type="dxa"/>
            <w:vMerge/>
            <w:tcBorders>
              <w:left w:val="single" w:sz="4" w:space="0" w:color="000000"/>
              <w:right w:val="single" w:sz="4" w:space="0" w:color="000000"/>
            </w:tcBorders>
            <w:shd w:val="clear" w:color="auto" w:fill="D3D3D3"/>
          </w:tcPr>
          <w:p>
            <w:pPr/>
          </w:p>
        </w:tc>
        <w:tc>
          <w:tcPr>
            <w:tcW w:w="735" w:type="dxa"/>
            <w:tcBorders>
              <w:top w:val="nil" w:sz="6" w:space="0" w:color="auto"/>
              <w:left w:val="single" w:sz="4" w:space="0" w:color="000000"/>
              <w:bottom w:val="nil" w:sz="6" w:space="0" w:color="auto"/>
              <w:right w:val="single" w:sz="4" w:space="0" w:color="000000"/>
            </w:tcBorders>
            <w:shd w:val="clear" w:color="auto" w:fill="D3D3D3"/>
          </w:tcPr>
          <w:p>
            <w:pPr/>
          </w:p>
        </w:tc>
        <w:tc>
          <w:tcPr>
            <w:tcW w:w="9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司净资产份</w:t>
            </w:r>
          </w:p>
        </w:tc>
        <w:tc>
          <w:tcPr>
            <w:tcW w:w="4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0"/>
              <w:jc w:val="right"/>
              <w:rPr>
                <w:rFonts w:ascii="宋体" w:hAnsi="宋体" w:cs="宋体" w:eastAsia="宋体" w:hint="default"/>
                <w:sz w:val="18"/>
                <w:szCs w:val="18"/>
              </w:rPr>
            </w:pPr>
            <w:r>
              <w:rPr>
                <w:rFonts w:ascii="宋体" w:hAnsi="宋体" w:cs="宋体" w:eastAsia="宋体" w:hint="default"/>
                <w:sz w:val="18"/>
                <w:szCs w:val="18"/>
              </w:rPr>
              <w:t>权的</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5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权的</w:t>
            </w:r>
          </w:p>
        </w:tc>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59" w:right="0"/>
              <w:jc w:val="left"/>
              <w:rPr>
                <w:rFonts w:ascii="宋体" w:hAnsi="宋体" w:cs="宋体" w:eastAsia="宋体" w:hint="default"/>
                <w:sz w:val="18"/>
                <w:szCs w:val="18"/>
              </w:rPr>
            </w:pPr>
            <w:r>
              <w:rPr>
                <w:rFonts w:ascii="宋体" w:hAnsi="宋体" w:cs="宋体" w:eastAsia="宋体" w:hint="default"/>
                <w:sz w:val="18"/>
                <w:szCs w:val="18"/>
              </w:rPr>
              <w:t>及主要假</w:t>
            </w:r>
          </w:p>
        </w:tc>
        <w:tc>
          <w:tcPr>
            <w:tcW w:w="7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合收益</w:t>
            </w:r>
          </w:p>
        </w:tc>
      </w:tr>
      <w:tr>
        <w:trPr>
          <w:trHeight w:val="312" w:hRule="exact"/>
        </w:trPr>
        <w:tc>
          <w:tcPr>
            <w:tcW w:w="993"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507" w:type="dxa"/>
            <w:vMerge/>
            <w:tcBorders>
              <w:left w:val="single" w:sz="4" w:space="0" w:color="000000"/>
              <w:right w:val="single" w:sz="4" w:space="0" w:color="000000"/>
            </w:tcBorders>
            <w:shd w:val="clear" w:color="auto" w:fill="D3D3D3"/>
          </w:tcPr>
          <w:p>
            <w:pPr/>
          </w:p>
        </w:tc>
        <w:tc>
          <w:tcPr>
            <w:tcW w:w="627" w:type="dxa"/>
            <w:vMerge/>
            <w:tcBorders>
              <w:left w:val="single" w:sz="4" w:space="0" w:color="000000"/>
              <w:right w:val="single" w:sz="4" w:space="0" w:color="000000"/>
            </w:tcBorders>
            <w:shd w:val="clear" w:color="auto" w:fill="D3D3D3"/>
          </w:tcPr>
          <w:p>
            <w:pPr/>
          </w:p>
        </w:tc>
        <w:tc>
          <w:tcPr>
            <w:tcW w:w="843" w:type="dxa"/>
            <w:vMerge/>
            <w:tcBorders>
              <w:left w:val="single" w:sz="4" w:space="0" w:color="000000"/>
              <w:right w:val="single" w:sz="4" w:space="0" w:color="000000"/>
            </w:tcBorders>
            <w:shd w:val="clear" w:color="auto" w:fill="D3D3D3"/>
          </w:tcPr>
          <w:p>
            <w:pPr/>
          </w:p>
        </w:tc>
        <w:tc>
          <w:tcPr>
            <w:tcW w:w="735" w:type="dxa"/>
            <w:tcBorders>
              <w:top w:val="nil" w:sz="6" w:space="0" w:color="auto"/>
              <w:left w:val="single" w:sz="4" w:space="0" w:color="000000"/>
              <w:bottom w:val="nil" w:sz="6" w:space="0" w:color="auto"/>
              <w:right w:val="single" w:sz="4" w:space="0" w:color="000000"/>
            </w:tcBorders>
            <w:shd w:val="clear" w:color="auto" w:fill="D3D3D3"/>
          </w:tcPr>
          <w:p>
            <w:pPr/>
          </w:p>
        </w:tc>
        <w:tc>
          <w:tcPr>
            <w:tcW w:w="9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额的差额</w:t>
            </w:r>
          </w:p>
        </w:tc>
        <w:tc>
          <w:tcPr>
            <w:tcW w:w="4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0"/>
              <w:jc w:val="right"/>
              <w:rPr>
                <w:rFonts w:ascii="宋体" w:hAnsi="宋体" w:cs="宋体" w:eastAsia="宋体" w:hint="default"/>
                <w:sz w:val="18"/>
                <w:szCs w:val="18"/>
              </w:rPr>
            </w:pPr>
            <w:r>
              <w:rPr>
                <w:rFonts w:ascii="宋体" w:hAnsi="宋体" w:cs="宋体" w:eastAsia="宋体" w:hint="default"/>
                <w:sz w:val="18"/>
                <w:szCs w:val="18"/>
              </w:rPr>
              <w:t>比例</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5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850" w:type="dxa"/>
            <w:tcBorders>
              <w:top w:val="nil" w:sz="6" w:space="0" w:color="auto"/>
              <w:left w:val="single" w:sz="4" w:space="0" w:color="000000"/>
              <w:bottom w:val="nil" w:sz="6" w:space="0" w:color="auto"/>
              <w:right w:val="single" w:sz="4" w:space="0" w:color="000000"/>
            </w:tcBorders>
            <w:shd w:val="clear" w:color="auto" w:fill="D3D3D3"/>
          </w:tcPr>
          <w:p>
            <w:pPr/>
          </w:p>
        </w:tc>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设</w:t>
            </w:r>
          </w:p>
        </w:tc>
        <w:tc>
          <w:tcPr>
            <w:tcW w:w="7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转入投</w:t>
            </w:r>
          </w:p>
        </w:tc>
      </w:tr>
      <w:tr>
        <w:trPr>
          <w:trHeight w:val="312" w:hRule="exact"/>
        </w:trPr>
        <w:tc>
          <w:tcPr>
            <w:tcW w:w="993"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507" w:type="dxa"/>
            <w:vMerge/>
            <w:tcBorders>
              <w:left w:val="single" w:sz="4" w:space="0" w:color="000000"/>
              <w:right w:val="single" w:sz="4" w:space="0" w:color="000000"/>
            </w:tcBorders>
            <w:shd w:val="clear" w:color="auto" w:fill="D3D3D3"/>
          </w:tcPr>
          <w:p>
            <w:pPr/>
          </w:p>
        </w:tc>
        <w:tc>
          <w:tcPr>
            <w:tcW w:w="627" w:type="dxa"/>
            <w:vMerge/>
            <w:tcBorders>
              <w:left w:val="single" w:sz="4" w:space="0" w:color="000000"/>
              <w:right w:val="single" w:sz="4" w:space="0" w:color="000000"/>
            </w:tcBorders>
            <w:shd w:val="clear" w:color="auto" w:fill="D3D3D3"/>
          </w:tcPr>
          <w:p>
            <w:pPr/>
          </w:p>
        </w:tc>
        <w:tc>
          <w:tcPr>
            <w:tcW w:w="843" w:type="dxa"/>
            <w:vMerge/>
            <w:tcBorders>
              <w:left w:val="single" w:sz="4" w:space="0" w:color="000000"/>
              <w:right w:val="single" w:sz="4" w:space="0" w:color="000000"/>
            </w:tcBorders>
            <w:shd w:val="clear" w:color="auto" w:fill="D3D3D3"/>
          </w:tcPr>
          <w:p>
            <w:pPr/>
          </w:p>
        </w:tc>
        <w:tc>
          <w:tcPr>
            <w:tcW w:w="735" w:type="dxa"/>
            <w:tcBorders>
              <w:top w:val="nil" w:sz="6" w:space="0" w:color="auto"/>
              <w:left w:val="single" w:sz="4" w:space="0" w:color="000000"/>
              <w:bottom w:val="nil" w:sz="6" w:space="0" w:color="auto"/>
              <w:right w:val="single" w:sz="4" w:space="0" w:color="000000"/>
            </w:tcBorders>
            <w:shd w:val="clear" w:color="auto" w:fill="D3D3D3"/>
          </w:tcPr>
          <w:p>
            <w:pPr/>
          </w:p>
        </w:tc>
        <w:tc>
          <w:tcPr>
            <w:tcW w:w="974" w:type="dxa"/>
            <w:tcBorders>
              <w:top w:val="nil" w:sz="6" w:space="0" w:color="auto"/>
              <w:left w:val="single" w:sz="4" w:space="0" w:color="000000"/>
              <w:bottom w:val="nil" w:sz="6" w:space="0" w:color="auto"/>
              <w:right w:val="single" w:sz="4" w:space="0" w:color="000000"/>
            </w:tcBorders>
            <w:shd w:val="clear" w:color="auto" w:fill="D3D3D3"/>
          </w:tcPr>
          <w:p>
            <w:pPr/>
          </w:p>
        </w:tc>
        <w:tc>
          <w:tcPr>
            <w:tcW w:w="496"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5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850" w:type="dxa"/>
            <w:tcBorders>
              <w:top w:val="nil" w:sz="6" w:space="0" w:color="auto"/>
              <w:left w:val="single" w:sz="4" w:space="0" w:color="000000"/>
              <w:bottom w:val="nil" w:sz="6" w:space="0" w:color="auto"/>
              <w:right w:val="single" w:sz="4" w:space="0" w:color="000000"/>
            </w:tcBorders>
            <w:shd w:val="clear" w:color="auto" w:fill="D3D3D3"/>
          </w:tcPr>
          <w:p>
            <w:pPr/>
          </w:p>
        </w:tc>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资损益</w:t>
            </w:r>
          </w:p>
        </w:tc>
      </w:tr>
      <w:tr>
        <w:trPr>
          <w:trHeight w:val="356" w:hRule="exact"/>
        </w:trPr>
        <w:tc>
          <w:tcPr>
            <w:tcW w:w="993" w:type="dxa"/>
            <w:vMerge/>
            <w:tcBorders>
              <w:left w:val="single" w:sz="4" w:space="0" w:color="000000"/>
              <w:bottom w:val="single" w:sz="4" w:space="0" w:color="000000"/>
              <w:right w:val="single" w:sz="4" w:space="0" w:color="000000"/>
            </w:tcBorders>
            <w:shd w:val="clear" w:color="auto" w:fill="D3D3D3"/>
          </w:tcPr>
          <w:p>
            <w:pPr/>
          </w:p>
        </w:tc>
        <w:tc>
          <w:tcPr>
            <w:tcW w:w="708" w:type="dxa"/>
            <w:vMerge/>
            <w:tcBorders>
              <w:left w:val="single" w:sz="4" w:space="0" w:color="000000"/>
              <w:bottom w:val="single" w:sz="4" w:space="0" w:color="000000"/>
              <w:right w:val="single" w:sz="4" w:space="0" w:color="000000"/>
            </w:tcBorders>
            <w:shd w:val="clear" w:color="auto" w:fill="D3D3D3"/>
          </w:tcPr>
          <w:p>
            <w:pPr/>
          </w:p>
        </w:tc>
        <w:tc>
          <w:tcPr>
            <w:tcW w:w="507" w:type="dxa"/>
            <w:vMerge/>
            <w:tcBorders>
              <w:left w:val="single" w:sz="4" w:space="0" w:color="000000"/>
              <w:bottom w:val="single" w:sz="4" w:space="0" w:color="000000"/>
              <w:right w:val="single" w:sz="4" w:space="0" w:color="000000"/>
            </w:tcBorders>
            <w:shd w:val="clear" w:color="auto" w:fill="D3D3D3"/>
          </w:tcPr>
          <w:p>
            <w:pPr/>
          </w:p>
        </w:tc>
        <w:tc>
          <w:tcPr>
            <w:tcW w:w="627" w:type="dxa"/>
            <w:vMerge/>
            <w:tcBorders>
              <w:left w:val="single" w:sz="4" w:space="0" w:color="000000"/>
              <w:bottom w:val="single" w:sz="4" w:space="0" w:color="000000"/>
              <w:right w:val="single" w:sz="4" w:space="0" w:color="000000"/>
            </w:tcBorders>
            <w:shd w:val="clear" w:color="auto" w:fill="D3D3D3"/>
          </w:tcPr>
          <w:p>
            <w:pPr/>
          </w:p>
        </w:tc>
        <w:tc>
          <w:tcPr>
            <w:tcW w:w="843" w:type="dxa"/>
            <w:vMerge/>
            <w:tcBorders>
              <w:left w:val="single" w:sz="4" w:space="0" w:color="000000"/>
              <w:bottom w:val="single" w:sz="4" w:space="0" w:color="000000"/>
              <w:right w:val="single" w:sz="4" w:space="0" w:color="000000"/>
            </w:tcBorders>
            <w:shd w:val="clear" w:color="auto" w:fill="D3D3D3"/>
          </w:tcPr>
          <w:p>
            <w:pPr/>
          </w:p>
        </w:tc>
        <w:tc>
          <w:tcPr>
            <w:tcW w:w="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974" w:type="dxa"/>
            <w:tcBorders>
              <w:top w:val="nil" w:sz="6" w:space="0" w:color="auto"/>
              <w:left w:val="single" w:sz="4" w:space="0" w:color="000000"/>
              <w:bottom w:val="single" w:sz="4" w:space="0" w:color="000000"/>
              <w:right w:val="single" w:sz="4" w:space="0" w:color="000000"/>
            </w:tcBorders>
            <w:shd w:val="clear" w:color="auto" w:fill="D3D3D3"/>
          </w:tcPr>
          <w:p>
            <w:pPr/>
          </w:p>
        </w:tc>
        <w:tc>
          <w:tcPr>
            <w:tcW w:w="496"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567"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的金额</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9"/>
              <w:jc w:val="both"/>
              <w:rPr>
                <w:rFonts w:ascii="宋体" w:hAnsi="宋体" w:cs="宋体" w:eastAsia="宋体" w:hint="default"/>
                <w:sz w:val="18"/>
                <w:szCs w:val="18"/>
              </w:rPr>
            </w:pPr>
            <w:r>
              <w:rPr>
                <w:rFonts w:ascii="宋体" w:hAnsi="宋体" w:cs="宋体" w:eastAsia="宋体" w:hint="default"/>
                <w:sz w:val="18"/>
                <w:szCs w:val="18"/>
              </w:rPr>
              <w:t>烟台原动力 健身器材有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18,000,</w:t>
            </w:r>
          </w:p>
          <w:p>
            <w:pPr>
              <w:pStyle w:val="TableParagraph"/>
              <w:spacing w:line="240" w:lineRule="auto" w:before="76"/>
              <w:ind w:left="135" w:right="0"/>
              <w:jc w:val="left"/>
              <w:rPr>
                <w:rFonts w:ascii="宋体" w:hAnsi="宋体" w:cs="宋体" w:eastAsia="宋体" w:hint="default"/>
                <w:sz w:val="18"/>
                <w:szCs w:val="18"/>
              </w:rPr>
            </w:pPr>
            <w:r>
              <w:rPr>
                <w:rFonts w:ascii="宋体"/>
                <w:sz w:val="18"/>
              </w:rPr>
              <w:t>000.00</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293" w:right="0"/>
              <w:jc w:val="left"/>
              <w:rPr>
                <w:rFonts w:ascii="宋体" w:hAnsi="宋体" w:cs="宋体" w:eastAsia="宋体" w:hint="default"/>
                <w:sz w:val="18"/>
                <w:szCs w:val="18"/>
              </w:rPr>
            </w:pPr>
            <w:r>
              <w:rPr>
                <w:rFonts w:ascii="宋体"/>
                <w:sz w:val="18"/>
              </w:rPr>
              <w:t>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60"/>
              <w:jc w:val="left"/>
              <w:rPr>
                <w:rFonts w:ascii="宋体" w:hAnsi="宋体" w:cs="宋体" w:eastAsia="宋体" w:hint="default"/>
                <w:sz w:val="18"/>
                <w:szCs w:val="18"/>
              </w:rPr>
            </w:pPr>
            <w:r>
              <w:rPr>
                <w:rFonts w:ascii="宋体" w:hAnsi="宋体" w:cs="宋体" w:eastAsia="宋体" w:hint="default"/>
                <w:sz w:val="18"/>
                <w:szCs w:val="18"/>
              </w:rPr>
              <w:t>工商变 更结束</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4,504,409.</w:t>
            </w:r>
          </w:p>
          <w:p>
            <w:pPr>
              <w:pStyle w:val="TableParagraph"/>
              <w:spacing w:line="240" w:lineRule="auto" w:before="76"/>
              <w:ind w:right="19"/>
              <w:jc w:val="right"/>
              <w:rPr>
                <w:rFonts w:ascii="宋体" w:hAnsi="宋体" w:cs="宋体" w:eastAsia="宋体" w:hint="default"/>
                <w:sz w:val="18"/>
                <w:szCs w:val="18"/>
              </w:rPr>
            </w:pPr>
            <w:r>
              <w:rPr>
                <w:rFonts w:ascii="宋体"/>
                <w:sz w:val="18"/>
              </w:rPr>
              <w:t>76</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p>
            <w:pPr>
              <w:pStyle w:val="TableParagraph"/>
              <w:spacing w:line="240" w:lineRule="auto" w:before="76"/>
              <w:ind w:right="21"/>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72" w:right="0"/>
              <w:jc w:val="lef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81" w:right="0"/>
              <w:jc w:val="left"/>
              <w:rPr>
                <w:rFonts w:ascii="宋体" w:hAnsi="宋体" w:cs="宋体" w:eastAsia="宋体" w:hint="default"/>
                <w:sz w:val="18"/>
                <w:szCs w:val="18"/>
              </w:rPr>
            </w:pPr>
            <w:r>
              <w:rPr>
                <w:rFonts w:ascii="宋体"/>
                <w:sz w:val="18"/>
              </w:rPr>
              <w:t>0.00</w:t>
            </w:r>
          </w:p>
        </w:tc>
      </w:tr>
    </w:tbl>
    <w:p>
      <w:pPr>
        <w:spacing w:line="357" w:lineRule="auto" w:before="51"/>
        <w:ind w:left="132" w:right="3974"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9"/>
        <w:ind w:left="132" w:right="104"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5、其他原因的合并范围变动</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1"/>
        <w:rPr>
          <w:rFonts w:ascii="宋体" w:hAnsi="宋体" w:cs="宋体" w:eastAsia="宋体" w:hint="default"/>
          <w:sz w:val="15"/>
          <w:szCs w:val="15"/>
        </w:rPr>
      </w:pPr>
    </w:p>
    <w:p>
      <w:pPr>
        <w:pStyle w:val="BodyText"/>
        <w:spacing w:line="273" w:lineRule="auto" w:before="0"/>
        <w:ind w:left="132" w:right="104"/>
        <w:jc w:val="left"/>
      </w:pPr>
      <w:r>
        <w:rPr/>
        <w:t>本期纳入合并财务报表范围的主体较上期相比，增加3户，减少0户，其中：</w:t>
      </w:r>
      <w:r>
        <w:rPr>
          <w:w w:val="99"/>
        </w:rPr>
        <w:t> </w:t>
      </w:r>
      <w:r>
        <w:rPr>
          <w:w w:val="95"/>
        </w:rPr>
        <w:t>本期新纳入合并范围的子公司、特殊目的主体、通过受托经营或承租等方式形成控制权的经营实体</w:t>
      </w:r>
      <w:r>
        <w:rPr/>
      </w:r>
    </w:p>
    <w:tbl>
      <w:tblPr>
        <w:tblW w:w="0" w:type="auto"/>
        <w:jc w:val="left"/>
        <w:tblInd w:w="116" w:type="dxa"/>
        <w:tblLayout w:type="fixed"/>
        <w:tblCellMar>
          <w:top w:w="0" w:type="dxa"/>
          <w:left w:w="0" w:type="dxa"/>
          <w:bottom w:w="0" w:type="dxa"/>
          <w:right w:w="0" w:type="dxa"/>
        </w:tblCellMar>
        <w:tblLook w:val="01E0"/>
      </w:tblPr>
      <w:tblGrid>
        <w:gridCol w:w="4820"/>
        <w:gridCol w:w="4678"/>
      </w:tblGrid>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678"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本期新增投资设立</w:t>
            </w:r>
          </w:p>
        </w:tc>
      </w:tr>
    </w:tbl>
    <w:p>
      <w:pPr>
        <w:spacing w:line="240" w:lineRule="auto" w:before="0"/>
        <w:rPr>
          <w:rFonts w:ascii="宋体" w:hAnsi="宋体" w:cs="宋体" w:eastAsia="宋体" w:hint="default"/>
          <w:sz w:val="21"/>
          <w:szCs w:val="21"/>
        </w:rPr>
      </w:pPr>
    </w:p>
    <w:p>
      <w:pPr>
        <w:spacing w:line="501" w:lineRule="auto" w:before="34"/>
        <w:ind w:left="132" w:right="7083" w:firstLine="0"/>
        <w:jc w:val="left"/>
        <w:rPr>
          <w:rFonts w:ascii="宋体" w:hAnsi="宋体" w:cs="宋体" w:eastAsia="宋体" w:hint="default"/>
          <w:sz w:val="21"/>
          <w:szCs w:val="21"/>
        </w:rPr>
      </w:pPr>
      <w:r>
        <w:rPr>
          <w:rFonts w:ascii="宋体" w:hAnsi="宋体" w:cs="宋体" w:eastAsia="宋体" w:hint="default"/>
          <w:b/>
          <w:bCs/>
          <w:sz w:val="21"/>
          <w:szCs w:val="21"/>
        </w:rPr>
        <w:t>6、其他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宋体" w:hAnsi="宋体" w:cs="宋体" w:eastAsia="宋体" w:hint="default"/>
          <w:b/>
          <w:bCs/>
          <w:sz w:val="21"/>
          <w:szCs w:val="21"/>
        </w:rPr>
        <w:t>1、在子公司中的权益</w:t>
      </w:r>
      <w:r>
        <w:rPr>
          <w:rFonts w:ascii="宋体" w:hAnsi="宋体" w:cs="宋体" w:eastAsia="宋体" w:hint="default"/>
          <w:sz w:val="21"/>
          <w:szCs w:val="21"/>
        </w:rPr>
      </w:r>
    </w:p>
    <w:p>
      <w:pPr>
        <w:pStyle w:val="Heading6"/>
        <w:spacing w:line="240" w:lineRule="auto" w:before="108"/>
        <w:ind w:right="104"/>
        <w:jc w:val="left"/>
        <w:rPr>
          <w:b w:val="0"/>
          <w:bCs w:val="0"/>
        </w:rPr>
      </w:pPr>
      <w:r>
        <w:rPr/>
        <w:t>（1）企业集团的构成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2977"/>
        <w:gridCol w:w="851"/>
        <w:gridCol w:w="1701"/>
        <w:gridCol w:w="992"/>
        <w:gridCol w:w="850"/>
        <w:gridCol w:w="834"/>
        <w:gridCol w:w="1366"/>
      </w:tblGrid>
      <w:tr>
        <w:trPr>
          <w:trHeight w:val="402" w:hRule="exact"/>
        </w:trPr>
        <w:tc>
          <w:tcPr>
            <w:tcW w:w="29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30" w:right="60"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7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977"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1701"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天津市金飞博光通讯技术有限公司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天津市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生产销售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天津市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9"/>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宋体" w:hAnsi="宋体" w:cs="宋体" w:eastAsia="宋体" w:hint="default"/>
                <w:sz w:val="18"/>
                <w:szCs w:val="18"/>
              </w:rPr>
            </w:pPr>
            <w:r>
              <w:rPr>
                <w:rFonts w:ascii="宋体"/>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天津市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 w:right="0"/>
              <w:jc w:val="lef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9"/>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6" w:right="0"/>
              <w:jc w:val="left"/>
              <w:rPr>
                <w:rFonts w:ascii="宋体" w:hAnsi="宋体" w:cs="宋体" w:eastAsia="宋体" w:hint="default"/>
                <w:sz w:val="18"/>
                <w:szCs w:val="18"/>
              </w:rPr>
            </w:pPr>
            <w:r>
              <w:rPr>
                <w:rFonts w:ascii="宋体"/>
                <w:sz w:val="18"/>
              </w:rPr>
              <w:t>51.00%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重庆市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6" w:right="0"/>
              <w:jc w:val="left"/>
              <w:rPr>
                <w:rFonts w:ascii="宋体" w:hAnsi="宋体" w:cs="宋体" w:eastAsia="宋体" w:hint="default"/>
                <w:sz w:val="18"/>
                <w:szCs w:val="18"/>
              </w:rPr>
            </w:pPr>
            <w:r>
              <w:rPr>
                <w:rFonts w:ascii="宋体"/>
                <w:sz w:val="18"/>
              </w:rPr>
              <w:t>51.00%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烟台市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烟台市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29"/>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17" w:right="45" w:hanging="2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bl>
    <w:p>
      <w:pPr>
        <w:spacing w:after="0" w:line="316"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b/>
          <w:bCs/>
          <w:sz w:val="29"/>
          <w:szCs w:val="29"/>
        </w:rPr>
      </w:pPr>
    </w:p>
    <w:tbl>
      <w:tblPr>
        <w:tblW w:w="0" w:type="auto"/>
        <w:jc w:val="left"/>
        <w:tblInd w:w="101" w:type="dxa"/>
        <w:tblLayout w:type="fixed"/>
        <w:tblCellMar>
          <w:top w:w="0" w:type="dxa"/>
          <w:left w:w="0" w:type="dxa"/>
          <w:bottom w:w="0" w:type="dxa"/>
          <w:right w:w="0" w:type="dxa"/>
        </w:tblCellMar>
        <w:tblLook w:val="01E0"/>
      </w:tblPr>
      <w:tblGrid>
        <w:gridCol w:w="2977"/>
        <w:gridCol w:w="851"/>
        <w:gridCol w:w="1701"/>
        <w:gridCol w:w="992"/>
        <w:gridCol w:w="850"/>
        <w:gridCol w:w="834"/>
        <w:gridCol w:w="1366"/>
      </w:tblGrid>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9"/>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317" w:right="45" w:hanging="2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烟台市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烟台市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宁波市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宁波市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烟台华东电子数据科技有限公司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烟台市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烟台市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57" w:lineRule="auto" w:before="51"/>
        <w:ind w:left="132" w:right="181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9"/>
        <w:ind w:left="132" w:right="667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2"/>
        <w:rPr>
          <w:rFonts w:ascii="宋体" w:hAnsi="宋体" w:cs="宋体" w:eastAsia="宋体" w:hint="default"/>
          <w:sz w:val="19"/>
          <w:szCs w:val="19"/>
        </w:rPr>
      </w:pPr>
    </w:p>
    <w:p>
      <w:pPr>
        <w:pStyle w:val="Heading6"/>
        <w:spacing w:line="240" w:lineRule="auto"/>
        <w:ind w:right="104"/>
        <w:jc w:val="left"/>
        <w:rPr>
          <w:b w:val="0"/>
          <w:bCs w:val="0"/>
        </w:rPr>
      </w:pPr>
      <w:r>
        <w:rPr/>
        <w:t>（2）重要的非全资子公司</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268"/>
        <w:gridCol w:w="1562"/>
        <w:gridCol w:w="1914"/>
        <w:gridCol w:w="1913"/>
        <w:gridCol w:w="1913"/>
      </w:tblGrid>
      <w:tr>
        <w:trPr>
          <w:trHeight w:val="76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1" w:right="51"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0"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2,973.73</w:t>
            </w:r>
          </w:p>
        </w:tc>
      </w:tr>
    </w:tbl>
    <w:p>
      <w:pPr>
        <w:spacing w:line="360" w:lineRule="auto" w:before="50"/>
        <w:ind w:left="132" w:right="541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6"/>
        <w:spacing w:line="240" w:lineRule="auto"/>
        <w:ind w:right="104"/>
        <w:jc w:val="left"/>
        <w:rPr>
          <w:b w:val="0"/>
          <w:bCs w:val="0"/>
        </w:rPr>
      </w:pPr>
      <w:r>
        <w:rPr/>
        <w:t>（3）重要非全资子公司的主要财务信息</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2" w:right="90"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2" w:right="92"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4"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2"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1" w:right="90"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2"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2"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92" w:hanging="92"/>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2"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3" w:right="92"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安徽汉</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高信息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148,045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8,182,5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8" w:right="0"/>
              <w:jc w:val="center"/>
              <w:rPr>
                <w:rFonts w:ascii="宋体" w:hAnsi="宋体" w:cs="宋体" w:eastAsia="宋体" w:hint="default"/>
                <w:sz w:val="18"/>
                <w:szCs w:val="18"/>
              </w:rPr>
            </w:pPr>
            <w:r>
              <w:rPr>
                <w:rFonts w:ascii="宋体"/>
                <w:sz w:val="18"/>
              </w:rPr>
              <w:t>156,227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9" w:right="0"/>
              <w:jc w:val="center"/>
              <w:rPr>
                <w:rFonts w:ascii="宋体" w:hAnsi="宋体" w:cs="宋体" w:eastAsia="宋体" w:hint="default"/>
                <w:sz w:val="18"/>
                <w:szCs w:val="18"/>
              </w:rPr>
            </w:pPr>
            <w:r>
              <w:rPr>
                <w:rFonts w:ascii="宋体"/>
                <w:sz w:val="18"/>
              </w:rPr>
              <w:t>95,539,</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95,539,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116,499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7,780,6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7" w:right="0"/>
              <w:jc w:val="center"/>
              <w:rPr>
                <w:rFonts w:ascii="宋体" w:hAnsi="宋体" w:cs="宋体" w:eastAsia="宋体" w:hint="default"/>
                <w:sz w:val="18"/>
                <w:szCs w:val="18"/>
              </w:rPr>
            </w:pPr>
            <w:r>
              <w:rPr>
                <w:rFonts w:ascii="宋体"/>
                <w:sz w:val="18"/>
              </w:rPr>
              <w:t>124,279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72,273,</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72,273,</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,159.40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73.15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8" w:right="0"/>
              <w:jc w:val="center"/>
              <w:rPr>
                <w:rFonts w:ascii="宋体" w:hAnsi="宋体" w:cs="宋体" w:eastAsia="宋体" w:hint="default"/>
                <w:sz w:val="18"/>
                <w:szCs w:val="18"/>
              </w:rPr>
            </w:pPr>
            <w:r>
              <w:rPr>
                <w:rFonts w:ascii="宋体"/>
                <w:sz w:val="18"/>
              </w:rPr>
              <w:t>,732.55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8" w:right="0"/>
              <w:jc w:val="center"/>
              <w:rPr>
                <w:rFonts w:ascii="宋体" w:hAnsi="宋体" w:cs="宋体" w:eastAsia="宋体" w:hint="default"/>
                <w:sz w:val="18"/>
                <w:szCs w:val="18"/>
              </w:rPr>
            </w:pPr>
            <w:r>
              <w:rPr>
                <w:rFonts w:ascii="宋体"/>
                <w:sz w:val="18"/>
              </w:rPr>
              <w:t>174.69</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174.69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,217.75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60.13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7" w:right="0"/>
              <w:jc w:val="center"/>
              <w:rPr>
                <w:rFonts w:ascii="宋体" w:hAnsi="宋体" w:cs="宋体" w:eastAsia="宋体" w:hint="default"/>
                <w:sz w:val="18"/>
                <w:szCs w:val="18"/>
              </w:rPr>
            </w:pPr>
            <w:r>
              <w:rPr>
                <w:rFonts w:ascii="宋体"/>
                <w:sz w:val="18"/>
              </w:rPr>
              <w:t>,877.88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603.75</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603.75</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before="49"/>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8"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7"/>
              <w:jc w:val="both"/>
              <w:rPr>
                <w:rFonts w:ascii="宋体" w:hAnsi="宋体" w:cs="宋体" w:eastAsia="宋体" w:hint="default"/>
                <w:sz w:val="18"/>
                <w:szCs w:val="18"/>
              </w:rPr>
            </w:pPr>
            <w:r>
              <w:rPr>
                <w:rFonts w:ascii="宋体" w:hAnsi="宋体" w:cs="宋体" w:eastAsia="宋体" w:hint="default"/>
                <w:sz w:val="18"/>
                <w:szCs w:val="18"/>
              </w:rPr>
              <w:t>安徽汉高信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155,336,957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8,951,034.8</w:t>
            </w:r>
          </w:p>
          <w:p>
            <w:pPr>
              <w:pStyle w:val="TableParagraph"/>
              <w:spacing w:line="240" w:lineRule="auto" w:before="76"/>
              <w:ind w:right="22"/>
              <w:jc w:val="right"/>
              <w:rPr>
                <w:rFonts w:ascii="宋体" w:hAnsi="宋体" w:cs="宋体" w:eastAsia="宋体" w:hint="default"/>
                <w:sz w:val="18"/>
                <w:szCs w:val="18"/>
              </w:rPr>
            </w:pPr>
            <w:r>
              <w:rPr>
                <w:rFonts w:ascii="宋体"/>
                <w:sz w:val="18"/>
              </w:rPr>
              <w:t>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8,951,034.8</w:t>
            </w:r>
          </w:p>
          <w:p>
            <w:pPr>
              <w:pStyle w:val="TableParagraph"/>
              <w:spacing w:line="240" w:lineRule="auto" w:before="76"/>
              <w:ind w:right="21"/>
              <w:jc w:val="right"/>
              <w:rPr>
                <w:rFonts w:ascii="宋体" w:hAnsi="宋体" w:cs="宋体" w:eastAsia="宋体" w:hint="default"/>
                <w:sz w:val="18"/>
                <w:szCs w:val="18"/>
              </w:rPr>
            </w:pPr>
            <w:r>
              <w:rPr>
                <w:rFonts w:ascii="宋体"/>
                <w:sz w:val="18"/>
              </w:rPr>
              <w:t>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15,272,246.</w:t>
            </w:r>
          </w:p>
          <w:p>
            <w:pPr>
              <w:pStyle w:val="TableParagraph"/>
              <w:spacing w:line="240" w:lineRule="auto" w:before="76"/>
              <w:ind w:right="20"/>
              <w:jc w:val="right"/>
              <w:rPr>
                <w:rFonts w:ascii="宋体" w:hAnsi="宋体" w:cs="宋体" w:eastAsia="宋体" w:hint="default"/>
                <w:sz w:val="18"/>
                <w:szCs w:val="18"/>
              </w:rPr>
            </w:pPr>
            <w:r>
              <w:rPr>
                <w:rFonts w:ascii="宋体"/>
                <w:sz w:val="18"/>
              </w:rPr>
              <w:t>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108,062,728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7,676,367.2</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7,676,367.2</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-15,934,676</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.71</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left="152" w:right="0"/>
        <w:jc w:val="left"/>
        <w:rPr>
          <w:b w:val="0"/>
          <w:bCs w:val="0"/>
        </w:rPr>
      </w:pPr>
      <w:r>
        <w:rPr/>
        <w:t>（4）使用企业集团资产和清偿企业集团债务的重大限制</w:t>
      </w:r>
      <w:r>
        <w:rPr>
          <w:b w:val="0"/>
          <w:bCs w:val="0"/>
        </w:rPr>
      </w:r>
    </w:p>
    <w:p>
      <w:pPr>
        <w:spacing w:line="240" w:lineRule="auto" w:before="12"/>
        <w:rPr>
          <w:rFonts w:ascii="宋体" w:hAnsi="宋体" w:cs="宋体" w:eastAsia="宋体" w:hint="default"/>
          <w:b/>
          <w:bCs/>
          <w:sz w:val="25"/>
          <w:szCs w:val="25"/>
        </w:rPr>
      </w:pPr>
    </w:p>
    <w:p>
      <w:pPr>
        <w:pStyle w:val="Heading6"/>
        <w:spacing w:line="578" w:lineRule="auto"/>
        <w:ind w:left="152" w:right="3076"/>
        <w:jc w:val="left"/>
        <w:rPr>
          <w:b w:val="0"/>
          <w:bCs w:val="0"/>
        </w:rPr>
      </w:pPr>
      <w:r>
        <w:rPr>
          <w:w w:val="95"/>
        </w:rPr>
        <w:t>（5）向纳入合并财务报表范围的结构化主体提供的财务支持或其他支持</w:t>
      </w:r>
      <w:r>
        <w:rPr>
          <w:spacing w:val="18"/>
          <w:w w:val="95"/>
        </w:rPr>
        <w:t> </w:t>
      </w:r>
      <w:r>
        <w:rPr>
          <w:spacing w:val="18"/>
          <w:w w:val="95"/>
        </w:rPr>
      </w:r>
      <w:r>
        <w:rPr>
          <w:rFonts w:ascii="宋体" w:hAnsi="宋体" w:cs="宋体" w:eastAsia="宋体" w:hint="default"/>
          <w:b w:val="0"/>
          <w:bCs w:val="0"/>
          <w:sz w:val="18"/>
          <w:szCs w:val="18"/>
        </w:rPr>
        <w:t>其他说明： </w:t>
      </w:r>
      <w:r>
        <w:rPr/>
        <w:t>2、在子公司的所有者权益份额发生变化且仍控制子公司的交易</w:t>
      </w:r>
      <w:r>
        <w:rPr>
          <w:b w:val="0"/>
          <w:bCs w:val="0"/>
        </w:rPr>
      </w:r>
    </w:p>
    <w:p>
      <w:pPr>
        <w:pStyle w:val="Heading6"/>
        <w:spacing w:line="240" w:lineRule="auto" w:before="41"/>
        <w:ind w:left="152" w:right="0"/>
        <w:jc w:val="left"/>
        <w:rPr>
          <w:b w:val="0"/>
          <w:bCs w:val="0"/>
        </w:rPr>
      </w:pPr>
      <w:r>
        <w:rPr/>
        <w:t>（1）在子公司所有者权益份额发生变化的情况说明</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left="152" w:right="0"/>
        <w:jc w:val="left"/>
        <w:rPr>
          <w:b w:val="0"/>
          <w:bCs w:val="0"/>
        </w:rPr>
      </w:pPr>
      <w:r>
        <w:rPr/>
        <w:t>（2）交易对于少数股东权益及归属于母公司所有者权益的影响</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3d3d3"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spacing w:before="50"/>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left="152" w:right="5774"/>
        <w:jc w:val="left"/>
        <w:rPr>
          <w:b w:val="0"/>
          <w:bCs w:val="0"/>
        </w:rPr>
      </w:pPr>
      <w:r>
        <w:rPr/>
        <w:t>3、在合营安排或联营企业中的权益</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left="152" w:right="5774"/>
        <w:jc w:val="left"/>
        <w:rPr>
          <w:b w:val="0"/>
          <w:bCs w:val="0"/>
        </w:rPr>
      </w:pPr>
      <w:r>
        <w:rPr/>
        <w:t>（1）重要的合营企业或联营企业</w:t>
      </w:r>
      <w:r>
        <w:rPr>
          <w:b w:val="0"/>
          <w:bCs w:val="0"/>
        </w:rPr>
      </w:r>
    </w:p>
    <w:p>
      <w:pPr>
        <w:spacing w:line="240" w:lineRule="auto" w:before="13"/>
        <w:rPr>
          <w:rFonts w:ascii="宋体" w:hAnsi="宋体" w:cs="宋体" w:eastAsia="宋体" w:hint="default"/>
          <w:b/>
          <w:bCs/>
          <w:sz w:val="26"/>
          <w:szCs w:val="26"/>
        </w:rPr>
      </w:pPr>
    </w:p>
    <w:tbl>
      <w:tblPr>
        <w:tblW w:w="0" w:type="auto"/>
        <w:jc w:val="left"/>
        <w:tblInd w:w="121"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19" w:right="48" w:hanging="269"/>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1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48" w:right="45"/>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5"/>
          <w:sz w:val="18"/>
          <w:szCs w:val="18"/>
        </w:rPr>
        <w:t> </w:t>
      </w:r>
      <w:r>
        <w:rPr>
          <w:rFonts w:ascii="宋体" w:hAnsi="宋体" w:cs="宋体" w:eastAsia="宋体" w:hint="default"/>
          <w:sz w:val="18"/>
          <w:szCs w:val="18"/>
        </w:rPr>
        <w:t>20%以下表决权但具有重大影响，或者持有</w:t>
      </w:r>
      <w:r>
        <w:rPr>
          <w:rFonts w:ascii="宋体" w:hAnsi="宋体" w:cs="宋体" w:eastAsia="宋体" w:hint="default"/>
          <w:spacing w:val="-47"/>
          <w:sz w:val="18"/>
          <w:szCs w:val="18"/>
        </w:rPr>
        <w:t> </w:t>
      </w:r>
      <w:r>
        <w:rPr>
          <w:rFonts w:ascii="宋体" w:hAnsi="宋体" w:cs="宋体" w:eastAsia="宋体" w:hint="default"/>
          <w:sz w:val="18"/>
          <w:szCs w:val="18"/>
        </w:rPr>
        <w:t>20%或以上表决权但不具有重大影响的依据：</w:t>
      </w:r>
    </w:p>
    <w:p>
      <w:pPr>
        <w:spacing w:line="240" w:lineRule="auto" w:before="0"/>
        <w:rPr>
          <w:rFonts w:ascii="宋体" w:hAnsi="宋体" w:cs="宋体" w:eastAsia="宋体" w:hint="default"/>
          <w:sz w:val="18"/>
          <w:szCs w:val="18"/>
        </w:rPr>
      </w:pPr>
    </w:p>
    <w:p>
      <w:pPr>
        <w:pStyle w:val="Heading6"/>
        <w:spacing w:line="240" w:lineRule="auto" w:before="118"/>
        <w:ind w:left="152" w:right="5774"/>
        <w:jc w:val="left"/>
        <w:rPr>
          <w:b w:val="0"/>
          <w:bCs w:val="0"/>
        </w:rPr>
      </w:pPr>
      <w:r>
        <w:rPr/>
        <w:t>（2）重要合营企业的主要财务信息</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期末余额/本期发生额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3" w:right="0"/>
              <w:jc w:val="left"/>
              <w:rPr>
                <w:rFonts w:ascii="宋体" w:hAnsi="宋体" w:cs="宋体" w:eastAsia="宋体" w:hint="default"/>
                <w:sz w:val="18"/>
                <w:szCs w:val="18"/>
              </w:rPr>
            </w:pPr>
            <w:r>
              <w:rPr>
                <w:rFonts w:ascii="宋体" w:hAnsi="宋体" w:cs="宋体" w:eastAsia="宋体" w:hint="default"/>
                <w:sz w:val="18"/>
                <w:szCs w:val="18"/>
              </w:rPr>
              <w:t>期初余额/上期发生额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spacing w:before="50"/>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left="152" w:right="5774"/>
        <w:jc w:val="left"/>
        <w:rPr>
          <w:b w:val="0"/>
          <w:bCs w:val="0"/>
        </w:rPr>
      </w:pPr>
      <w:r>
        <w:rPr/>
        <w:t>（3）重要联营企业的主要财务信息</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期末余额/本期发生额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期初余额/上期发生额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spacing w:before="49"/>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40" w:bottom="1160" w:left="98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（4）不重要的合营企业和联营企业的汇总财务信息</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0" w:right="0"/>
              <w:jc w:val="left"/>
              <w:rPr>
                <w:rFonts w:ascii="宋体" w:hAnsi="宋体" w:cs="宋体" w:eastAsia="宋体" w:hint="default"/>
                <w:sz w:val="18"/>
                <w:szCs w:val="18"/>
              </w:rPr>
            </w:pPr>
            <w:r>
              <w:rPr>
                <w:rFonts w:ascii="宋体" w:hAnsi="宋体" w:cs="宋体" w:eastAsia="宋体" w:hint="default"/>
                <w:sz w:val="18"/>
                <w:szCs w:val="18"/>
              </w:rPr>
              <w:t>期末余额/本期发生额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期初余额/上期发生额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6,083,692.58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6,503,548.97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-1,634,885.83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-2,355,193.25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-1,634,885.83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-2,355,193.25</w:t>
            </w:r>
          </w:p>
        </w:tc>
      </w:tr>
    </w:tbl>
    <w:p>
      <w:pPr>
        <w:spacing w:before="52"/>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（5）合营企业或联营企业向本公司转移资金的能力存在重大限制的说明</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（6）合营企业或联营企业发生的超额亏损</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0" w:right="109"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52" w:right="22" w:hanging="629"/>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武汉宏途科技有限公司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89" w:right="0"/>
              <w:jc w:val="left"/>
              <w:rPr>
                <w:rFonts w:ascii="宋体" w:hAnsi="宋体" w:cs="宋体" w:eastAsia="宋体" w:hint="default"/>
                <w:sz w:val="18"/>
                <w:szCs w:val="18"/>
              </w:rPr>
            </w:pPr>
            <w:r>
              <w:rPr>
                <w:rFonts w:ascii="宋体"/>
                <w:sz w:val="18"/>
              </w:rPr>
              <w:t>-1,215,012.36</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90" w:right="0"/>
              <w:jc w:val="left"/>
              <w:rPr>
                <w:rFonts w:ascii="宋体" w:hAnsi="宋体" w:cs="宋体" w:eastAsia="宋体" w:hint="default"/>
                <w:sz w:val="18"/>
                <w:szCs w:val="18"/>
              </w:rPr>
            </w:pPr>
            <w:r>
              <w:rPr>
                <w:rFonts w:ascii="宋体"/>
                <w:sz w:val="18"/>
              </w:rPr>
              <w:t>-1,215,012.36</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（7）与合营企业投资相关的未确认承诺</w:t>
      </w:r>
      <w:r>
        <w:rPr>
          <w:b w:val="0"/>
          <w:bCs w:val="0"/>
        </w:rPr>
      </w:r>
    </w:p>
    <w:p>
      <w:pPr>
        <w:spacing w:line="240" w:lineRule="auto" w:before="12"/>
        <w:rPr>
          <w:rFonts w:ascii="宋体" w:hAnsi="宋体" w:cs="宋体" w:eastAsia="宋体" w:hint="default"/>
          <w:b/>
          <w:bCs/>
          <w:sz w:val="25"/>
          <w:szCs w:val="25"/>
        </w:rPr>
      </w:pPr>
    </w:p>
    <w:p>
      <w:pPr>
        <w:pStyle w:val="Heading6"/>
        <w:spacing w:line="537" w:lineRule="auto"/>
        <w:ind w:right="5200"/>
        <w:jc w:val="left"/>
        <w:rPr>
          <w:b w:val="0"/>
          <w:bCs w:val="0"/>
        </w:rPr>
      </w:pPr>
      <w:r>
        <w:rPr/>
        <w:t>（8）与合营企业或联营企业投资相关的或有负债</w:t>
      </w:r>
      <w:r>
        <w:rPr>
          <w:w w:val="99"/>
        </w:rPr>
        <w:t> </w:t>
      </w:r>
      <w:r>
        <w:rPr/>
        <w:t>4、重要的共同经营</w:t>
      </w:r>
      <w:r>
        <w:rPr>
          <w:b w:val="0"/>
          <w:bCs w:val="0"/>
        </w:rPr>
      </w:r>
    </w:p>
    <w:p>
      <w:pPr>
        <w:spacing w:line="240" w:lineRule="auto" w:before="13"/>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持股比例/享有的份额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32" w:right="451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line="578" w:lineRule="auto" w:before="27"/>
        <w:ind w:left="132" w:right="4779"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b/>
          <w:bCs/>
          <w:sz w:val="21"/>
          <w:szCs w:val="21"/>
        </w:rPr>
        <w:t>5、在未纳入合并财务报表范围的结构化主体中的权益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18"/>
          <w:szCs w:val="18"/>
        </w:rPr>
        <w:t>未纳入合并财务报表范围的结构化主体的相关说明：</w:t>
      </w:r>
    </w:p>
    <w:p>
      <w:pPr>
        <w:spacing w:after="0" w:line="578"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left="112" w:right="104"/>
        <w:jc w:val="left"/>
        <w:rPr>
          <w:b w:val="0"/>
          <w:bCs w:val="0"/>
        </w:rPr>
      </w:pPr>
      <w:r>
        <w:rPr/>
        <w:t>6、其他</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112" w:right="104"/>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132" w:firstLine="420"/>
        <w:jc w:val="both"/>
      </w:pPr>
      <w:r>
        <w:rPr>
          <w:w w:val="95"/>
        </w:rPr>
        <w:t>本公司的经营活动会面临各种金融风险：信用风险、流动风险和市场风险（主要为汇率风险和利率风</w:t>
      </w:r>
      <w:r>
        <w:rPr>
          <w:w w:val="99"/>
        </w:rPr>
        <w:t> </w:t>
      </w:r>
      <w:r>
        <w:rPr>
          <w:w w:val="95"/>
        </w:rPr>
        <w:t>险）。本公司整体的风险管理计划针对金融市场的不可预见性，力求减少对本公司财务业绩的潜在不利影   </w:t>
      </w:r>
      <w:r>
        <w:rPr>
          <w:spacing w:val="37"/>
          <w:w w:val="95"/>
        </w:rPr>
        <w:t> </w:t>
      </w:r>
      <w:r>
        <w:rPr>
          <w:spacing w:val="37"/>
          <w:w w:val="95"/>
        </w:rPr>
      </w:r>
      <w:r>
        <w:rPr/>
        <w:t>响。</w:t>
      </w:r>
    </w:p>
    <w:p>
      <w:pPr>
        <w:pStyle w:val="Heading6"/>
        <w:spacing w:line="240" w:lineRule="auto" w:before="7"/>
        <w:ind w:left="112" w:right="104"/>
        <w:jc w:val="left"/>
        <w:rPr>
          <w:b w:val="0"/>
          <w:bCs w:val="0"/>
        </w:rPr>
      </w:pPr>
      <w:r>
        <w:rPr/>
        <w:t>1、信用风险</w:t>
      </w:r>
      <w:r>
        <w:rPr>
          <w:b w:val="0"/>
          <w:bCs w:val="0"/>
        </w:rPr>
      </w:r>
    </w:p>
    <w:p>
      <w:pPr>
        <w:pStyle w:val="BodyText"/>
        <w:spacing w:line="273" w:lineRule="auto" w:before="37"/>
        <w:ind w:right="132" w:firstLine="420"/>
        <w:jc w:val="both"/>
      </w:pPr>
      <w:r>
        <w:rPr>
          <w:w w:val="95"/>
        </w:rPr>
        <w:t>本公司的信用风险主要来自货币资金、应收票据、应收账款、其他应收款和可供出售金融资产等。管</w:t>
      </w:r>
      <w:r>
        <w:rPr>
          <w:w w:val="99"/>
        </w:rPr>
        <w:t> </w:t>
      </w:r>
      <w:r>
        <w:rPr/>
        <w:t>理层已制定适当的信用政策，并且不断监察这些信用风险的敞口。</w:t>
      </w:r>
    </w:p>
    <w:p>
      <w:pPr>
        <w:pStyle w:val="BodyText"/>
        <w:spacing w:line="273" w:lineRule="auto"/>
        <w:ind w:right="135" w:firstLine="420"/>
        <w:jc w:val="both"/>
      </w:pPr>
      <w:r>
        <w:rPr>
          <w:w w:val="95"/>
        </w:rPr>
        <w:t>本公司持有的货币资金，主要存放于国有控股银行和其他大中型商业银行等金融机构，管理层认为这</w:t>
      </w:r>
      <w:r>
        <w:rPr>
          <w:w w:val="99"/>
        </w:rPr>
        <w:t> </w:t>
      </w:r>
      <w:r>
        <w:rPr>
          <w:w w:val="95"/>
        </w:rPr>
        <w:t>些商业银行具备较高信誉和资产状况，不存在重大的信用风险，不会产生因对方单位违约而导致的任何重</w:t>
      </w:r>
      <w:r>
        <w:rPr>
          <w:spacing w:val="37"/>
          <w:w w:val="95"/>
        </w:rPr>
        <w:t> </w:t>
      </w:r>
      <w:r>
        <w:rPr>
          <w:spacing w:val="37"/>
          <w:w w:val="95"/>
        </w:rPr>
      </w:r>
      <w:r>
        <w:rPr/>
        <w:t>大损失。</w:t>
      </w:r>
    </w:p>
    <w:p>
      <w:pPr>
        <w:pStyle w:val="BodyText"/>
        <w:spacing w:line="273" w:lineRule="auto"/>
        <w:ind w:right="132" w:firstLine="420"/>
        <w:jc w:val="both"/>
      </w:pPr>
      <w:r>
        <w:rPr>
          <w:w w:val="95"/>
        </w:rPr>
        <w:t>对于应收账款、其他应收款和应收票据，本公司设定相关政策以控制信用风险敞口。本公司基于对客</w:t>
      </w:r>
      <w:r>
        <w:rPr>
          <w:w w:val="99"/>
        </w:rPr>
        <w:t> </w:t>
      </w:r>
      <w:r>
        <w:rPr>
          <w:w w:val="95"/>
        </w:rPr>
        <w:t>户的财务状况、从第三方获取担保的可能性、信用记录及其它因素诸如目前市场状况等评估客户的信用资</w:t>
      </w:r>
      <w:r>
        <w:rPr>
          <w:spacing w:val="37"/>
          <w:w w:val="95"/>
        </w:rPr>
        <w:t> </w:t>
      </w:r>
      <w:r>
        <w:rPr>
          <w:spacing w:val="37"/>
          <w:w w:val="95"/>
        </w:rPr>
      </w:r>
      <w:r>
        <w:rPr>
          <w:w w:val="95"/>
        </w:rPr>
        <w:t>质并设置相应信用期。本公司会定期对客户信用记录进行监控，对于信用记录不良的客户，本公司会采用</w:t>
      </w:r>
      <w:r>
        <w:rPr>
          <w:spacing w:val="37"/>
          <w:w w:val="95"/>
        </w:rPr>
        <w:t> </w:t>
      </w:r>
      <w:r>
        <w:rPr>
          <w:spacing w:val="37"/>
          <w:w w:val="95"/>
        </w:rPr>
      </w:r>
      <w:r>
        <w:rPr/>
        <w:t>书面催款、缩短信用期或取消信用期等方式，以确保本公司的整体信用风险在可控的范围内。</w:t>
      </w:r>
    </w:p>
    <w:p>
      <w:pPr>
        <w:pStyle w:val="BodyText"/>
        <w:spacing w:line="273" w:lineRule="auto"/>
        <w:ind w:left="532" w:right="104"/>
        <w:jc w:val="left"/>
      </w:pPr>
      <w:r>
        <w:rPr/>
        <w:t>截至2015年12月31日止，本公司的前五大客户的应收账款占本公司应收账款总额20.08%。</w:t>
      </w:r>
      <w:r>
        <w:rPr>
          <w:w w:val="99"/>
        </w:rPr>
        <w:t> </w:t>
      </w:r>
      <w:r>
        <w:rPr>
          <w:w w:val="95"/>
        </w:rPr>
        <w:t>本公司投资的银行理财产品，交易对方的信用评级须高于或与本公司相同。鉴于交易对方的信用评级</w:t>
      </w:r>
      <w:r>
        <w:rPr/>
      </w:r>
    </w:p>
    <w:p>
      <w:pPr>
        <w:pStyle w:val="BodyText"/>
        <w:spacing w:line="273" w:lineRule="auto"/>
        <w:ind w:left="532" w:right="104" w:hanging="420"/>
        <w:jc w:val="left"/>
      </w:pPr>
      <w:r>
        <w:rPr/>
        <w:t>良好，本公司管理层并不预期交易对方会无法履行义务。</w:t>
      </w:r>
      <w:r>
        <w:rPr>
          <w:w w:val="99"/>
        </w:rPr>
        <w:t> </w:t>
      </w:r>
      <w:r>
        <w:rPr/>
        <w:t>本公司所承受的最大信用风险敞口为资产负债表中每项金融资产(包括衍生金融工具)</w:t>
      </w:r>
      <w:r>
        <w:rPr>
          <w:spacing w:val="-23"/>
        </w:rPr>
        <w:t> </w:t>
      </w:r>
      <w:r>
        <w:rPr/>
        <w:t>的账面金额。</w:t>
      </w:r>
    </w:p>
    <w:p>
      <w:pPr>
        <w:pStyle w:val="BodyText"/>
        <w:spacing w:line="240" w:lineRule="auto"/>
        <w:ind w:right="0"/>
        <w:jc w:val="left"/>
      </w:pPr>
      <w:r>
        <w:rPr/>
        <w:t>除附注十三所载本公司作出的财务担保外，本公司没有提供任何其他可能令本公司承受信用风险的担保。</w:t>
      </w:r>
    </w:p>
    <w:p>
      <w:pPr>
        <w:spacing w:line="240" w:lineRule="auto" w:before="10"/>
        <w:rPr>
          <w:rFonts w:ascii="宋体" w:hAnsi="宋体" w:cs="宋体" w:eastAsia="宋体" w:hint="default"/>
          <w:sz w:val="14"/>
          <w:szCs w:val="14"/>
        </w:rPr>
      </w:pPr>
    </w:p>
    <w:p>
      <w:pPr>
        <w:pStyle w:val="Heading6"/>
        <w:spacing w:line="240" w:lineRule="auto"/>
        <w:ind w:left="112" w:right="104"/>
        <w:jc w:val="left"/>
        <w:rPr>
          <w:b w:val="0"/>
          <w:bCs w:val="0"/>
        </w:rPr>
      </w:pPr>
      <w:r>
        <w:rPr/>
        <w:t>2、流动性风险</w:t>
      </w:r>
      <w:r>
        <w:rPr>
          <w:b w:val="0"/>
          <w:bCs w:val="0"/>
        </w:rPr>
      </w:r>
    </w:p>
    <w:p>
      <w:pPr>
        <w:pStyle w:val="BodyText"/>
        <w:spacing w:line="273" w:lineRule="auto" w:before="37"/>
        <w:ind w:right="216" w:firstLine="420"/>
        <w:jc w:val="both"/>
      </w:pPr>
      <w:r>
        <w:rPr>
          <w:w w:val="95"/>
        </w:rPr>
        <w:t>流动性风险是指本公司无法及时获得充足资金,满足业务发展需要或偿付到期债务以及其他支付义务</w:t>
      </w:r>
      <w:r>
        <w:rPr>
          <w:spacing w:val="-85"/>
          <w:w w:val="95"/>
        </w:rPr>
        <w:t> </w:t>
      </w:r>
      <w:r>
        <w:rPr>
          <w:spacing w:val="-85"/>
          <w:w w:val="95"/>
        </w:rPr>
      </w:r>
      <w:r>
        <w:rPr/>
        <w:t>的风险。</w:t>
      </w:r>
    </w:p>
    <w:p>
      <w:pPr>
        <w:pStyle w:val="BodyText"/>
        <w:spacing w:line="273" w:lineRule="auto"/>
        <w:ind w:right="112" w:firstLine="420"/>
        <w:jc w:val="both"/>
        <w:rPr>
          <w:rFonts w:ascii="宋体" w:hAnsi="宋体" w:cs="宋体" w:eastAsia="宋体" w:hint="default"/>
        </w:rPr>
      </w:pPr>
      <w:r>
        <w:rPr>
          <w:w w:val="95"/>
        </w:rPr>
        <w:t>本公司财务部门持续监控公司短期和长期的资金需求，以确保维持充裕的现金储备；同时持续监控是</w:t>
      </w:r>
      <w:r>
        <w:rPr>
          <w:w w:val="99"/>
        </w:rPr>
        <w:t> </w:t>
      </w:r>
      <w:r>
        <w:rPr>
          <w:w w:val="95"/>
        </w:rPr>
        <w:t>否符合借款协议的规定，从主要金融机构获得提供足够备用资金的承诺，以满足短期和长期的资金需求。</w:t>
      </w:r>
      <w:r>
        <w:rPr>
          <w:spacing w:val="61"/>
          <w:w w:val="95"/>
        </w:rPr>
        <w:t> </w:t>
      </w:r>
      <w:r>
        <w:rPr>
          <w:spacing w:val="61"/>
          <w:w w:val="95"/>
        </w:rPr>
      </w:r>
      <w:r>
        <w:rPr>
          <w:rFonts w:ascii="宋体" w:hAnsi="宋体" w:cs="宋体" w:eastAsia="宋体" w:hint="default"/>
          <w:b/>
          <w:bCs/>
        </w:rPr>
        <w:t>3、汇率风险</w:t>
      </w:r>
      <w:r>
        <w:rPr>
          <w:rFonts w:ascii="宋体" w:hAnsi="宋体" w:cs="宋体" w:eastAsia="宋体" w:hint="default"/>
        </w:rPr>
      </w:r>
    </w:p>
    <w:p>
      <w:pPr>
        <w:pStyle w:val="BodyText"/>
        <w:spacing w:line="273" w:lineRule="auto" w:before="8"/>
        <w:ind w:right="132" w:firstLine="420"/>
        <w:jc w:val="both"/>
      </w:pPr>
      <w:r>
        <w:rPr>
          <w:w w:val="95"/>
        </w:rPr>
        <w:t>本公司的主要经营位于中国境内，主要业务以人民币结算。但本公司已确认的外币资产和负债及未来</w:t>
      </w:r>
      <w:r>
        <w:rPr>
          <w:w w:val="99"/>
        </w:rPr>
        <w:t> </w:t>
      </w:r>
      <w:r>
        <w:rPr>
          <w:w w:val="95"/>
        </w:rPr>
        <w:t>的外币交易依然存在汇率风险。本公司财务部门负责监控公司外币交易和外币资产及负债的规模，以最大</w:t>
      </w:r>
      <w:r>
        <w:rPr>
          <w:spacing w:val="40"/>
          <w:w w:val="95"/>
        </w:rPr>
        <w:t> </w:t>
      </w:r>
      <w:r>
        <w:rPr>
          <w:spacing w:val="40"/>
          <w:w w:val="95"/>
        </w:rPr>
      </w:r>
      <w:r>
        <w:rPr/>
        <w:t>程度降低面临的汇率风险。</w:t>
      </w:r>
    </w:p>
    <w:p>
      <w:pPr>
        <w:pStyle w:val="Heading6"/>
        <w:spacing w:line="240" w:lineRule="auto" w:before="163"/>
        <w:ind w:left="112" w:right="104"/>
        <w:jc w:val="left"/>
        <w:rPr>
          <w:b w:val="0"/>
          <w:bCs w:val="0"/>
        </w:rPr>
      </w:pPr>
      <w:r>
        <w:rPr/>
        <w:t>4、利率风险</w:t>
      </w:r>
      <w:r>
        <w:rPr>
          <w:b w:val="0"/>
          <w:bCs w:val="0"/>
        </w:rPr>
      </w:r>
    </w:p>
    <w:p>
      <w:pPr>
        <w:pStyle w:val="BodyText"/>
        <w:spacing w:line="273" w:lineRule="auto" w:before="37"/>
        <w:ind w:right="135" w:firstLine="420"/>
        <w:jc w:val="both"/>
      </w:pPr>
      <w:r>
        <w:rPr>
          <w:w w:val="95"/>
        </w:rPr>
        <w:t>本公司的利率风险主要产生于银行借款。浮动利率的金融负债使本公司面临现金流量利率风险，固定</w:t>
      </w:r>
      <w:r>
        <w:rPr>
          <w:w w:val="99"/>
        </w:rPr>
        <w:t> </w:t>
      </w:r>
      <w:r>
        <w:rPr>
          <w:w w:val="95"/>
        </w:rPr>
        <w:t>利率的金融负债使本公司面临公允价值利率风险。本公司根据当时的市场环境来决定固定利率及浮动利率</w:t>
      </w:r>
      <w:r>
        <w:rPr>
          <w:spacing w:val="37"/>
          <w:w w:val="95"/>
        </w:rPr>
        <w:t> </w:t>
      </w:r>
      <w:r>
        <w:rPr>
          <w:spacing w:val="37"/>
          <w:w w:val="95"/>
        </w:rPr>
      </w:r>
      <w:r>
        <w:rPr/>
        <w:t>合同的相对比例。</w:t>
      </w:r>
    </w:p>
    <w:p>
      <w:pPr>
        <w:pStyle w:val="BodyText"/>
        <w:spacing w:line="273" w:lineRule="auto"/>
        <w:ind w:right="135" w:firstLine="420"/>
        <w:jc w:val="both"/>
      </w:pPr>
      <w:r>
        <w:rPr>
          <w:w w:val="95"/>
        </w:rPr>
        <w:t>本公司财务部门持续监控公司利率水平。利率上升会增加新增带息债务的成本以及本公司尚未付清的</w:t>
      </w:r>
      <w:r>
        <w:rPr>
          <w:w w:val="99"/>
        </w:rPr>
        <w:t> </w:t>
      </w:r>
      <w:r>
        <w:rPr>
          <w:w w:val="95"/>
        </w:rPr>
        <w:t>以浮动利率计息的带息债务的利息支出，并对本公司的财务业绩产生重大的不利影响，管理层会依据最新</w:t>
      </w:r>
      <w:r>
        <w:rPr>
          <w:spacing w:val="37"/>
          <w:w w:val="95"/>
        </w:rPr>
        <w:t> </w:t>
      </w:r>
      <w:r>
        <w:rPr>
          <w:spacing w:val="37"/>
          <w:w w:val="95"/>
        </w:rPr>
      </w:r>
      <w:r>
        <w:rPr/>
        <w:t>的市场状况及时做出调整。</w:t>
      </w:r>
    </w:p>
    <w:p>
      <w:pPr>
        <w:spacing w:line="240" w:lineRule="auto" w:before="10"/>
        <w:rPr>
          <w:rFonts w:ascii="宋体" w:hAnsi="宋体" w:cs="宋体" w:eastAsia="宋体" w:hint="default"/>
          <w:sz w:val="21"/>
          <w:szCs w:val="21"/>
        </w:rPr>
      </w:pPr>
    </w:p>
    <w:p>
      <w:pPr>
        <w:pStyle w:val="Heading4"/>
        <w:spacing w:line="240" w:lineRule="auto"/>
        <w:ind w:left="112" w:right="104"/>
        <w:jc w:val="left"/>
        <w:rPr>
          <w:b w:val="0"/>
          <w:bCs w:val="0"/>
        </w:rPr>
      </w:pPr>
      <w:r>
        <w:rPr/>
        <w:t>十一、公允价值的披露</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12" w:right="104"/>
        <w:jc w:val="left"/>
        <w:rPr>
          <w:b w:val="0"/>
          <w:bCs w:val="0"/>
        </w:rPr>
      </w:pPr>
      <w:r>
        <w:rPr/>
        <w:t>1、以公允价值计量的资产和负债的期末公允价值</w:t>
      </w:r>
      <w:r>
        <w:rPr>
          <w:b w:val="0"/>
          <w:bCs w:val="0"/>
        </w:rPr>
      </w:r>
    </w:p>
    <w:p>
      <w:pPr>
        <w:spacing w:line="240" w:lineRule="auto" w:before="12"/>
        <w:rPr>
          <w:rFonts w:ascii="宋体" w:hAnsi="宋体" w:cs="宋体" w:eastAsia="宋体" w:hint="default"/>
          <w:b/>
          <w:bCs/>
          <w:sz w:val="27"/>
          <w:szCs w:val="27"/>
        </w:rPr>
      </w:pPr>
    </w:p>
    <w:p>
      <w:pPr>
        <w:spacing w:before="0"/>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32"/>
          <w:pgSz w:w="11910" w:h="16840"/>
          <w:pgMar w:footer="978" w:header="746" w:top="1040" w:bottom="1160" w:left="1020" w:right="1000"/>
          <w:pgNumType w:start="15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2127"/>
        <w:gridCol w:w="1984"/>
        <w:gridCol w:w="1985"/>
        <w:gridCol w:w="1984"/>
        <w:gridCol w:w="1490"/>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4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2"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1"/>
              <w:jc w:val="center"/>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9"/>
                <w:sz w:val="18"/>
                <w:szCs w:val="18"/>
              </w:rPr>
              <w:t>、</w:t>
            </w:r>
            <w:r>
              <w:rPr>
                <w:rFonts w:ascii="宋体" w:hAnsi="宋体" w:cs="宋体" w:eastAsia="宋体" w:hint="default"/>
                <w:sz w:val="18"/>
                <w:szCs w:val="18"/>
              </w:rPr>
              <w:t>非持续的公允价值计量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2、持续和非持续第一层次公允价值计量项目市价的确定依据</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3、持续和非持续第二层次公允价值计量项目，采用的估值技术和重要参数的定性及定量信息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4、持续和非持续第三层次公允价值计量项目，采用的估值技术和重要参数的定性及定量信息</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5、持续的第三层次公允价值计量项目，期初与期末账面价值间的调节信息及不可观察参数敏感性分析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6、持续的公允价值计量项目，本期内发生各层级之间转换的，转换的原因及确定转换时点的政策</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7、本期内发生的估值技术变更及变更原因</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8、不以公允价值计量的金融资产和金融负债的公允价值情况</w:t>
      </w:r>
      <w:r>
        <w:rPr>
          <w:b w:val="0"/>
          <w:bCs w:val="0"/>
        </w:rPr>
      </w:r>
    </w:p>
    <w:p>
      <w:pPr>
        <w:spacing w:line="240" w:lineRule="auto" w:before="12"/>
        <w:rPr>
          <w:rFonts w:ascii="宋体" w:hAnsi="宋体" w:cs="宋体" w:eastAsia="宋体" w:hint="default"/>
          <w:b/>
          <w:bCs/>
          <w:sz w:val="25"/>
          <w:szCs w:val="25"/>
        </w:rPr>
      </w:pPr>
    </w:p>
    <w:p>
      <w:pPr>
        <w:spacing w:line="501" w:lineRule="auto" w:before="0"/>
        <w:ind w:left="132" w:right="7083" w:firstLine="0"/>
        <w:jc w:val="left"/>
        <w:rPr>
          <w:rFonts w:ascii="宋体" w:hAnsi="宋体" w:cs="宋体" w:eastAsia="宋体" w:hint="default"/>
          <w:sz w:val="21"/>
          <w:szCs w:val="21"/>
        </w:rPr>
      </w:pPr>
      <w:r>
        <w:rPr>
          <w:rFonts w:ascii="宋体" w:hAnsi="宋体" w:cs="宋体" w:eastAsia="宋体" w:hint="default"/>
          <w:b/>
          <w:bCs/>
          <w:sz w:val="21"/>
          <w:szCs w:val="21"/>
        </w:rPr>
        <w:t>9、其他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宋体" w:hAnsi="宋体" w:cs="宋体" w:eastAsia="宋体" w:hint="default"/>
          <w:b/>
          <w:bCs/>
          <w:sz w:val="21"/>
          <w:szCs w:val="21"/>
        </w:rPr>
        <w:t>1、本企业的母公司情况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tbl>
      <w:tblPr>
        <w:tblW w:w="0" w:type="auto"/>
        <w:jc w:val="left"/>
        <w:tblInd w:w="101"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2" w:right="71"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8.50%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6.35%</w:t>
            </w:r>
          </w:p>
        </w:tc>
      </w:tr>
    </w:tbl>
    <w:p>
      <w:pPr>
        <w:spacing w:line="357" w:lineRule="auto" w:before="51"/>
        <w:ind w:left="132" w:right="739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line="240" w:lineRule="auto" w:before="3"/>
        <w:rPr>
          <w:rFonts w:ascii="宋体" w:hAnsi="宋体" w:cs="宋体" w:eastAsia="宋体" w:hint="default"/>
          <w:sz w:val="20"/>
          <w:szCs w:val="20"/>
        </w:rPr>
      </w:pPr>
    </w:p>
    <w:p>
      <w:pPr>
        <w:spacing w:line="576" w:lineRule="auto" w:before="0"/>
        <w:ind w:left="132" w:right="5774" w:firstLine="0"/>
        <w:jc w:val="left"/>
        <w:rPr>
          <w:rFonts w:ascii="宋体" w:hAnsi="宋体" w:cs="宋体" w:eastAsia="宋体" w:hint="default"/>
          <w:sz w:val="21"/>
          <w:szCs w:val="21"/>
        </w:rPr>
      </w:pPr>
      <w:r>
        <w:rPr>
          <w:rFonts w:ascii="宋体" w:hAnsi="宋体" w:cs="宋体" w:eastAsia="宋体" w:hint="default"/>
          <w:b/>
          <w:bCs/>
          <w:sz w:val="21"/>
          <w:szCs w:val="21"/>
        </w:rPr>
        <w:t>2、本企业的子公司情况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 </w:t>
      </w:r>
      <w:r>
        <w:rPr>
          <w:rFonts w:ascii="宋体" w:hAnsi="宋体" w:cs="宋体" w:eastAsia="宋体" w:hint="default"/>
          <w:b/>
          <w:bCs/>
          <w:sz w:val="21"/>
          <w:szCs w:val="21"/>
        </w:rPr>
        <w:t>3、本企业合营和联营企业情况</w:t>
      </w:r>
      <w:r>
        <w:rPr>
          <w:rFonts w:ascii="宋体" w:hAnsi="宋体" w:cs="宋体" w:eastAsia="宋体" w:hint="default"/>
          <w:sz w:val="21"/>
          <w:szCs w:val="21"/>
        </w:rPr>
      </w:r>
    </w:p>
    <w:p>
      <w:pPr>
        <w:spacing w:line="360" w:lineRule="auto" w:before="68"/>
        <w:ind w:left="132" w:right="127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p>
      <w:pPr>
        <w:spacing w:after="0" w:line="360"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10"/>
        <w:rPr>
          <w:rFonts w:ascii="宋体" w:hAnsi="宋体" w:cs="宋体" w:eastAsia="宋体" w:hint="default"/>
          <w:sz w:val="28"/>
          <w:szCs w:val="28"/>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7;height:397" coordorigin="13,13" coordsize="4777,397">
              <v:shape style="position:absolute;left:13;top:13;width:4777;height:397" coordorigin="13,13" coordsize="4777,397" path="m13,13l4790,13,4790,410,13,410,13,13xe" filled="true" fillcolor="#d3d3d3" stroked="false">
                <v:path arrowok="t"/>
                <v:fill type="solid"/>
              </v:shape>
            </v:group>
            <v:group style="position:absolute;left:4795;top:13;width:4781;height:397" coordorigin="4795,13" coordsize="4781,397">
              <v:shape style="position:absolute;left:4795;top:13;width:4781;height:397" coordorigin="4795,13" coordsize="4781,397" path="m4795,13l9576,13,9576,410,4795,410,4795,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4"/>
                        <w:ind w:left="1582"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before="51"/>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left="152" w:right="7034"/>
        <w:jc w:val="left"/>
        <w:rPr>
          <w:b w:val="0"/>
          <w:bCs w:val="0"/>
        </w:rPr>
      </w:pPr>
      <w:r>
        <w:rPr/>
        <w:t>4、其他关联方情况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21" w:type="dxa"/>
        <w:tblLayout w:type="fixed"/>
        <w:tblCellMar>
          <w:top w:w="0" w:type="dxa"/>
          <w:left w:w="0" w:type="dxa"/>
          <w:bottom w:w="0" w:type="dxa"/>
          <w:right w:w="0" w:type="dxa"/>
        </w:tblCellMar>
        <w:tblLook w:val="01E0"/>
      </w:tblPr>
      <w:tblGrid>
        <w:gridCol w:w="4111"/>
        <w:gridCol w:w="54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733"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董事、烟台华东电子软件技术有限公司董事\副总经理</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董事、副总经理、董秘</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副总经理、董事</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副总经理、子公司安徽皖通城市智能交通科技有限公司董事长。</w:t>
            </w:r>
          </w:p>
        </w:tc>
      </w:tr>
    </w:tbl>
    <w:p>
      <w:pPr>
        <w:spacing w:before="50"/>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left="152" w:right="7034"/>
        <w:jc w:val="left"/>
        <w:rPr>
          <w:b w:val="0"/>
          <w:bCs w:val="0"/>
        </w:rPr>
      </w:pPr>
      <w:r>
        <w:rPr/>
        <w:t>5、关联交易情况</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left="152" w:right="0"/>
        <w:jc w:val="left"/>
        <w:rPr>
          <w:b w:val="0"/>
          <w:bCs w:val="0"/>
        </w:rPr>
      </w:pPr>
      <w:r>
        <w:rPr/>
        <w:t>（1）购销商品、提供和接受劳务的关联交易</w:t>
      </w:r>
      <w:r>
        <w:rPr>
          <w:b w:val="0"/>
          <w:bCs w:val="0"/>
        </w:rPr>
      </w:r>
    </w:p>
    <w:p>
      <w:pPr>
        <w:spacing w:line="240" w:lineRule="auto" w:before="4"/>
        <w:rPr>
          <w:rFonts w:ascii="宋体" w:hAnsi="宋体" w:cs="宋体" w:eastAsia="宋体" w:hint="default"/>
          <w:b/>
          <w:bCs/>
          <w:sz w:val="24"/>
          <w:szCs w:val="24"/>
        </w:rPr>
      </w:pPr>
    </w:p>
    <w:p>
      <w:pPr>
        <w:spacing w:before="44"/>
        <w:ind w:left="152" w:right="7034" w:firstLine="0"/>
        <w:jc w:val="left"/>
        <w:rPr>
          <w:rFonts w:ascii="宋体" w:hAnsi="宋体" w:cs="宋体" w:eastAsia="宋体" w:hint="default"/>
          <w:sz w:val="18"/>
          <w:szCs w:val="18"/>
        </w:rPr>
      </w:pPr>
      <w:r>
        <w:rPr>
          <w:rFonts w:ascii="宋体" w:hAnsi="宋体" w:cs="宋体" w:eastAsia="宋体" w:hint="default"/>
          <w:sz w:val="18"/>
          <w:szCs w:val="18"/>
        </w:rPr>
        <w:t>采购商品/接受劳务情况表</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7034"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5"/>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5774"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6"/>
        <w:spacing w:line="240" w:lineRule="auto" w:before="118"/>
        <w:ind w:left="152" w:right="0"/>
        <w:jc w:val="left"/>
        <w:rPr>
          <w:b w:val="0"/>
          <w:bCs w:val="0"/>
        </w:rPr>
      </w:pPr>
      <w:r>
        <w:rPr/>
        <w:t>（2）关联受托管理/承包及委托管理/出包情况</w:t>
      </w:r>
      <w:r>
        <w:rPr>
          <w:b w:val="0"/>
          <w:bCs w:val="0"/>
        </w:rPr>
      </w:r>
    </w:p>
    <w:p>
      <w:pPr>
        <w:spacing w:line="240" w:lineRule="auto" w:before="4"/>
        <w:rPr>
          <w:rFonts w:ascii="宋体" w:hAnsi="宋体" w:cs="宋体" w:eastAsia="宋体" w:hint="default"/>
          <w:b/>
          <w:bCs/>
          <w:sz w:val="24"/>
          <w:szCs w:val="24"/>
        </w:rPr>
      </w:pPr>
    </w:p>
    <w:p>
      <w:pPr>
        <w:spacing w:before="44"/>
        <w:ind w:left="152" w:right="7034" w:firstLine="0"/>
        <w:jc w:val="left"/>
        <w:rPr>
          <w:rFonts w:ascii="宋体" w:hAnsi="宋体" w:cs="宋体" w:eastAsia="宋体" w:hint="default"/>
          <w:sz w:val="18"/>
          <w:szCs w:val="18"/>
        </w:rPr>
      </w:pPr>
      <w:r>
        <w:rPr>
          <w:rFonts w:ascii="宋体" w:hAnsi="宋体" w:cs="宋体" w:eastAsia="宋体" w:hint="default"/>
          <w:sz w:val="18"/>
          <w:szCs w:val="18"/>
        </w:rPr>
        <w:t>本公司受托管理/承包情况表：</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57"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委托方/出包方</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受托方/承包方</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受托/承包资产</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受托/承包起始</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受托/承包终止</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92"/>
              <w:jc w:val="right"/>
              <w:rPr>
                <w:rFonts w:ascii="宋体" w:hAnsi="宋体" w:cs="宋体" w:eastAsia="宋体" w:hint="default"/>
                <w:sz w:val="18"/>
                <w:szCs w:val="18"/>
              </w:rPr>
            </w:pPr>
            <w:r>
              <w:rPr>
                <w:rFonts w:ascii="宋体" w:hAnsi="宋体" w:cs="宋体" w:eastAsia="宋体" w:hint="default"/>
                <w:sz w:val="18"/>
                <w:szCs w:val="18"/>
              </w:rPr>
              <w:t>托管收益/承包</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本期确认的托管</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37"/>
              <w:jc w:val="right"/>
              <w:rPr>
                <w:rFonts w:ascii="宋体" w:hAnsi="宋体" w:cs="宋体" w:eastAsia="宋体" w:hint="default"/>
                <w:sz w:val="18"/>
                <w:szCs w:val="18"/>
              </w:rPr>
            </w:pPr>
            <w:r>
              <w:rPr>
                <w:rFonts w:ascii="宋体" w:hAnsi="宋体" w:cs="宋体" w:eastAsia="宋体" w:hint="default"/>
                <w:sz w:val="18"/>
                <w:szCs w:val="18"/>
              </w:rPr>
              <w:t>收益定价依据</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收益/承包收益</w:t>
            </w:r>
          </w:p>
        </w:tc>
      </w:tr>
    </w:tbl>
    <w:p>
      <w:pPr>
        <w:spacing w:after="0" w:line="240" w:lineRule="auto"/>
        <w:jc w:val="center"/>
        <w:rPr>
          <w:rFonts w:ascii="宋体" w:hAnsi="宋体" w:cs="宋体" w:eastAsia="宋体" w:hint="default"/>
          <w:sz w:val="18"/>
          <w:szCs w:val="18"/>
        </w:rPr>
        <w:sectPr>
          <w:pgSz w:w="11910" w:h="16840"/>
          <w:pgMar w:header="746" w:footer="978" w:top="1040" w:bottom="1160" w:left="980" w:right="1020"/>
        </w:sectPr>
      </w:pPr>
    </w:p>
    <w:p>
      <w:pPr>
        <w:spacing w:line="360" w:lineRule="auto" w:before="51"/>
        <w:ind w:left="152" w:right="-18" w:firstLine="0"/>
        <w:jc w:val="left"/>
        <w:rPr>
          <w:rFonts w:ascii="宋体" w:hAnsi="宋体" w:cs="宋体" w:eastAsia="宋体" w:hint="default"/>
          <w:sz w:val="18"/>
          <w:szCs w:val="18"/>
        </w:rPr>
      </w:pPr>
      <w:r>
        <w:rPr>
          <w:rFonts w:ascii="宋体" w:hAnsi="宋体" w:cs="宋体" w:eastAsia="宋体" w:hint="default"/>
          <w:sz w:val="18"/>
          <w:szCs w:val="18"/>
        </w:rPr>
        <w:t>关联托管/承包情况说明 本公司委托管理/出包情况表：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980" w:right="1020"/>
          <w:cols w:num="2" w:equalWidth="0">
            <w:col w:w="2585" w:space="6154"/>
            <w:col w:w="1171"/>
          </w:cols>
        </w:sectPr>
      </w:pP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委托方/出包方</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受托方/承包方</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委托/出包资产</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委托/出包起始</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委托/出包终止</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托管费/出包费</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本期确认的托管</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定价依据</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费/出包费</w:t>
            </w:r>
          </w:p>
        </w:tc>
      </w:tr>
    </w:tbl>
    <w:p>
      <w:pPr>
        <w:spacing w:before="50"/>
        <w:ind w:left="152" w:right="7034" w:firstLine="0"/>
        <w:jc w:val="left"/>
        <w:rPr>
          <w:rFonts w:ascii="宋体" w:hAnsi="宋体" w:cs="宋体" w:eastAsia="宋体" w:hint="default"/>
          <w:sz w:val="18"/>
          <w:szCs w:val="18"/>
        </w:rPr>
      </w:pPr>
      <w:r>
        <w:rPr>
          <w:rFonts w:ascii="宋体" w:hAnsi="宋体" w:cs="宋体" w:eastAsia="宋体" w:hint="default"/>
          <w:sz w:val="18"/>
          <w:szCs w:val="18"/>
        </w:rPr>
        <w:t>关联管理/出包情况说明</w:t>
      </w:r>
    </w:p>
    <w:p>
      <w:pPr>
        <w:spacing w:after="0"/>
        <w:jc w:val="left"/>
        <w:rPr>
          <w:rFonts w:ascii="宋体" w:hAnsi="宋体" w:cs="宋体" w:eastAsia="宋体" w:hint="default"/>
          <w:sz w:val="18"/>
          <w:szCs w:val="18"/>
        </w:rPr>
        <w:sectPr>
          <w:type w:val="continuous"/>
          <w:pgSz w:w="11910" w:h="16840"/>
          <w:pgMar w:top="1040" w:bottom="1160" w:left="98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（3）关联租赁情况</w:t>
      </w:r>
      <w:r>
        <w:rPr>
          <w:b w:val="0"/>
          <w:bCs w:val="0"/>
        </w:rPr>
      </w:r>
    </w:p>
    <w:p>
      <w:pPr>
        <w:spacing w:line="240" w:lineRule="auto" w:before="4"/>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（4）关联担保情况</w:t>
      </w:r>
      <w:r>
        <w:rPr>
          <w:b w:val="0"/>
          <w:bCs w:val="0"/>
        </w:rPr>
      </w:r>
    </w:p>
    <w:p>
      <w:pPr>
        <w:spacing w:line="240" w:lineRule="auto" w:before="4"/>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10"/>
        <w:gridCol w:w="1418"/>
        <w:gridCol w:w="1914"/>
        <w:gridCol w:w="1914"/>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（5）关联方资金拆借</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6"/>
        <w:spacing w:line="240" w:lineRule="auto" w:before="34"/>
        <w:ind w:right="104"/>
        <w:jc w:val="left"/>
        <w:rPr>
          <w:b w:val="0"/>
          <w:bCs w:val="0"/>
        </w:rPr>
      </w:pPr>
      <w:r>
        <w:rPr/>
        <w:t>（6）关联方资产转让、债务重组情况</w:t>
      </w:r>
      <w:r>
        <w:rPr>
          <w:b w:val="0"/>
          <w:bCs w:val="0"/>
        </w:rPr>
      </w:r>
    </w:p>
    <w:p>
      <w:pPr>
        <w:spacing w:line="240" w:lineRule="auto" w:before="7"/>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19"/>
          <w:szCs w:val="19"/>
        </w:rPr>
      </w:pPr>
    </w:p>
    <w:p>
      <w:pPr>
        <w:pStyle w:val="Heading6"/>
        <w:spacing w:line="240" w:lineRule="auto" w:before="34"/>
        <w:ind w:right="104"/>
        <w:jc w:val="left"/>
        <w:rPr>
          <w:b w:val="0"/>
          <w:bCs w:val="0"/>
        </w:rPr>
      </w:pPr>
      <w:r>
        <w:rPr/>
        <w:t>（7）关键管理人员报酬</w:t>
      </w:r>
      <w:r>
        <w:rPr>
          <w:b w:val="0"/>
          <w:bCs w:val="0"/>
        </w:rPr>
      </w:r>
    </w:p>
    <w:p>
      <w:pPr>
        <w:spacing w:line="240" w:lineRule="auto" w:before="2"/>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3,251,672.44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7" w:right="0"/>
              <w:jc w:val="left"/>
              <w:rPr>
                <w:rFonts w:ascii="宋体" w:hAnsi="宋体" w:cs="宋体" w:eastAsia="宋体" w:hint="default"/>
                <w:sz w:val="18"/>
                <w:szCs w:val="18"/>
              </w:rPr>
            </w:pPr>
            <w:r>
              <w:rPr>
                <w:rFonts w:ascii="宋体"/>
                <w:sz w:val="18"/>
              </w:rPr>
              <w:t>2,743,600.00</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pStyle w:val="Heading6"/>
        <w:spacing w:line="537" w:lineRule="auto" w:before="34"/>
        <w:ind w:right="7519"/>
        <w:jc w:val="left"/>
        <w:rPr>
          <w:b w:val="0"/>
          <w:bCs w:val="0"/>
        </w:rPr>
      </w:pPr>
      <w:r>
        <w:rPr/>
        <w:t>（8）其他关联交易</w:t>
      </w:r>
      <w:r>
        <w:rPr>
          <w:w w:val="99"/>
        </w:rPr>
        <w:t> </w:t>
      </w:r>
      <w:r>
        <w:rPr/>
        <w:t>6、关联方应收应付款项</w:t>
      </w:r>
      <w:r>
        <w:rPr>
          <w:b w:val="0"/>
          <w:bCs w:val="0"/>
        </w:rPr>
      </w:r>
    </w:p>
    <w:p>
      <w:pPr>
        <w:pStyle w:val="Heading6"/>
        <w:spacing w:line="240" w:lineRule="auto" w:before="76"/>
        <w:ind w:right="104"/>
        <w:jc w:val="left"/>
        <w:rPr>
          <w:b w:val="0"/>
          <w:bCs w:val="0"/>
        </w:rPr>
      </w:pPr>
      <w:r>
        <w:rPr/>
        <w:t>（1）应收项目</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2"/>
        <w:rPr>
          <w:rFonts w:ascii="宋体" w:hAnsi="宋体" w:cs="宋体" w:eastAsia="宋体" w:hint="default"/>
          <w:sz w:val="19"/>
          <w:szCs w:val="19"/>
        </w:rPr>
      </w:pPr>
    </w:p>
    <w:p>
      <w:pPr>
        <w:pStyle w:val="Heading6"/>
        <w:spacing w:line="240" w:lineRule="auto" w:before="34"/>
        <w:ind w:right="104"/>
        <w:jc w:val="left"/>
        <w:rPr>
          <w:b w:val="0"/>
          <w:bCs w:val="0"/>
        </w:rPr>
      </w:pPr>
      <w:r>
        <w:rPr/>
        <w:t>（2）应付项目</w:t>
      </w:r>
      <w:r>
        <w:rPr>
          <w:b w:val="0"/>
          <w:bCs w:val="0"/>
        </w:rPr>
      </w:r>
    </w:p>
    <w:p>
      <w:pPr>
        <w:spacing w:line="240" w:lineRule="auto" w:before="7"/>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7、关联方承诺</w:t>
      </w:r>
      <w:r>
        <w:rPr>
          <w:b w:val="0"/>
          <w:bCs w:val="0"/>
        </w:rPr>
      </w:r>
    </w:p>
    <w:p>
      <w:pPr>
        <w:spacing w:line="240" w:lineRule="auto" w:before="12"/>
        <w:rPr>
          <w:rFonts w:ascii="宋体" w:hAnsi="宋体" w:cs="宋体" w:eastAsia="宋体" w:hint="default"/>
          <w:b/>
          <w:bCs/>
          <w:sz w:val="25"/>
          <w:szCs w:val="25"/>
        </w:rPr>
      </w:pPr>
    </w:p>
    <w:p>
      <w:pPr>
        <w:spacing w:line="501" w:lineRule="auto" w:before="0"/>
        <w:ind w:left="132" w:right="7730" w:firstLine="0"/>
        <w:jc w:val="left"/>
        <w:rPr>
          <w:rFonts w:ascii="宋体" w:hAnsi="宋体" w:cs="宋体" w:eastAsia="宋体" w:hint="default"/>
          <w:sz w:val="21"/>
          <w:szCs w:val="21"/>
        </w:rPr>
      </w:pPr>
      <w:r>
        <w:rPr>
          <w:rFonts w:ascii="宋体" w:hAnsi="宋体" w:cs="宋体" w:eastAsia="宋体" w:hint="default"/>
          <w:b/>
          <w:bCs/>
          <w:sz w:val="21"/>
          <w:szCs w:val="21"/>
        </w:rPr>
        <w:t>8、其他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宋体" w:hAnsi="宋体" w:cs="宋体" w:eastAsia="宋体" w:hint="default"/>
          <w:b/>
          <w:bCs/>
          <w:sz w:val="21"/>
          <w:szCs w:val="21"/>
        </w:rPr>
        <w:t>1、股份支付总体情况</w:t>
      </w:r>
      <w:r>
        <w:rPr>
          <w:rFonts w:ascii="宋体" w:hAnsi="宋体" w:cs="宋体" w:eastAsia="宋体" w:hint="default"/>
          <w:sz w:val="21"/>
          <w:szCs w:val="21"/>
        </w:rPr>
      </w:r>
    </w:p>
    <w:p>
      <w:pPr>
        <w:spacing w:before="133"/>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2、以权益结算的股份支付情况</w:t>
      </w:r>
      <w:r>
        <w:rPr>
          <w:b w:val="0"/>
          <w:bCs w:val="0"/>
        </w:rPr>
      </w:r>
    </w:p>
    <w:p>
      <w:pPr>
        <w:spacing w:line="240" w:lineRule="auto" w:before="7"/>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3、以现金结算的股份支付情况</w:t>
      </w:r>
      <w:r>
        <w:rPr>
          <w:b w:val="0"/>
          <w:bCs w:val="0"/>
        </w:rPr>
      </w:r>
    </w:p>
    <w:p>
      <w:pPr>
        <w:spacing w:line="240" w:lineRule="auto" w:before="9"/>
        <w:rPr>
          <w:rFonts w:ascii="宋体" w:hAnsi="宋体" w:cs="宋体" w:eastAsia="宋体" w:hint="default"/>
          <w:b/>
          <w:bCs/>
          <w:sz w:val="27"/>
          <w:szCs w:val="27"/>
        </w:rPr>
      </w:pPr>
    </w:p>
    <w:p>
      <w:pPr>
        <w:spacing w:line="578" w:lineRule="auto" w:before="0"/>
        <w:ind w:left="132" w:right="6887"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b/>
          <w:bCs/>
          <w:sz w:val="21"/>
          <w:szCs w:val="21"/>
        </w:rPr>
        <w:t>4、股份支付的修改、终止情况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6"/>
        <w:spacing w:line="240" w:lineRule="auto" w:before="97"/>
        <w:ind w:right="104"/>
        <w:jc w:val="left"/>
        <w:rPr>
          <w:b w:val="0"/>
          <w:bCs w:val="0"/>
        </w:rPr>
      </w:pPr>
      <w:r>
        <w:rPr/>
        <w:t>5、其他</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5"/>
        <w:rPr>
          <w:rFonts w:ascii="宋体" w:hAnsi="宋体" w:cs="宋体" w:eastAsia="宋体" w:hint="default"/>
          <w:sz w:val="24"/>
          <w:szCs w:val="24"/>
        </w:rPr>
      </w:pPr>
    </w:p>
    <w:p>
      <w:pPr>
        <w:pStyle w:val="Heading4"/>
        <w:spacing w:line="240" w:lineRule="auto" w:before="26"/>
        <w:ind w:right="104"/>
        <w:jc w:val="left"/>
        <w:rPr>
          <w:b w:val="0"/>
          <w:bCs w:val="0"/>
        </w:rPr>
      </w:pPr>
      <w:r>
        <w:rPr/>
        <w:t>十四、承诺及或有事项</w:t>
      </w:r>
      <w:r>
        <w:rPr>
          <w:b w:val="0"/>
          <w:bCs w:val="0"/>
        </w:rPr>
      </w:r>
    </w:p>
    <w:p>
      <w:pPr>
        <w:spacing w:line="240" w:lineRule="auto" w:before="9"/>
        <w:rPr>
          <w:rFonts w:ascii="宋体" w:hAnsi="宋体" w:cs="宋体" w:eastAsia="宋体" w:hint="default"/>
          <w:b/>
          <w:bCs/>
          <w:sz w:val="24"/>
          <w:szCs w:val="24"/>
        </w:rPr>
      </w:pPr>
    </w:p>
    <w:p>
      <w:pPr>
        <w:spacing w:line="578" w:lineRule="auto" w:before="0"/>
        <w:ind w:left="132" w:right="7394" w:firstLine="0"/>
        <w:jc w:val="left"/>
        <w:rPr>
          <w:rFonts w:ascii="宋体" w:hAnsi="宋体" w:cs="宋体" w:eastAsia="宋体" w:hint="default"/>
          <w:sz w:val="21"/>
          <w:szCs w:val="21"/>
        </w:rPr>
      </w:pPr>
      <w:r>
        <w:rPr>
          <w:rFonts w:ascii="宋体" w:hAnsi="宋体" w:cs="宋体" w:eastAsia="宋体" w:hint="default"/>
          <w:b/>
          <w:bCs/>
          <w:sz w:val="21"/>
          <w:szCs w:val="21"/>
        </w:rPr>
        <w:t>1、重要承诺事项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 </w:t>
      </w:r>
      <w:r>
        <w:rPr>
          <w:rFonts w:ascii="宋体" w:hAnsi="宋体" w:cs="宋体" w:eastAsia="宋体" w:hint="default"/>
          <w:b/>
          <w:bCs/>
          <w:sz w:val="21"/>
          <w:szCs w:val="21"/>
        </w:rPr>
        <w:t>2、或有事项</w:t>
      </w:r>
      <w:r>
        <w:rPr>
          <w:rFonts w:ascii="宋体" w:hAnsi="宋体" w:cs="宋体" w:eastAsia="宋体" w:hint="default"/>
          <w:sz w:val="21"/>
          <w:szCs w:val="21"/>
        </w:rPr>
      </w:r>
    </w:p>
    <w:p>
      <w:pPr>
        <w:pStyle w:val="Heading6"/>
        <w:spacing w:line="240" w:lineRule="auto" w:before="41"/>
        <w:ind w:right="104"/>
        <w:jc w:val="left"/>
        <w:rPr>
          <w:b w:val="0"/>
          <w:bCs w:val="0"/>
        </w:rPr>
      </w:pPr>
      <w:r>
        <w:rPr/>
        <w:t>（1）资产负债表日存在的重要或有事项</w:t>
      </w:r>
      <w:r>
        <w:rPr>
          <w:b w:val="0"/>
          <w:bCs w:val="0"/>
        </w:rPr>
      </w:r>
    </w:p>
    <w:p>
      <w:pPr>
        <w:spacing w:line="240" w:lineRule="auto" w:before="12"/>
        <w:rPr>
          <w:rFonts w:ascii="宋体" w:hAnsi="宋体" w:cs="宋体" w:eastAsia="宋体" w:hint="default"/>
          <w:b/>
          <w:bCs/>
          <w:sz w:val="25"/>
          <w:szCs w:val="25"/>
        </w:rPr>
      </w:pPr>
    </w:p>
    <w:p>
      <w:pPr>
        <w:spacing w:line="273" w:lineRule="auto" w:before="0"/>
        <w:ind w:left="552" w:right="104" w:hanging="420"/>
        <w:jc w:val="left"/>
        <w:rPr>
          <w:rFonts w:ascii="宋体" w:hAnsi="宋体" w:cs="宋体" w:eastAsia="宋体" w:hint="default"/>
          <w:sz w:val="21"/>
          <w:szCs w:val="21"/>
        </w:rPr>
      </w:pPr>
      <w:r>
        <w:rPr>
          <w:rFonts w:ascii="宋体" w:hAnsi="宋体" w:cs="宋体" w:eastAsia="宋体" w:hint="default"/>
          <w:b/>
          <w:bCs/>
          <w:sz w:val="21"/>
          <w:szCs w:val="21"/>
        </w:rPr>
        <w:t>1）对外提供债务担保形成的或有事项及其财务影响</w:t>
      </w:r>
      <w:r>
        <w:rPr>
          <w:rFonts w:ascii="宋体" w:hAnsi="宋体" w:cs="宋体" w:eastAsia="宋体" w:hint="default"/>
          <w:b/>
          <w:bCs/>
          <w:w w:val="99"/>
          <w:sz w:val="21"/>
          <w:szCs w:val="21"/>
        </w:rPr>
        <w:t> </w:t>
      </w:r>
      <w:r>
        <w:rPr>
          <w:rFonts w:ascii="宋体" w:hAnsi="宋体" w:cs="宋体" w:eastAsia="宋体" w:hint="default"/>
          <w:sz w:val="21"/>
          <w:szCs w:val="21"/>
        </w:rPr>
        <w:t>为关联方提供担保详见“附注十、关联方交易之（五）”</w:t>
      </w:r>
      <w:r>
        <w:rPr>
          <w:rFonts w:ascii="宋体" w:hAnsi="宋体" w:cs="宋体" w:eastAsia="宋体" w:hint="default"/>
          <w:w w:val="99"/>
          <w:sz w:val="21"/>
          <w:szCs w:val="21"/>
        </w:rPr>
        <w:t> </w:t>
      </w:r>
      <w:r>
        <w:rPr>
          <w:rFonts w:ascii="宋体" w:hAnsi="宋体" w:cs="宋体" w:eastAsia="宋体" w:hint="default"/>
          <w:w w:val="95"/>
          <w:sz w:val="21"/>
          <w:szCs w:val="21"/>
        </w:rPr>
        <w:t>截至2015年12月31日止，本公司子公司对外提供担保情况如下：</w:t>
      </w:r>
      <w:r>
        <w:rPr>
          <w:rFonts w:ascii="宋体" w:hAnsi="宋体" w:cs="宋体" w:eastAsia="宋体" w:hint="default"/>
          <w:sz w:val="21"/>
          <w:szCs w:val="21"/>
        </w:rPr>
      </w:r>
    </w:p>
    <w:p>
      <w:pPr>
        <w:spacing w:line="240" w:lineRule="auto" w:before="11"/>
        <w:rPr>
          <w:rFonts w:ascii="宋体" w:hAnsi="宋体" w:cs="宋体" w:eastAsia="宋体" w:hint="default"/>
          <w:sz w:val="21"/>
          <w:szCs w:val="21"/>
        </w:rPr>
      </w:pPr>
    </w:p>
    <w:p>
      <w:pPr>
        <w:pStyle w:val="BodyText"/>
        <w:spacing w:line="240" w:lineRule="auto" w:before="34"/>
        <w:ind w:left="0" w:right="513"/>
        <w:jc w:val="right"/>
      </w:pPr>
      <w:r>
        <w:rPr>
          <w:w w:val="95"/>
        </w:rPr>
        <w:t>单位：元</w:t>
      </w:r>
      <w:r>
        <w:rPr/>
      </w:r>
    </w:p>
    <w:p>
      <w:pPr>
        <w:spacing w:line="240" w:lineRule="auto" w:before="1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119"/>
        <w:gridCol w:w="1701"/>
        <w:gridCol w:w="1559"/>
        <w:gridCol w:w="1701"/>
        <w:gridCol w:w="1134"/>
      </w:tblGrid>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701"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59"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1"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92"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13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安徽省交通物资有限责任公司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13" w:right="0"/>
              <w:jc w:val="left"/>
              <w:rPr>
                <w:rFonts w:ascii="宋体" w:hAnsi="宋体" w:cs="宋体" w:eastAsia="宋体" w:hint="default"/>
                <w:sz w:val="18"/>
                <w:szCs w:val="18"/>
              </w:rPr>
            </w:pPr>
            <w:r>
              <w:rPr>
                <w:rFonts w:ascii="宋体"/>
                <w:sz w:val="18"/>
              </w:rPr>
              <w:t>20,000,000.00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2014-8-27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2015-8-27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1*</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13" w:right="0"/>
              <w:jc w:val="left"/>
              <w:rPr>
                <w:rFonts w:ascii="宋体" w:hAnsi="宋体" w:cs="宋体" w:eastAsia="宋体" w:hint="default"/>
                <w:sz w:val="18"/>
                <w:szCs w:val="18"/>
              </w:rPr>
            </w:pPr>
            <w:r>
              <w:rPr>
                <w:rFonts w:ascii="宋体"/>
                <w:sz w:val="18"/>
              </w:rPr>
              <w:t>20,000,000.00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2014-8-27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2015-8-27</w:t>
            </w:r>
          </w:p>
        </w:tc>
        <w:tc>
          <w:tcPr>
            <w:tcW w:w="113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1" w:lineRule="exact" w:before="0"/>
        <w:ind w:left="132" w:right="0" w:firstLine="420"/>
        <w:jc w:val="left"/>
      </w:pPr>
      <w:r>
        <w:rPr/>
        <w:t>1*、本公司子公司安徽汉高信息科技有限公司为其股东安徽省交通物资有限责任公司向徽商银行提供</w:t>
      </w:r>
    </w:p>
    <w:p>
      <w:pPr>
        <w:pStyle w:val="BodyText"/>
        <w:spacing w:line="273" w:lineRule="auto" w:before="37"/>
        <w:ind w:left="132" w:right="104"/>
        <w:jc w:val="left"/>
      </w:pPr>
      <w:r>
        <w:rPr>
          <w:spacing w:val="2"/>
          <w:w w:val="95"/>
        </w:rPr>
        <w:t>最高额度为2,000万元的贷款等综合担保，截止2015年12月31日安徽汉高信息科技有限公司实际于上述担</w:t>
      </w:r>
      <w:r>
        <w:rPr>
          <w:spacing w:val="35"/>
          <w:w w:val="95"/>
        </w:rPr>
        <w:t> </w:t>
      </w:r>
      <w:r>
        <w:rPr>
          <w:spacing w:val="35"/>
          <w:w w:val="95"/>
        </w:rPr>
      </w:r>
      <w:r>
        <w:rPr/>
        <w:t>保期间提供的保函担保1,404.44万元，保函到期日为2016年10月21日。</w:t>
      </w:r>
    </w:p>
    <w:p>
      <w:pPr>
        <w:pStyle w:val="Heading6"/>
        <w:spacing w:line="240" w:lineRule="auto" w:before="163"/>
        <w:ind w:right="104"/>
        <w:jc w:val="left"/>
        <w:rPr>
          <w:b w:val="0"/>
          <w:bCs w:val="0"/>
        </w:rPr>
      </w:pPr>
      <w:r>
        <w:rPr/>
        <w:t>2）开出保函、信用证</w:t>
      </w:r>
      <w:r>
        <w:rPr>
          <w:b w:val="0"/>
          <w:bCs w:val="0"/>
        </w:rPr>
      </w:r>
    </w:p>
    <w:p>
      <w:pPr>
        <w:pStyle w:val="BodyText"/>
        <w:spacing w:line="273" w:lineRule="auto" w:before="37"/>
        <w:ind w:left="132" w:right="111" w:firstLine="420"/>
        <w:jc w:val="left"/>
      </w:pPr>
      <w:r>
        <w:rPr/>
        <w:t>a、本公司获得银行承兑汇票保证金额1,690,744.38 元；银行保函金额73,736,420.00</w:t>
      </w:r>
      <w:r>
        <w:rPr>
          <w:spacing w:val="-37"/>
        </w:rPr>
        <w:t> </w:t>
      </w:r>
      <w:r>
        <w:rPr/>
        <w:t>元，其中：履</w:t>
      </w:r>
      <w:r>
        <w:rPr>
          <w:w w:val="99"/>
        </w:rPr>
        <w:t> </w:t>
      </w:r>
      <w:r>
        <w:rPr/>
        <w:t>约保函金额31,748,420.20元，预付款保函金额41,787,999.80元，投标保证金额200,000.00元。</w:t>
      </w:r>
    </w:p>
    <w:p>
      <w:pPr>
        <w:pStyle w:val="BodyText"/>
        <w:spacing w:line="273" w:lineRule="auto"/>
        <w:ind w:left="132" w:right="104" w:firstLine="420"/>
        <w:jc w:val="left"/>
      </w:pPr>
      <w:r>
        <w:rPr>
          <w:w w:val="95"/>
        </w:rPr>
        <w:t>b、子公司烟台华东电子软件技术有限公司获取中国光大银行烟台分行综合授信，本年度申请了履约</w:t>
      </w:r>
      <w:r>
        <w:rPr>
          <w:spacing w:val="-85"/>
          <w:w w:val="95"/>
        </w:rPr>
        <w:t> </w:t>
      </w:r>
      <w:r>
        <w:rPr>
          <w:spacing w:val="-85"/>
          <w:w w:val="95"/>
        </w:rPr>
      </w:r>
      <w:r>
        <w:rPr/>
        <w:t>保函金额2,102,692.10</w:t>
      </w:r>
      <w:r>
        <w:rPr>
          <w:spacing w:val="-2"/>
        </w:rPr>
        <w:t> </w:t>
      </w:r>
      <w:r>
        <w:rPr/>
        <w:t>元。</w:t>
      </w:r>
      <w:r>
        <w:rPr>
          <w:w w:val="99"/>
        </w:rPr>
        <w:t> </w:t>
      </w:r>
      <w:r>
        <w:rPr/>
        <w:t>c、子公司安徽汉高信息科技有限公司获得银行承兑汇票保证金额22,215,799.48元；银行保函金额</w:t>
      </w:r>
      <w:r>
        <w:rPr>
          <w:w w:val="99"/>
        </w:rPr>
        <w:t> </w:t>
      </w:r>
      <w:r>
        <w:rPr/>
        <w:t>26,504,748.79元，其中：履约保函金额20,279,685.79元,投标保函400,000.00元，预付款保函</w:t>
      </w:r>
    </w:p>
    <w:p>
      <w:pPr>
        <w:pStyle w:val="BodyText"/>
        <w:spacing w:line="240" w:lineRule="auto"/>
        <w:ind w:left="132" w:right="104"/>
        <w:jc w:val="left"/>
      </w:pPr>
      <w:r>
        <w:rPr/>
        <w:t>5,825,063.00元。</w:t>
      </w:r>
    </w:p>
    <w:p>
      <w:pPr>
        <w:pStyle w:val="BodyText"/>
        <w:spacing w:line="273" w:lineRule="auto" w:before="37"/>
        <w:ind w:left="132" w:right="104" w:firstLine="420"/>
        <w:jc w:val="left"/>
        <w:rPr>
          <w:rFonts w:ascii="宋体" w:hAnsi="宋体" w:cs="宋体" w:eastAsia="宋体" w:hint="default"/>
        </w:rPr>
      </w:pPr>
      <w:r>
        <w:rPr>
          <w:w w:val="95"/>
        </w:rPr>
        <w:t>除存在上述或有事项外，截至2015年12月31日止，本公司无其他应披露未披露的重大或有事项。</w:t>
      </w:r>
      <w:r>
        <w:rPr>
          <w:w w:val="99"/>
        </w:rPr>
        <w:t> </w:t>
      </w:r>
      <w:r>
        <w:rPr>
          <w:rFonts w:ascii="宋体" w:hAnsi="宋体" w:cs="宋体" w:eastAsia="宋体" w:hint="default"/>
          <w:b/>
          <w:bCs/>
        </w:rPr>
        <w:t>3)其他事项</w:t>
      </w:r>
      <w:r>
        <w:rPr>
          <w:rFonts w:ascii="宋体" w:hAnsi="宋体" w:cs="宋体" w:eastAsia="宋体" w:hint="default"/>
        </w:rPr>
      </w:r>
    </w:p>
    <w:p>
      <w:pPr>
        <w:pStyle w:val="BodyText"/>
        <w:spacing w:line="273" w:lineRule="auto"/>
        <w:ind w:left="132" w:right="161" w:firstLine="420"/>
        <w:jc w:val="left"/>
      </w:pPr>
      <w:r>
        <w:rPr/>
        <w:t>根据安徽省合肥高新技术产业开发区人民法院（2015）合高新民二初字第00746号民事判决书判决北</w:t>
      </w:r>
      <w:r>
        <w:rPr>
          <w:w w:val="99"/>
        </w:rPr>
        <w:t> </w:t>
      </w:r>
      <w:r>
        <w:rPr>
          <w:spacing w:val="-1"/>
          <w:w w:val="95"/>
        </w:rPr>
        <w:t>京星纪开元科技发展有限公司赔偿欠付本公司货款</w:t>
      </w:r>
      <w:r>
        <w:rPr>
          <w:spacing w:val="-1"/>
          <w:w w:val="95"/>
          <w:sz w:val="18"/>
          <w:szCs w:val="18"/>
        </w:rPr>
        <w:t>4,198,885.00</w:t>
      </w:r>
      <w:r>
        <w:rPr>
          <w:spacing w:val="-1"/>
          <w:w w:val="95"/>
        </w:rPr>
        <w:t>元，截至财务报告日止，此项债权仍在追索</w:t>
      </w:r>
      <w:r>
        <w:rPr>
          <w:w w:val="95"/>
        </w:rPr>
        <w:t>   </w:t>
      </w:r>
      <w:r>
        <w:rPr>
          <w:spacing w:val="58"/>
          <w:w w:val="95"/>
        </w:rPr>
        <w:t> </w:t>
      </w:r>
      <w:r>
        <w:rPr>
          <w:spacing w:val="58"/>
          <w:w w:val="95"/>
        </w:rPr>
      </w:r>
      <w:r>
        <w:rPr/>
        <w:t>中。</w:t>
      </w:r>
    </w:p>
    <w:p>
      <w:pPr>
        <w:pStyle w:val="BodyText"/>
        <w:spacing w:line="240" w:lineRule="auto"/>
        <w:ind w:left="132" w:right="104"/>
        <w:jc w:val="left"/>
      </w:pPr>
      <w:r>
        <w:rPr/>
        <w:t>除存在上述或有事项外，截至2015年12月31日止，本公司无其他应披露未披露的重大或有事项。</w:t>
      </w:r>
    </w:p>
    <w:p>
      <w:pPr>
        <w:spacing w:line="240" w:lineRule="auto" w:before="10"/>
        <w:rPr>
          <w:rFonts w:ascii="宋体" w:hAnsi="宋体" w:cs="宋体" w:eastAsia="宋体" w:hint="default"/>
          <w:sz w:val="25"/>
          <w:szCs w:val="25"/>
        </w:rPr>
      </w:pPr>
    </w:p>
    <w:p>
      <w:pPr>
        <w:pStyle w:val="Heading6"/>
        <w:spacing w:line="240" w:lineRule="auto"/>
        <w:ind w:right="104"/>
        <w:jc w:val="left"/>
        <w:rPr>
          <w:b w:val="0"/>
          <w:bCs w:val="0"/>
        </w:rPr>
      </w:pPr>
      <w:r>
        <w:rPr/>
        <w:t>（2）公司没有需要披露的重要或有事项，也应予以说明</w:t>
      </w:r>
      <w:r>
        <w:rPr>
          <w:b w:val="0"/>
          <w:bCs w:val="0"/>
        </w:rPr>
      </w:r>
    </w:p>
    <w:p>
      <w:pPr>
        <w:spacing w:line="240" w:lineRule="auto" w:before="9"/>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sz w:val="25"/>
          <w:szCs w:val="25"/>
        </w:rPr>
      </w:pPr>
    </w:p>
    <w:p>
      <w:pPr>
        <w:spacing w:line="501" w:lineRule="auto" w:before="34"/>
        <w:ind w:left="132" w:right="6842" w:firstLine="0"/>
        <w:jc w:val="left"/>
        <w:rPr>
          <w:rFonts w:ascii="宋体" w:hAnsi="宋体" w:cs="宋体" w:eastAsia="宋体" w:hint="default"/>
          <w:sz w:val="21"/>
          <w:szCs w:val="21"/>
        </w:rPr>
      </w:pPr>
      <w:r>
        <w:rPr>
          <w:rFonts w:ascii="宋体" w:hAnsi="宋体" w:cs="宋体" w:eastAsia="宋体" w:hint="default"/>
          <w:b/>
          <w:bCs/>
          <w:sz w:val="21"/>
          <w:szCs w:val="21"/>
        </w:rPr>
        <w:t>3、其他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宋体" w:hAnsi="宋体" w:cs="宋体" w:eastAsia="宋体" w:hint="default"/>
          <w:b/>
          <w:bCs/>
          <w:sz w:val="21"/>
          <w:szCs w:val="21"/>
        </w:rPr>
        <w:t>1、重要的非调整事项</w:t>
      </w:r>
      <w:r>
        <w:rPr>
          <w:rFonts w:ascii="宋体" w:hAnsi="宋体" w:cs="宋体" w:eastAsia="宋体" w:hint="default"/>
          <w:sz w:val="21"/>
          <w:szCs w:val="21"/>
        </w:rPr>
      </w:r>
    </w:p>
    <w:p>
      <w:pPr>
        <w:spacing w:before="133"/>
        <w:ind w:left="0" w:right="2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93"/>
        <w:gridCol w:w="1618"/>
        <w:gridCol w:w="3067"/>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3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1"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2、利润分配情况</w:t>
      </w:r>
      <w:r>
        <w:rPr>
          <w:b w:val="0"/>
          <w:bCs w:val="0"/>
        </w:rPr>
      </w:r>
    </w:p>
    <w:p>
      <w:pPr>
        <w:spacing w:line="240" w:lineRule="auto" w:before="4"/>
        <w:rPr>
          <w:rFonts w:ascii="宋体" w:hAnsi="宋体" w:cs="宋体" w:eastAsia="宋体" w:hint="default"/>
          <w:b/>
          <w:bCs/>
          <w:sz w:val="24"/>
          <w:szCs w:val="24"/>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14,596,960.65</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14,596,960.65</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3、销售退回</w:t>
      </w:r>
      <w:r>
        <w:rPr>
          <w:b w:val="0"/>
          <w:bCs w:val="0"/>
        </w:rPr>
      </w:r>
    </w:p>
    <w:p>
      <w:pPr>
        <w:spacing w:line="240" w:lineRule="auto" w:before="12"/>
        <w:rPr>
          <w:rFonts w:ascii="宋体" w:hAnsi="宋体" w:cs="宋体" w:eastAsia="宋体" w:hint="default"/>
          <w:b/>
          <w:bCs/>
          <w:sz w:val="25"/>
          <w:szCs w:val="25"/>
        </w:rPr>
      </w:pPr>
    </w:p>
    <w:p>
      <w:pPr>
        <w:spacing w:line="501" w:lineRule="auto" w:before="0"/>
        <w:ind w:left="132" w:right="6676" w:firstLine="0"/>
        <w:jc w:val="left"/>
        <w:rPr>
          <w:rFonts w:ascii="宋体" w:hAnsi="宋体" w:cs="宋体" w:eastAsia="宋体" w:hint="default"/>
          <w:sz w:val="21"/>
          <w:szCs w:val="21"/>
        </w:rPr>
      </w:pPr>
      <w:r>
        <w:rPr>
          <w:rFonts w:ascii="宋体" w:hAnsi="宋体" w:cs="宋体" w:eastAsia="宋体" w:hint="default"/>
          <w:b/>
          <w:bCs/>
          <w:sz w:val="21"/>
          <w:szCs w:val="21"/>
        </w:rPr>
        <w:t>4、其他资产负债表日后事项说明</w:t>
      </w:r>
      <w:r>
        <w:rPr>
          <w:rFonts w:ascii="宋体" w:hAnsi="宋体" w:cs="宋体" w:eastAsia="宋体" w:hint="default"/>
          <w:b/>
          <w:bCs/>
          <w:w w:val="99"/>
          <w:sz w:val="21"/>
          <w:szCs w:val="21"/>
        </w:rPr>
        <w:t> </w:t>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宋体" w:hAnsi="宋体" w:cs="宋体" w:eastAsia="宋体" w:hint="default"/>
          <w:b/>
          <w:bCs/>
          <w:sz w:val="21"/>
          <w:szCs w:val="21"/>
        </w:rPr>
        <w:t>1、前期会计差错更正</w:t>
      </w:r>
      <w:r>
        <w:rPr>
          <w:rFonts w:ascii="宋体" w:hAnsi="宋体" w:cs="宋体" w:eastAsia="宋体" w:hint="default"/>
          <w:sz w:val="21"/>
          <w:szCs w:val="21"/>
        </w:rPr>
      </w:r>
    </w:p>
    <w:p>
      <w:pPr>
        <w:pStyle w:val="Heading6"/>
        <w:spacing w:line="240" w:lineRule="auto" w:before="110"/>
        <w:ind w:right="104"/>
        <w:jc w:val="left"/>
        <w:rPr>
          <w:b w:val="0"/>
          <w:bCs w:val="0"/>
        </w:rPr>
      </w:pPr>
      <w:r>
        <w:rPr/>
        <w:t>（1）追溯重述法</w:t>
      </w:r>
      <w:r>
        <w:rPr>
          <w:b w:val="0"/>
          <w:bCs w:val="0"/>
        </w:rPr>
      </w:r>
    </w:p>
    <w:p>
      <w:pPr>
        <w:spacing w:line="240" w:lineRule="auto" w:before="2"/>
        <w:rPr>
          <w:rFonts w:ascii="宋体" w:hAnsi="宋体" w:cs="宋体" w:eastAsia="宋体" w:hint="default"/>
          <w:b/>
          <w:bCs/>
          <w:sz w:val="24"/>
          <w:szCs w:val="24"/>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93"/>
        <w:gridCol w:w="1476"/>
        <w:gridCol w:w="3209"/>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1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处理程序</w:t>
            </w:r>
          </w:p>
        </w:tc>
        <w:tc>
          <w:tcPr>
            <w:tcW w:w="32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9"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6"/>
        <w:spacing w:line="240" w:lineRule="auto" w:before="34"/>
        <w:ind w:right="104"/>
        <w:jc w:val="left"/>
        <w:rPr>
          <w:b w:val="0"/>
          <w:bCs w:val="0"/>
        </w:rPr>
      </w:pPr>
      <w:r>
        <w:rPr/>
        <w:t>（2）未来适用法</w:t>
      </w:r>
      <w:r>
        <w:rPr>
          <w:b w:val="0"/>
          <w:bCs w:val="0"/>
        </w:rPr>
      </w:r>
    </w:p>
    <w:p>
      <w:pPr>
        <w:spacing w:line="240" w:lineRule="auto" w:before="13"/>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6"/>
        <w:rPr>
          <w:rFonts w:ascii="宋体" w:hAnsi="宋体" w:cs="宋体" w:eastAsia="宋体" w:hint="default"/>
          <w:b/>
          <w:bCs/>
          <w:sz w:val="25"/>
          <w:szCs w:val="25"/>
        </w:rPr>
      </w:pPr>
    </w:p>
    <w:p>
      <w:pPr>
        <w:pStyle w:val="Heading6"/>
        <w:spacing w:line="240" w:lineRule="auto" w:before="34"/>
        <w:ind w:right="104"/>
        <w:jc w:val="left"/>
        <w:rPr>
          <w:b w:val="0"/>
          <w:bCs w:val="0"/>
        </w:rPr>
      </w:pPr>
      <w:r>
        <w:rPr/>
        <w:t>2、债务重组</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3、资产置换</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（1）非货币性资产交换</w:t>
      </w:r>
      <w:r>
        <w:rPr>
          <w:b w:val="0"/>
          <w:bCs w:val="0"/>
        </w:rPr>
      </w:r>
    </w:p>
    <w:p>
      <w:pPr>
        <w:spacing w:line="240" w:lineRule="auto" w:before="10"/>
        <w:rPr>
          <w:rFonts w:ascii="宋体" w:hAnsi="宋体" w:cs="宋体" w:eastAsia="宋体" w:hint="default"/>
          <w:b/>
          <w:bCs/>
          <w:sz w:val="25"/>
          <w:szCs w:val="25"/>
        </w:rPr>
      </w:pPr>
    </w:p>
    <w:p>
      <w:pPr>
        <w:pStyle w:val="Heading6"/>
        <w:spacing w:line="537" w:lineRule="auto"/>
        <w:ind w:right="7941"/>
        <w:jc w:val="left"/>
        <w:rPr>
          <w:b w:val="0"/>
          <w:bCs w:val="0"/>
        </w:rPr>
      </w:pPr>
      <w:r>
        <w:rPr/>
        <w:t>（2）其他资产置换</w:t>
      </w:r>
      <w:r>
        <w:rPr>
          <w:w w:val="99"/>
        </w:rPr>
        <w:t> </w:t>
      </w:r>
      <w:r>
        <w:rPr/>
        <w:t>4、年金计划</w:t>
      </w:r>
      <w:r>
        <w:rPr>
          <w:b w:val="0"/>
          <w:bCs w:val="0"/>
        </w:rPr>
      </w:r>
    </w:p>
    <w:p>
      <w:pPr>
        <w:pStyle w:val="Heading6"/>
        <w:spacing w:line="240" w:lineRule="auto" w:before="79"/>
        <w:ind w:right="104"/>
        <w:jc w:val="left"/>
        <w:rPr>
          <w:b w:val="0"/>
          <w:bCs w:val="0"/>
        </w:rPr>
      </w:pPr>
      <w:r>
        <w:rPr/>
        <w:t>5、终止经营</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09"/>
        <w:gridCol w:w="1134"/>
        <w:gridCol w:w="992"/>
        <w:gridCol w:w="993"/>
        <w:gridCol w:w="1134"/>
        <w:gridCol w:w="1134"/>
        <w:gridCol w:w="3475"/>
      </w:tblGrid>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0"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3" w:right="0"/>
              <w:jc w:val="left"/>
              <w:rPr>
                <w:rFonts w:ascii="宋体" w:hAnsi="宋体" w:cs="宋体" w:eastAsia="宋体" w:hint="default"/>
                <w:sz w:val="18"/>
                <w:szCs w:val="18"/>
              </w:rPr>
            </w:pPr>
            <w:r>
              <w:rPr>
                <w:rFonts w:ascii="宋体" w:hAnsi="宋体" w:cs="宋体" w:eastAsia="宋体" w:hint="default"/>
                <w:sz w:val="18"/>
                <w:szCs w:val="18"/>
              </w:rPr>
              <w:t>归属于母公司所有者的终止经营利润</w:t>
            </w:r>
          </w:p>
        </w:tc>
      </w:tr>
    </w:tbl>
    <w:p>
      <w:pPr>
        <w:spacing w:before="51"/>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6、分部信息</w:t>
      </w:r>
      <w:r>
        <w:rPr>
          <w:b w:val="0"/>
          <w:bCs w:val="0"/>
        </w:rPr>
      </w:r>
    </w:p>
    <w:p>
      <w:pPr>
        <w:spacing w:line="610" w:lineRule="atLeast" w:before="4"/>
        <w:ind w:left="552" w:right="104" w:hanging="420"/>
        <w:jc w:val="left"/>
        <w:rPr>
          <w:rFonts w:ascii="宋体" w:hAnsi="宋体" w:cs="宋体" w:eastAsia="宋体" w:hint="default"/>
          <w:sz w:val="21"/>
          <w:szCs w:val="21"/>
        </w:rPr>
      </w:pPr>
      <w:r>
        <w:rPr>
          <w:rFonts w:ascii="宋体" w:hAnsi="宋体" w:cs="宋体" w:eastAsia="宋体" w:hint="default"/>
          <w:b/>
          <w:bCs/>
          <w:sz w:val="21"/>
          <w:szCs w:val="21"/>
        </w:rPr>
        <w:t>（1）报告分部的确定依据与会计政策</w:t>
      </w:r>
      <w:r>
        <w:rPr>
          <w:rFonts w:ascii="宋体" w:hAnsi="宋体" w:cs="宋体" w:eastAsia="宋体" w:hint="default"/>
          <w:b/>
          <w:bCs/>
          <w:w w:val="99"/>
          <w:sz w:val="21"/>
          <w:szCs w:val="21"/>
        </w:rPr>
        <w:t> </w:t>
      </w:r>
      <w:r>
        <w:rPr>
          <w:rFonts w:ascii="宋体" w:hAnsi="宋体" w:cs="宋体" w:eastAsia="宋体" w:hint="default"/>
          <w:w w:val="95"/>
          <w:sz w:val="21"/>
          <w:szCs w:val="21"/>
        </w:rPr>
        <w:t>本公司以内部组织结构、管理要求、内部报告制度为依据确定经营分部。本公司的经营分部是指同时</w:t>
      </w:r>
      <w:r>
        <w:rPr>
          <w:rFonts w:ascii="宋体" w:hAnsi="宋体" w:cs="宋体" w:eastAsia="宋体" w:hint="default"/>
          <w:sz w:val="21"/>
          <w:szCs w:val="21"/>
        </w:rPr>
      </w:r>
    </w:p>
    <w:p>
      <w:pPr>
        <w:pStyle w:val="BodyText"/>
        <w:spacing w:line="273" w:lineRule="auto" w:before="37"/>
        <w:ind w:left="132" w:right="4799"/>
        <w:jc w:val="left"/>
      </w:pPr>
      <w:r>
        <w:rPr/>
        <w:t>满足下列条件的组成部分：</w:t>
      </w:r>
      <w:r>
        <w:rPr>
          <w:w w:val="99"/>
        </w:rPr>
        <w:t> </w:t>
      </w:r>
      <w:r>
        <w:rPr/>
        <w:t>a该组成部分能够在日常活动中产生收入、发生费用；</w:t>
      </w:r>
    </w:p>
    <w:p>
      <w:pPr>
        <w:pStyle w:val="BodyText"/>
        <w:spacing w:line="273" w:lineRule="auto"/>
        <w:ind w:left="132" w:right="104"/>
        <w:jc w:val="left"/>
      </w:pPr>
      <w:r>
        <w:rPr>
          <w:w w:val="95"/>
        </w:rPr>
        <w:t>b管理层能够定期评价该组成部分的经营成果，以决定向其配置资源、评价其业绩；</w:t>
      </w:r>
      <w:r>
        <w:rPr>
          <w:spacing w:val="64"/>
          <w:w w:val="95"/>
        </w:rPr>
        <w:t> </w:t>
      </w:r>
      <w:r>
        <w:rPr>
          <w:spacing w:val="64"/>
          <w:w w:val="95"/>
        </w:rPr>
      </w:r>
      <w:r>
        <w:rPr/>
        <w:t>c能够取得该组成部分的财务状况、经营成果和现金流量等有关会计信息。</w:t>
      </w:r>
    </w:p>
    <w:p>
      <w:pPr>
        <w:pStyle w:val="BodyText"/>
        <w:spacing w:line="273" w:lineRule="auto"/>
        <w:ind w:left="132" w:right="104" w:firstLine="420"/>
        <w:jc w:val="left"/>
      </w:pPr>
      <w:r>
        <w:rPr/>
        <w:t>本公司以经营分部为基础确定报告分部，满足下列条件之一的经营分部确定为报告分部：</w:t>
      </w:r>
      <w:r>
        <w:rPr>
          <w:w w:val="99"/>
        </w:rPr>
        <w:t> </w:t>
      </w:r>
      <w:r>
        <w:rPr/>
        <w:t>a、该经营分部的分部收入占所有分部收入合计的10%或者以上；</w:t>
      </w:r>
      <w:r>
        <w:rPr>
          <w:w w:val="99"/>
        </w:rPr>
        <w:t> </w:t>
      </w:r>
      <w:r>
        <w:rPr>
          <w:w w:val="95"/>
        </w:rPr>
        <w:t>b、该分部的分部利润（亏损）的绝对额，占所有盈利分部利润合计额或者所有亏损分部亏损合计额的绝</w:t>
      </w:r>
      <w:r>
        <w:rPr>
          <w:spacing w:val="56"/>
          <w:w w:val="95"/>
        </w:rPr>
        <w:t> </w:t>
      </w:r>
      <w:r>
        <w:rPr>
          <w:spacing w:val="56"/>
          <w:w w:val="95"/>
        </w:rPr>
      </w:r>
      <w:r>
        <w:rPr/>
        <w:t>对额两者中较大者的10%或者以上。</w:t>
      </w:r>
    </w:p>
    <w:p>
      <w:pPr>
        <w:pStyle w:val="BodyText"/>
        <w:spacing w:line="273" w:lineRule="auto"/>
        <w:ind w:left="132" w:right="104" w:firstLine="420"/>
        <w:jc w:val="left"/>
      </w:pPr>
      <w:r>
        <w:rPr/>
        <w:t>按上述会计政策确定的报告分部的经营分部的对外交易收入合计额占合并总收入的比重未达到75%</w:t>
      </w:r>
      <w:r>
        <w:rPr>
          <w:w w:val="99"/>
        </w:rPr>
        <w:t> </w:t>
      </w:r>
      <w:r>
        <w:rPr>
          <w:w w:val="95"/>
        </w:rPr>
        <w:t>时，增加报告分部的数量，按下述规定将其他未作为报告分部的经营分部纳入报告分部的范围，直到该比</w:t>
      </w:r>
      <w:r>
        <w:rPr>
          <w:spacing w:val="37"/>
          <w:w w:val="95"/>
        </w:rPr>
        <w:t> </w:t>
      </w:r>
      <w:r>
        <w:rPr>
          <w:spacing w:val="37"/>
          <w:w w:val="95"/>
        </w:rPr>
      </w:r>
      <w:r>
        <w:rPr/>
        <w:t>重达到75%：</w:t>
      </w:r>
    </w:p>
    <w:p>
      <w:pPr>
        <w:pStyle w:val="BodyText"/>
        <w:spacing w:line="273" w:lineRule="auto"/>
        <w:ind w:left="132" w:right="104"/>
        <w:jc w:val="left"/>
      </w:pPr>
      <w:r>
        <w:rPr/>
        <w:t>c、将管理层认为披露该经营分部信息对会计信息使用者有用的经营分部确定为报告分部；</w:t>
      </w:r>
      <w:r>
        <w:rPr>
          <w:w w:val="99"/>
        </w:rPr>
        <w:t> </w:t>
      </w:r>
      <w:r>
        <w:rPr>
          <w:w w:val="95"/>
        </w:rPr>
        <w:t>d、将该经营分部与一个或一个以上的具有相似经济特征、满足经营分部合并条件的其他经营分部合并，</w:t>
      </w:r>
      <w:r>
        <w:rPr>
          <w:spacing w:val="56"/>
          <w:w w:val="95"/>
        </w:rPr>
        <w:t> </w:t>
      </w:r>
      <w:r>
        <w:rPr>
          <w:spacing w:val="56"/>
          <w:w w:val="95"/>
        </w:rPr>
      </w:r>
      <w:r>
        <w:rPr/>
        <w:t>作为一个报告分部。</w:t>
      </w:r>
    </w:p>
    <w:p>
      <w:pPr>
        <w:pStyle w:val="BodyText"/>
        <w:spacing w:line="273" w:lineRule="auto"/>
        <w:ind w:left="132" w:right="104" w:firstLine="300"/>
        <w:jc w:val="left"/>
      </w:pPr>
      <w:r>
        <w:rPr>
          <w:w w:val="95"/>
        </w:rPr>
        <w:t>分部间转移价格参照市场价格确定，与各分部共同使用的资产、相关的费用按照收入比例在不同的分</w:t>
      </w:r>
      <w:r>
        <w:rPr>
          <w:spacing w:val="38"/>
          <w:w w:val="95"/>
        </w:rPr>
        <w:t> </w:t>
      </w:r>
      <w:r>
        <w:rPr>
          <w:spacing w:val="38"/>
          <w:w w:val="95"/>
        </w:rPr>
      </w:r>
      <w:r>
        <w:rPr/>
        <w:t>部之间分配。</w:t>
      </w:r>
    </w:p>
    <w:p>
      <w:pPr>
        <w:spacing w:line="240" w:lineRule="auto" w:before="7"/>
        <w:rPr>
          <w:rFonts w:ascii="宋体" w:hAnsi="宋体" w:cs="宋体" w:eastAsia="宋体" w:hint="default"/>
          <w:sz w:val="23"/>
          <w:szCs w:val="23"/>
        </w:rPr>
      </w:pPr>
    </w:p>
    <w:p>
      <w:pPr>
        <w:pStyle w:val="Heading6"/>
        <w:spacing w:line="240" w:lineRule="auto"/>
        <w:ind w:right="104"/>
        <w:jc w:val="left"/>
        <w:rPr>
          <w:b w:val="0"/>
          <w:bCs w:val="0"/>
        </w:rPr>
      </w:pPr>
      <w:r>
        <w:rPr/>
        <w:t>（2）报告分部的财务信息</w:t>
      </w:r>
      <w:r>
        <w:rPr>
          <w:b w:val="0"/>
          <w:bCs w:val="0"/>
        </w:rPr>
      </w:r>
    </w:p>
    <w:p>
      <w:pPr>
        <w:spacing w:line="240" w:lineRule="auto" w:before="9"/>
        <w:rPr>
          <w:rFonts w:ascii="宋体" w:hAnsi="宋体" w:cs="宋体" w:eastAsia="宋体" w:hint="default"/>
          <w:b/>
          <w:bCs/>
          <w:sz w:val="27"/>
          <w:szCs w:val="27"/>
        </w:rPr>
      </w:pPr>
    </w:p>
    <w:p>
      <w:pPr>
        <w:spacing w:before="0"/>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技术工程施工部分</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0"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2" w:right="0"/>
              <w:jc w:val="left"/>
              <w:rPr>
                <w:rFonts w:ascii="宋体" w:hAnsi="宋体" w:cs="宋体" w:eastAsia="宋体" w:hint="default"/>
                <w:sz w:val="18"/>
                <w:szCs w:val="18"/>
              </w:rPr>
            </w:pPr>
            <w:r>
              <w:rPr>
                <w:rFonts w:ascii="宋体"/>
                <w:sz w:val="18"/>
              </w:rPr>
              <w:t>88,192.07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0" w:right="0"/>
              <w:jc w:val="left"/>
              <w:rPr>
                <w:rFonts w:ascii="宋体" w:hAnsi="宋体" w:cs="宋体" w:eastAsia="宋体" w:hint="default"/>
                <w:sz w:val="18"/>
                <w:szCs w:val="18"/>
              </w:rPr>
            </w:pPr>
            <w:r>
              <w:rPr>
                <w:rFonts w:ascii="宋体"/>
                <w:sz w:val="18"/>
              </w:rPr>
              <w:t>88,203.70</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53,960.96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125.66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54,086.62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8,905.24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-114.02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8,791.22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1,305.76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1,305.76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7,599.49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-114.02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7,485.47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175,902.28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2,861.39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178,763.67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负责总额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51,972.82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51,998.23</w:t>
            </w:r>
          </w:p>
        </w:tc>
      </w:tr>
    </w:tbl>
    <w:p>
      <w:pPr>
        <w:spacing w:line="240" w:lineRule="auto" w:before="3"/>
        <w:rPr>
          <w:rFonts w:ascii="宋体" w:hAnsi="宋体" w:cs="宋体" w:eastAsia="宋体" w:hint="default"/>
          <w:sz w:val="19"/>
          <w:szCs w:val="19"/>
        </w:rPr>
      </w:pPr>
    </w:p>
    <w:p>
      <w:pPr>
        <w:pStyle w:val="Heading6"/>
        <w:spacing w:line="240" w:lineRule="auto" w:before="34"/>
        <w:ind w:right="104"/>
        <w:jc w:val="left"/>
        <w:rPr>
          <w:b w:val="0"/>
          <w:bCs w:val="0"/>
        </w:rPr>
      </w:pPr>
      <w:r>
        <w:rPr/>
        <w:t>（3）公司无报告分部的，或者不能披露各报告分部的资产总额和负债总额的，应说明原因</w:t>
      </w:r>
      <w:r>
        <w:rPr>
          <w:b w:val="0"/>
          <w:bCs w:val="0"/>
        </w:rPr>
      </w:r>
    </w:p>
    <w:p>
      <w:pPr>
        <w:spacing w:line="240" w:lineRule="auto" w:before="12"/>
        <w:rPr>
          <w:rFonts w:ascii="宋体" w:hAnsi="宋体" w:cs="宋体" w:eastAsia="宋体" w:hint="default"/>
          <w:b/>
          <w:bCs/>
          <w:sz w:val="25"/>
          <w:szCs w:val="25"/>
        </w:rPr>
      </w:pPr>
    </w:p>
    <w:p>
      <w:pPr>
        <w:pStyle w:val="Heading6"/>
        <w:spacing w:line="535" w:lineRule="auto"/>
        <w:ind w:right="5411"/>
        <w:jc w:val="left"/>
        <w:rPr>
          <w:b w:val="0"/>
          <w:bCs w:val="0"/>
        </w:rPr>
      </w:pPr>
      <w:r>
        <w:rPr/>
        <w:t>（4）其他说明</w:t>
      </w:r>
      <w:r>
        <w:rPr>
          <w:w w:val="99"/>
        </w:rPr>
        <w:t> </w:t>
      </w:r>
      <w:r>
        <w:rPr/>
        <w:t>7、其他对投资者决策有影响的重要交易和事项</w:t>
      </w:r>
      <w:r>
        <w:rPr>
          <w:b w:val="0"/>
          <w:bCs w:val="0"/>
        </w:rPr>
      </w:r>
    </w:p>
    <w:p>
      <w:pPr>
        <w:spacing w:line="501" w:lineRule="auto" w:before="81"/>
        <w:ind w:left="132" w:right="5879" w:firstLine="0"/>
        <w:jc w:val="left"/>
        <w:rPr>
          <w:rFonts w:ascii="宋体" w:hAnsi="宋体" w:cs="宋体" w:eastAsia="宋体" w:hint="default"/>
          <w:sz w:val="21"/>
          <w:szCs w:val="21"/>
        </w:rPr>
      </w:pPr>
      <w:r>
        <w:rPr>
          <w:rFonts w:ascii="宋体" w:hAnsi="宋体" w:cs="宋体" w:eastAsia="宋体" w:hint="default"/>
          <w:b/>
          <w:bCs/>
          <w:sz w:val="21"/>
          <w:szCs w:val="21"/>
        </w:rPr>
        <w:t>8、其他</w:t>
      </w:r>
      <w:r>
        <w:rPr>
          <w:rFonts w:ascii="宋体" w:hAnsi="宋体" w:cs="宋体" w:eastAsia="宋体" w:hint="default"/>
          <w:b/>
          <w:bCs/>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宋体" w:hAnsi="宋体" w:cs="宋体" w:eastAsia="宋体" w:hint="default"/>
          <w:b/>
          <w:bCs/>
          <w:sz w:val="21"/>
          <w:szCs w:val="21"/>
        </w:rPr>
        <w:t>1、应收账款</w:t>
      </w:r>
      <w:r>
        <w:rPr>
          <w:rFonts w:ascii="宋体" w:hAnsi="宋体" w:cs="宋体" w:eastAsia="宋体" w:hint="default"/>
          <w:sz w:val="21"/>
          <w:szCs w:val="21"/>
        </w:rPr>
      </w:r>
    </w:p>
    <w:p>
      <w:pPr>
        <w:pStyle w:val="Heading6"/>
        <w:spacing w:line="240" w:lineRule="auto" w:before="108"/>
        <w:ind w:right="104"/>
        <w:jc w:val="left"/>
        <w:rPr>
          <w:b w:val="0"/>
          <w:bCs w:val="0"/>
        </w:rPr>
      </w:pPr>
      <w:r>
        <w:rPr/>
        <w:t>（1）应收账款分类披露</w:t>
      </w:r>
      <w:r>
        <w:rPr>
          <w:b w:val="0"/>
          <w:bCs w:val="0"/>
        </w:rPr>
      </w:r>
    </w:p>
    <w:p>
      <w:pPr>
        <w:spacing w:line="240" w:lineRule="auto" w:before="7"/>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634"/>
        <w:gridCol w:w="763"/>
        <w:gridCol w:w="762"/>
        <w:gridCol w:w="669"/>
        <w:gridCol w:w="856"/>
        <w:gridCol w:w="789"/>
        <w:gridCol w:w="764"/>
        <w:gridCol w:w="65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6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129,051</w:t>
            </w:r>
          </w:p>
          <w:p>
            <w:pPr>
              <w:pStyle w:val="TableParagraph"/>
              <w:spacing w:line="240" w:lineRule="auto" w:before="76"/>
              <w:ind w:left="99" w:right="0"/>
              <w:jc w:val="left"/>
              <w:rPr>
                <w:rFonts w:ascii="宋体" w:hAnsi="宋体" w:cs="宋体" w:eastAsia="宋体" w:hint="default"/>
                <w:sz w:val="18"/>
                <w:szCs w:val="18"/>
              </w:rPr>
            </w:pPr>
            <w:r>
              <w:rPr>
                <w:rFonts w:ascii="宋体"/>
                <w:sz w:val="18"/>
              </w:rPr>
              <w:t>,957.65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center"/>
              <w:rPr>
                <w:rFonts w:ascii="宋体" w:hAnsi="宋体" w:cs="宋体" w:eastAsia="宋体" w:hint="default"/>
                <w:sz w:val="18"/>
                <w:szCs w:val="18"/>
              </w:rPr>
            </w:pPr>
            <w:r>
              <w:rPr>
                <w:rFonts w:ascii="宋体"/>
                <w:sz w:val="18"/>
              </w:rPr>
              <w:t>100.00%</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sz w:val="18"/>
              </w:rPr>
              <w:t>7,076,</w:t>
            </w:r>
          </w:p>
          <w:p>
            <w:pPr>
              <w:pStyle w:val="TableParagraph"/>
              <w:spacing w:line="240" w:lineRule="auto" w:before="76"/>
              <w:ind w:left="95" w:right="0"/>
              <w:jc w:val="left"/>
              <w:rPr>
                <w:rFonts w:ascii="宋体" w:hAnsi="宋体" w:cs="宋体" w:eastAsia="宋体" w:hint="default"/>
                <w:sz w:val="18"/>
                <w:szCs w:val="18"/>
              </w:rPr>
            </w:pPr>
            <w:r>
              <w:rPr>
                <w:rFonts w:ascii="宋体"/>
                <w:sz w:val="18"/>
              </w:rPr>
              <w:t>653.29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5.48%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sz w:val="18"/>
              </w:rPr>
              <w:t>121,975,</w:t>
            </w:r>
          </w:p>
          <w:p>
            <w:pPr>
              <w:pStyle w:val="TableParagraph"/>
              <w:spacing w:line="240" w:lineRule="auto" w:before="76"/>
              <w:ind w:left="196" w:right="0"/>
              <w:jc w:val="center"/>
              <w:rPr>
                <w:rFonts w:ascii="宋体" w:hAnsi="宋体" w:cs="宋体" w:eastAsia="宋体" w:hint="default"/>
                <w:sz w:val="18"/>
                <w:szCs w:val="18"/>
              </w:rPr>
            </w:pPr>
            <w:r>
              <w:rPr>
                <w:rFonts w:ascii="宋体"/>
                <w:sz w:val="18"/>
              </w:rPr>
              <w:t>304.36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185,962</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,675.57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21"/>
              <w:jc w:val="right"/>
              <w:rPr>
                <w:rFonts w:ascii="宋体" w:hAnsi="宋体" w:cs="宋体" w:eastAsia="宋体" w:hint="default"/>
                <w:sz w:val="18"/>
                <w:szCs w:val="18"/>
              </w:rPr>
            </w:pPr>
            <w:r>
              <w:rPr>
                <w:rFonts w:ascii="宋体"/>
                <w:sz w:val="18"/>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4,846,24</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0.84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8" w:right="0"/>
              <w:jc w:val="left"/>
              <w:rPr>
                <w:rFonts w:ascii="宋体" w:hAnsi="宋体" w:cs="宋体" w:eastAsia="宋体" w:hint="default"/>
                <w:sz w:val="18"/>
                <w:szCs w:val="18"/>
              </w:rPr>
            </w:pPr>
            <w:r>
              <w:rPr>
                <w:rFonts w:ascii="宋体"/>
                <w:sz w:val="18"/>
              </w:rPr>
              <w:t>2.61%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181,116,4</w:t>
            </w:r>
          </w:p>
          <w:p>
            <w:pPr>
              <w:pStyle w:val="TableParagraph"/>
              <w:spacing w:line="240" w:lineRule="auto" w:before="76"/>
              <w:ind w:left="447" w:right="0"/>
              <w:jc w:val="left"/>
              <w:rPr>
                <w:rFonts w:ascii="宋体" w:hAnsi="宋体" w:cs="宋体" w:eastAsia="宋体" w:hint="default"/>
                <w:sz w:val="18"/>
                <w:szCs w:val="18"/>
              </w:rPr>
            </w:pPr>
            <w:r>
              <w:rPr>
                <w:rFonts w:ascii="宋体"/>
                <w:sz w:val="18"/>
              </w:rPr>
              <w:t>34.73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0"/>
              <w:jc w:val="left"/>
              <w:rPr>
                <w:rFonts w:ascii="宋体" w:hAnsi="宋体" w:cs="宋体" w:eastAsia="宋体" w:hint="default"/>
                <w:sz w:val="18"/>
                <w:szCs w:val="18"/>
              </w:rPr>
            </w:pPr>
            <w:r>
              <w:rPr>
                <w:rFonts w:ascii="宋体"/>
                <w:sz w:val="18"/>
              </w:rPr>
              <w:t>129,051</w:t>
            </w:r>
          </w:p>
          <w:p>
            <w:pPr>
              <w:pStyle w:val="TableParagraph"/>
              <w:spacing w:line="240" w:lineRule="auto" w:before="76"/>
              <w:ind w:left="99" w:right="0"/>
              <w:jc w:val="left"/>
              <w:rPr>
                <w:rFonts w:ascii="宋体" w:hAnsi="宋体" w:cs="宋体" w:eastAsia="宋体" w:hint="default"/>
                <w:sz w:val="18"/>
                <w:szCs w:val="18"/>
              </w:rPr>
            </w:pPr>
            <w:r>
              <w:rPr>
                <w:rFonts w:ascii="宋体"/>
                <w:sz w:val="18"/>
              </w:rPr>
              <w:t>,957.65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center"/>
              <w:rPr>
                <w:rFonts w:ascii="宋体" w:hAnsi="宋体" w:cs="宋体" w:eastAsia="宋体" w:hint="default"/>
                <w:sz w:val="18"/>
                <w:szCs w:val="18"/>
              </w:rPr>
            </w:pPr>
            <w:r>
              <w:rPr>
                <w:rFonts w:ascii="宋体"/>
                <w:sz w:val="18"/>
              </w:rPr>
              <w:t>100.00%</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sz w:val="18"/>
              </w:rPr>
              <w:t>7,076,</w:t>
            </w:r>
          </w:p>
          <w:p>
            <w:pPr>
              <w:pStyle w:val="TableParagraph"/>
              <w:spacing w:line="240" w:lineRule="auto" w:before="76"/>
              <w:ind w:left="95" w:right="0"/>
              <w:jc w:val="left"/>
              <w:rPr>
                <w:rFonts w:ascii="宋体" w:hAnsi="宋体" w:cs="宋体" w:eastAsia="宋体" w:hint="default"/>
                <w:sz w:val="18"/>
                <w:szCs w:val="18"/>
              </w:rPr>
            </w:pPr>
            <w:r>
              <w:rPr>
                <w:rFonts w:ascii="宋体"/>
                <w:sz w:val="18"/>
              </w:rPr>
              <w:t>653.29</w:t>
            </w:r>
          </w:p>
        </w:tc>
        <w:tc>
          <w:tcPr>
            <w:tcW w:w="856"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121,975,</w:t>
            </w:r>
          </w:p>
          <w:p>
            <w:pPr>
              <w:pStyle w:val="TableParagraph"/>
              <w:spacing w:line="240" w:lineRule="auto" w:before="76"/>
              <w:ind w:left="196" w:right="0"/>
              <w:jc w:val="center"/>
              <w:rPr>
                <w:rFonts w:ascii="宋体" w:hAnsi="宋体" w:cs="宋体" w:eastAsia="宋体" w:hint="default"/>
                <w:sz w:val="18"/>
                <w:szCs w:val="18"/>
              </w:rPr>
            </w:pPr>
            <w:r>
              <w:rPr>
                <w:rFonts w:ascii="宋体"/>
                <w:sz w:val="18"/>
              </w:rPr>
              <w:t>304.36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185,962</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,675.57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21"/>
              <w:jc w:val="right"/>
              <w:rPr>
                <w:rFonts w:ascii="宋体" w:hAnsi="宋体" w:cs="宋体" w:eastAsia="宋体" w:hint="default"/>
                <w:sz w:val="18"/>
                <w:szCs w:val="18"/>
              </w:rPr>
            </w:pPr>
            <w:r>
              <w:rPr>
                <w:rFonts w:ascii="宋体"/>
                <w:sz w:val="18"/>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4,846,24</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0.84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left"/>
              <w:rPr>
                <w:rFonts w:ascii="宋体" w:hAnsi="宋体" w:cs="宋体" w:eastAsia="宋体" w:hint="default"/>
                <w:sz w:val="18"/>
                <w:szCs w:val="18"/>
              </w:rPr>
            </w:pPr>
            <w:r>
              <w:rPr>
                <w:rFonts w:ascii="宋体"/>
                <w:sz w:val="18"/>
              </w:rPr>
              <w:t>181,116,4</w:t>
            </w:r>
          </w:p>
          <w:p>
            <w:pPr>
              <w:pStyle w:val="TableParagraph"/>
              <w:spacing w:line="240" w:lineRule="auto" w:before="76"/>
              <w:ind w:left="447" w:right="0"/>
              <w:jc w:val="left"/>
              <w:rPr>
                <w:rFonts w:ascii="宋体" w:hAnsi="宋体" w:cs="宋体" w:eastAsia="宋体" w:hint="default"/>
                <w:sz w:val="18"/>
                <w:szCs w:val="18"/>
              </w:rPr>
            </w:pPr>
            <w:r>
              <w:rPr>
                <w:rFonts w:ascii="宋体"/>
                <w:sz w:val="18"/>
              </w:rPr>
              <w:t>34.73</w:t>
            </w:r>
          </w:p>
        </w:tc>
      </w:tr>
    </w:tbl>
    <w:p>
      <w:pPr>
        <w:spacing w:after="0" w:line="240" w:lineRule="auto"/>
        <w:jc w:val="left"/>
        <w:rPr>
          <w:rFonts w:ascii="宋体" w:hAnsi="宋体" w:cs="宋体" w:eastAsia="宋体" w:hint="default"/>
          <w:sz w:val="18"/>
          <w:szCs w:val="18"/>
        </w:rPr>
        <w:sectPr>
          <w:pgSz w:w="11910" w:h="16840"/>
          <w:pgMar w:header="746" w:footer="978" w:top="1040" w:bottom="1160" w:left="1000" w:right="1020"/>
        </w:sectPr>
      </w:pPr>
    </w:p>
    <w:p>
      <w:pPr>
        <w:spacing w:before="52"/>
        <w:ind w:left="13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60" w:lineRule="auto" w:before="115"/>
        <w:ind w:left="132" w:right="34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line="357" w:lineRule="auto" w:before="27"/>
        <w:ind w:left="132" w:right="-2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组合中，采用余额百分比法计提坏账准备的应收账款：</w:t>
      </w:r>
    </w:p>
    <w:p>
      <w:pPr>
        <w:spacing w:before="29"/>
        <w:ind w:left="13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00" w:right="1020"/>
          <w:cols w:num="2" w:equalWidth="0">
            <w:col w:w="4453" w:space="4285"/>
            <w:col w:w="1152"/>
          </w:cols>
        </w:sectPr>
      </w:pP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40" w:bottom="1160" w:left="1000" w:right="102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62,600,323.27</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24,308,095.25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1,215,404.76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30,642,401.15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3,064,240.12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7,776,890.89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1,555,378.18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3,472,024.09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1,041,607.23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87,000.00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34,800.00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165,223.00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165,223.00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129,051,957.65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7,076,653.29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5.48%</w:t>
            </w:r>
          </w:p>
        </w:tc>
      </w:tr>
    </w:tbl>
    <w:p>
      <w:pPr>
        <w:spacing w:line="360" w:lineRule="auto" w:before="50"/>
        <w:ind w:left="132" w:right="57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组合中，采用其他方法计提坏账准备的应收账款：</w:t>
      </w:r>
    </w:p>
    <w:p>
      <w:pPr>
        <w:spacing w:line="240" w:lineRule="auto" w:before="2"/>
        <w:rPr>
          <w:rFonts w:ascii="宋体" w:hAnsi="宋体" w:cs="宋体" w:eastAsia="宋体" w:hint="default"/>
          <w:sz w:val="20"/>
          <w:szCs w:val="20"/>
        </w:rPr>
      </w:pPr>
    </w:p>
    <w:p>
      <w:pPr>
        <w:pStyle w:val="Heading6"/>
        <w:spacing w:line="240" w:lineRule="auto"/>
        <w:ind w:right="104"/>
        <w:jc w:val="left"/>
        <w:rPr>
          <w:b w:val="0"/>
          <w:bCs w:val="0"/>
        </w:rPr>
      </w:pPr>
      <w:r>
        <w:rPr/>
        <w:t>（2）本期计提、收回或转回的坏账准备情况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6" w:footer="978" w:top="1040" w:bottom="1160" w:left="1000" w:right="1020"/>
        </w:sectPr>
      </w:pPr>
    </w:p>
    <w:p>
      <w:pPr>
        <w:spacing w:line="357" w:lineRule="auto" w:before="44"/>
        <w:ind w:left="13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2,734,716.97</w:t>
      </w:r>
      <w:r>
        <w:rPr>
          <w:rFonts w:ascii="宋体" w:hAnsi="宋体" w:cs="宋体" w:eastAsia="宋体" w:hint="default"/>
          <w:spacing w:val="-47"/>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00" w:right="1020"/>
          <w:cols w:num="2" w:equalWidth="0">
            <w:col w:w="6613" w:space="2125"/>
            <w:col w:w="1152"/>
          </w:cols>
        </w:sectPr>
      </w:pP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6"/>
        <w:spacing w:line="240" w:lineRule="auto" w:before="34"/>
        <w:ind w:right="104"/>
        <w:jc w:val="left"/>
        <w:rPr>
          <w:b w:val="0"/>
          <w:bCs w:val="0"/>
        </w:rPr>
      </w:pPr>
      <w:r>
        <w:rPr/>
        <w:t>（3）本期实际核销的应收账款情况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504,304.52</w:t>
            </w:r>
          </w:p>
        </w:tc>
      </w:tr>
    </w:tbl>
    <w:p>
      <w:pPr>
        <w:spacing w:before="49"/>
        <w:ind w:left="132" w:right="104"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76"/>
        <w:gridCol w:w="1418"/>
        <w:gridCol w:w="1275"/>
        <w:gridCol w:w="1134"/>
        <w:gridCol w:w="1701"/>
        <w:gridCol w:w="276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4"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6"/>
        <w:spacing w:line="240" w:lineRule="auto"/>
        <w:ind w:right="104"/>
        <w:jc w:val="left"/>
        <w:rPr>
          <w:b w:val="0"/>
          <w:bCs w:val="0"/>
        </w:rPr>
      </w:pPr>
      <w:r>
        <w:rPr/>
        <w:t>（4）按欠款方归集的期末余额前五名的应收账款情况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before="44"/>
        <w:ind w:left="0" w:right="30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1985"/>
        <w:gridCol w:w="2630"/>
        <w:gridCol w:w="1985"/>
      </w:tblGrid>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6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91" w:right="0"/>
              <w:jc w:val="left"/>
              <w:rPr>
                <w:rFonts w:ascii="宋体" w:hAnsi="宋体" w:cs="宋体" w:eastAsia="宋体" w:hint="default"/>
                <w:sz w:val="18"/>
                <w:szCs w:val="18"/>
              </w:rPr>
            </w:pPr>
            <w:r>
              <w:rPr>
                <w:rFonts w:ascii="宋体" w:hAnsi="宋体" w:cs="宋体" w:eastAsia="宋体" w:hint="default"/>
                <w:sz w:val="18"/>
                <w:szCs w:val="18"/>
              </w:rPr>
              <w:t>占应收账款期末余额的比例(%)</w:t>
            </w:r>
          </w:p>
        </w:tc>
        <w:tc>
          <w:tcPr>
            <w:tcW w:w="198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353"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11,209,445.02</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z w:val="18"/>
              </w:rPr>
              <w:t>8.69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862,928.19</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9,230,780.30</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7.15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426,373.30</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7,596,013.50</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z w:val="18"/>
              </w:rPr>
              <w:t>5.89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z w:val="18"/>
              </w:rPr>
              <w:t>-</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5,467,684.00</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4.24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5,049,240.15</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3.91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252,462.01</w:t>
            </w:r>
          </w:p>
        </w:tc>
      </w:tr>
      <w:tr>
        <w:trPr>
          <w:trHeight w:val="347" w:hRule="exact"/>
        </w:trPr>
        <w:tc>
          <w:tcPr>
            <w:tcW w:w="29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38,553,162.97</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29.88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1,541,763.50</w:t>
            </w:r>
          </w:p>
        </w:tc>
      </w:tr>
    </w:tbl>
    <w:p>
      <w:pPr>
        <w:spacing w:after="0" w:line="240" w:lineRule="auto"/>
        <w:jc w:val="right"/>
        <w:rPr>
          <w:rFonts w:ascii="宋体" w:hAnsi="宋体" w:cs="宋体" w:eastAsia="宋体" w:hint="default"/>
          <w:sz w:val="18"/>
          <w:szCs w:val="18"/>
        </w:rPr>
        <w:sectPr>
          <w:type w:val="continuous"/>
          <w:pgSz w:w="11910" w:h="16840"/>
          <w:pgMar w:top="1040" w:bottom="1160" w:left="1000" w:right="1020"/>
        </w:sectPr>
      </w:pPr>
    </w:p>
    <w:p>
      <w:pPr>
        <w:spacing w:line="240" w:lineRule="auto" w:before="6"/>
        <w:rPr>
          <w:rFonts w:ascii="宋体" w:hAnsi="宋体" w:cs="宋体" w:eastAsia="宋体" w:hint="default"/>
          <w:sz w:val="25"/>
          <w:szCs w:val="25"/>
        </w:rPr>
      </w:pPr>
    </w:p>
    <w:p>
      <w:pPr>
        <w:pStyle w:val="Heading6"/>
        <w:spacing w:line="240" w:lineRule="auto" w:before="34"/>
        <w:ind w:right="104"/>
        <w:jc w:val="left"/>
        <w:rPr>
          <w:b w:val="0"/>
          <w:bCs w:val="0"/>
        </w:rPr>
      </w:pPr>
      <w:r>
        <w:rPr/>
        <w:t>（5）因金融资产转移而终止确认的应收账款</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104"/>
        <w:jc w:val="left"/>
        <w:rPr>
          <w:b w:val="0"/>
          <w:bCs w:val="0"/>
        </w:rPr>
      </w:pPr>
      <w:r>
        <w:rPr/>
        <w:t>（6）转移应收账款且继续涉入形成的资产、负债金额</w:t>
      </w:r>
      <w:r>
        <w:rPr>
          <w:b w:val="0"/>
          <w:bCs w:val="0"/>
        </w:rPr>
      </w:r>
    </w:p>
    <w:p>
      <w:pPr>
        <w:spacing w:line="240" w:lineRule="auto" w:before="7"/>
        <w:rPr>
          <w:rFonts w:ascii="宋体" w:hAnsi="宋体" w:cs="宋体" w:eastAsia="宋体" w:hint="default"/>
          <w:b/>
          <w:bCs/>
          <w:sz w:val="27"/>
          <w:szCs w:val="27"/>
        </w:rPr>
      </w:pPr>
    </w:p>
    <w:p>
      <w:pPr>
        <w:spacing w:before="0"/>
        <w:ind w:left="132"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4"/>
        <w:jc w:val="left"/>
        <w:rPr>
          <w:b w:val="0"/>
          <w:bCs w:val="0"/>
        </w:rPr>
      </w:pPr>
      <w:r>
        <w:rPr/>
        <w:t>2、其他应收款</w:t>
      </w:r>
      <w:r>
        <w:rPr>
          <w:b w:val="0"/>
          <w:bCs w:val="0"/>
        </w:rPr>
      </w:r>
    </w:p>
    <w:p>
      <w:pPr>
        <w:spacing w:line="240" w:lineRule="auto" w:before="10"/>
        <w:rPr>
          <w:rFonts w:ascii="宋体" w:hAnsi="宋体" w:cs="宋体" w:eastAsia="宋体" w:hint="default"/>
          <w:b/>
          <w:bCs/>
          <w:sz w:val="25"/>
          <w:szCs w:val="25"/>
        </w:rPr>
      </w:pPr>
    </w:p>
    <w:p>
      <w:pPr>
        <w:pStyle w:val="Heading6"/>
        <w:spacing w:line="240" w:lineRule="auto"/>
        <w:ind w:right="104"/>
        <w:jc w:val="left"/>
        <w:rPr>
          <w:b w:val="0"/>
          <w:bCs w:val="0"/>
        </w:rPr>
      </w:pPr>
      <w:r>
        <w:rPr/>
        <w:t>（1）其他应收款分类披露</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6"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66,213,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036.82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center"/>
              <w:rPr>
                <w:rFonts w:ascii="宋体" w:hAnsi="宋体" w:cs="宋体" w:eastAsia="宋体" w:hint="default"/>
                <w:sz w:val="18"/>
                <w:szCs w:val="18"/>
              </w:rPr>
            </w:pPr>
            <w:r>
              <w:rPr>
                <w:rFonts w:ascii="宋体"/>
                <w:sz w:val="18"/>
              </w:rPr>
              <w:t>5,754,9</w:t>
            </w:r>
          </w:p>
          <w:p>
            <w:pPr>
              <w:pStyle w:val="TableParagraph"/>
              <w:spacing w:line="240" w:lineRule="auto" w:before="76"/>
              <w:ind w:left="253" w:right="0"/>
              <w:jc w:val="center"/>
              <w:rPr>
                <w:rFonts w:ascii="宋体" w:hAnsi="宋体" w:cs="宋体" w:eastAsia="宋体" w:hint="default"/>
                <w:sz w:val="18"/>
                <w:szCs w:val="18"/>
              </w:rPr>
            </w:pPr>
            <w:r>
              <w:rPr>
                <w:rFonts w:ascii="宋体"/>
                <w:sz w:val="18"/>
              </w:rPr>
              <w:t>80.98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9" w:right="0"/>
              <w:jc w:val="left"/>
              <w:rPr>
                <w:rFonts w:ascii="宋体" w:hAnsi="宋体" w:cs="宋体" w:eastAsia="宋体" w:hint="default"/>
                <w:sz w:val="18"/>
                <w:szCs w:val="18"/>
              </w:rPr>
            </w:pPr>
            <w:r>
              <w:rPr>
                <w:rFonts w:ascii="宋体"/>
                <w:sz w:val="18"/>
              </w:rPr>
              <w:t>8.69%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60,458,0</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55.84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67,794</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,813.5</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5"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5,957,22</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5.58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8" w:right="0"/>
              <w:jc w:val="left"/>
              <w:rPr>
                <w:rFonts w:ascii="宋体" w:hAnsi="宋体" w:cs="宋体" w:eastAsia="宋体" w:hint="default"/>
                <w:sz w:val="18"/>
                <w:szCs w:val="18"/>
              </w:rPr>
            </w:pPr>
            <w:r>
              <w:rPr>
                <w:rFonts w:ascii="宋体"/>
                <w:sz w:val="18"/>
              </w:rPr>
              <w:t>8.79%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61,837,58</w:t>
            </w:r>
          </w:p>
          <w:p>
            <w:pPr>
              <w:pStyle w:val="TableParagraph"/>
              <w:spacing w:line="240" w:lineRule="auto" w:before="76"/>
              <w:ind w:left="539" w:right="0"/>
              <w:jc w:val="left"/>
              <w:rPr>
                <w:rFonts w:ascii="宋体" w:hAnsi="宋体" w:cs="宋体" w:eastAsia="宋体" w:hint="default"/>
                <w:sz w:val="18"/>
                <w:szCs w:val="18"/>
              </w:rPr>
            </w:pPr>
            <w:r>
              <w:rPr>
                <w:rFonts w:ascii="宋体"/>
                <w:sz w:val="18"/>
              </w:rPr>
              <w:t>7.97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66,213,</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036.82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6"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center"/>
              <w:rPr>
                <w:rFonts w:ascii="宋体" w:hAnsi="宋体" w:cs="宋体" w:eastAsia="宋体" w:hint="default"/>
                <w:sz w:val="18"/>
                <w:szCs w:val="18"/>
              </w:rPr>
            </w:pPr>
            <w:r>
              <w:rPr>
                <w:rFonts w:ascii="宋体"/>
                <w:sz w:val="18"/>
              </w:rPr>
              <w:t>5,754,9</w:t>
            </w:r>
          </w:p>
          <w:p>
            <w:pPr>
              <w:pStyle w:val="TableParagraph"/>
              <w:spacing w:line="240" w:lineRule="auto" w:before="76"/>
              <w:ind w:left="253" w:right="0"/>
              <w:jc w:val="center"/>
              <w:rPr>
                <w:rFonts w:ascii="宋体" w:hAnsi="宋体" w:cs="宋体" w:eastAsia="宋体" w:hint="default"/>
                <w:sz w:val="18"/>
                <w:szCs w:val="18"/>
              </w:rPr>
            </w:pPr>
            <w:r>
              <w:rPr>
                <w:rFonts w:ascii="宋体"/>
                <w:sz w:val="18"/>
              </w:rPr>
              <w:t>80.98</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60,458,0</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55.84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67,794</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,813.5</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5"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5,957,22</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5.58</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61,837,58</w:t>
            </w:r>
          </w:p>
          <w:p>
            <w:pPr>
              <w:pStyle w:val="TableParagraph"/>
              <w:spacing w:line="240" w:lineRule="auto" w:before="76"/>
              <w:ind w:left="539" w:right="0"/>
              <w:jc w:val="left"/>
              <w:rPr>
                <w:rFonts w:ascii="宋体" w:hAnsi="宋体" w:cs="宋体" w:eastAsia="宋体" w:hint="default"/>
                <w:sz w:val="18"/>
                <w:szCs w:val="18"/>
              </w:rPr>
            </w:pPr>
            <w:r>
              <w:rPr>
                <w:rFonts w:ascii="宋体"/>
                <w:sz w:val="18"/>
              </w:rPr>
              <w:t>7.97</w:t>
            </w:r>
          </w:p>
        </w:tc>
      </w:tr>
    </w:tbl>
    <w:p>
      <w:pPr>
        <w:spacing w:after="0" w:line="240" w:lineRule="auto"/>
        <w:jc w:val="left"/>
        <w:rPr>
          <w:rFonts w:ascii="宋体" w:hAnsi="宋体" w:cs="宋体" w:eastAsia="宋体" w:hint="default"/>
          <w:sz w:val="18"/>
          <w:szCs w:val="18"/>
        </w:rPr>
        <w:sectPr>
          <w:footerReference w:type="default" r:id="rId33"/>
          <w:pgSz w:w="11910" w:h="16840"/>
          <w:pgMar w:footer="978" w:header="746" w:top="1040" w:bottom="1160" w:left="1000" w:right="1020"/>
          <w:pgNumType w:start="160"/>
        </w:sectPr>
      </w:pPr>
    </w:p>
    <w:p>
      <w:pPr>
        <w:spacing w:before="51"/>
        <w:ind w:left="13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5"/>
        <w:ind w:left="132" w:right="34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line="357" w:lineRule="auto" w:before="27"/>
        <w:ind w:left="132" w:right="-2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组合中，采用余额百分比法计提坏账准备的其他应收款：</w:t>
      </w:r>
    </w:p>
    <w:p>
      <w:pPr>
        <w:spacing w:before="29"/>
        <w:ind w:left="13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1000" w:right="1020"/>
          <w:cols w:num="2" w:equalWidth="0">
            <w:col w:w="4633" w:space="4196"/>
            <w:col w:w="1061"/>
          </w:cols>
        </w:sectPr>
      </w:pP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90"/>
        <w:gridCol w:w="2296"/>
        <w:gridCol w:w="2391"/>
        <w:gridCol w:w="2391"/>
      </w:tblGrid>
      <w:tr>
        <w:trPr>
          <w:trHeight w:val="402" w:hRule="exact"/>
        </w:trPr>
        <w:tc>
          <w:tcPr>
            <w:tcW w:w="24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0" w:type="dxa"/>
            <w:vMerge/>
            <w:tcBorders>
              <w:left w:val="single" w:sz="4" w:space="0" w:color="000000"/>
              <w:bottom w:val="single" w:sz="4" w:space="0" w:color="000000"/>
              <w:right w:val="single" w:sz="4" w:space="0" w:color="000000"/>
            </w:tcBorders>
            <w:shd w:val="clear" w:color="auto" w:fill="D3D3D3"/>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15,917,055.17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26,612,715.22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1,330,635.76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11,808,833.38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1,180,883.34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6,263,528.30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1,252,705.66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3,348,850.75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1,004,655.23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2,126,588.35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850,635.34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135,465.65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135,465.65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66,213,036.82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5,754,980.98</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50"/>
        <w:ind w:left="132" w:right="10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type w:val="continuous"/>
          <w:pgSz w:w="11910" w:h="16840"/>
          <w:pgMar w:top="1040" w:bottom="1160" w:left="1000" w:right="1020"/>
        </w:sectPr>
      </w:pPr>
    </w:p>
    <w:p>
      <w:pPr>
        <w:spacing w:line="240" w:lineRule="auto" w:before="9"/>
        <w:rPr>
          <w:rFonts w:ascii="宋体" w:hAnsi="宋体" w:cs="宋体" w:eastAsia="宋体" w:hint="default"/>
          <w:sz w:val="26"/>
          <w:szCs w:val="2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before="115"/>
        <w:ind w:left="15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left="152" w:right="0"/>
        <w:jc w:val="left"/>
        <w:rPr>
          <w:b w:val="0"/>
          <w:bCs w:val="0"/>
        </w:rPr>
      </w:pPr>
      <w:r>
        <w:rPr/>
        <w:t>（2）本期计提、收回或转回的坏账准备情况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6" w:footer="978" w:top="1040" w:bottom="1160" w:left="980" w:right="1020"/>
        </w:sectPr>
      </w:pPr>
    </w:p>
    <w:p>
      <w:pPr>
        <w:spacing w:line="357" w:lineRule="auto" w:before="44"/>
        <w:ind w:left="152"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宋体" w:hAnsi="宋体" w:cs="宋体" w:eastAsia="宋体" w:hint="default"/>
          <w:sz w:val="18"/>
          <w:szCs w:val="18"/>
        </w:rPr>
        <w:t>25,560.00</w:t>
      </w:r>
      <w:r>
        <w:rPr>
          <w:rFonts w:ascii="宋体" w:hAnsi="宋体" w:cs="宋体" w:eastAsia="宋体" w:hint="default"/>
          <w:spacing w:val="-48"/>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宋体" w:hAnsi="宋体" w:cs="宋体" w:eastAsia="宋体" w:hint="default"/>
          <w:sz w:val="18"/>
          <w:szCs w:val="18"/>
        </w:rPr>
        <w:t>227,804.60</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60" w:left="980" w:right="1020"/>
          <w:cols w:num="2" w:equalWidth="0">
            <w:col w:w="6905" w:space="1925"/>
            <w:col w:w="1080"/>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6"/>
        <w:spacing w:line="240" w:lineRule="auto" w:before="34"/>
        <w:ind w:left="152" w:right="5774"/>
        <w:jc w:val="left"/>
        <w:rPr>
          <w:b w:val="0"/>
          <w:bCs w:val="0"/>
        </w:rPr>
      </w:pPr>
      <w:r>
        <w:rPr/>
        <w:t>（3）本期实际核销的其他应收款情况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3d3d3"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52" w:right="5774"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32" w:right="8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7034"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6"/>
        <w:spacing w:line="240" w:lineRule="auto" w:before="118"/>
        <w:ind w:left="152" w:right="5774"/>
        <w:jc w:val="left"/>
        <w:rPr>
          <w:b w:val="0"/>
          <w:bCs w:val="0"/>
        </w:rPr>
      </w:pPr>
      <w:r>
        <w:rPr/>
        <w:t>（4）其他应收款按款项性质分类情况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55,680,963.74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56,445,607.03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964,779.00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678,615.00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286,967.53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343,875.23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7,700,000.00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7,700,000.00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1,580,326.55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2,626,716.29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66,213,036.82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67,794,813.55</w:t>
            </w:r>
          </w:p>
        </w:tc>
      </w:tr>
    </w:tbl>
    <w:p>
      <w:pPr>
        <w:spacing w:line="240" w:lineRule="auto" w:before="4"/>
        <w:rPr>
          <w:rFonts w:ascii="宋体" w:hAnsi="宋体" w:cs="宋体" w:eastAsia="宋体" w:hint="default"/>
          <w:sz w:val="19"/>
          <w:szCs w:val="19"/>
        </w:rPr>
      </w:pPr>
    </w:p>
    <w:p>
      <w:pPr>
        <w:pStyle w:val="Heading6"/>
        <w:spacing w:line="240" w:lineRule="auto" w:before="34"/>
        <w:ind w:left="152" w:right="0"/>
        <w:jc w:val="left"/>
        <w:rPr>
          <w:b w:val="0"/>
          <w:bCs w:val="0"/>
        </w:rPr>
      </w:pPr>
      <w:r>
        <w:rPr/>
        <w:t>（5）按欠款方归集的期末余额前五名的其他应收款情况</w:t>
      </w:r>
      <w:r>
        <w:rPr>
          <w:b w:val="0"/>
          <w:bCs w:val="0"/>
        </w:rPr>
      </w:r>
    </w:p>
    <w:p>
      <w:pPr>
        <w:spacing w:line="240" w:lineRule="auto" w:before="4"/>
        <w:rPr>
          <w:rFonts w:ascii="宋体" w:hAnsi="宋体" w:cs="宋体" w:eastAsia="宋体" w:hint="default"/>
          <w:b/>
          <w:bCs/>
          <w:sz w:val="24"/>
          <w:szCs w:val="24"/>
        </w:rPr>
      </w:pPr>
    </w:p>
    <w:p>
      <w:pPr>
        <w:spacing w:before="44"/>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8" w:hRule="exact"/>
        </w:trPr>
        <w:tc>
          <w:tcPr>
            <w:tcW w:w="1684"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615"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r>
      <w:tr>
        <w:trPr>
          <w:trHeight w:val="322" w:hRule="exact"/>
        </w:trPr>
        <w:tc>
          <w:tcPr>
            <w:tcW w:w="1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439" w:right="0"/>
              <w:jc w:val="left"/>
              <w:rPr>
                <w:rFonts w:ascii="宋体" w:hAnsi="宋体" w:cs="宋体" w:eastAsia="宋体" w:hint="default"/>
                <w:sz w:val="18"/>
                <w:szCs w:val="18"/>
              </w:rPr>
            </w:pPr>
            <w:r>
              <w:rPr>
                <w:rFonts w:ascii="宋体"/>
                <w:sz w:val="18"/>
              </w:rPr>
              <w:t>6,098,629.20</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4,385,645.4，6</w:t>
            </w:r>
            <w:r>
              <w:rPr>
                <w:rFonts w:ascii="宋体" w:hAnsi="宋体" w:cs="宋体" w:eastAsia="宋体" w:hint="default"/>
                <w:spacing w:val="-50"/>
                <w:sz w:val="18"/>
                <w:szCs w:val="18"/>
              </w:rPr>
              <w:t> </w:t>
            </w:r>
            <w:r>
              <w:rPr>
                <w:rFonts w:ascii="宋体" w:hAnsi="宋体" w:cs="宋体" w:eastAsia="宋体" w:hint="default"/>
                <w:sz w:val="18"/>
                <w:szCs w:val="18"/>
              </w:rPr>
              <w:t>个</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20"/>
              <w:jc w:val="right"/>
              <w:rPr>
                <w:rFonts w:ascii="宋体" w:hAnsi="宋体" w:cs="宋体" w:eastAsia="宋体" w:hint="default"/>
                <w:sz w:val="18"/>
                <w:szCs w:val="18"/>
              </w:rPr>
            </w:pPr>
            <w:r>
              <w:rPr>
                <w:rFonts w:ascii="宋体"/>
                <w:spacing w:val="-1"/>
                <w:sz w:val="18"/>
              </w:rPr>
              <w:t>9.21%</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772" w:right="0"/>
              <w:jc w:val="left"/>
              <w:rPr>
                <w:rFonts w:ascii="宋体" w:hAnsi="宋体" w:cs="宋体" w:eastAsia="宋体" w:hint="default"/>
                <w:sz w:val="18"/>
                <w:szCs w:val="18"/>
              </w:rPr>
            </w:pPr>
            <w:r>
              <w:rPr>
                <w:rFonts w:ascii="宋体"/>
                <w:sz w:val="18"/>
              </w:rPr>
              <w:t>85,649.19</w:t>
            </w:r>
          </w:p>
        </w:tc>
      </w:tr>
      <w:tr>
        <w:trPr>
          <w:trHeight w:val="315" w:hRule="exact"/>
        </w:trPr>
        <w:tc>
          <w:tcPr>
            <w:tcW w:w="1684"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
        </w:tc>
        <w:tc>
          <w:tcPr>
            <w:tcW w:w="1552" w:type="dxa"/>
            <w:tcBorders>
              <w:top w:val="nil" w:sz="6" w:space="0" w:color="auto"/>
              <w:left w:val="single" w:sz="4" w:space="0" w:color="000000"/>
              <w:bottom w:val="single" w:sz="4" w:space="0" w:color="000000"/>
              <w:right w:val="single" w:sz="4" w:space="0" w:color="000000"/>
            </w:tcBorders>
          </w:tcPr>
          <w:p>
            <w:pPr/>
          </w:p>
        </w:tc>
        <w:tc>
          <w:tcPr>
            <w:tcW w:w="1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15"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40" w:bottom="1160" w:left="980" w:right="1020"/>
        </w:sectPr>
      </w:pPr>
    </w:p>
    <w:p>
      <w:pPr>
        <w:spacing w:line="240" w:lineRule="auto" w:before="2"/>
        <w:rPr>
          <w:rFonts w:ascii="宋体" w:hAnsi="宋体" w:cs="宋体" w:eastAsia="宋体" w:hint="default"/>
          <w:sz w:val="29"/>
          <w:szCs w:val="29"/>
        </w:rPr>
      </w:pPr>
    </w:p>
    <w:tbl>
      <w:tblPr>
        <w:tblW w:w="0" w:type="auto"/>
        <w:jc w:val="left"/>
        <w:tblInd w:w="241"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1,712,983.8</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684"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16"/>
              <w:jc w:val="righ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4,622,000.00</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3,620,000，1-2</w:t>
            </w:r>
            <w:r>
              <w:rPr>
                <w:rFonts w:ascii="宋体" w:hAnsi="宋体" w:cs="宋体" w:eastAsia="宋体" w:hint="default"/>
                <w:spacing w:val="-5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1,000,000,2-3</w:t>
            </w:r>
            <w:r>
              <w:rPr>
                <w:rFonts w:ascii="宋体" w:hAnsi="宋体" w:cs="宋体" w:eastAsia="宋体" w:hint="default"/>
                <w:spacing w:val="-52"/>
                <w:sz w:val="18"/>
                <w:szCs w:val="18"/>
              </w:rPr>
              <w:t> </w:t>
            </w:r>
            <w:r>
              <w:rPr>
                <w:rFonts w:ascii="宋体" w:hAnsi="宋体" w:cs="宋体" w:eastAsia="宋体" w:hint="default"/>
                <w:sz w:val="18"/>
                <w:szCs w:val="18"/>
              </w:rPr>
              <w:t>年</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6.98%</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281,400.00</w:t>
            </w:r>
          </w:p>
        </w:tc>
      </w:tr>
      <w:tr>
        <w:trPr>
          <w:trHeight w:val="357" w:hRule="exact"/>
        </w:trPr>
        <w:tc>
          <w:tcPr>
            <w:tcW w:w="1684"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
        </w:tc>
        <w:tc>
          <w:tcPr>
            <w:tcW w:w="1552" w:type="dxa"/>
            <w:tcBorders>
              <w:top w:val="nil" w:sz="6" w:space="0" w:color="auto"/>
              <w:left w:val="single" w:sz="4" w:space="0" w:color="000000"/>
              <w:bottom w:val="single" w:sz="4" w:space="0" w:color="000000"/>
              <w:right w:val="single" w:sz="4" w:space="0" w:color="000000"/>
            </w:tcBorders>
          </w:tcPr>
          <w:p>
            <w:pPr/>
          </w:p>
        </w:tc>
        <w:tc>
          <w:tcPr>
            <w:tcW w:w="1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2,000.00</w:t>
            </w:r>
          </w:p>
        </w:tc>
        <w:tc>
          <w:tcPr>
            <w:tcW w:w="1615"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6"/>
              <w:jc w:val="righ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2,118,055.90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423,611.18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16"/>
              <w:jc w:val="righ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6"/>
              <w:jc w:val="righ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1,981,178.00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677"/>
              <w:jc w:val="right"/>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16,819,863.10</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890,660.37</w:t>
            </w:r>
          </w:p>
        </w:tc>
      </w:tr>
    </w:tbl>
    <w:p>
      <w:pPr>
        <w:spacing w:line="240" w:lineRule="auto" w:before="5"/>
        <w:rPr>
          <w:rFonts w:ascii="宋体" w:hAnsi="宋体" w:cs="宋体" w:eastAsia="宋体" w:hint="default"/>
          <w:sz w:val="19"/>
          <w:szCs w:val="19"/>
        </w:rPr>
      </w:pPr>
    </w:p>
    <w:p>
      <w:pPr>
        <w:pStyle w:val="Heading6"/>
        <w:spacing w:line="240" w:lineRule="auto" w:before="34"/>
        <w:ind w:left="272" w:right="0"/>
        <w:jc w:val="left"/>
        <w:rPr>
          <w:b w:val="0"/>
          <w:bCs w:val="0"/>
        </w:rPr>
      </w:pPr>
      <w:r>
        <w:rPr/>
        <w:t>（6）涉及政府补助的应收款项</w:t>
      </w:r>
      <w:r>
        <w:rPr>
          <w:b w:val="0"/>
          <w:bCs w:val="0"/>
        </w:rPr>
      </w:r>
    </w:p>
    <w:p>
      <w:pPr>
        <w:spacing w:line="240" w:lineRule="auto" w:before="4"/>
        <w:rPr>
          <w:rFonts w:ascii="宋体" w:hAnsi="宋体" w:cs="宋体" w:eastAsia="宋体" w:hint="default"/>
          <w:b/>
          <w:bCs/>
          <w:sz w:val="24"/>
          <w:szCs w:val="24"/>
        </w:rPr>
      </w:pPr>
    </w:p>
    <w:p>
      <w:pPr>
        <w:spacing w:before="44"/>
        <w:ind w:left="0" w:right="38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241" w:type="dxa"/>
        <w:tblLayout w:type="fixed"/>
        <w:tblCellMar>
          <w:top w:w="0" w:type="dxa"/>
          <w:left w:w="0" w:type="dxa"/>
          <w:bottom w:w="0" w:type="dxa"/>
          <w:right w:w="0" w:type="dxa"/>
        </w:tblCellMar>
        <w:tblLook w:val="01E0"/>
      </w:tblPr>
      <w:tblGrid>
        <w:gridCol w:w="1276"/>
        <w:gridCol w:w="1985"/>
        <w:gridCol w:w="1417"/>
        <w:gridCol w:w="1843"/>
        <w:gridCol w:w="3048"/>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bl>
    <w:p>
      <w:pPr>
        <w:spacing w:line="240" w:lineRule="auto" w:before="3"/>
        <w:rPr>
          <w:rFonts w:ascii="宋体" w:hAnsi="宋体" w:cs="宋体" w:eastAsia="宋体" w:hint="default"/>
          <w:sz w:val="19"/>
          <w:szCs w:val="19"/>
        </w:rPr>
      </w:pPr>
    </w:p>
    <w:p>
      <w:pPr>
        <w:pStyle w:val="Heading6"/>
        <w:spacing w:line="240" w:lineRule="auto" w:before="34"/>
        <w:ind w:left="272" w:right="0"/>
        <w:jc w:val="left"/>
        <w:rPr>
          <w:b w:val="0"/>
          <w:bCs w:val="0"/>
        </w:rPr>
      </w:pPr>
      <w:r>
        <w:rPr/>
        <w:t>（7）因金融资产转移而终止确认的其他应收款</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left="272" w:right="0"/>
        <w:jc w:val="left"/>
        <w:rPr>
          <w:b w:val="0"/>
          <w:bCs w:val="0"/>
        </w:rPr>
      </w:pPr>
      <w:r>
        <w:rPr/>
        <w:t>（8）转移其他应收款且继续涉入形成的资产、负债金额</w:t>
      </w:r>
      <w:r>
        <w:rPr>
          <w:b w:val="0"/>
          <w:bCs w:val="0"/>
        </w:rPr>
      </w:r>
    </w:p>
    <w:p>
      <w:pPr>
        <w:spacing w:line="240" w:lineRule="auto" w:before="9"/>
        <w:rPr>
          <w:rFonts w:ascii="宋体" w:hAnsi="宋体" w:cs="宋体" w:eastAsia="宋体" w:hint="default"/>
          <w:b/>
          <w:bCs/>
          <w:sz w:val="27"/>
          <w:szCs w:val="27"/>
        </w:rPr>
      </w:pPr>
    </w:p>
    <w:p>
      <w:pPr>
        <w:spacing w:before="0"/>
        <w:ind w:left="27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272" w:right="0"/>
        <w:jc w:val="left"/>
        <w:rPr>
          <w:b w:val="0"/>
          <w:bCs w:val="0"/>
        </w:rPr>
      </w:pPr>
      <w:r>
        <w:rPr/>
        <w:t>3、长期股权投资</w:t>
      </w:r>
      <w:r>
        <w:rPr>
          <w:b w:val="0"/>
          <w:bCs w:val="0"/>
        </w:rPr>
      </w:r>
    </w:p>
    <w:p>
      <w:pPr>
        <w:spacing w:line="240" w:lineRule="auto" w:before="7"/>
        <w:rPr>
          <w:rFonts w:ascii="宋体" w:hAnsi="宋体" w:cs="宋体" w:eastAsia="宋体" w:hint="default"/>
          <w:b/>
          <w:bCs/>
          <w:sz w:val="24"/>
          <w:szCs w:val="24"/>
        </w:rPr>
      </w:pPr>
    </w:p>
    <w:p>
      <w:pPr>
        <w:spacing w:before="44"/>
        <w:ind w:left="0" w:right="38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241" w:type="dxa"/>
        <w:tblLayout w:type="fixed"/>
        <w:tblCellMar>
          <w:top w:w="0" w:type="dxa"/>
          <w:left w:w="0" w:type="dxa"/>
          <w:bottom w:w="0" w:type="dxa"/>
          <w:right w:w="0" w:type="dxa"/>
        </w:tblCellMar>
        <w:tblLook w:val="01E0"/>
      </w:tblPr>
      <w:tblGrid>
        <w:gridCol w:w="1843"/>
        <w:gridCol w:w="1418"/>
        <w:gridCol w:w="842"/>
        <w:gridCol w:w="1367"/>
        <w:gridCol w:w="1367"/>
        <w:gridCol w:w="1367"/>
        <w:gridCol w:w="1367"/>
      </w:tblGrid>
      <w:tr>
        <w:trPr>
          <w:trHeight w:val="402" w:hRule="exact"/>
        </w:trPr>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2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center"/>
              <w:rPr>
                <w:rFonts w:ascii="宋体" w:hAnsi="宋体" w:cs="宋体" w:eastAsia="宋体" w:hint="default"/>
                <w:sz w:val="18"/>
                <w:szCs w:val="18"/>
              </w:rPr>
            </w:pPr>
            <w:r>
              <w:rPr>
                <w:rFonts w:ascii="宋体"/>
                <w:sz w:val="18"/>
              </w:rPr>
              <w:t>432,904,131.41</w:t>
            </w:r>
          </w:p>
        </w:tc>
        <w:tc>
          <w:tcPr>
            <w:tcW w:w="84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432,904,131.41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276,301,767.27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276,301,767.27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163,684.24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163,684.24</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center"/>
              <w:rPr>
                <w:rFonts w:ascii="宋体" w:hAnsi="宋体" w:cs="宋体" w:eastAsia="宋体" w:hint="default"/>
                <w:sz w:val="18"/>
                <w:szCs w:val="18"/>
              </w:rPr>
            </w:pPr>
            <w:r>
              <w:rPr>
                <w:rFonts w:ascii="宋体"/>
                <w:sz w:val="18"/>
              </w:rPr>
              <w:t>432,904,131.41</w:t>
            </w:r>
          </w:p>
        </w:tc>
        <w:tc>
          <w:tcPr>
            <w:tcW w:w="84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432,904,131.41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276,465,451.51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276,465,451.51</w:t>
            </w:r>
          </w:p>
        </w:tc>
      </w:tr>
    </w:tbl>
    <w:p>
      <w:pPr>
        <w:spacing w:line="240" w:lineRule="auto" w:before="3"/>
        <w:rPr>
          <w:rFonts w:ascii="宋体" w:hAnsi="宋体" w:cs="宋体" w:eastAsia="宋体" w:hint="default"/>
          <w:sz w:val="19"/>
          <w:szCs w:val="19"/>
        </w:rPr>
      </w:pPr>
    </w:p>
    <w:p>
      <w:pPr>
        <w:pStyle w:val="Heading6"/>
        <w:spacing w:line="240" w:lineRule="auto" w:before="34"/>
        <w:ind w:left="272" w:right="0"/>
        <w:jc w:val="left"/>
        <w:rPr>
          <w:b w:val="0"/>
          <w:bCs w:val="0"/>
        </w:rPr>
      </w:pPr>
      <w:r>
        <w:rPr/>
        <w:t>（1）对子公司投资</w:t>
      </w:r>
      <w:r>
        <w:rPr>
          <w:b w:val="0"/>
          <w:bCs w:val="0"/>
        </w:rPr>
      </w:r>
    </w:p>
    <w:p>
      <w:pPr>
        <w:spacing w:line="240" w:lineRule="auto" w:before="4"/>
        <w:rPr>
          <w:rFonts w:ascii="宋体" w:hAnsi="宋体" w:cs="宋体" w:eastAsia="宋体" w:hint="default"/>
          <w:b/>
          <w:bCs/>
          <w:sz w:val="24"/>
          <w:szCs w:val="24"/>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701"/>
        <w:gridCol w:w="1418"/>
        <w:gridCol w:w="1327"/>
        <w:gridCol w:w="985"/>
        <w:gridCol w:w="1352"/>
        <w:gridCol w:w="1559"/>
        <w:gridCol w:w="1628"/>
      </w:tblGrid>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6"/>
              <w:jc w:val="left"/>
              <w:rPr>
                <w:rFonts w:ascii="宋体" w:hAnsi="宋体" w:cs="宋体" w:eastAsia="宋体" w:hint="default"/>
                <w:sz w:val="18"/>
                <w:szCs w:val="18"/>
              </w:rPr>
            </w:pPr>
            <w:r>
              <w:rPr>
                <w:rFonts w:ascii="宋体" w:hAnsi="宋体" w:cs="宋体" w:eastAsia="宋体" w:hint="default"/>
                <w:sz w:val="18"/>
                <w:szCs w:val="18"/>
              </w:rPr>
              <w:t>天津市金飞博光通讯 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4,027,343.90</w:t>
            </w:r>
          </w:p>
        </w:tc>
        <w:tc>
          <w:tcPr>
            <w:tcW w:w="132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4,027,343.90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天津市天安怡和信息 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45,964,273.77</w:t>
            </w:r>
          </w:p>
        </w:tc>
        <w:tc>
          <w:tcPr>
            <w:tcW w:w="132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45,964,273.77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6"/>
              <w:jc w:val="left"/>
              <w:rPr>
                <w:rFonts w:ascii="宋体" w:hAnsi="宋体" w:cs="宋体" w:eastAsia="宋体" w:hint="default"/>
                <w:sz w:val="18"/>
                <w:szCs w:val="18"/>
              </w:rPr>
            </w:pPr>
            <w:r>
              <w:rPr>
                <w:rFonts w:ascii="宋体" w:hAnsi="宋体" w:cs="宋体" w:eastAsia="宋体" w:hint="default"/>
                <w:sz w:val="18"/>
                <w:szCs w:val="18"/>
              </w:rPr>
              <w:t>重庆皖通科技有限责 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2,550,000.00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2,550,000.00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40" w:bottom="1160" w:left="860" w:right="840"/>
        </w:sectPr>
      </w:pPr>
    </w:p>
    <w:p>
      <w:pPr>
        <w:spacing w:line="240" w:lineRule="auto" w:before="2"/>
        <w:rPr>
          <w:rFonts w:ascii="宋体" w:hAnsi="宋体" w:cs="宋体" w:eastAsia="宋体"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1701"/>
        <w:gridCol w:w="1418"/>
        <w:gridCol w:w="1327"/>
        <w:gridCol w:w="985"/>
        <w:gridCol w:w="1352"/>
        <w:gridCol w:w="1559"/>
        <w:gridCol w:w="1628"/>
      </w:tblGrid>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6"/>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21,030,000.00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21,030,000.00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烟台华东电子软件技 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197,630,149.60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132,602,364.14</w:t>
            </w:r>
          </w:p>
        </w:tc>
        <w:tc>
          <w:tcPr>
            <w:tcW w:w="9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330,232,513.74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6"/>
              <w:jc w:val="left"/>
              <w:rPr>
                <w:rFonts w:ascii="宋体" w:hAnsi="宋体" w:cs="宋体" w:eastAsia="宋体" w:hint="default"/>
                <w:sz w:val="18"/>
                <w:szCs w:val="18"/>
              </w:rPr>
            </w:pPr>
            <w:r>
              <w:rPr>
                <w:rFonts w:ascii="宋体" w:hAnsi="宋体" w:cs="宋体" w:eastAsia="宋体" w:hint="default"/>
                <w:sz w:val="18"/>
                <w:szCs w:val="18"/>
              </w:rPr>
              <w:t>安徽皖通城市智能交 通科技有限公司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5,100,000.00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安徽行云天下科技有 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24,000,000.00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276,301,767.27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156,602,364.14</w:t>
            </w:r>
          </w:p>
        </w:tc>
        <w:tc>
          <w:tcPr>
            <w:tcW w:w="9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432,904,131.41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6"/>
        <w:spacing w:line="240" w:lineRule="auto" w:before="34"/>
        <w:ind w:left="272" w:right="0"/>
        <w:jc w:val="left"/>
        <w:rPr>
          <w:b w:val="0"/>
          <w:bCs w:val="0"/>
        </w:rPr>
      </w:pPr>
      <w:r>
        <w:rPr/>
        <w:t>（2）对联营、合营企业投资</w:t>
      </w:r>
      <w:r>
        <w:rPr>
          <w:b w:val="0"/>
          <w:bCs w:val="0"/>
        </w:rPr>
      </w:r>
    </w:p>
    <w:p>
      <w:pPr>
        <w:spacing w:line="240" w:lineRule="auto" w:before="4"/>
        <w:rPr>
          <w:rFonts w:ascii="宋体" w:hAnsi="宋体" w:cs="宋体" w:eastAsia="宋体" w:hint="default"/>
          <w:b/>
          <w:bCs/>
          <w:sz w:val="24"/>
          <w:szCs w:val="24"/>
        </w:rPr>
      </w:pPr>
    </w:p>
    <w:p>
      <w:pPr>
        <w:spacing w:before="44"/>
        <w:ind w:left="0" w:right="38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241" w:type="dxa"/>
        <w:tblLayout w:type="fixed"/>
        <w:tblCellMar>
          <w:top w:w="0" w:type="dxa"/>
          <w:left w:w="0" w:type="dxa"/>
          <w:bottom w:w="0" w:type="dxa"/>
          <w:right w:w="0" w:type="dxa"/>
        </w:tblCellMar>
        <w:tblLook w:val="01E0"/>
      </w:tblPr>
      <w:tblGrid>
        <w:gridCol w:w="796"/>
        <w:gridCol w:w="797"/>
        <w:gridCol w:w="250"/>
        <w:gridCol w:w="547"/>
        <w:gridCol w:w="798"/>
        <w:gridCol w:w="798"/>
        <w:gridCol w:w="409"/>
        <w:gridCol w:w="389"/>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4"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武汉宏途 科技有限 公司</w:t>
            </w:r>
          </w:p>
        </w:tc>
        <w:tc>
          <w:tcPr>
            <w:tcW w:w="1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4" w:right="0"/>
              <w:jc w:val="left"/>
              <w:rPr>
                <w:rFonts w:ascii="宋体" w:hAnsi="宋体" w:cs="宋体" w:eastAsia="宋体" w:hint="default"/>
                <w:sz w:val="18"/>
                <w:szCs w:val="18"/>
              </w:rPr>
            </w:pPr>
            <w:r>
              <w:rPr>
                <w:rFonts w:ascii="宋体"/>
                <w:sz w:val="18"/>
              </w:rPr>
              <w:t>163,684.24</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4" w:right="0"/>
              <w:jc w:val="left"/>
              <w:rPr>
                <w:rFonts w:ascii="宋体" w:hAnsi="宋体" w:cs="宋体" w:eastAsia="宋体" w:hint="default"/>
                <w:sz w:val="18"/>
                <w:szCs w:val="18"/>
              </w:rPr>
            </w:pPr>
            <w:r>
              <w:rPr>
                <w:rFonts w:ascii="宋体"/>
                <w:sz w:val="18"/>
              </w:rPr>
              <w:t>-163,684.24</w:t>
            </w:r>
          </w:p>
        </w:tc>
        <w:tc>
          <w:tcPr>
            <w:tcW w:w="38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4" w:right="0"/>
              <w:jc w:val="left"/>
              <w:rPr>
                <w:rFonts w:ascii="宋体" w:hAnsi="宋体" w:cs="宋体" w:eastAsia="宋体" w:hint="default"/>
                <w:sz w:val="18"/>
                <w:szCs w:val="18"/>
              </w:rPr>
            </w:pPr>
            <w:r>
              <w:rPr>
                <w:rFonts w:ascii="宋体"/>
                <w:sz w:val="18"/>
              </w:rPr>
              <w:t>163,684.24</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4" w:right="0"/>
              <w:jc w:val="left"/>
              <w:rPr>
                <w:rFonts w:ascii="宋体" w:hAnsi="宋体" w:cs="宋体" w:eastAsia="宋体" w:hint="default"/>
                <w:sz w:val="18"/>
                <w:szCs w:val="18"/>
              </w:rPr>
            </w:pPr>
            <w:r>
              <w:rPr>
                <w:rFonts w:ascii="宋体"/>
                <w:sz w:val="18"/>
              </w:rPr>
              <w:t>-163,684.24</w:t>
            </w:r>
          </w:p>
        </w:tc>
        <w:tc>
          <w:tcPr>
            <w:tcW w:w="38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4" w:right="0"/>
              <w:jc w:val="left"/>
              <w:rPr>
                <w:rFonts w:ascii="宋体" w:hAnsi="宋体" w:cs="宋体" w:eastAsia="宋体" w:hint="default"/>
                <w:sz w:val="18"/>
                <w:szCs w:val="18"/>
              </w:rPr>
            </w:pPr>
            <w:r>
              <w:rPr>
                <w:rFonts w:ascii="宋体"/>
                <w:sz w:val="18"/>
              </w:rPr>
              <w:t>163,684.24</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4" w:right="0"/>
              <w:jc w:val="left"/>
              <w:rPr>
                <w:rFonts w:ascii="宋体" w:hAnsi="宋体" w:cs="宋体" w:eastAsia="宋体" w:hint="default"/>
                <w:sz w:val="18"/>
                <w:szCs w:val="18"/>
              </w:rPr>
            </w:pPr>
            <w:r>
              <w:rPr>
                <w:rFonts w:ascii="宋体"/>
                <w:sz w:val="18"/>
              </w:rPr>
              <w:t>-163,684.24</w:t>
            </w:r>
          </w:p>
        </w:tc>
        <w:tc>
          <w:tcPr>
            <w:tcW w:w="38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6"/>
        <w:spacing w:line="535" w:lineRule="auto" w:before="34"/>
        <w:ind w:left="272" w:right="7699"/>
        <w:jc w:val="left"/>
        <w:rPr>
          <w:b w:val="0"/>
          <w:bCs w:val="0"/>
        </w:rPr>
      </w:pPr>
      <w:r>
        <w:rPr/>
        <w:t>（3）其他说明</w:t>
      </w:r>
      <w:r>
        <w:rPr>
          <w:w w:val="99"/>
        </w:rPr>
        <w:t> </w:t>
      </w:r>
      <w:r>
        <w:rPr/>
        <w:t>4、营业收入和营业成本</w:t>
      </w:r>
      <w:r>
        <w:rPr>
          <w:b w:val="0"/>
          <w:bCs w:val="0"/>
        </w:rPr>
      </w:r>
    </w:p>
    <w:p>
      <w:pPr>
        <w:spacing w:before="104"/>
        <w:ind w:left="0" w:right="38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241"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585,560,141.69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489,148,077.08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496,146,744.30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410,314,816.69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585,560,141.69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489,148,077.08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496,146,744.30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410,314,816.69</w:t>
            </w:r>
          </w:p>
        </w:tc>
      </w:tr>
    </w:tbl>
    <w:p>
      <w:pPr>
        <w:spacing w:before="49"/>
        <w:ind w:left="27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left="272" w:right="0"/>
        <w:jc w:val="left"/>
        <w:rPr>
          <w:b w:val="0"/>
          <w:bCs w:val="0"/>
        </w:rPr>
      </w:pPr>
      <w:r>
        <w:rPr/>
        <w:t>5、投资收益</w:t>
      </w:r>
      <w:r>
        <w:rPr>
          <w:b w:val="0"/>
          <w:bCs w:val="0"/>
        </w:rPr>
      </w:r>
    </w:p>
    <w:p>
      <w:pPr>
        <w:spacing w:line="240" w:lineRule="auto" w:before="4"/>
        <w:rPr>
          <w:rFonts w:ascii="宋体" w:hAnsi="宋体" w:cs="宋体" w:eastAsia="宋体" w:hint="default"/>
          <w:b/>
          <w:bCs/>
          <w:sz w:val="24"/>
          <w:szCs w:val="24"/>
        </w:rPr>
      </w:pPr>
    </w:p>
    <w:p>
      <w:pPr>
        <w:spacing w:before="44"/>
        <w:ind w:left="0" w:right="38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40" w:bottom="1160" w:left="860" w:right="840"/>
        </w:sectPr>
      </w:pPr>
    </w:p>
    <w:p>
      <w:pPr>
        <w:spacing w:line="240" w:lineRule="auto" w:before="2"/>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-163,684.24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-943,010.63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5,335,051.38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1,343,209.12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5,171,367.14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10,400,198.49</w:t>
            </w:r>
          </w:p>
        </w:tc>
      </w:tr>
    </w:tbl>
    <w:p>
      <w:pPr>
        <w:spacing w:line="240" w:lineRule="auto" w:before="4"/>
        <w:rPr>
          <w:rFonts w:ascii="宋体" w:hAnsi="宋体" w:cs="宋体" w:eastAsia="宋体" w:hint="default"/>
          <w:sz w:val="19"/>
          <w:szCs w:val="19"/>
        </w:rPr>
      </w:pPr>
    </w:p>
    <w:p>
      <w:pPr>
        <w:pStyle w:val="Heading6"/>
        <w:spacing w:line="240" w:lineRule="auto" w:before="34"/>
        <w:ind w:right="104"/>
        <w:jc w:val="left"/>
        <w:rPr>
          <w:b w:val="0"/>
          <w:bCs w:val="0"/>
        </w:rPr>
      </w:pPr>
      <w:r>
        <w:rPr/>
        <w:t>6、其他</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4"/>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4"/>
        <w:jc w:val="left"/>
        <w:rPr>
          <w:b w:val="0"/>
          <w:bCs w:val="0"/>
        </w:rPr>
      </w:pPr>
      <w:r>
        <w:rPr/>
        <w:t>1、当期非经常性损益明细表</w:t>
      </w:r>
      <w:r>
        <w:rPr>
          <w:b w:val="0"/>
          <w:bCs w:val="0"/>
        </w:rPr>
      </w:r>
    </w:p>
    <w:p>
      <w:pPr>
        <w:spacing w:line="240" w:lineRule="auto" w:before="4"/>
        <w:rPr>
          <w:rFonts w:ascii="宋体" w:hAnsi="宋体" w:cs="宋体" w:eastAsia="宋体" w:hint="default"/>
          <w:b/>
          <w:bCs/>
          <w:sz w:val="24"/>
          <w:szCs w:val="24"/>
        </w:rPr>
      </w:pPr>
    </w:p>
    <w:p>
      <w:pPr>
        <w:spacing w:before="44"/>
        <w:ind w:left="132"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4,388,599.05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11,858,583.95</w:t>
            </w:r>
          </w:p>
        </w:tc>
        <w:tc>
          <w:tcPr>
            <w:tcW w:w="3186" w:type="dxa"/>
            <w:vMerge/>
            <w:tcBorders>
              <w:left w:val="single" w:sz="4" w:space="0" w:color="000000"/>
              <w:right w:val="single" w:sz="4" w:space="0" w:color="000000"/>
            </w:tcBorders>
          </w:tcPr>
          <w:p>
            <w:pPr/>
          </w:p>
        </w:tc>
      </w:tr>
      <w:tr>
        <w:trPr>
          <w:trHeight w:val="357"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356"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6,954,174.68</w:t>
            </w:r>
          </w:p>
        </w:tc>
        <w:tc>
          <w:tcPr>
            <w:tcW w:w="3186" w:type="dxa"/>
            <w:vMerge/>
            <w:tcBorders>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58"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-119,066.64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3,467,858.94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214,557.02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19,399,875.08</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316" w:lineRule="auto" w:before="50"/>
        <w:ind w:left="132" w:right="112"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r>
        <w:rPr>
          <w:rFonts w:ascii="宋体" w:hAnsi="宋体" w:cs="宋体" w:eastAsia="宋体" w:hint="default"/>
          <w:sz w:val="18"/>
          <w:szCs w:val="18"/>
        </w:rPr>
        <w:t> 开发行证券的公司信息披露解释性公告第</w:t>
      </w:r>
      <w:r>
        <w:rPr>
          <w:rFonts w:ascii="宋体" w:hAnsi="宋体" w:cs="宋体" w:eastAsia="宋体" w:hint="default"/>
          <w:spacing w:val="-35"/>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57"/>
        <w:ind w:left="13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both"/>
        <w:rPr>
          <w:b w:val="0"/>
          <w:bCs w:val="0"/>
        </w:rPr>
      </w:pPr>
      <w:r>
        <w:rPr/>
        <w:t>2、净资产收益率及每股收益</w:t>
      </w:r>
      <w:r>
        <w:rPr>
          <w:b w:val="0"/>
          <w:bCs w:val="0"/>
        </w:rPr>
      </w:r>
    </w:p>
    <w:p>
      <w:pPr>
        <w:spacing w:line="240" w:lineRule="auto" w:before="12"/>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2662"/>
        <w:gridCol w:w="2635"/>
        <w:gridCol w:w="2235"/>
        <w:gridCol w:w="2036"/>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6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42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2635" w:type="dxa"/>
            <w:vMerge/>
            <w:tcBorders>
              <w:left w:val="single" w:sz="4" w:space="0" w:color="000000"/>
              <w:bottom w:val="single" w:sz="4" w:space="0" w:color="000000"/>
              <w:right w:val="single" w:sz="4" w:space="0" w:color="000000"/>
            </w:tcBorders>
            <w:shd w:val="clear" w:color="auto" w:fill="D3D3D3"/>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8"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2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pacing w:val="-1"/>
                <w:sz w:val="18"/>
                <w:szCs w:val="18"/>
              </w:rPr>
              <w:t>稀释每股收益（元/股）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5.80%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0.2380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0.2380</w:t>
            </w:r>
          </w:p>
        </w:tc>
      </w:tr>
      <w:tr>
        <w:trPr>
          <w:trHeight w:val="410"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4.18%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0.1716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0.1716</w:t>
            </w:r>
          </w:p>
        </w:tc>
      </w:tr>
    </w:tbl>
    <w:p>
      <w:pPr>
        <w:spacing w:after="0" w:line="240" w:lineRule="auto"/>
        <w:jc w:val="right"/>
        <w:rPr>
          <w:rFonts w:ascii="宋体" w:hAnsi="宋体" w:cs="宋体" w:eastAsia="宋体" w:hint="default"/>
          <w:sz w:val="18"/>
          <w:szCs w:val="18"/>
        </w:rPr>
        <w:sectPr>
          <w:pgSz w:w="11910" w:h="16840"/>
          <w:pgMar w:header="746" w:footer="978" w:top="1040" w:bottom="1160" w:left="1000" w:right="1020"/>
        </w:sectPr>
      </w:pPr>
    </w:p>
    <w:p>
      <w:pPr>
        <w:spacing w:line="240" w:lineRule="auto" w:before="2"/>
        <w:rPr>
          <w:rFonts w:ascii="宋体" w:hAnsi="宋体" w:cs="宋体" w:eastAsia="宋体" w:hint="default"/>
          <w:b/>
          <w:bCs/>
          <w:sz w:val="29"/>
          <w:szCs w:val="29"/>
        </w:rPr>
      </w:pPr>
    </w:p>
    <w:tbl>
      <w:tblPr>
        <w:tblW w:w="0" w:type="auto"/>
        <w:jc w:val="left"/>
        <w:tblInd w:w="101" w:type="dxa"/>
        <w:tblLayout w:type="fixed"/>
        <w:tblCellMar>
          <w:top w:w="0" w:type="dxa"/>
          <w:left w:w="0" w:type="dxa"/>
          <w:bottom w:w="0" w:type="dxa"/>
          <w:right w:w="0" w:type="dxa"/>
        </w:tblCellMar>
        <w:tblLook w:val="01E0"/>
      </w:tblPr>
      <w:tblGrid>
        <w:gridCol w:w="2662"/>
        <w:gridCol w:w="2635"/>
        <w:gridCol w:w="2235"/>
        <w:gridCol w:w="2036"/>
      </w:tblGrid>
      <w:tr>
        <w:trPr>
          <w:trHeight w:val="36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2635"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19"/>
          <w:szCs w:val="19"/>
        </w:rPr>
      </w:pPr>
    </w:p>
    <w:p>
      <w:pPr>
        <w:pStyle w:val="Heading6"/>
        <w:spacing w:line="240" w:lineRule="auto" w:before="34"/>
        <w:ind w:right="0"/>
        <w:jc w:val="left"/>
        <w:rPr>
          <w:b w:val="0"/>
          <w:bCs w:val="0"/>
        </w:rPr>
      </w:pPr>
      <w:r>
        <w:rPr/>
        <w:t>3、境内外会计准则下会计数据差异</w:t>
      </w:r>
      <w:r>
        <w:rPr>
          <w:b w:val="0"/>
          <w:bCs w:val="0"/>
        </w:rPr>
      </w:r>
    </w:p>
    <w:p>
      <w:pPr>
        <w:spacing w:line="240" w:lineRule="auto" w:before="12"/>
        <w:rPr>
          <w:rFonts w:ascii="宋体" w:hAnsi="宋体" w:cs="宋体" w:eastAsia="宋体" w:hint="default"/>
          <w:b/>
          <w:bCs/>
          <w:sz w:val="25"/>
          <w:szCs w:val="25"/>
        </w:rPr>
      </w:pPr>
    </w:p>
    <w:p>
      <w:pPr>
        <w:pStyle w:val="Heading6"/>
        <w:spacing w:line="240" w:lineRule="auto"/>
        <w:ind w:right="0"/>
        <w:jc w:val="left"/>
        <w:rPr>
          <w:b w:val="0"/>
          <w:bCs w:val="0"/>
        </w:rPr>
      </w:pPr>
      <w:r>
        <w:rPr/>
        <w:t>（1）同时按照国际会计准则与按中国会计准则披露的财务报告中净利润和净资产差异情况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（2）同时按照境外会计准则与按中国会计准则披露的财务报告中净利润和净资产差异情况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7"/>
          <w:szCs w:val="27"/>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73" w:lineRule="auto"/>
        <w:ind w:right="0"/>
        <w:jc w:val="left"/>
        <w:rPr>
          <w:b w:val="0"/>
          <w:bCs w:val="0"/>
        </w:rPr>
      </w:pPr>
      <w:r>
        <w:rPr>
          <w:spacing w:val="3"/>
          <w:w w:val="95"/>
        </w:rPr>
        <w:t>（3）境内外会计准则下会计数据差异原因说明，对已经境外审计机构审计的数据进行差异调节的，应注</w:t>
      </w:r>
      <w:r>
        <w:rPr>
          <w:spacing w:val="95"/>
          <w:w w:val="95"/>
        </w:rPr>
        <w:t> </w:t>
      </w:r>
      <w:r>
        <w:rPr>
          <w:spacing w:val="95"/>
          <w:w w:val="95"/>
        </w:rPr>
      </w:r>
      <w:r>
        <w:rPr/>
        <w:t>明该境外机构的名称</w:t>
      </w:r>
      <w:r>
        <w:rPr>
          <w:b w:val="0"/>
          <w:bCs w:val="0"/>
        </w:rPr>
      </w:r>
    </w:p>
    <w:p>
      <w:pPr>
        <w:spacing w:line="240" w:lineRule="auto" w:before="9"/>
        <w:rPr>
          <w:rFonts w:ascii="宋体" w:hAnsi="宋体" w:cs="宋体" w:eastAsia="宋体" w:hint="default"/>
          <w:b/>
          <w:bCs/>
          <w:sz w:val="23"/>
          <w:szCs w:val="23"/>
        </w:rPr>
      </w:pPr>
    </w:p>
    <w:p>
      <w:pPr>
        <w:pStyle w:val="Heading6"/>
        <w:spacing w:line="240" w:lineRule="auto"/>
        <w:ind w:right="0"/>
        <w:jc w:val="left"/>
        <w:rPr>
          <w:b w:val="0"/>
          <w:bCs w:val="0"/>
        </w:rPr>
      </w:pPr>
      <w:r>
        <w:rPr/>
        <w:t>4、其他</w:t>
      </w:r>
      <w:r>
        <w:rPr>
          <w:b w:val="0"/>
          <w:bCs w:val="0"/>
        </w:rPr>
      </w:r>
    </w:p>
    <w:p>
      <w:pPr>
        <w:spacing w:after="0" w:line="240" w:lineRule="auto"/>
        <w:jc w:val="left"/>
        <w:sectPr>
          <w:pgSz w:w="11910" w:h="16840"/>
          <w:pgMar w:header="746" w:footer="978" w:top="1040" w:bottom="1160" w:left="1000" w:right="9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p>
      <w:pPr>
        <w:pStyle w:val="Heading1"/>
        <w:spacing w:line="240" w:lineRule="auto"/>
        <w:ind w:left="3247" w:right="0"/>
        <w:jc w:val="left"/>
        <w:rPr>
          <w:b w:val="0"/>
          <w:bCs w:val="0"/>
        </w:rPr>
      </w:pPr>
      <w:bookmarkStart w:name="_bookmark10" w:id="11"/>
      <w:bookmarkEnd w:id="11"/>
      <w:r>
        <w:rPr>
          <w:b w:val="0"/>
          <w:bCs w:val="0"/>
        </w:rPr>
      </w:r>
      <w:r>
        <w:rPr/>
        <w:t>第十一节</w:t>
      </w:r>
      <w:r>
        <w:rPr>
          <w:spacing w:val="-10"/>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273" w:lineRule="auto" w:before="0"/>
        <w:ind w:right="0"/>
        <w:jc w:val="left"/>
      </w:pPr>
      <w:r>
        <w:rPr/>
        <w:t>一、载有董事长签名的公司2015年年度报告全文；</w:t>
      </w:r>
      <w:r>
        <w:rPr>
          <w:w w:val="99"/>
        </w:rPr>
        <w:t> </w:t>
      </w:r>
      <w:r>
        <w:rPr/>
        <w:t>二、载有公司法定代表人、主管会计工作负责人、会计机构负责人签名并盖章的财务报告文本；</w:t>
      </w:r>
      <w:r>
        <w:rPr>
          <w:w w:val="99"/>
        </w:rPr>
        <w:t> </w:t>
      </w:r>
      <w:r>
        <w:rPr>
          <w:w w:val="95"/>
        </w:rPr>
        <w:t>三、报告期内在《证券时报》、《中国证券报》上公开披露过的所有公司文件的正本及公告的原稿；</w:t>
      </w:r>
      <w:r>
        <w:rPr>
          <w:spacing w:val="38"/>
          <w:w w:val="95"/>
        </w:rPr>
        <w:t> </w:t>
      </w:r>
      <w:r>
        <w:rPr>
          <w:spacing w:val="38"/>
          <w:w w:val="95"/>
        </w:rPr>
      </w:r>
      <w:r>
        <w:rPr/>
        <w:t>四、以上备查文件的备置地点：公司董事会办公室。</w:t>
      </w:r>
    </w:p>
    <w:sectPr>
      <w:pgSz w:w="11910" w:h="16840"/>
      <w:pgMar w:header="746" w:footer="978" w:top="104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95.687561pt;width:6.5pt;height:11pt;mso-position-horizontal-relative:page;mso-position-vertical-relative:page;z-index:-871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70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70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70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2.007935pt;width:17.3pt;height:11pt;mso-position-horizontal-relative:page;mso-position-vertical-relative:page;z-index:-870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70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2.559509pt;margin-top:755.475159pt;width:42.6pt;height:11pt;mso-position-horizontal-relative:page;mso-position-vertical-relative:page;z-index:-870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txbxContent>
          </v:textbox>
          <w10:wrap type="none"/>
        </v:shape>
      </w:pict>
    </w:r>
    <w:r>
      <w:rPr/>
      <w:pict>
        <v:shape style="position:absolute;margin-left:288.879486pt;margin-top:782.007935pt;width:17.5pt;height:11pt;mso-position-horizontal-relative:page;mso-position-vertical-relative:page;z-index:-870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70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70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70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870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2.007935pt;width:8.5pt;height:11pt;mso-position-horizontal-relative:page;mso-position-vertical-relative:page;z-index:-871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71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71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71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71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71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71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871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507pt;margin-top:36.315651pt;width:195.45pt;height:11pt;mso-position-horizontal-relative:page;mso-position-vertical-relative:page;z-index:-871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6"/>
      <w:ind w:left="112"/>
    </w:pPr>
    <w:rPr>
      <w:rFonts w:ascii="宋体" w:hAnsi="宋体" w:eastAsia="宋体"/>
      <w:sz w:val="28"/>
      <w:szCs w:val="28"/>
    </w:rPr>
  </w:style>
  <w:style w:styleId="BodyText" w:type="paragraph">
    <w:name w:val="Body Text"/>
    <w:basedOn w:val="Normal"/>
    <w:uiPriority w:val="1"/>
    <w:qFormat/>
    <w:pPr>
      <w:spacing w:before="7"/>
      <w:ind w:left="112"/>
    </w:pPr>
    <w:rPr>
      <w:rFonts w:ascii="宋体" w:hAnsi="宋体" w:eastAsia="宋体"/>
      <w:sz w:val="21"/>
      <w:szCs w:val="21"/>
    </w:rPr>
  </w:style>
  <w:style w:styleId="Heading1" w:type="paragraph">
    <w:name w:val="Heading 1"/>
    <w:basedOn w:val="Normal"/>
    <w:uiPriority w:val="1"/>
    <w:qFormat/>
    <w:pPr>
      <w:ind w:left="3391"/>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8"/>
      <w:szCs w:val="28"/>
    </w:rPr>
  </w:style>
  <w:style w:styleId="Heading3" w:type="paragraph">
    <w:name w:val="Heading 3"/>
    <w:basedOn w:val="Normal"/>
    <w:uiPriority w:val="1"/>
    <w:qFormat/>
    <w:pPr>
      <w:spacing w:before="61"/>
      <w:ind w:left="112"/>
      <w:outlineLvl w:val="3"/>
    </w:pPr>
    <w:rPr>
      <w:rFonts w:ascii="宋体" w:hAnsi="宋体" w:eastAsia="宋体"/>
      <w:sz w:val="28"/>
      <w:szCs w:val="28"/>
    </w:rPr>
  </w:style>
  <w:style w:styleId="Heading4" w:type="paragraph">
    <w:name w:val="Heading 4"/>
    <w:basedOn w:val="Normal"/>
    <w:uiPriority w:val="1"/>
    <w:qFormat/>
    <w:pPr>
      <w:ind w:left="132"/>
      <w:outlineLvl w:val="4"/>
    </w:pPr>
    <w:rPr>
      <w:rFonts w:ascii="宋体" w:hAnsi="宋体" w:eastAsia="宋体"/>
      <w:b/>
      <w:bCs/>
      <w:sz w:val="24"/>
      <w:szCs w:val="24"/>
    </w:rPr>
  </w:style>
  <w:style w:styleId="Heading5" w:type="paragraph">
    <w:name w:val="Heading 5"/>
    <w:basedOn w:val="Normal"/>
    <w:uiPriority w:val="1"/>
    <w:qFormat/>
    <w:pPr>
      <w:spacing w:before="36"/>
      <w:ind w:left="112"/>
      <w:outlineLvl w:val="5"/>
    </w:pPr>
    <w:rPr>
      <w:rFonts w:ascii="宋体" w:hAnsi="宋体" w:eastAsia="宋体"/>
      <w:sz w:val="24"/>
      <w:szCs w:val="24"/>
    </w:rPr>
  </w:style>
  <w:style w:styleId="Heading6" w:type="paragraph">
    <w:name w:val="Heading 6"/>
    <w:basedOn w:val="Normal"/>
    <w:uiPriority w:val="1"/>
    <w:qFormat/>
    <w:pPr>
      <w:ind w:left="132"/>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wantong-tech.net/" TargetMode="External"/><Relationship Id="rId10" Type="http://schemas.openxmlformats.org/officeDocument/2006/relationships/hyperlink" Target="mailto:wtkj@wantong-tech.net" TargetMode="External"/><Relationship Id="rId11" Type="http://schemas.openxmlformats.org/officeDocument/2006/relationships/hyperlink" Target="mailto:dspan@wantong-tech.net" TargetMode="External"/><Relationship Id="rId12" Type="http://schemas.openxmlformats.org/officeDocument/2006/relationships/hyperlink" Target="http://www.cninfo.com.cn/" TargetMode="External"/><Relationship Id="rId13" Type="http://schemas.openxmlformats.org/officeDocument/2006/relationships/hyperlink" Target="http://www.chinaports.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irm.cninfo.com.cn/" TargetMode="External"/><Relationship Id="rId17" Type="http://schemas.openxmlformats.org/officeDocument/2006/relationships/hyperlink" Target="http://rim.cninfo.com.cn/" TargetMode="Externa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image" Target="media/image2.jpeg"/><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安徽皖通科技股份有限公司</dc:creator>
  <dc:title>安徽皖通科技股份有限公司2015年年度报告全文</dc:title>
  <dcterms:created xsi:type="dcterms:W3CDTF">2020-05-04T13:16:29Z</dcterms:created>
  <dcterms:modified xsi:type="dcterms:W3CDTF">2020-05-04T13:16:29Z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2016-03-21T00:00:00Z</vt:filetime>
  </property>
  <property fmtid="{D5CDD505-2E9C-101B-9397-08002B2CF9AE}" pid="3" name="Creator">
    <vt:lpwstr>WPS Office</vt:lpwstr>
  </property>
  <property fmtid="{D5CDD505-2E9C-101B-9397-08002B2CF9AE}" pid="4" name="LastSaved">
    <vt:filetime>2020-05-04T00:00:00Z</vt:filetime>
  </property>
</Properties>
</file>