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9"/>
          <w:szCs w:val="19"/>
        </w:rPr>
      </w:pPr>
    </w:p>
    <w:p>
      <w:pPr>
        <w:spacing w:line="621" w:lineRule="exact" w:before="0"/>
        <w:ind w:left="1780" w:right="1781" w:firstLine="0"/>
        <w:jc w:val="center"/>
        <w:rPr>
          <w:rFonts w:ascii="宋体" w:hAnsi="宋体" w:cs="宋体" w:eastAsia="宋体" w:hint="default"/>
          <w:sz w:val="52"/>
          <w:szCs w:val="52"/>
        </w:rPr>
      </w:pPr>
      <w:r>
        <w:rPr/>
        <w:pict>
          <v:group style="position:absolute;margin-left:56.700001pt;margin-top:-72.333282pt;width:481.9pt;height:.1pt;mso-position-horizontal-relative:page;mso-position-vertical-relative:paragraph;z-index:0" coordorigin="1134,-1447" coordsize="9638,2">
            <v:shape style="position:absolute;left:1134;top:-1447;width:9638;height:2" coordorigin="1134,-1447" coordsize="9638,0" path="m1134,-1447l10772,-1447e" filled="false" stroked="true" strokeweight=".72pt" strokecolor="#000000">
              <v:path arrowok="t"/>
            </v:shape>
            <w10:wrap type="none"/>
          </v:group>
        </w:pict>
      </w:r>
      <w:r>
        <w:rPr>
          <w:rFonts w:ascii="宋体" w:hAnsi="宋体" w:cs="宋体" w:eastAsia="宋体" w:hint="default"/>
          <w:b/>
          <w:bCs/>
          <w:sz w:val="52"/>
          <w:szCs w:val="52"/>
        </w:rPr>
        <w:t>安徽皖通科技</w:t>
      </w:r>
      <w:bookmarkStart w:name="_bookmark0" w:id="1"/>
      <w:bookmarkEnd w:id="1"/>
      <w:r>
        <w:rPr>
          <w:rFonts w:ascii="宋体" w:hAnsi="宋体" w:cs="宋体" w:eastAsia="宋体" w:hint="default"/>
          <w:b/>
          <w:bCs/>
          <w:sz w:val="52"/>
          <w:szCs w:val="52"/>
        </w:rPr>
        <w:t>股</w:t>
      </w:r>
      <w:r>
        <w:rPr>
          <w:rFonts w:ascii="宋体" w:hAnsi="宋体" w:cs="宋体" w:eastAsia="宋体" w:hint="default"/>
          <w:b/>
          <w:bCs/>
          <w:sz w:val="52"/>
          <w:szCs w:val="52"/>
        </w:rPr>
        <w:t>份有限公司</w:t>
      </w:r>
      <w:r>
        <w:rPr>
          <w:rFonts w:ascii="宋体" w:hAnsi="宋体" w:cs="宋体" w:eastAsia="宋体" w:hint="default"/>
          <w:sz w:val="52"/>
          <w:szCs w:val="52"/>
        </w:rPr>
      </w:r>
    </w:p>
    <w:p>
      <w:pPr>
        <w:spacing w:before="414"/>
        <w:ind w:left="1780" w:right="1761" w:firstLine="0"/>
        <w:jc w:val="center"/>
        <w:rPr>
          <w:rFonts w:ascii="Arial" w:hAnsi="Arial" w:cs="Arial" w:eastAsia="Arial" w:hint="default"/>
          <w:sz w:val="32"/>
          <w:szCs w:val="32"/>
        </w:rPr>
      </w:pPr>
      <w:r>
        <w:rPr>
          <w:rFonts w:ascii="Arial"/>
          <w:b/>
          <w:sz w:val="32"/>
        </w:rPr>
        <w:t>Anhui Wantong Technology</w:t>
      </w:r>
      <w:r>
        <w:rPr>
          <w:rFonts w:ascii="Arial"/>
          <w:b/>
          <w:spacing w:val="-15"/>
          <w:sz w:val="32"/>
        </w:rPr>
        <w:t> </w:t>
      </w:r>
      <w:r>
        <w:rPr>
          <w:rFonts w:ascii="Arial"/>
          <w:b/>
          <w:sz w:val="32"/>
        </w:rPr>
        <w:t>Co.,Ltd.</w:t>
      </w:r>
      <w:r>
        <w:rPr>
          <w:rFonts w:ascii="Arial"/>
          <w:sz w:val="32"/>
        </w:rPr>
      </w:r>
    </w:p>
    <w:p>
      <w:pPr>
        <w:spacing w:before="258"/>
        <w:ind w:left="1780" w:right="1781" w:firstLine="0"/>
        <w:jc w:val="center"/>
        <w:rPr>
          <w:rFonts w:ascii="宋体" w:hAnsi="宋体" w:cs="宋体" w:eastAsia="宋体" w:hint="default"/>
          <w:sz w:val="30"/>
          <w:szCs w:val="30"/>
        </w:rPr>
      </w:pPr>
      <w:r>
        <w:rPr>
          <w:rFonts w:ascii="宋体" w:hAnsi="宋体" w:cs="宋体" w:eastAsia="宋体" w:hint="default"/>
          <w:b/>
          <w:bCs/>
          <w:sz w:val="30"/>
          <w:szCs w:val="30"/>
        </w:rPr>
        <w:t>（安徽省合肥市高新区皖水路589号）</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spacing w:line="1320" w:lineRule="exact"/>
        <w:ind w:left="3996" w:right="0" w:firstLine="0"/>
        <w:rPr>
          <w:rFonts w:ascii="宋体" w:hAnsi="宋体" w:cs="宋体" w:eastAsia="宋体" w:hint="default"/>
          <w:sz w:val="20"/>
          <w:szCs w:val="20"/>
        </w:rPr>
      </w:pPr>
      <w:r>
        <w:rPr>
          <w:rFonts w:ascii="宋体" w:hAnsi="宋体" w:cs="宋体" w:eastAsia="宋体" w:hint="default"/>
          <w:position w:val="-25"/>
          <w:sz w:val="20"/>
          <w:szCs w:val="20"/>
        </w:rPr>
        <w:drawing>
          <wp:inline distT="0" distB="0" distL="0" distR="0">
            <wp:extent cx="1190244" cy="8382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190244" cy="838200"/>
                    </a:xfrm>
                    <a:prstGeom prst="rect">
                      <a:avLst/>
                    </a:prstGeom>
                  </pic:spPr>
                </pic:pic>
              </a:graphicData>
            </a:graphic>
          </wp:inline>
        </w:drawing>
      </w:r>
      <w:r>
        <w:rPr>
          <w:rFonts w:ascii="宋体" w:hAnsi="宋体" w:cs="宋体" w:eastAsia="宋体" w:hint="default"/>
          <w:position w:val="-2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1081" w:lineRule="exact" w:before="0"/>
        <w:ind w:left="1980" w:right="0" w:firstLine="0"/>
        <w:jc w:val="left"/>
        <w:rPr>
          <w:rFonts w:ascii="黑体" w:hAnsi="黑体" w:cs="黑体" w:eastAsia="黑体" w:hint="default"/>
          <w:sz w:val="84"/>
          <w:szCs w:val="84"/>
        </w:rPr>
      </w:pPr>
      <w:r>
        <w:rPr>
          <w:rFonts w:ascii="黑体" w:hAnsi="黑体" w:cs="黑体" w:eastAsia="黑体" w:hint="default"/>
          <w:b/>
          <w:bCs/>
          <w:spacing w:val="2"/>
          <w:sz w:val="84"/>
          <w:szCs w:val="84"/>
        </w:rPr>
        <w:t>2017年年度报告</w:t>
      </w:r>
      <w:r>
        <w:rPr>
          <w:rFonts w:ascii="黑体" w:hAnsi="黑体" w:cs="黑体" w:eastAsia="黑体" w:hint="default"/>
          <w:spacing w:val="2"/>
          <w:sz w:val="84"/>
          <w:szCs w:val="84"/>
        </w:rPr>
      </w:r>
    </w:p>
    <w:p>
      <w:pPr>
        <w:spacing w:line="240" w:lineRule="auto" w:before="0"/>
        <w:rPr>
          <w:rFonts w:ascii="黑体" w:hAnsi="黑体" w:cs="黑体" w:eastAsia="黑体" w:hint="default"/>
          <w:b/>
          <w:bCs/>
          <w:sz w:val="84"/>
          <w:szCs w:val="84"/>
        </w:rPr>
      </w:pPr>
    </w:p>
    <w:p>
      <w:pPr>
        <w:spacing w:line="240" w:lineRule="auto" w:before="0"/>
        <w:rPr>
          <w:rFonts w:ascii="黑体" w:hAnsi="黑体" w:cs="黑体" w:eastAsia="黑体" w:hint="default"/>
          <w:b/>
          <w:bCs/>
          <w:sz w:val="84"/>
          <w:szCs w:val="84"/>
        </w:rPr>
      </w:pPr>
    </w:p>
    <w:p>
      <w:pPr>
        <w:spacing w:line="240" w:lineRule="auto" w:before="3"/>
        <w:rPr>
          <w:rFonts w:ascii="黑体" w:hAnsi="黑体" w:cs="黑体" w:eastAsia="黑体" w:hint="default"/>
          <w:b/>
          <w:bCs/>
          <w:sz w:val="110"/>
          <w:szCs w:val="110"/>
        </w:rPr>
      </w:pPr>
    </w:p>
    <w:p>
      <w:pPr>
        <w:spacing w:line="379" w:lineRule="auto" w:before="0"/>
        <w:ind w:left="3004" w:right="2753" w:hanging="12"/>
        <w:jc w:val="left"/>
        <w:rPr>
          <w:rFonts w:ascii="宋体" w:hAnsi="宋体" w:cs="宋体" w:eastAsia="宋体" w:hint="default"/>
          <w:sz w:val="32"/>
          <w:szCs w:val="32"/>
        </w:rPr>
      </w:pPr>
      <w:r>
        <w:rPr>
          <w:rFonts w:ascii="宋体" w:hAnsi="宋体" w:cs="宋体" w:eastAsia="宋体" w:hint="default"/>
          <w:b/>
          <w:bCs/>
          <w:sz w:val="32"/>
          <w:szCs w:val="32"/>
        </w:rPr>
        <w:t>股票代码：002331</w:t>
      </w:r>
      <w:r>
        <w:rPr>
          <w:rFonts w:ascii="宋体" w:hAnsi="宋体" w:cs="宋体" w:eastAsia="宋体" w:hint="default"/>
          <w:b/>
          <w:bCs/>
          <w:w w:val="98"/>
          <w:sz w:val="32"/>
          <w:szCs w:val="32"/>
        </w:rPr>
        <w:t> </w:t>
      </w:r>
      <w:r>
        <w:rPr>
          <w:rFonts w:ascii="宋体" w:hAnsi="宋体" w:cs="宋体" w:eastAsia="宋体" w:hint="default"/>
          <w:b/>
          <w:bCs/>
          <w:sz w:val="32"/>
          <w:szCs w:val="32"/>
        </w:rPr>
        <w:t>股票简称：皖通科技</w:t>
      </w:r>
      <w:r>
        <w:rPr>
          <w:rFonts w:ascii="宋体" w:hAnsi="宋体" w:cs="宋体" w:eastAsia="宋体" w:hint="default"/>
          <w:b/>
          <w:bCs/>
          <w:w w:val="99"/>
          <w:sz w:val="32"/>
          <w:szCs w:val="32"/>
        </w:rPr>
        <w:t> </w:t>
      </w:r>
      <w:r>
        <w:rPr>
          <w:rFonts w:ascii="宋体" w:hAnsi="宋体" w:cs="宋体" w:eastAsia="宋体" w:hint="default"/>
          <w:b/>
          <w:bCs/>
          <w:sz w:val="32"/>
          <w:szCs w:val="32"/>
        </w:rPr>
        <w:t>披露日期：2018</w:t>
      </w:r>
      <w:r>
        <w:rPr>
          <w:rFonts w:ascii="宋体" w:hAnsi="宋体" w:cs="宋体" w:eastAsia="宋体" w:hint="default"/>
          <w:b/>
          <w:bCs/>
          <w:spacing w:val="-84"/>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4</w:t>
      </w:r>
      <w:r>
        <w:rPr>
          <w:rFonts w:ascii="宋体" w:hAnsi="宋体" w:cs="宋体" w:eastAsia="宋体" w:hint="default"/>
          <w:b/>
          <w:bCs/>
          <w:spacing w:val="-82"/>
          <w:sz w:val="32"/>
          <w:szCs w:val="32"/>
        </w:rPr>
        <w:t> </w:t>
      </w:r>
      <w:r>
        <w:rPr>
          <w:rFonts w:ascii="宋体" w:hAnsi="宋体" w:cs="宋体" w:eastAsia="宋体" w:hint="default"/>
          <w:b/>
          <w:bCs/>
          <w:sz w:val="32"/>
          <w:szCs w:val="32"/>
        </w:rPr>
        <w:t>月</w:t>
      </w:r>
      <w:r>
        <w:rPr>
          <w:rFonts w:ascii="宋体" w:hAnsi="宋体" w:cs="宋体" w:eastAsia="宋体" w:hint="default"/>
          <w:b/>
          <w:bCs/>
          <w:spacing w:val="-83"/>
          <w:sz w:val="32"/>
          <w:szCs w:val="32"/>
        </w:rPr>
        <w:t> </w:t>
      </w:r>
      <w:r>
        <w:rPr>
          <w:rFonts w:ascii="宋体" w:hAnsi="宋体" w:cs="宋体" w:eastAsia="宋体" w:hint="default"/>
          <w:b/>
          <w:bCs/>
          <w:sz w:val="32"/>
          <w:szCs w:val="32"/>
        </w:rPr>
        <w:t>17</w:t>
      </w:r>
      <w:r>
        <w:rPr>
          <w:rFonts w:ascii="宋体" w:hAnsi="宋体" w:cs="宋体" w:eastAsia="宋体" w:hint="default"/>
          <w:b/>
          <w:bCs/>
          <w:spacing w:val="-84"/>
          <w:sz w:val="32"/>
          <w:szCs w:val="32"/>
        </w:rPr>
        <w:t> </w:t>
      </w:r>
      <w:r>
        <w:rPr>
          <w:rFonts w:ascii="宋体" w:hAnsi="宋体" w:cs="宋体" w:eastAsia="宋体" w:hint="default"/>
          <w:b/>
          <w:bCs/>
          <w:sz w:val="32"/>
          <w:szCs w:val="32"/>
        </w:rPr>
        <w:t>日</w:t>
      </w:r>
      <w:r>
        <w:rPr>
          <w:rFonts w:ascii="宋体" w:hAnsi="宋体" w:cs="宋体" w:eastAsia="宋体" w:hint="default"/>
          <w:sz w:val="32"/>
          <w:szCs w:val="32"/>
        </w:rPr>
      </w:r>
    </w:p>
    <w:p>
      <w:pPr>
        <w:spacing w:after="0" w:line="379" w:lineRule="auto"/>
        <w:jc w:val="left"/>
        <w:rPr>
          <w:rFonts w:ascii="宋体" w:hAnsi="宋体" w:cs="宋体" w:eastAsia="宋体" w:hint="default"/>
          <w:sz w:val="32"/>
          <w:szCs w:val="32"/>
        </w:rPr>
        <w:sectPr>
          <w:headerReference w:type="default" r:id="rId5"/>
          <w:footerReference w:type="default" r:id="rId6"/>
          <w:type w:val="continuous"/>
          <w:pgSz w:w="11910" w:h="16840"/>
          <w:pgMar w:header="746" w:footer="937" w:top="1040" w:bottom="1120" w:left="1020" w:right="1020"/>
        </w:sectPr>
      </w:pPr>
    </w:p>
    <w:p>
      <w:pPr>
        <w:spacing w:line="240" w:lineRule="auto" w:before="6"/>
        <w:rPr>
          <w:rFonts w:ascii="宋体" w:hAnsi="宋体" w:cs="宋体" w:eastAsia="宋体" w:hint="default"/>
          <w:b/>
          <w:bCs/>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764" w:right="0"/>
        <w:jc w:val="left"/>
        <w:rPr>
          <w:b w:val="0"/>
          <w:bCs w:val="0"/>
        </w:rPr>
      </w:pPr>
      <w:r>
        <w:rPr/>
        <w:t>第一节</w:t>
      </w:r>
      <w:r>
        <w:rPr>
          <w:spacing w:val="-8"/>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2"/>
        <w:ind w:left="112" w:right="108" w:firstLine="561"/>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spacing w:val="-135"/>
        </w:rPr>
        <w:t> </w:t>
      </w:r>
      <w:r>
        <w:rPr>
          <w:spacing w:val="-135"/>
        </w:rPr>
      </w:r>
      <w:r>
        <w:rPr/>
        <w:t>带的法律责任。</w:t>
      </w:r>
      <w:r>
        <w:rPr>
          <w:b w:val="0"/>
          <w:bCs w:val="0"/>
        </w:rPr>
      </w:r>
    </w:p>
    <w:p>
      <w:pPr>
        <w:pStyle w:val="Heading2"/>
        <w:spacing w:line="408" w:lineRule="auto" w:before="160"/>
        <w:ind w:left="112" w:right="110" w:firstLine="561"/>
        <w:jc w:val="both"/>
        <w:rPr>
          <w:b w:val="0"/>
          <w:bCs w:val="0"/>
        </w:rPr>
      </w:pPr>
      <w:r>
        <w:rPr>
          <w:spacing w:val="-3"/>
        </w:rPr>
        <w:t>公司负责人王中胜、主管会计工作负责人卢玉平及会计机构负责人(会计主</w:t>
      </w:r>
      <w:r>
        <w:rPr>
          <w:w w:val="99"/>
        </w:rPr>
        <w:t> </w:t>
      </w:r>
      <w:r>
        <w:rPr/>
        <w:t>管人员)诸黎明声明：保证年度报告中财务报告的真实、准确、完整。</w:t>
      </w:r>
      <w:r>
        <w:rPr>
          <w:b w:val="0"/>
          <w:bCs w:val="0"/>
        </w:rPr>
      </w:r>
    </w:p>
    <w:p>
      <w:pPr>
        <w:pStyle w:val="Heading2"/>
        <w:spacing w:line="475" w:lineRule="auto" w:before="162"/>
        <w:ind w:right="0"/>
        <w:jc w:val="left"/>
        <w:rPr>
          <w:b w:val="0"/>
          <w:bCs w:val="0"/>
        </w:rPr>
      </w:pPr>
      <w:r>
        <w:rPr/>
        <w:t>所有董事均已出席了审议本报告的董事会会议。</w:t>
      </w:r>
      <w:r>
        <w:rPr>
          <w:w w:val="99"/>
        </w:rPr>
        <w:t> </w:t>
      </w:r>
      <w:r>
        <w:rPr>
          <w:spacing w:val="2"/>
        </w:rPr>
        <w:t>本报告中涉及的对未来年度计划及发展规划等前瞻性陈述，不构成公司对</w:t>
      </w:r>
      <w:r>
        <w:rPr>
          <w:b w:val="0"/>
          <w:bCs w:val="0"/>
          <w:spacing w:val="2"/>
        </w:rPr>
      </w:r>
    </w:p>
    <w:p>
      <w:pPr>
        <w:pStyle w:val="Heading2"/>
        <w:spacing w:line="350" w:lineRule="exact"/>
        <w:ind w:left="112" w:right="0"/>
        <w:jc w:val="left"/>
        <w:rPr>
          <w:b w:val="0"/>
          <w:bCs w:val="0"/>
        </w:rPr>
      </w:pPr>
      <w:r>
        <w:rPr/>
        <w:t>投资者的实质承诺，请投资者注意投资风险。</w:t>
      </w:r>
      <w:r>
        <w:rPr>
          <w:b w:val="0"/>
          <w:bCs w:val="0"/>
        </w:rPr>
      </w:r>
    </w:p>
    <w:p>
      <w:pPr>
        <w:spacing w:line="240" w:lineRule="auto" w:before="3"/>
        <w:rPr>
          <w:rFonts w:ascii="宋体" w:hAnsi="宋体" w:cs="宋体" w:eastAsia="宋体" w:hint="default"/>
          <w:b/>
          <w:bCs/>
          <w:sz w:val="27"/>
          <w:szCs w:val="27"/>
        </w:rPr>
      </w:pPr>
    </w:p>
    <w:p>
      <w:pPr>
        <w:pStyle w:val="Heading2"/>
        <w:spacing w:line="408" w:lineRule="auto"/>
        <w:ind w:left="112" w:right="107" w:firstLine="561"/>
        <w:jc w:val="both"/>
        <w:rPr>
          <w:b w:val="0"/>
          <w:bCs w:val="0"/>
        </w:rPr>
      </w:pPr>
      <w:r>
        <w:rPr/>
        <w:t>公司在本报告“第四节</w:t>
      </w:r>
      <w:r>
        <w:rPr>
          <w:spacing w:val="8"/>
        </w:rPr>
        <w:t> </w:t>
      </w:r>
      <w:r>
        <w:rPr>
          <w:spacing w:val="-4"/>
        </w:rPr>
        <w:t>经营情况讨论与分析”中“九、公司未来发展的展</w:t>
      </w:r>
      <w:r>
        <w:rPr>
          <w:w w:val="99"/>
        </w:rPr>
        <w:t> </w:t>
      </w:r>
      <w:r>
        <w:rPr>
          <w:spacing w:val="-7"/>
          <w:w w:val="99"/>
        </w:rPr>
        <w:t>望”之“（四）企业面临的风险及应对措施”，详细描述了公司经营中可能存在</w:t>
      </w:r>
      <w:r>
        <w:rPr>
          <w:spacing w:val="-110"/>
          <w:w w:val="99"/>
        </w:rPr>
        <w:t> </w:t>
      </w:r>
      <w:r>
        <w:rPr>
          <w:spacing w:val="-110"/>
          <w:w w:val="99"/>
        </w:rPr>
      </w:r>
      <w:r>
        <w:rPr/>
        <w:t>的风险及应对措施，敬请投资者关注相关内容。</w:t>
      </w:r>
      <w:r>
        <w:rPr>
          <w:b w:val="0"/>
          <w:bCs w:val="0"/>
        </w:rPr>
      </w:r>
    </w:p>
    <w:p>
      <w:pPr>
        <w:pStyle w:val="Heading2"/>
        <w:spacing w:line="240" w:lineRule="auto" w:before="162"/>
        <w:ind w:right="0"/>
        <w:jc w:val="left"/>
        <w:rPr>
          <w:b w:val="0"/>
          <w:bCs w:val="0"/>
        </w:rPr>
      </w:pPr>
      <w:r>
        <w:rPr/>
        <w:t>公司计划不派发现金红利，不送红股，不以公积金转增股本。</w:t>
      </w:r>
      <w:r>
        <w:rPr>
          <w:b w:val="0"/>
          <w:bCs w:val="0"/>
        </w:rPr>
      </w:r>
    </w:p>
    <w:p>
      <w:pPr>
        <w:spacing w:after="0" w:line="240" w:lineRule="auto"/>
        <w:jc w:val="left"/>
        <w:sectPr>
          <w:footerReference w:type="default" r:id="rId8"/>
          <w:pgSz w:w="11910" w:h="16840"/>
          <w:pgMar w:footer="937" w:header="746" w:top="1040" w:bottom="1120" w:left="1020" w:right="1020"/>
          <w:pgNumType w:start="2"/>
        </w:sectPr>
      </w:pPr>
    </w:p>
    <w:p>
      <w:pPr>
        <w:spacing w:line="240" w:lineRule="auto" w:before="6"/>
        <w:rPr>
          <w:rFonts w:ascii="宋体" w:hAnsi="宋体" w:cs="宋体" w:eastAsia="宋体" w:hint="default"/>
          <w:b/>
          <w:bCs/>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tabs>
          <w:tab w:pos="722"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b w:val="0"/>
              <w:bCs w:val="0"/>
            </w:rPr>
          </w:pPr>
          <w:hyperlink w:history="true" w:anchor="_bookmark1">
            <w:r>
              <w:rPr/>
              <w:t>第一节 重要提示、目录和释义</w:t>
            </w:r>
            <w:r>
              <w:rPr>
                <w:rFonts w:ascii="Times New Roman" w:hAnsi="Times New Roman" w:cs="Times New Roman" w:eastAsia="Times New Roman" w:hint="default"/>
                <w:b w:val="0"/>
                <w:bCs w:val="0"/>
              </w:rPr>
              <w:tab/>
            </w:r>
            <w:r>
              <w:rPr/>
              <w:t>5</w:t>
            </w:r>
            <w:r>
              <w:rPr>
                <w:b w:val="0"/>
                <w:bCs w:val="0"/>
              </w:rPr>
            </w:r>
          </w:hyperlink>
        </w:p>
        <w:p>
          <w:pPr>
            <w:pStyle w:val="TOC1"/>
            <w:tabs>
              <w:tab w:pos="9741" w:val="right" w:leader="dot"/>
            </w:tabs>
            <w:spacing w:line="240" w:lineRule="auto"/>
            <w:ind w:right="0"/>
            <w:jc w:val="left"/>
            <w:rPr>
              <w:b w:val="0"/>
              <w:bCs w:val="0"/>
            </w:rPr>
          </w:pPr>
          <w:hyperlink w:history="true" w:anchor="_bookmark2">
            <w:r>
              <w:rPr/>
              <w:t>第二节 公司简介和主要财务指标</w:t>
            </w:r>
            <w:r>
              <w:rPr>
                <w:rFonts w:ascii="Times New Roman" w:hAnsi="Times New Roman" w:cs="Times New Roman" w:eastAsia="Times New Roman" w:hint="default"/>
                <w:b w:val="0"/>
                <w:bCs w:val="0"/>
              </w:rPr>
              <w:tab/>
            </w:r>
            <w:r>
              <w:rPr/>
              <w:t>9</w:t>
            </w:r>
            <w:r>
              <w:rPr>
                <w:b w:val="0"/>
                <w:bCs w:val="0"/>
              </w:rPr>
            </w:r>
          </w:hyperlink>
        </w:p>
        <w:p>
          <w:pPr>
            <w:pStyle w:val="TOC1"/>
            <w:tabs>
              <w:tab w:pos="9741" w:val="right" w:leader="dot"/>
            </w:tabs>
            <w:spacing w:line="240" w:lineRule="auto"/>
            <w:ind w:right="0"/>
            <w:jc w:val="left"/>
            <w:rPr>
              <w:b w:val="0"/>
              <w:bCs w:val="0"/>
            </w:rPr>
          </w:pPr>
          <w:hyperlink w:history="true" w:anchor="_bookmark3">
            <w:r>
              <w:rPr/>
              <w:t>第三节 公司业务概要</w:t>
            </w:r>
            <w:r>
              <w:rPr>
                <w:rFonts w:ascii="Times New Roman" w:hAnsi="Times New Roman" w:cs="Times New Roman" w:eastAsia="Times New Roman" w:hint="default"/>
                <w:b w:val="0"/>
                <w:bCs w:val="0"/>
              </w:rPr>
              <w:tab/>
            </w:r>
            <w:r>
              <w:rPr/>
              <w:t>12</w:t>
            </w:r>
            <w:r>
              <w:rPr>
                <w:b w:val="0"/>
                <w:bCs w:val="0"/>
              </w:rPr>
            </w:r>
          </w:hyperlink>
        </w:p>
        <w:p>
          <w:pPr>
            <w:pStyle w:val="TOC1"/>
            <w:tabs>
              <w:tab w:pos="9741" w:val="right" w:leader="dot"/>
            </w:tabs>
            <w:spacing w:line="240" w:lineRule="auto"/>
            <w:ind w:right="0"/>
            <w:jc w:val="left"/>
            <w:rPr>
              <w:b w:val="0"/>
              <w:bCs w:val="0"/>
            </w:rPr>
          </w:pPr>
          <w:hyperlink w:history="true" w:anchor="_bookmark4">
            <w:r>
              <w:rPr/>
              <w:t>第四节 经营情况讨论与分析</w:t>
            </w:r>
            <w:r>
              <w:rPr>
                <w:rFonts w:ascii="Times New Roman" w:hAnsi="Times New Roman" w:cs="Times New Roman" w:eastAsia="Times New Roman" w:hint="default"/>
                <w:b w:val="0"/>
                <w:bCs w:val="0"/>
              </w:rPr>
              <w:tab/>
            </w:r>
            <w:r>
              <w:rPr/>
              <w:t>31</w:t>
            </w:r>
            <w:r>
              <w:rPr>
                <w:b w:val="0"/>
                <w:bCs w:val="0"/>
              </w:rPr>
            </w:r>
          </w:hyperlink>
        </w:p>
        <w:p>
          <w:pPr>
            <w:pStyle w:val="TOC1"/>
            <w:tabs>
              <w:tab w:pos="9743" w:val="right" w:leader="dot"/>
            </w:tabs>
            <w:spacing w:line="240" w:lineRule="auto"/>
            <w:ind w:right="0"/>
            <w:jc w:val="left"/>
            <w:rPr>
              <w:b w:val="0"/>
              <w:bCs w:val="0"/>
            </w:rPr>
          </w:pPr>
          <w:hyperlink w:history="true" w:anchor="_bookmark5">
            <w:r>
              <w:rPr/>
              <w:t>第五节 重要事项</w:t>
            </w:r>
            <w:r>
              <w:rPr>
                <w:rFonts w:ascii="Times New Roman" w:hAnsi="Times New Roman" w:cs="Times New Roman" w:eastAsia="Times New Roman" w:hint="default"/>
                <w:b w:val="0"/>
                <w:bCs w:val="0"/>
              </w:rPr>
              <w:tab/>
            </w:r>
            <w:r>
              <w:rPr/>
              <w:t>44</w:t>
            </w:r>
            <w:r>
              <w:rPr>
                <w:b w:val="0"/>
                <w:bCs w:val="0"/>
              </w:rPr>
            </w:r>
          </w:hyperlink>
        </w:p>
        <w:p>
          <w:pPr>
            <w:pStyle w:val="TOC1"/>
            <w:tabs>
              <w:tab w:pos="9741" w:val="right" w:leader="dot"/>
            </w:tabs>
            <w:spacing w:line="240" w:lineRule="auto"/>
            <w:ind w:right="0"/>
            <w:jc w:val="left"/>
            <w:rPr>
              <w:b w:val="0"/>
              <w:bCs w:val="0"/>
            </w:rPr>
          </w:pPr>
          <w:hyperlink w:history="true" w:anchor="_bookmark6">
            <w:r>
              <w:rPr/>
              <w:t>第六节 股份变动及股东情况</w:t>
            </w:r>
            <w:r>
              <w:rPr>
                <w:rFonts w:ascii="Times New Roman" w:hAnsi="Times New Roman" w:cs="Times New Roman" w:eastAsia="Times New Roman" w:hint="default"/>
                <w:b w:val="0"/>
                <w:bCs w:val="0"/>
              </w:rPr>
              <w:tab/>
            </w:r>
            <w:r>
              <w:rPr/>
              <w:t>49</w:t>
            </w:r>
            <w:r>
              <w:rPr>
                <w:b w:val="0"/>
                <w:bCs w:val="0"/>
              </w:rPr>
            </w:r>
          </w:hyperlink>
        </w:p>
        <w:p>
          <w:pPr>
            <w:pStyle w:val="TOC1"/>
            <w:tabs>
              <w:tab w:pos="9741" w:val="right" w:leader="dot"/>
            </w:tabs>
            <w:spacing w:line="240" w:lineRule="auto"/>
            <w:ind w:right="0"/>
            <w:jc w:val="left"/>
            <w:rPr>
              <w:b w:val="0"/>
              <w:bCs w:val="0"/>
            </w:rPr>
          </w:pPr>
          <w:hyperlink w:history="true" w:anchor="_bookmark6">
            <w:r>
              <w:rPr/>
              <w:t>第七节 优先股相关情况</w:t>
            </w:r>
            <w:r>
              <w:rPr>
                <w:rFonts w:ascii="Times New Roman" w:hAnsi="Times New Roman" w:cs="Times New Roman" w:eastAsia="Times New Roman" w:hint="default"/>
                <w:b w:val="0"/>
                <w:bCs w:val="0"/>
              </w:rPr>
              <w:tab/>
            </w:r>
            <w:r>
              <w:rPr/>
              <w:t>49</w:t>
            </w:r>
            <w:r>
              <w:rPr>
                <w:b w:val="0"/>
                <w:bCs w:val="0"/>
              </w:rPr>
            </w:r>
          </w:hyperlink>
        </w:p>
        <w:p>
          <w:pPr>
            <w:pStyle w:val="TOC1"/>
            <w:tabs>
              <w:tab w:pos="9741" w:val="right" w:leader="dot"/>
            </w:tabs>
            <w:spacing w:line="240" w:lineRule="auto"/>
            <w:ind w:right="0"/>
            <w:jc w:val="left"/>
            <w:rPr>
              <w:b w:val="0"/>
              <w:bCs w:val="0"/>
            </w:rPr>
          </w:pPr>
          <w:hyperlink w:history="true" w:anchor="_bookmark7">
            <w:r>
              <w:rPr/>
              <w:t>第八节 董事、监事、高级管理人员和员工情况</w:t>
            </w:r>
            <w:r>
              <w:rPr>
                <w:rFonts w:ascii="Times New Roman" w:hAnsi="Times New Roman" w:cs="Times New Roman" w:eastAsia="Times New Roman" w:hint="default"/>
                <w:b w:val="0"/>
                <w:bCs w:val="0"/>
              </w:rPr>
              <w:tab/>
            </w:r>
            <w:r>
              <w:rPr/>
              <w:t>50</w:t>
            </w:r>
            <w:r>
              <w:rPr>
                <w:b w:val="0"/>
                <w:bCs w:val="0"/>
              </w:rPr>
            </w:r>
          </w:hyperlink>
        </w:p>
        <w:p>
          <w:pPr>
            <w:pStyle w:val="TOC1"/>
            <w:tabs>
              <w:tab w:pos="9743" w:val="right" w:leader="dot"/>
            </w:tabs>
            <w:spacing w:line="240" w:lineRule="auto"/>
            <w:ind w:right="0"/>
            <w:jc w:val="left"/>
            <w:rPr>
              <w:b w:val="0"/>
              <w:bCs w:val="0"/>
            </w:rPr>
          </w:pPr>
          <w:hyperlink w:history="true" w:anchor="_bookmark8">
            <w:r>
              <w:rPr/>
              <w:t>第九节 公司治理</w:t>
            </w:r>
            <w:r>
              <w:rPr>
                <w:rFonts w:ascii="Times New Roman" w:hAnsi="Times New Roman" w:cs="Times New Roman" w:eastAsia="Times New Roman" w:hint="default"/>
                <w:b w:val="0"/>
                <w:bCs w:val="0"/>
              </w:rPr>
              <w:tab/>
            </w:r>
            <w:r>
              <w:rPr/>
              <w:t>57</w:t>
            </w:r>
            <w:r>
              <w:rPr>
                <w:b w:val="0"/>
                <w:bCs w:val="0"/>
              </w:rPr>
            </w:r>
          </w:hyperlink>
        </w:p>
        <w:p>
          <w:pPr>
            <w:pStyle w:val="TOC1"/>
            <w:tabs>
              <w:tab w:pos="9741" w:val="right" w:leader="dot"/>
            </w:tabs>
            <w:spacing w:line="240" w:lineRule="auto"/>
            <w:ind w:right="0"/>
            <w:jc w:val="left"/>
            <w:rPr>
              <w:b w:val="0"/>
              <w:bCs w:val="0"/>
            </w:rPr>
          </w:pPr>
          <w:hyperlink w:history="true" w:anchor="_bookmark9">
            <w:r>
              <w:rPr/>
              <w:t>第十节 公司债券相关情况</w:t>
            </w:r>
            <w:r>
              <w:rPr>
                <w:rFonts w:ascii="Times New Roman" w:hAnsi="Times New Roman" w:cs="Times New Roman" w:eastAsia="Times New Roman" w:hint="default"/>
                <w:b w:val="0"/>
                <w:bCs w:val="0"/>
              </w:rPr>
              <w:tab/>
            </w:r>
            <w:r>
              <w:rPr/>
              <w:t>63</w:t>
            </w:r>
            <w:r>
              <w:rPr>
                <w:b w:val="0"/>
                <w:bCs w:val="0"/>
              </w:rPr>
            </w:r>
          </w:hyperlink>
        </w:p>
        <w:p>
          <w:pPr>
            <w:pStyle w:val="TOC1"/>
            <w:tabs>
              <w:tab w:pos="9741" w:val="right" w:leader="dot"/>
            </w:tabs>
            <w:spacing w:line="240" w:lineRule="auto"/>
            <w:ind w:right="0"/>
            <w:jc w:val="left"/>
            <w:rPr>
              <w:b w:val="0"/>
              <w:bCs w:val="0"/>
            </w:rPr>
          </w:pPr>
          <w:hyperlink w:history="true" w:anchor="_bookmark10">
            <w:r>
              <w:rPr/>
              <w:t>第十一节 财务报告</w:t>
            </w:r>
            <w:r>
              <w:rPr>
                <w:rFonts w:ascii="Times New Roman" w:hAnsi="Times New Roman" w:cs="Times New Roman" w:eastAsia="Times New Roman" w:hint="default"/>
                <w:b w:val="0"/>
                <w:bCs w:val="0"/>
              </w:rPr>
              <w:tab/>
            </w:r>
            <w:r>
              <w:rPr/>
              <w:t>64</w:t>
            </w:r>
            <w:r>
              <w:rPr>
                <w:b w:val="0"/>
                <w:bCs w:val="0"/>
              </w:rPr>
            </w:r>
          </w:hyperlink>
        </w:p>
        <w:p>
          <w:pPr>
            <w:pStyle w:val="TOC1"/>
            <w:tabs>
              <w:tab w:pos="9741" w:val="right" w:leader="dot"/>
            </w:tabs>
            <w:spacing w:line="240" w:lineRule="auto"/>
            <w:ind w:right="0"/>
            <w:jc w:val="left"/>
            <w:rPr>
              <w:b w:val="0"/>
              <w:bCs w:val="0"/>
            </w:rPr>
          </w:pPr>
          <w:hyperlink w:history="true" w:anchor="_bookmark11">
            <w:r>
              <w:rPr/>
              <w:t>第十二节 备查文件目录</w:t>
            </w:r>
            <w:r>
              <w:rPr>
                <w:rFonts w:ascii="Times New Roman" w:hAnsi="Times New Roman" w:cs="Times New Roman" w:eastAsia="Times New Roman" w:hint="default"/>
                <w:b w:val="0"/>
                <w:bCs w:val="0"/>
              </w:rPr>
              <w:tab/>
            </w:r>
            <w:r>
              <w:rPr/>
              <w:t>183</w:t>
            </w:r>
            <w:r>
              <w:rPr>
                <w:b w:val="0"/>
                <w:bCs w:val="0"/>
              </w:rPr>
            </w:r>
          </w:hyperlink>
        </w:p>
      </w:sdtContent>
    </w:sdt>
    <w:p>
      <w:pPr>
        <w:spacing w:after="0" w:line="240" w:lineRule="auto"/>
        <w:jc w:val="left"/>
        <w:sectPr>
          <w:pgSz w:w="11910" w:h="16840"/>
          <w:pgMar w:header="746" w:footer="937" w:top="1040" w:bottom="1120" w:left="1020" w:right="1020"/>
        </w:sectPr>
      </w:pPr>
    </w:p>
    <w:p>
      <w:pPr>
        <w:spacing w:before="957"/>
        <w:ind w:left="1780" w:right="178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755"/>
        <w:gridCol w:w="5290"/>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本公司、公司、皖通科技</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王中胜、杨世宁、杨新子</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保荐人、国元证券</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会计师、大华会计师事务所</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华东电子</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华东科技</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烟台华东电子科技有限公司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华东数据</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烟台华东数据科技有限公司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拖柜宝</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宁波拖柜宝物流科技有限责任公司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汉高信息</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天安怡和</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金飞博</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天津市金飞博光通讯技术有限公司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甲子科技</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重庆皖通</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重庆皖通科技有限责任公司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皖通智能</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行云天下</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赛英科技</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成都赛英科技有限公司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亲益保</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上海亲益保网络科技有限公司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光大保险代理</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安徽光大保险代理有限责任公司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舶云供应链</w:t>
            </w:r>
          </w:p>
        </w:tc>
        <w:tc>
          <w:tcPr>
            <w:tcW w:w="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2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上海舶云供应链管理有限公司</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0"/>
          <w:szCs w:val="20"/>
        </w:rPr>
      </w:pPr>
    </w:p>
    <w:p>
      <w:pPr>
        <w:pStyle w:val="Heading1"/>
        <w:spacing w:line="240" w:lineRule="auto"/>
        <w:ind w:left="2606" w:right="0"/>
        <w:jc w:val="left"/>
        <w:rPr>
          <w:b w:val="0"/>
          <w:bCs w:val="0"/>
        </w:rPr>
      </w:pPr>
      <w:bookmarkStart w:name="_bookmark1" w:id="2"/>
      <w:bookmarkEnd w:id="2"/>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9"/>
        <w:gridCol w:w="2640"/>
        <w:gridCol w:w="1554"/>
        <w:gridCol w:w="2176"/>
      </w:tblGrid>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6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皖通科技</w:t>
            </w:r>
          </w:p>
        </w:tc>
        <w:tc>
          <w:tcPr>
            <w:tcW w:w="1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sz w:val="18"/>
              </w:rPr>
              <w:t>002331</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6370"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3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370"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皖通科技</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6370"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sz w:val="18"/>
              </w:rPr>
              <w:t>Anhui Wantong Technology</w:t>
            </w:r>
            <w:r>
              <w:rPr>
                <w:rFonts w:ascii="宋体"/>
                <w:spacing w:val="-10"/>
                <w:sz w:val="18"/>
              </w:rPr>
              <w:t> </w:t>
            </w:r>
            <w:r>
              <w:rPr>
                <w:rFonts w:ascii="宋体"/>
                <w:sz w:val="18"/>
              </w:rPr>
              <w:t>Co.,Ltd.</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6370"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sz w:val="18"/>
              </w:rPr>
              <w:t>WANTONG</w:t>
            </w:r>
            <w:r>
              <w:rPr>
                <w:rFonts w:ascii="宋体"/>
                <w:spacing w:val="-3"/>
                <w:sz w:val="18"/>
              </w:rPr>
              <w:t> </w:t>
            </w:r>
            <w:r>
              <w:rPr>
                <w:rFonts w:ascii="宋体"/>
                <w:sz w:val="18"/>
              </w:rPr>
              <w:t>TECH</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370"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宋体" w:hAnsi="宋体" w:cs="宋体" w:eastAsia="宋体" w:hint="default"/>
                <w:sz w:val="18"/>
                <w:szCs w:val="18"/>
              </w:rPr>
              <w:t>589</w:t>
            </w:r>
            <w:r>
              <w:rPr>
                <w:rFonts w:ascii="宋体" w:hAnsi="宋体" w:cs="宋体" w:eastAsia="宋体" w:hint="default"/>
                <w:spacing w:val="-47"/>
                <w:sz w:val="18"/>
                <w:szCs w:val="18"/>
              </w:rPr>
              <w:t> </w:t>
            </w:r>
            <w:r>
              <w:rPr>
                <w:rFonts w:ascii="宋体" w:hAnsi="宋体" w:cs="宋体" w:eastAsia="宋体" w:hint="default"/>
                <w:sz w:val="18"/>
                <w:szCs w:val="18"/>
              </w:rPr>
              <w:t>号</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370"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sz w:val="18"/>
              </w:rPr>
              <w:t>230088</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370"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宋体" w:hAnsi="宋体" w:cs="宋体" w:eastAsia="宋体" w:hint="default"/>
                <w:sz w:val="18"/>
                <w:szCs w:val="18"/>
              </w:rPr>
              <w:t>589</w:t>
            </w:r>
            <w:r>
              <w:rPr>
                <w:rFonts w:ascii="宋体" w:hAnsi="宋体" w:cs="宋体" w:eastAsia="宋体" w:hint="default"/>
                <w:spacing w:val="-47"/>
                <w:sz w:val="18"/>
                <w:szCs w:val="18"/>
              </w:rPr>
              <w:t> </w:t>
            </w:r>
            <w:r>
              <w:rPr>
                <w:rFonts w:ascii="宋体" w:hAnsi="宋体" w:cs="宋体" w:eastAsia="宋体" w:hint="default"/>
                <w:sz w:val="18"/>
                <w:szCs w:val="18"/>
              </w:rPr>
              <w:t>号</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370"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sz w:val="18"/>
              </w:rPr>
              <w:t>230088</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370"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hyperlink r:id="rId9">
              <w:r>
                <w:rPr>
                  <w:rFonts w:ascii="宋体"/>
                  <w:sz w:val="18"/>
                </w:rPr>
                <w:t>www.wantong-tech.net</w:t>
              </w:r>
            </w:hyperlink>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370"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hyperlink r:id="rId10">
              <w:r>
                <w:rPr>
                  <w:rFonts w:ascii="宋体"/>
                  <w:sz w:val="18"/>
                </w:rPr>
                <w:t>wtkj@wantong-tech.net</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潘大圣</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宋体" w:hAnsi="宋体" w:cs="宋体" w:eastAsia="宋体" w:hint="default"/>
                <w:sz w:val="18"/>
                <w:szCs w:val="18"/>
              </w:rPr>
              <w:t>589</w:t>
            </w:r>
            <w:r>
              <w:rPr>
                <w:rFonts w:ascii="宋体" w:hAnsi="宋体" w:cs="宋体" w:eastAsia="宋体" w:hint="default"/>
                <w:spacing w:val="-47"/>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安徽省合肥市高新区皖水路</w:t>
            </w:r>
            <w:r>
              <w:rPr>
                <w:rFonts w:ascii="宋体" w:hAnsi="宋体" w:cs="宋体" w:eastAsia="宋体" w:hint="default"/>
                <w:spacing w:val="-46"/>
                <w:sz w:val="18"/>
                <w:szCs w:val="18"/>
              </w:rPr>
              <w:t> </w:t>
            </w:r>
            <w:r>
              <w:rPr>
                <w:rFonts w:ascii="宋体" w:hAnsi="宋体" w:cs="宋体" w:eastAsia="宋体" w:hint="default"/>
                <w:sz w:val="18"/>
                <w:szCs w:val="18"/>
              </w:rPr>
              <w:t>589</w:t>
            </w:r>
            <w:r>
              <w:rPr>
                <w:rFonts w:ascii="宋体" w:hAnsi="宋体" w:cs="宋体" w:eastAsia="宋体" w:hint="default"/>
                <w:spacing w:val="-47"/>
                <w:sz w:val="18"/>
                <w:szCs w:val="18"/>
              </w:rPr>
              <w:t> </w:t>
            </w:r>
            <w:r>
              <w:rPr>
                <w:rFonts w:ascii="宋体" w:hAnsi="宋体" w:cs="宋体" w:eastAsia="宋体" w:hint="default"/>
                <w:sz w:val="18"/>
                <w:szCs w:val="18"/>
              </w:rPr>
              <w:t>号</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0551-62969206</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0551-62969206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0551-62969207</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0551-62969207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hyperlink r:id="rId10">
              <w:r>
                <w:rPr>
                  <w:rFonts w:ascii="宋体"/>
                  <w:sz w:val="18"/>
                </w:rPr>
                <w:t>wtkj@wantong-tech.net</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hyperlink r:id="rId11">
              <w:r>
                <w:rPr>
                  <w:rFonts w:ascii="宋体"/>
                  <w:sz w:val="18"/>
                </w:rPr>
                <w:t>dspan@wantong-tech.net</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564"/>
        <w:gridCol w:w="5004"/>
      </w:tblGrid>
      <w:tr>
        <w:trPr>
          <w:trHeight w:val="402" w:hRule="exact"/>
        </w:trPr>
        <w:tc>
          <w:tcPr>
            <w:tcW w:w="4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0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p>
        </w:tc>
      </w:tr>
      <w:tr>
        <w:trPr>
          <w:trHeight w:val="402" w:hRule="exact"/>
        </w:trPr>
        <w:tc>
          <w:tcPr>
            <w:tcW w:w="4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0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hyperlink r:id="rId12">
              <w:r>
                <w:rPr>
                  <w:rFonts w:ascii="宋体"/>
                  <w:sz w:val="18"/>
                </w:rPr>
                <w:t>www.cninfo.com.cn</w:t>
              </w:r>
            </w:hyperlink>
          </w:p>
        </w:tc>
      </w:tr>
      <w:tr>
        <w:trPr>
          <w:trHeight w:val="402" w:hRule="exact"/>
        </w:trPr>
        <w:tc>
          <w:tcPr>
            <w:tcW w:w="4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0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5"/>
        <w:rPr>
          <w:rFonts w:ascii="宋体" w:hAnsi="宋体" w:cs="宋体" w:eastAsia="宋体" w:hint="default"/>
          <w:b/>
          <w:bCs/>
          <w:sz w:val="24"/>
          <w:szCs w:val="24"/>
        </w:rPr>
      </w:pPr>
    </w:p>
    <w:p>
      <w:pPr>
        <w:pStyle w:val="Heading4"/>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sz w:val="18"/>
              </w:rPr>
              <w:t>91340100711761244Q</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358"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1、1999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日，安徽皖通高速公路股份有限公司为</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公司控股股东，持股比例为</w:t>
            </w:r>
            <w:r>
              <w:rPr>
                <w:rFonts w:ascii="宋体" w:hAnsi="宋体" w:cs="宋体" w:eastAsia="宋体" w:hint="default"/>
                <w:spacing w:val="-45"/>
                <w:sz w:val="18"/>
                <w:szCs w:val="18"/>
              </w:rPr>
              <w:t> </w:t>
            </w:r>
            <w:r>
              <w:rPr>
                <w:rFonts w:ascii="宋体" w:hAnsi="宋体" w:cs="宋体" w:eastAsia="宋体" w:hint="default"/>
                <w:sz w:val="18"/>
                <w:szCs w:val="18"/>
              </w:rPr>
              <w:t>51%；</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2、2000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日，安徽皖通高速公路股份有限公司为</w:t>
            </w:r>
          </w:p>
        </w:tc>
      </w:tr>
      <w:tr>
        <w:trPr>
          <w:trHeight w:val="66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公司控股股东，持股比例为</w:t>
            </w:r>
            <w:r>
              <w:rPr>
                <w:rFonts w:ascii="宋体" w:hAnsi="宋体" w:cs="宋体" w:eastAsia="宋体" w:hint="default"/>
                <w:spacing w:val="-46"/>
                <w:sz w:val="18"/>
                <w:szCs w:val="18"/>
              </w:rPr>
              <w:t> </w:t>
            </w:r>
            <w:r>
              <w:rPr>
                <w:rFonts w:ascii="宋体" w:hAnsi="宋体" w:cs="宋体" w:eastAsia="宋体" w:hint="default"/>
                <w:sz w:val="18"/>
                <w:szCs w:val="18"/>
              </w:rPr>
              <w:t>75.5%；</w:t>
            </w: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3、2004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22</w:t>
            </w:r>
            <w:r>
              <w:rPr>
                <w:rFonts w:ascii="宋体" w:hAnsi="宋体" w:cs="宋体" w:eastAsia="宋体" w:hint="default"/>
                <w:spacing w:val="-48"/>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2005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日，安徽国元信托投资有限责任公司为公</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司控股股东，持股比例为</w:t>
            </w:r>
            <w:r>
              <w:rPr>
                <w:rFonts w:ascii="宋体" w:hAnsi="宋体" w:cs="宋体" w:eastAsia="宋体" w:hint="default"/>
                <w:spacing w:val="-46"/>
                <w:sz w:val="18"/>
                <w:szCs w:val="18"/>
              </w:rPr>
              <w:t> </w:t>
            </w:r>
            <w:r>
              <w:rPr>
                <w:rFonts w:ascii="宋体" w:hAnsi="宋体" w:cs="宋体" w:eastAsia="宋体" w:hint="default"/>
                <w:sz w:val="18"/>
                <w:szCs w:val="18"/>
              </w:rPr>
              <w:t>75.5%；</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
        </w:tc>
        <w:tc>
          <w:tcPr>
            <w:tcW w:w="63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pacing w:val="-11"/>
                <w:sz w:val="18"/>
                <w:szCs w:val="18"/>
              </w:rPr>
              <w:t>4、2005</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9</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26</w:t>
            </w:r>
            <w:r>
              <w:rPr>
                <w:rFonts w:ascii="宋体" w:hAnsi="宋体" w:cs="宋体" w:eastAsia="宋体" w:hint="default"/>
                <w:spacing w:val="-42"/>
                <w:sz w:val="18"/>
                <w:szCs w:val="18"/>
              </w:rPr>
              <w:t> </w:t>
            </w:r>
            <w:r>
              <w:rPr>
                <w:rFonts w:ascii="宋体" w:hAnsi="宋体" w:cs="宋体" w:eastAsia="宋体" w:hint="default"/>
                <w:spacing w:val="-8"/>
                <w:sz w:val="18"/>
                <w:szCs w:val="18"/>
              </w:rPr>
              <w:t>日至今，王中胜、杨世宁和杨新子为公司实际控制人；截至</w:t>
            </w:r>
            <w:r>
              <w:rPr>
                <w:rFonts w:ascii="宋体" w:hAnsi="宋体" w:cs="宋体" w:eastAsia="宋体" w:hint="default"/>
                <w:spacing w:val="-43"/>
                <w:sz w:val="18"/>
                <w:szCs w:val="18"/>
              </w:rPr>
              <w:t> </w:t>
            </w:r>
            <w:r>
              <w:rPr>
                <w:rFonts w:ascii="宋体" w:hAnsi="宋体" w:cs="宋体" w:eastAsia="宋体" w:hint="default"/>
                <w:sz w:val="18"/>
                <w:szCs w:val="18"/>
              </w:rPr>
              <w:t>2017</w:t>
            </w:r>
          </w:p>
        </w:tc>
      </w:tr>
      <w:tr>
        <w:trPr>
          <w:trHeight w:val="356"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日持股比例为</w:t>
            </w:r>
            <w:r>
              <w:rPr>
                <w:rFonts w:ascii="宋体" w:hAnsi="宋体" w:cs="宋体" w:eastAsia="宋体" w:hint="default"/>
                <w:spacing w:val="-46"/>
                <w:sz w:val="18"/>
                <w:szCs w:val="18"/>
              </w:rPr>
              <w:t> </w:t>
            </w:r>
            <w:r>
              <w:rPr>
                <w:rFonts w:ascii="宋体" w:hAnsi="宋体" w:cs="宋体" w:eastAsia="宋体" w:hint="default"/>
                <w:sz w:val="18"/>
                <w:szCs w:val="18"/>
              </w:rPr>
              <w:t>15.63%。</w:t>
            </w:r>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4"/>
        <w:gridCol w:w="6384"/>
      </w:tblGrid>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3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3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8"/>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宋体" w:hAnsi="宋体" w:cs="宋体" w:eastAsia="宋体" w:hint="default"/>
                <w:sz w:val="18"/>
                <w:szCs w:val="18"/>
              </w:rPr>
              <w:t>1101</w:t>
            </w:r>
          </w:p>
        </w:tc>
      </w:tr>
      <w:tr>
        <w:trPr>
          <w:trHeight w:val="402" w:hRule="exact"/>
        </w:trPr>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3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吕勇军、王原</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57" w:lineRule="auto" w:before="117"/>
        <w:ind w:left="112" w:right="5774" w:firstLine="0"/>
        <w:jc w:val="left"/>
        <w:rPr>
          <w:rFonts w:ascii="宋体" w:hAnsi="宋体" w:cs="宋体" w:eastAsia="宋体" w:hint="default"/>
          <w:sz w:val="18"/>
          <w:szCs w:val="18"/>
        </w:rPr>
      </w:pPr>
      <w:r>
        <w:rPr>
          <w:rFonts w:ascii="宋体" w:hAnsi="宋体" w:cs="宋体" w:eastAsia="宋体" w:hint="default"/>
          <w:sz w:val="18"/>
          <w:szCs w:val="18"/>
        </w:rPr>
        <w:t>□ 适用 √ 不适用 公司聘请的报告期内履行持续督导职责的财务顾问</w:t>
      </w:r>
    </w:p>
    <w:p>
      <w:pPr>
        <w:spacing w:before="29"/>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995,817,238.17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992,136,841.31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882,037,006.51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82,717,605.13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76,872,684.10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69,494,426.63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58,948,473.97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56,384,785.39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50,094,551.55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29,908,986.82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110,386,022.65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-72.91%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123,928,174.44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0.2361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0.2194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0.1984</w:t>
            </w:r>
          </w:p>
        </w:tc>
      </w:tr>
      <w:tr>
        <w:trPr>
          <w:trHeight w:val="400"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0.2361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0.2194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0.1984</w:t>
            </w:r>
          </w:p>
        </w:tc>
      </w:tr>
    </w:tbl>
    <w:p>
      <w:pPr>
        <w:spacing w:after="0" w:line="240" w:lineRule="auto"/>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6.26%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6.10%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5.80%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2,034,197,628.59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1,880,189,423.38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1,787,636,742.90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1,358,007,374.60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1,291,950,871.82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1,229,675,148.37</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t>1、同时按照国际会计准则与按照中国会计准则披露的财务报告中净利润和净资产差异情况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3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r>
        <w:rPr/>
        <w:t>2、同时按照境外会计准则与按照中国会计准则披露的财务报告中净利润和净资产差异情况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16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8"/>
          <w:szCs w:val="18"/>
        </w:rPr>
      </w:pPr>
    </w:p>
    <w:p>
      <w:pPr>
        <w:pStyle w:val="Heading4"/>
        <w:spacing w:line="240" w:lineRule="auto"/>
        <w:ind w:right="0"/>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7" w:right="0"/>
              <w:jc w:val="left"/>
              <w:rPr>
                <w:rFonts w:ascii="宋体" w:hAnsi="宋体" w:cs="宋体" w:eastAsia="宋体" w:hint="default"/>
                <w:sz w:val="18"/>
                <w:szCs w:val="18"/>
              </w:rPr>
            </w:pPr>
            <w:r>
              <w:rPr>
                <w:rFonts w:ascii="宋体"/>
                <w:sz w:val="18"/>
              </w:rPr>
              <w:t>273,233,291.81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209,911,326.73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198,285,900.94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314,386,718.69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6" w:right="0"/>
              <w:jc w:val="left"/>
              <w:rPr>
                <w:rFonts w:ascii="宋体" w:hAnsi="宋体" w:cs="宋体" w:eastAsia="宋体" w:hint="default"/>
                <w:sz w:val="18"/>
                <w:szCs w:val="18"/>
              </w:rPr>
            </w:pPr>
            <w:r>
              <w:rPr>
                <w:rFonts w:ascii="宋体"/>
                <w:sz w:val="18"/>
              </w:rPr>
              <w:t>11,771,796.28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20,417,277.63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28,266,363.46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22,262,167.76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6" w:right="0"/>
              <w:jc w:val="left"/>
              <w:rPr>
                <w:rFonts w:ascii="宋体" w:hAnsi="宋体" w:cs="宋体" w:eastAsia="宋体" w:hint="default"/>
                <w:sz w:val="18"/>
                <w:szCs w:val="18"/>
              </w:rPr>
            </w:pPr>
            <w:r>
              <w:rPr>
                <w:rFonts w:ascii="宋体"/>
                <w:sz w:val="18"/>
              </w:rPr>
              <w:t>11,130,390.87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17,500,961.39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20,528,680.86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9,788,440.86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7" w:right="0"/>
              <w:jc w:val="left"/>
              <w:rPr>
                <w:rFonts w:ascii="宋体" w:hAnsi="宋体" w:cs="宋体" w:eastAsia="宋体" w:hint="default"/>
                <w:sz w:val="18"/>
                <w:szCs w:val="18"/>
              </w:rPr>
            </w:pPr>
            <w:r>
              <w:rPr>
                <w:rFonts w:ascii="宋体"/>
                <w:sz w:val="18"/>
              </w:rPr>
              <w:t>-78,317,764.21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-29,140,407.39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-74,045,153.48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211,412,311.90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-14,105.89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-502,656.77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4,388,599.05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26,306,853.76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17,904,622.57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11,858,583.95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6"/>
              <w:jc w:val="both"/>
              <w:rPr>
                <w:rFonts w:ascii="宋体" w:hAnsi="宋体" w:cs="宋体" w:eastAsia="宋体" w:hint="default"/>
                <w:sz w:val="18"/>
                <w:szCs w:val="18"/>
              </w:rPr>
            </w:pPr>
            <w:r>
              <w:rPr>
                <w:rFonts w:ascii="宋体" w:hAnsi="宋体" w:cs="宋体" w:eastAsia="宋体" w:hint="default"/>
                <w:sz w:val="18"/>
                <w:szCs w:val="18"/>
              </w:rPr>
              <w:t>主要系本期收到烟台 高新区经济发展局专 项扶持基本补贴所致</w:t>
            </w:r>
          </w:p>
        </w:tc>
      </w:tr>
    </w:tbl>
    <w:p>
      <w:pPr>
        <w:spacing w:after="0" w:line="316" w:lineRule="auto"/>
        <w:jc w:val="both"/>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1650"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4,323,710.90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6,961,784.19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6,954,174.68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215,000.00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-2,948.26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-455,678.70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-119,066.64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6,723,244.49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3,586,070.25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3,467,858.94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336,134.86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-165,897.67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214,557.02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23,769,131.16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20,487,898.71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19,399,875.08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7"/>
          <w:sz w:val="18"/>
          <w:szCs w:val="18"/>
        </w:rPr>
        <w:t>号——非经常性损益》定义界定的非经常性损益项目，以及把《公</w:t>
      </w:r>
    </w:p>
    <w:p>
      <w:pPr>
        <w:spacing w:line="316" w:lineRule="auto" w:before="76"/>
        <w:ind w:left="112" w:right="10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59"/>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16" w:lineRule="auto" w:before="117"/>
        <w:ind w:left="112" w:right="9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16"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3391" w:right="3491"/>
        <w:jc w:val="center"/>
        <w:rPr>
          <w:b w:val="0"/>
          <w:bCs w:val="0"/>
        </w:rPr>
      </w:pPr>
      <w:bookmarkStart w:name="_bookmark2" w:id="3"/>
      <w:bookmarkEnd w:id="3"/>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94"/>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Heading4"/>
        <w:spacing w:line="293" w:lineRule="exact"/>
        <w:ind w:left="585" w:right="94"/>
        <w:jc w:val="left"/>
        <w:rPr>
          <w:b w:val="0"/>
          <w:bCs w:val="0"/>
        </w:rPr>
      </w:pPr>
      <w:r>
        <w:rPr/>
        <w:t>（一）公司主要业务、产品、经营模式及业绩驱动因素</w:t>
      </w:r>
      <w:r>
        <w:rPr>
          <w:b w:val="0"/>
          <w:bCs w:val="0"/>
        </w:rPr>
      </w:r>
    </w:p>
    <w:p>
      <w:pPr>
        <w:pStyle w:val="BodyText"/>
        <w:spacing w:line="408" w:lineRule="auto" w:before="97"/>
        <w:ind w:right="192" w:firstLine="480"/>
        <w:jc w:val="right"/>
      </w:pPr>
      <w:r>
        <w:rPr>
          <w:spacing w:val="-2"/>
          <w:w w:val="95"/>
        </w:rPr>
        <w:t>公司围绕“大交通信息化”产业链全面布局，以高速公路信息化和港口航运信息化为龙头，以市场需</w:t>
      </w:r>
      <w:r>
        <w:rPr>
          <w:w w:val="99"/>
        </w:rPr>
        <w:t> </w:t>
      </w:r>
      <w:r>
        <w:rPr>
          <w:w w:val="95"/>
        </w:rPr>
        <w:t>求为导向，以成熟的软件产品、系统解决方案、配套服务为依托，为行业用户提供集应用软件开发、系统</w:t>
      </w:r>
      <w:r>
        <w:rPr>
          <w:spacing w:val="97"/>
          <w:w w:val="95"/>
        </w:rPr>
        <w:t> </w:t>
      </w:r>
      <w:r>
        <w:rPr>
          <w:spacing w:val="97"/>
          <w:w w:val="95"/>
        </w:rPr>
      </w:r>
      <w:r>
        <w:rPr>
          <w:w w:val="95"/>
        </w:rPr>
        <w:t>集成及运行维护为一体的信息化服务，致力于成为交通信息化领域一流的系统方案提供商和运行维护商。</w:t>
      </w:r>
      <w:r>
        <w:rPr>
          <w:spacing w:val="33"/>
          <w:w w:val="95"/>
        </w:rPr>
        <w:t> </w:t>
      </w:r>
      <w:r>
        <w:rPr>
          <w:spacing w:val="33"/>
          <w:w w:val="95"/>
        </w:rPr>
      </w:r>
      <w:r>
        <w:rPr>
          <w:spacing w:val="-2"/>
          <w:w w:val="95"/>
        </w:rPr>
        <w:t>公司着眼大局，遵循“立足安徽、走向全国、面向海外”的市场战略，坚持新建市场与运维市场相辅</w:t>
      </w:r>
      <w:r>
        <w:rPr>
          <w:w w:val="99"/>
        </w:rPr>
        <w:t> </w:t>
      </w:r>
      <w:r>
        <w:rPr>
          <w:w w:val="95"/>
        </w:rPr>
        <w:t>相成的发展思路，持续提升公司盈利水平和可持续发展能力。其中，高速公路信息化领域，把握“交通强</w:t>
      </w:r>
      <w:r>
        <w:rPr>
          <w:spacing w:val="91"/>
          <w:w w:val="95"/>
        </w:rPr>
        <w:t> </w:t>
      </w:r>
      <w:r>
        <w:rPr>
          <w:spacing w:val="91"/>
          <w:w w:val="95"/>
        </w:rPr>
      </w:r>
      <w:r>
        <w:rPr>
          <w:w w:val="95"/>
        </w:rPr>
        <w:t>国”的建设机遇，以安徽、福建、陕西、湖南等省份为重点区域，发挥优质项目的示范效应，加快构建覆</w:t>
      </w:r>
      <w:r>
        <w:rPr>
          <w:spacing w:val="91"/>
          <w:w w:val="95"/>
        </w:rPr>
        <w:t> </w:t>
      </w:r>
      <w:r>
        <w:rPr>
          <w:spacing w:val="91"/>
          <w:w w:val="95"/>
        </w:rPr>
      </w:r>
      <w:r>
        <w:rPr>
          <w:w w:val="95"/>
        </w:rPr>
        <w:t>盖全国的营销网络体系；港口航运信息化领域牢牢稳固在国内港口码头信息化建设中的市场占有率，并以</w:t>
      </w:r>
      <w:r>
        <w:rPr>
          <w:spacing w:val="85"/>
          <w:w w:val="95"/>
        </w:rPr>
        <w:t> </w:t>
      </w:r>
      <w:r>
        <w:rPr>
          <w:spacing w:val="85"/>
          <w:w w:val="95"/>
        </w:rPr>
      </w:r>
      <w:r>
        <w:rPr>
          <w:w w:val="95"/>
        </w:rPr>
        <w:t>非洲、拉丁美洲为立足点，大幅拓展海外市场；城市智能交通领域深耕安徽省内市场，深入挖掘、积极培</w:t>
      </w:r>
      <w:r>
        <w:rPr>
          <w:spacing w:val="95"/>
          <w:w w:val="95"/>
        </w:rPr>
        <w:t> </w:t>
      </w:r>
      <w:r>
        <w:rPr>
          <w:spacing w:val="95"/>
          <w:w w:val="95"/>
        </w:rPr>
      </w:r>
      <w:r>
        <w:rPr>
          <w:w w:val="95"/>
        </w:rPr>
        <w:t>养优质客户，不断提升市场份额。目前，公司的高速公路信息化业务已遍布全国20多个省份，港口航运信</w:t>
      </w:r>
      <w:r>
        <w:rPr/>
      </w:r>
    </w:p>
    <w:p>
      <w:pPr>
        <w:pStyle w:val="BodyText"/>
        <w:spacing w:line="408" w:lineRule="auto" w:before="46"/>
        <w:ind w:left="583" w:right="94" w:hanging="471"/>
        <w:jc w:val="left"/>
      </w:pPr>
      <w:r>
        <w:rPr/>
        <w:t>息化产品覆盖了全国主要港口，拥有高度的行业话语权和市场地位。</w:t>
      </w:r>
      <w:r>
        <w:rPr>
          <w:w w:val="99"/>
        </w:rPr>
        <w:t> </w:t>
      </w:r>
      <w:r>
        <w:rPr>
          <w:spacing w:val="-1"/>
          <w:w w:val="95"/>
        </w:rPr>
        <w:t>报告期内，公司成功收购成都赛英科技有限公司100%股权（2017年度未纳入合并报表），公司主营业</w:t>
      </w:r>
      <w:r>
        <w:rPr>
          <w:spacing w:val="-1"/>
        </w:rPr>
      </w:r>
    </w:p>
    <w:p>
      <w:pPr>
        <w:pStyle w:val="BodyText"/>
        <w:spacing w:line="408" w:lineRule="auto" w:before="46"/>
        <w:ind w:right="94"/>
        <w:jc w:val="left"/>
      </w:pPr>
      <w:r>
        <w:rPr>
          <w:w w:val="95"/>
        </w:rPr>
        <w:t>务将新增军工电子信息业务版块，通过在技术、市场、渠道等方面与既有业务形成全面协同效应，将有力</w:t>
      </w:r>
      <w:r>
        <w:rPr>
          <w:spacing w:val="41"/>
          <w:w w:val="95"/>
        </w:rPr>
        <w:t> </w:t>
      </w:r>
      <w:r>
        <w:rPr>
          <w:spacing w:val="41"/>
          <w:w w:val="95"/>
        </w:rPr>
      </w:r>
      <w:r>
        <w:rPr/>
        <w:t>提升企业综合竞争优势。</w:t>
      </w:r>
    </w:p>
    <w:p>
      <w:pPr>
        <w:pStyle w:val="BodyText"/>
        <w:spacing w:line="408" w:lineRule="auto" w:before="46"/>
        <w:ind w:right="94" w:firstLine="470"/>
        <w:jc w:val="left"/>
      </w:pPr>
      <w:r>
        <w:rPr>
          <w:spacing w:val="-4"/>
        </w:rPr>
        <w:t>公司在稳步发展传统业务的基础上，整合行业优势资源，聚合产业优秀人才，积极布局以“大数据”、</w:t>
      </w:r>
      <w:r>
        <w:rPr>
          <w:w w:val="99"/>
        </w:rPr>
        <w:t> </w:t>
      </w:r>
      <w:r>
        <w:rPr/>
        <w:t>“互联网”为支撑的新型业务领域，持续壮大旗下各互联网业务平台，开创全新盈利渠道。目前，公司已</w:t>
      </w:r>
      <w:r>
        <w:rPr>
          <w:w w:val="99"/>
        </w:rPr>
        <w:t> </w:t>
      </w:r>
      <w:r>
        <w:rPr/>
        <w:t>拥</w:t>
      </w:r>
      <w:r>
        <w:rPr>
          <w:spacing w:val="-76"/>
        </w:rPr>
        <w:t> </w:t>
      </w:r>
      <w:r>
        <w:rPr/>
        <w:t>有</w:t>
      </w:r>
      <w:r>
        <w:rPr>
          <w:spacing w:val="-79"/>
        </w:rPr>
        <w:t> </w:t>
      </w:r>
      <w:r>
        <w:rPr/>
        <w:t>中</w:t>
      </w:r>
      <w:r>
        <w:rPr>
          <w:spacing w:val="-76"/>
        </w:rPr>
        <w:t> </w:t>
      </w:r>
      <w:r>
        <w:rPr/>
        <w:t>国</w:t>
      </w:r>
      <w:r>
        <w:rPr>
          <w:spacing w:val="-79"/>
        </w:rPr>
        <w:t> </w:t>
      </w:r>
      <w:r>
        <w:rPr/>
        <w:t>港</w:t>
      </w:r>
      <w:r>
        <w:rPr>
          <w:spacing w:val="-76"/>
        </w:rPr>
        <w:t> </w:t>
      </w:r>
      <w:r>
        <w:rPr/>
        <w:t>口</w:t>
      </w:r>
      <w:r>
        <w:rPr>
          <w:spacing w:val="-79"/>
        </w:rPr>
        <w:t> </w:t>
      </w:r>
      <w:r>
        <w:rPr/>
        <w:t>网</w:t>
      </w:r>
      <w:r>
        <w:rPr>
          <w:spacing w:val="-76"/>
        </w:rPr>
        <w:t> </w:t>
      </w:r>
      <w:r>
        <w:rPr/>
        <w:t>（</w:t>
      </w:r>
      <w:r>
        <w:rPr>
          <w:spacing w:val="-76"/>
        </w:rPr>
        <w:t> </w:t>
      </w:r>
      <w:hyperlink r:id="rId13">
        <w:r>
          <w:rPr/>
          <w:t>http://www.chinaports.com</w:t>
        </w:r>
      </w:hyperlink>
      <w:r>
        <w:rPr>
          <w:spacing w:val="-77"/>
        </w:rPr>
        <w:t> </w:t>
      </w:r>
      <w:r>
        <w:rPr/>
        <w:t>）</w:t>
      </w:r>
      <w:r>
        <w:rPr>
          <w:spacing w:val="-76"/>
        </w:rPr>
        <w:t> </w:t>
      </w:r>
      <w:r>
        <w:rPr/>
        <w:t>、</w:t>
      </w:r>
      <w:r>
        <w:rPr>
          <w:spacing w:val="-79"/>
        </w:rPr>
        <w:t> </w:t>
      </w:r>
      <w:r>
        <w:rPr/>
        <w:t>行</w:t>
      </w:r>
      <w:r>
        <w:rPr>
          <w:spacing w:val="-76"/>
        </w:rPr>
        <w:t> </w:t>
      </w:r>
      <w:r>
        <w:rPr/>
        <w:t>云</w:t>
      </w:r>
      <w:r>
        <w:rPr>
          <w:spacing w:val="-79"/>
        </w:rPr>
        <w:t> </w:t>
      </w:r>
      <w:r>
        <w:rPr/>
        <w:t>天</w:t>
      </w:r>
      <w:r>
        <w:rPr>
          <w:spacing w:val="-76"/>
        </w:rPr>
        <w:t> </w:t>
      </w:r>
      <w:r>
        <w:rPr/>
        <w:t>下</w:t>
      </w:r>
      <w:r>
        <w:rPr>
          <w:spacing w:val="-79"/>
        </w:rPr>
        <w:t> </w:t>
      </w:r>
      <w:r>
        <w:rPr/>
        <w:t>(http://www.witgo.cn)</w:t>
      </w:r>
      <w:r>
        <w:rPr>
          <w:spacing w:val="-77"/>
        </w:rPr>
        <w:t> </w:t>
      </w:r>
      <w:r>
        <w:rPr/>
        <w:t>、</w:t>
      </w:r>
      <w:r>
        <w:rPr>
          <w:spacing w:val="-76"/>
        </w:rPr>
        <w:t> </w:t>
      </w:r>
      <w:r>
        <w:rPr/>
        <w:t>舶</w:t>
      </w:r>
      <w:r>
        <w:rPr>
          <w:spacing w:val="-79"/>
        </w:rPr>
        <w:t> </w:t>
      </w:r>
      <w:r>
        <w:rPr/>
        <w:t>云</w:t>
      </w:r>
      <w:r>
        <w:rPr>
          <w:spacing w:val="-76"/>
        </w:rPr>
        <w:t> </w:t>
      </w:r>
      <w:r>
        <w:rPr/>
        <w:t>供</w:t>
      </w:r>
      <w:r>
        <w:rPr>
          <w:spacing w:val="-79"/>
        </w:rPr>
        <w:t> </w:t>
      </w:r>
      <w:r>
        <w:rPr/>
        <w:t>应</w:t>
      </w:r>
      <w:r>
        <w:rPr>
          <w:spacing w:val="-76"/>
        </w:rPr>
        <w:t> </w:t>
      </w:r>
      <w:r>
        <w:rPr/>
        <w:t>链</w:t>
      </w:r>
      <w:r>
        <w:rPr>
          <w:w w:val="99"/>
        </w:rPr>
        <w:t> </w:t>
      </w:r>
      <w:r>
        <w:rPr>
          <w:spacing w:val="-2"/>
          <w:w w:val="95"/>
        </w:rPr>
        <w:t>(http://www.boyunscm.com)等多个“互联网+”业务平台，以行业大数据为载体，为公众出行、车后市场、</w:t>
      </w:r>
      <w:r>
        <w:rPr>
          <w:spacing w:val="67"/>
          <w:w w:val="95"/>
        </w:rPr>
        <w:t> </w:t>
      </w:r>
      <w:r>
        <w:rPr>
          <w:spacing w:val="67"/>
          <w:w w:val="95"/>
        </w:rPr>
      </w:r>
      <w:r>
        <w:rPr/>
        <w:t>港航物流、航运供应链管理提供高效服务，增强企业发展潜力。</w:t>
      </w:r>
    </w:p>
    <w:p>
      <w:pPr>
        <w:pStyle w:val="Heading4"/>
        <w:spacing w:line="260" w:lineRule="exact"/>
        <w:ind w:left="585" w:right="94"/>
        <w:jc w:val="left"/>
        <w:rPr>
          <w:b w:val="0"/>
          <w:bCs w:val="0"/>
        </w:rPr>
      </w:pPr>
      <w:r>
        <w:rPr/>
        <w:t>（二）公司所属行业发展阶段、周期性特点及公司所处行业地位</w:t>
      </w:r>
      <w:r>
        <w:rPr>
          <w:b w:val="0"/>
          <w:bCs w:val="0"/>
        </w:rPr>
      </w:r>
    </w:p>
    <w:p>
      <w:pPr>
        <w:pStyle w:val="BodyText"/>
        <w:spacing w:line="408" w:lineRule="auto" w:before="97"/>
        <w:ind w:right="215" w:firstLine="480"/>
        <w:jc w:val="left"/>
      </w:pPr>
      <w:r>
        <w:rPr/>
        <w:t>详见“第四节</w:t>
      </w:r>
      <w:r>
        <w:rPr>
          <w:spacing w:val="4"/>
        </w:rPr>
        <w:t> </w:t>
      </w:r>
      <w:r>
        <w:rPr/>
        <w:t>经营情况讨论与分析”之“九、公司未来发展的展望”之“一、行业竞争格局和发展</w:t>
      </w:r>
      <w:r>
        <w:rPr>
          <w:w w:val="99"/>
        </w:rPr>
        <w:t> </w:t>
      </w:r>
      <w:r>
        <w:rPr/>
        <w:t>趋势”相关内容。</w:t>
      </w:r>
    </w:p>
    <w:p>
      <w:pPr>
        <w:spacing w:after="0" w:line="408" w:lineRule="auto"/>
        <w:jc w:val="left"/>
        <w:sectPr>
          <w:pgSz w:w="11910" w:h="16840"/>
          <w:pgMar w:header="746" w:footer="937" w:top="1040" w:bottom="1120" w:left="1020" w:right="920"/>
        </w:sectPr>
      </w:pPr>
    </w:p>
    <w:p>
      <w:pPr>
        <w:spacing w:line="240" w:lineRule="auto" w:before="5"/>
        <w:rPr>
          <w:rFonts w:ascii="宋体" w:hAnsi="宋体" w:cs="宋体" w:eastAsia="宋体" w:hint="default"/>
          <w:sz w:val="24"/>
          <w:szCs w:val="24"/>
        </w:rPr>
      </w:pPr>
    </w:p>
    <w:p>
      <w:pPr>
        <w:pStyle w:val="Heading4"/>
        <w:spacing w:line="240" w:lineRule="auto" w:before="26"/>
        <w:ind w:right="94"/>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4"/>
        <w:jc w:val="left"/>
        <w:rPr>
          <w:b w:val="0"/>
          <w:bCs w:val="0"/>
        </w:rPr>
      </w:pPr>
      <w:r>
        <w:rPr/>
        <w:t>1、主要资产重大变化情况</w:t>
      </w:r>
      <w:r>
        <w:rPr>
          <w:b w:val="0"/>
          <w:bCs w:val="0"/>
        </w:rPr>
      </w:r>
    </w:p>
    <w:p>
      <w:pPr>
        <w:spacing w:line="240" w:lineRule="auto" w:before="11"/>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2434"/>
        <w:gridCol w:w="7134"/>
      </w:tblGrid>
      <w:tr>
        <w:trPr>
          <w:trHeight w:val="764"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期末余额较期初余额增加</w:t>
            </w:r>
            <w:r>
              <w:rPr>
                <w:rFonts w:ascii="宋体" w:hAnsi="宋体" w:cs="宋体" w:eastAsia="宋体" w:hint="default"/>
                <w:spacing w:val="-48"/>
                <w:sz w:val="18"/>
                <w:szCs w:val="18"/>
              </w:rPr>
              <w:t> </w:t>
            </w:r>
            <w:r>
              <w:rPr>
                <w:rFonts w:ascii="宋体" w:hAnsi="宋体" w:cs="宋体" w:eastAsia="宋体" w:hint="default"/>
                <w:sz w:val="18"/>
                <w:szCs w:val="18"/>
              </w:rPr>
              <w:t>91.51%，主要是全资子公司华东科技研发大楼投入增加所致。</w:t>
            </w:r>
          </w:p>
        </w:tc>
      </w:tr>
      <w:tr>
        <w:trPr>
          <w:trHeight w:val="714"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34"/>
              <w:jc w:val="left"/>
              <w:rPr>
                <w:rFonts w:ascii="宋体" w:hAnsi="宋体" w:cs="宋体" w:eastAsia="宋体" w:hint="default"/>
                <w:sz w:val="18"/>
                <w:szCs w:val="18"/>
              </w:rPr>
            </w:pPr>
            <w:r>
              <w:rPr>
                <w:rFonts w:ascii="宋体" w:hAnsi="宋体" w:cs="宋体" w:eastAsia="宋体" w:hint="default"/>
                <w:sz w:val="18"/>
                <w:szCs w:val="18"/>
              </w:rPr>
              <w:t>期末余额较期初余额增加</w:t>
            </w:r>
            <w:r>
              <w:rPr>
                <w:rFonts w:ascii="宋体" w:hAnsi="宋体" w:cs="宋体" w:eastAsia="宋体" w:hint="default"/>
                <w:spacing w:val="-47"/>
                <w:sz w:val="18"/>
                <w:szCs w:val="18"/>
              </w:rPr>
              <w:t> </w:t>
            </w:r>
            <w:r>
              <w:rPr>
                <w:rFonts w:ascii="宋体" w:hAnsi="宋体" w:cs="宋体" w:eastAsia="宋体" w:hint="default"/>
                <w:sz w:val="18"/>
                <w:szCs w:val="18"/>
              </w:rPr>
              <w:t>100%，是控股子公司汉高信息新增投资设立安徽西太华信息科技</w:t>
            </w:r>
            <w:r>
              <w:rPr>
                <w:rFonts w:ascii="宋体" w:hAnsi="宋体" w:cs="宋体" w:eastAsia="宋体" w:hint="default"/>
                <w:sz w:val="18"/>
                <w:szCs w:val="18"/>
              </w:rPr>
              <w:t> 有限公司所致。</w:t>
            </w:r>
          </w:p>
        </w:tc>
      </w:tr>
    </w:tbl>
    <w:p>
      <w:pPr>
        <w:spacing w:line="240" w:lineRule="auto" w:before="4"/>
        <w:rPr>
          <w:rFonts w:ascii="宋体" w:hAnsi="宋体" w:cs="宋体" w:eastAsia="宋体" w:hint="default"/>
          <w:b/>
          <w:bCs/>
          <w:sz w:val="19"/>
          <w:szCs w:val="19"/>
        </w:rPr>
      </w:pPr>
    </w:p>
    <w:p>
      <w:pPr>
        <w:pStyle w:val="Heading5"/>
        <w:spacing w:line="240" w:lineRule="auto" w:before="34"/>
        <w:ind w:right="94"/>
        <w:jc w:val="left"/>
        <w:rPr>
          <w:b w:val="0"/>
          <w:bCs w:val="0"/>
        </w:rPr>
      </w:pPr>
      <w:r>
        <w:rPr/>
        <w:t>2、主要境外资产情况</w:t>
      </w:r>
      <w:r>
        <w:rPr>
          <w:b w:val="0"/>
          <w:bCs w:val="0"/>
        </w:rPr>
      </w:r>
    </w:p>
    <w:p>
      <w:pPr>
        <w:spacing w:line="240" w:lineRule="auto" w:before="7"/>
        <w:rPr>
          <w:rFonts w:ascii="宋体" w:hAnsi="宋体" w:cs="宋体" w:eastAsia="宋体" w:hint="default"/>
          <w:b/>
          <w:bCs/>
          <w:sz w:val="27"/>
          <w:szCs w:val="27"/>
        </w:rPr>
      </w:pPr>
    </w:p>
    <w:p>
      <w:pPr>
        <w:spacing w:before="0"/>
        <w:ind w:left="112" w:right="9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25"/>
          <w:szCs w:val="25"/>
        </w:rPr>
      </w:pPr>
    </w:p>
    <w:p>
      <w:pPr>
        <w:pStyle w:val="Heading4"/>
        <w:spacing w:line="240" w:lineRule="auto"/>
        <w:ind w:right="9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78"/>
        <w:ind w:left="592" w:right="202" w:firstLine="2"/>
        <w:jc w:val="left"/>
      </w:pPr>
      <w:r>
        <w:rPr>
          <w:rFonts w:ascii="宋体" w:hAnsi="宋体" w:cs="宋体" w:eastAsia="宋体" w:hint="default"/>
          <w:b/>
          <w:bCs/>
        </w:rPr>
        <w:t>1、科技研发优势</w:t>
      </w:r>
      <w:r>
        <w:rPr>
          <w:rFonts w:ascii="宋体" w:hAnsi="宋体" w:cs="宋体" w:eastAsia="宋体" w:hint="default"/>
          <w:b/>
          <w:bCs/>
          <w:w w:val="99"/>
        </w:rPr>
        <w:t> </w:t>
      </w:r>
      <w:r>
        <w:rPr>
          <w:spacing w:val="-2"/>
        </w:rPr>
        <w:t>公司扎根交通信息化技术服务领域，以行业需求为导向，坚持自主研发，鼓励技术创新，始终站在行</w:t>
      </w:r>
    </w:p>
    <w:p>
      <w:pPr>
        <w:pStyle w:val="BodyText"/>
        <w:spacing w:line="408" w:lineRule="auto" w:before="46"/>
        <w:ind w:right="94"/>
        <w:jc w:val="left"/>
      </w:pPr>
      <w:r>
        <w:rPr>
          <w:w w:val="95"/>
        </w:rPr>
        <w:t>业技术发展前沿，研发出了多项专业信息化产品和整体解决方案，并在交通、司法、金融等领域推广和应</w:t>
      </w:r>
      <w:r>
        <w:rPr>
          <w:spacing w:val="40"/>
          <w:w w:val="95"/>
        </w:rPr>
        <w:t> </w:t>
      </w:r>
      <w:r>
        <w:rPr>
          <w:spacing w:val="40"/>
          <w:w w:val="95"/>
        </w:rPr>
      </w:r>
      <w:r>
        <w:rPr/>
        <w:t>用，在业内拥有技术领先优势。</w:t>
      </w:r>
    </w:p>
    <w:p>
      <w:pPr>
        <w:pStyle w:val="BodyText"/>
        <w:spacing w:line="408" w:lineRule="auto" w:before="46"/>
        <w:ind w:right="210" w:firstLine="480"/>
        <w:jc w:val="both"/>
      </w:pPr>
      <w:r>
        <w:rPr>
          <w:spacing w:val="-2"/>
        </w:rPr>
        <w:t>公司持续加大技术研发投入，结合信息系统建设实践，以项目练产品，以产品带项目，推进系统产品</w:t>
      </w:r>
      <w:r>
        <w:rPr>
          <w:w w:val="99"/>
        </w:rPr>
        <w:t> </w:t>
      </w:r>
      <w:r>
        <w:rPr>
          <w:w w:val="95"/>
        </w:rPr>
        <w:t>更新迭代，不断完善科技创新体系，打造高水平创新平台；通过构建产学研一体的高效研发机制，着力培</w:t>
      </w:r>
      <w:r>
        <w:rPr>
          <w:spacing w:val="42"/>
          <w:w w:val="95"/>
        </w:rPr>
        <w:t> </w:t>
      </w:r>
      <w:r>
        <w:rPr>
          <w:spacing w:val="42"/>
          <w:w w:val="95"/>
        </w:rPr>
      </w:r>
      <w:r>
        <w:rPr/>
        <w:t>养高精尖的核心技术人才，为企业发展提供强有力的后盾。</w:t>
      </w:r>
    </w:p>
    <w:p>
      <w:pPr>
        <w:pStyle w:val="BodyText"/>
        <w:spacing w:line="408" w:lineRule="auto" w:before="46"/>
        <w:ind w:right="210" w:firstLine="480"/>
        <w:jc w:val="both"/>
      </w:pPr>
      <w:r>
        <w:rPr/>
        <w:t>目前，公司已具备软件成熟度CMMI5级、ISO20000信息技术服务管理体系、ITSS信息技术服务运行维</w:t>
      </w:r>
      <w:r>
        <w:rPr>
          <w:w w:val="99"/>
        </w:rPr>
        <w:t> </w:t>
      </w:r>
      <w:r>
        <w:rPr>
          <w:w w:val="95"/>
        </w:rPr>
        <w:t>护二级等多项核心资质，拥有软件著作权百余项，发明专利十余项，彰显了强大的技术创新和系统集成实   </w:t>
      </w:r>
      <w:r>
        <w:rPr>
          <w:spacing w:val="43"/>
          <w:w w:val="95"/>
        </w:rPr>
        <w:t> </w:t>
      </w:r>
      <w:r>
        <w:rPr>
          <w:spacing w:val="43"/>
          <w:w w:val="95"/>
        </w:rPr>
      </w:r>
      <w:r>
        <w:rPr/>
        <w:t>力。</w:t>
      </w:r>
    </w:p>
    <w:p>
      <w:pPr>
        <w:spacing w:line="408" w:lineRule="auto" w:before="46"/>
        <w:ind w:left="592" w:right="202" w:hanging="60"/>
        <w:jc w:val="left"/>
        <w:rPr>
          <w:rFonts w:ascii="宋体" w:hAnsi="宋体" w:cs="宋体" w:eastAsia="宋体" w:hint="default"/>
          <w:sz w:val="21"/>
          <w:szCs w:val="21"/>
        </w:rPr>
      </w:pPr>
      <w:r>
        <w:rPr>
          <w:rFonts w:ascii="宋体" w:hAnsi="宋体" w:cs="宋体" w:eastAsia="宋体" w:hint="default"/>
          <w:b/>
          <w:bCs/>
          <w:sz w:val="21"/>
          <w:szCs w:val="21"/>
        </w:rPr>
        <w:t>2、客户资源和服务优势</w:t>
      </w:r>
      <w:r>
        <w:rPr>
          <w:rFonts w:ascii="宋体" w:hAnsi="宋体" w:cs="宋体" w:eastAsia="宋体" w:hint="default"/>
          <w:b/>
          <w:bCs/>
          <w:w w:val="99"/>
          <w:sz w:val="21"/>
          <w:szCs w:val="21"/>
        </w:rPr>
        <w:t> </w:t>
      </w:r>
      <w:r>
        <w:rPr>
          <w:rFonts w:ascii="宋体" w:hAnsi="宋体" w:cs="宋体" w:eastAsia="宋体" w:hint="default"/>
          <w:spacing w:val="-2"/>
          <w:sz w:val="21"/>
          <w:szCs w:val="21"/>
        </w:rPr>
        <w:t>公司秉承“本地化、专业化、贴近化”的服务理念，在全国范围内建立了多个运行维护中心和专业服</w:t>
      </w:r>
    </w:p>
    <w:p>
      <w:pPr>
        <w:pStyle w:val="BodyText"/>
        <w:spacing w:line="408" w:lineRule="auto" w:before="46"/>
        <w:ind w:left="592" w:right="202" w:hanging="480"/>
        <w:jc w:val="left"/>
      </w:pPr>
      <w:r>
        <w:rPr/>
        <w:t>务机构，提供全天候、高质量的客户信息系统维护、升级、改造服务。</w:t>
      </w:r>
      <w:r>
        <w:rPr>
          <w:w w:val="99"/>
        </w:rPr>
        <w:t> </w:t>
      </w:r>
      <w:r>
        <w:rPr>
          <w:spacing w:val="-2"/>
        </w:rPr>
        <w:t>公司的主要客户为交通行业内的大型企业，资信等级高且信誉良好，客户资源优质；公司凭借雄厚的</w:t>
      </w:r>
    </w:p>
    <w:p>
      <w:pPr>
        <w:pStyle w:val="BodyText"/>
        <w:spacing w:line="408" w:lineRule="auto" w:before="46"/>
        <w:ind w:right="105"/>
        <w:jc w:val="left"/>
      </w:pPr>
      <w:r>
        <w:rPr>
          <w:spacing w:val="-3"/>
        </w:rPr>
        <w:t>技术实力与优质的服务水平，赢得了广大用户的信任和支持，建立了与业主单位稳定的长期友好合作关系。</w:t>
      </w:r>
      <w:r>
        <w:rPr>
          <w:w w:val="99"/>
        </w:rPr>
        <w:t> </w:t>
      </w:r>
      <w:r>
        <w:rPr/>
        <w:t>通过全方位参与客户整体规划、系统实施及后续维护等信息化各阶段的建设，使企业在激烈的市场竞争中</w:t>
      </w:r>
      <w:r>
        <w:rPr>
          <w:w w:val="99"/>
        </w:rPr>
        <w:t> </w:t>
      </w:r>
      <w:r>
        <w:rPr/>
        <w:t>抢占先机。</w:t>
      </w:r>
    </w:p>
    <w:p>
      <w:pPr>
        <w:spacing w:after="0" w:line="408" w:lineRule="auto"/>
        <w:jc w:val="left"/>
        <w:sectPr>
          <w:footerReference w:type="default" r:id="rId14"/>
          <w:pgSz w:w="11910" w:h="16840"/>
          <w:pgMar w:footer="937" w:header="746" w:top="1040" w:bottom="1120" w:left="1020" w:right="920"/>
          <w:pgNumType w:start="1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408" w:lineRule="auto" w:before="0"/>
        <w:ind w:left="583" w:right="171" w:hanging="51"/>
        <w:jc w:val="left"/>
      </w:pPr>
      <w:r>
        <w:rPr>
          <w:rFonts w:ascii="宋体" w:hAnsi="宋体" w:cs="宋体" w:eastAsia="宋体" w:hint="default"/>
          <w:b/>
          <w:bCs/>
        </w:rPr>
        <w:t>3、产业链协同优势</w:t>
      </w:r>
      <w:r>
        <w:rPr>
          <w:rFonts w:ascii="宋体" w:hAnsi="宋体" w:cs="宋体" w:eastAsia="宋体" w:hint="default"/>
          <w:b/>
          <w:bCs/>
          <w:w w:val="99"/>
        </w:rPr>
        <w:t> </w:t>
      </w:r>
      <w:r>
        <w:rPr>
          <w:spacing w:val="-2"/>
        </w:rPr>
        <w:t>公司基于对行业发展趋势分析，结合企业发展现状，持续优化“大交通信息化”产业链布局。通过投</w:t>
      </w:r>
    </w:p>
    <w:p>
      <w:pPr>
        <w:pStyle w:val="BodyText"/>
        <w:spacing w:line="408" w:lineRule="auto" w:before="46"/>
        <w:ind w:right="170"/>
        <w:jc w:val="both"/>
      </w:pPr>
      <w:r>
        <w:rPr>
          <w:w w:val="95"/>
        </w:rPr>
        <w:t>资并购、战略合作等手段在主营业务上下游产业整合优质企业，延伸产业链条，拓宽业务渠道；对集团业</w:t>
      </w:r>
      <w:r>
        <w:rPr>
          <w:spacing w:val="44"/>
          <w:w w:val="95"/>
        </w:rPr>
        <w:t> </w:t>
      </w:r>
      <w:r>
        <w:rPr>
          <w:spacing w:val="44"/>
          <w:w w:val="95"/>
        </w:rPr>
      </w:r>
      <w:r>
        <w:rPr>
          <w:w w:val="95"/>
        </w:rPr>
        <w:t>务规划、产品结构、市场布局等多方面进行适度优化调整，细化分工，促进各业务协同增效，充分发挥资</w:t>
      </w:r>
      <w:r>
        <w:rPr>
          <w:spacing w:val="45"/>
          <w:w w:val="95"/>
        </w:rPr>
        <w:t> </w:t>
      </w:r>
      <w:r>
        <w:rPr>
          <w:spacing w:val="45"/>
          <w:w w:val="95"/>
        </w:rPr>
      </w:r>
      <w:r>
        <w:rPr/>
        <w:t>源聚合优势和产业集群效应，提高企业综合竞争力。</w:t>
      </w:r>
    </w:p>
    <w:p>
      <w:pPr>
        <w:pStyle w:val="BodyText"/>
        <w:spacing w:line="408" w:lineRule="auto" w:before="46"/>
        <w:ind w:right="171" w:firstLine="470"/>
        <w:jc w:val="left"/>
      </w:pPr>
      <w:r>
        <w:rPr>
          <w:w w:val="95"/>
        </w:rPr>
        <w:t>公司通过开展各子公司间的研发、业务与市场交流，促进集团内部信息沟通、技术融合和渠道共享，</w:t>
      </w:r>
      <w:r>
        <w:rPr>
          <w:w w:val="99"/>
        </w:rPr>
        <w:t> </w:t>
      </w:r>
      <w:r>
        <w:rPr/>
        <w:t>已形成了传统业务与新兴业务齐头并进的良好发展局面，焕发企业组织活力，增强整体管理效率。</w:t>
      </w:r>
    </w:p>
    <w:p>
      <w:pPr>
        <w:spacing w:after="0" w:line="408" w:lineRule="auto"/>
        <w:jc w:val="left"/>
        <w:sectPr>
          <w:pgSz w:w="11910" w:h="16840"/>
          <w:pgMar w:header="746" w:footer="937" w:top="1040" w:bottom="1120" w:left="102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1"/>
        <w:spacing w:line="240" w:lineRule="auto"/>
        <w:ind w:left="2928" w:right="94"/>
        <w:jc w:val="left"/>
        <w:rPr>
          <w:b w:val="0"/>
          <w:bCs w:val="0"/>
        </w:rPr>
      </w:pPr>
      <w:bookmarkStart w:name="_bookmark3" w:id="4"/>
      <w:bookmarkEnd w:id="4"/>
      <w:r>
        <w:rPr>
          <w:b w:val="0"/>
          <w:bCs w:val="0"/>
        </w:rPr>
      </w:r>
      <w:r>
        <w:rPr/>
        <w:t>第四节</w:t>
      </w:r>
      <w:r>
        <w:rPr>
          <w:spacing w:val="-11"/>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94"/>
        <w:jc w:val="left"/>
        <w:rPr>
          <w:b w:val="0"/>
          <w:bCs w:val="0"/>
        </w:rPr>
      </w:pP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210" w:firstLine="420"/>
        <w:jc w:val="both"/>
      </w:pPr>
      <w:r>
        <w:rPr>
          <w:w w:val="95"/>
        </w:rPr>
        <w:t>报告期内，公司紧密围绕企业发展战略和年度经营计划，充分发挥行业优势，加大市场开拓力度，推</w:t>
      </w:r>
      <w:r>
        <w:rPr>
          <w:w w:val="99"/>
        </w:rPr>
        <w:t> </w:t>
      </w:r>
      <w:r>
        <w:rPr>
          <w:w w:val="95"/>
        </w:rPr>
        <w:t>进技术创新，优化业务结构，精细内部管理，深化资本运作，保持了企业规模与经济效益同步增长的良好</w:t>
      </w:r>
      <w:r>
        <w:rPr>
          <w:spacing w:val="41"/>
          <w:w w:val="95"/>
        </w:rPr>
        <w:t> </w:t>
      </w:r>
      <w:r>
        <w:rPr>
          <w:spacing w:val="41"/>
          <w:w w:val="95"/>
        </w:rPr>
      </w:r>
      <w:r>
        <w:rPr/>
        <w:t>发展态势。</w:t>
      </w:r>
    </w:p>
    <w:p>
      <w:pPr>
        <w:spacing w:line="240" w:lineRule="auto" w:before="8"/>
        <w:rPr>
          <w:rFonts w:ascii="宋体" w:hAnsi="宋体" w:cs="宋体" w:eastAsia="宋体" w:hint="default"/>
          <w:sz w:val="18"/>
          <w:szCs w:val="18"/>
        </w:rPr>
      </w:pPr>
    </w:p>
    <w:p>
      <w:pPr>
        <w:pStyle w:val="Heading4"/>
        <w:spacing w:line="240" w:lineRule="auto"/>
        <w:ind w:right="94"/>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94"/>
        <w:jc w:val="left"/>
        <w:rPr>
          <w:b w:val="0"/>
          <w:bCs w:val="0"/>
        </w:rPr>
      </w:pPr>
      <w:r>
        <w:rPr/>
        <w:t>1、概述</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right="211" w:firstLine="420"/>
        <w:jc w:val="both"/>
      </w:pPr>
      <w:r>
        <w:rPr/>
        <w:t>报告期内，公司实现营业收入995,817,238.17元，比上年同期增长0.37%；利润总额109,969,818.86</w:t>
      </w:r>
      <w:r>
        <w:rPr>
          <w:w w:val="99"/>
        </w:rPr>
        <w:t> </w:t>
      </w:r>
      <w:r>
        <w:rPr/>
        <w:t>元，比上年同期增长12.06%；归属于上市公司股东的净利润82,717,605.13元，比上年同期增长7.60%。</w:t>
      </w:r>
    </w:p>
    <w:p>
      <w:pPr>
        <w:pStyle w:val="BodyText"/>
        <w:spacing w:line="408" w:lineRule="auto" w:before="46"/>
        <w:ind w:right="210" w:firstLine="480"/>
        <w:jc w:val="both"/>
      </w:pPr>
      <w:r>
        <w:rPr>
          <w:spacing w:val="-2"/>
        </w:rPr>
        <w:t>报告期内，公司继续在“大交通信息化”领域精耕细作，通过产品创新和服务升级，增强传统业务综</w:t>
      </w:r>
      <w:r>
        <w:rPr>
          <w:w w:val="99"/>
        </w:rPr>
        <w:t> </w:t>
      </w:r>
      <w:r>
        <w:rPr>
          <w:w w:val="95"/>
        </w:rPr>
        <w:t>合竞争优势，着力提升盈利水平；立足既有平台和资源，通过资本和产业整合，积极布局新兴业务，推动</w:t>
      </w:r>
      <w:r>
        <w:rPr>
          <w:spacing w:val="44"/>
          <w:w w:val="95"/>
        </w:rPr>
        <w:t> </w:t>
      </w:r>
      <w:r>
        <w:rPr>
          <w:spacing w:val="44"/>
          <w:w w:val="95"/>
        </w:rPr>
      </w:r>
      <w:r>
        <w:rPr/>
        <w:t>企业升级发展。其中：</w:t>
      </w:r>
    </w:p>
    <w:p>
      <w:pPr>
        <w:pStyle w:val="BodyText"/>
        <w:spacing w:line="408" w:lineRule="auto" w:before="46"/>
        <w:ind w:right="94" w:firstLine="480"/>
        <w:jc w:val="left"/>
      </w:pPr>
      <w:r>
        <w:rPr>
          <w:spacing w:val="-4"/>
          <w:w w:val="99"/>
        </w:rPr>
        <w:t>高速公路信息化领域，充分发挥在特长隧道信息化建设领域的技术优势和示范效应，顺利中标国道318</w:t>
      </w:r>
      <w:r>
        <w:rPr>
          <w:w w:val="99"/>
        </w:rPr>
        <w:t> </w:t>
      </w:r>
      <w:r>
        <w:rPr/>
        <w:t>线西藏米拉山隧道机电工程、安徽省道318土地岭隧道机电工程、国道318线岳西至白帽隧道机电工程等多</w:t>
      </w:r>
      <w:r>
        <w:rPr>
          <w:w w:val="99"/>
        </w:rPr>
        <w:t> </w:t>
      </w:r>
      <w:r>
        <w:rPr/>
        <w:t>个项目，继续拓展国省道隧道信息化市场；瞄准存量高速公路改扩建及运行维护市场需求，做实做优运行</w:t>
      </w:r>
      <w:r>
        <w:rPr>
          <w:w w:val="99"/>
        </w:rPr>
        <w:t> </w:t>
      </w:r>
      <w:r>
        <w:rPr>
          <w:spacing w:val="-3"/>
        </w:rPr>
        <w:t>维护业务，扩大市场占有率；密切与交通行业主管部门的战略合作关系，相继在安徽、江西、湖北、湖南、</w:t>
      </w:r>
      <w:r>
        <w:rPr>
          <w:w w:val="99"/>
        </w:rPr>
        <w:t> </w:t>
      </w:r>
      <w:r>
        <w:rPr/>
        <w:t>陕西等地建设并完善省级数据中心及应急指挥管理平台，大力推广成熟信息化产品和整体解决方案，如：</w:t>
      </w:r>
      <w:r>
        <w:rPr>
          <w:w w:val="99"/>
        </w:rPr>
        <w:t> </w:t>
      </w:r>
      <w:r>
        <w:rPr/>
        <w:t>交通信用信息系统、应急指挥系统、路网监控系统等，为公司信息化系统普及应用打开了新市场；</w:t>
      </w:r>
    </w:p>
    <w:p>
      <w:pPr>
        <w:pStyle w:val="BodyText"/>
        <w:spacing w:line="408" w:lineRule="auto" w:before="46"/>
        <w:ind w:right="212" w:firstLine="480"/>
        <w:jc w:val="both"/>
      </w:pPr>
      <w:r>
        <w:rPr>
          <w:spacing w:val="-2"/>
        </w:rPr>
        <w:t>港口航运信息化领域，紧抓各地码头新建、港口整合及转型升级机遇，以码头作业自动化和智能化改</w:t>
      </w:r>
      <w:r>
        <w:rPr>
          <w:w w:val="99"/>
        </w:rPr>
        <w:t> </w:t>
      </w:r>
      <w:r>
        <w:rPr>
          <w:w w:val="95"/>
        </w:rPr>
        <w:t>造为方向，深耕区域市场，加强战略合作，巩固老客户，开发新客户，成功夺取营口港多式联运、南京港</w:t>
      </w:r>
      <w:r>
        <w:rPr>
          <w:spacing w:val="40"/>
          <w:w w:val="95"/>
        </w:rPr>
        <w:t> </w:t>
      </w:r>
      <w:r>
        <w:rPr>
          <w:spacing w:val="40"/>
          <w:w w:val="95"/>
        </w:rPr>
      </w:r>
      <w:r>
        <w:rPr>
          <w:w w:val="95"/>
        </w:rPr>
        <w:t>集装箱统一管理平台、广州港集装箱物流信息平台、常州录安洲自动化堆场信息系统升级改造等战略型项</w:t>
      </w:r>
      <w:r>
        <w:rPr>
          <w:spacing w:val="40"/>
          <w:w w:val="95"/>
        </w:rPr>
        <w:t> </w:t>
      </w:r>
      <w:r>
        <w:rPr>
          <w:spacing w:val="40"/>
          <w:w w:val="95"/>
        </w:rPr>
      </w:r>
      <w:r>
        <w:rPr>
          <w:w w:val="95"/>
        </w:rPr>
        <w:t>目，稳步提升市场占有率；紧跟“一带一路”重点区域建设动向，完善海外市场信息搜集和分析机制，加</w:t>
      </w:r>
      <w:r>
        <w:rPr>
          <w:spacing w:val="40"/>
          <w:w w:val="95"/>
        </w:rPr>
        <w:t> </w:t>
      </w:r>
      <w:r>
        <w:rPr>
          <w:spacing w:val="40"/>
          <w:w w:val="95"/>
        </w:rPr>
      </w:r>
      <w:r>
        <w:rPr/>
        <w:t>快国际业务的技术升级和人才储备，积极拓展非洲、中东、东南亚和拉美区域的港口信息化建设市场；</w:t>
      </w:r>
    </w:p>
    <w:p>
      <w:pPr>
        <w:pStyle w:val="BodyText"/>
        <w:spacing w:line="408" w:lineRule="auto" w:before="46"/>
        <w:ind w:right="210" w:firstLine="480"/>
        <w:jc w:val="both"/>
      </w:pPr>
      <w:r>
        <w:rPr>
          <w:spacing w:val="-2"/>
        </w:rPr>
        <w:t>城市智能交通领域，聚焦优质客户，精细项目管理，强化项目交付能力，树立标杆案例，形成“以点</w:t>
      </w:r>
      <w:r>
        <w:rPr>
          <w:w w:val="99"/>
        </w:rPr>
        <w:t> </w:t>
      </w:r>
      <w:r>
        <w:rPr>
          <w:w w:val="95"/>
        </w:rPr>
        <w:t>带面、以线带片”的项目示范效应，撬动规模化智能交通市场；在拓展新建项目市场的基础上，主动发掘</w:t>
      </w:r>
      <w:r>
        <w:rPr>
          <w:spacing w:val="45"/>
          <w:w w:val="95"/>
        </w:rPr>
        <w:t> </w:t>
      </w:r>
      <w:r>
        <w:rPr>
          <w:spacing w:val="45"/>
          <w:w w:val="95"/>
        </w:rPr>
      </w:r>
      <w:r>
        <w:rPr>
          <w:w w:val="95"/>
        </w:rPr>
        <w:t>并积极参与城市智能交通后续运维工作，已连续三年中标蚌埠市道路交通安全设施维护项目；牢牢巩固在</w:t>
      </w:r>
      <w:r>
        <w:rPr/>
      </w:r>
    </w:p>
    <w:p>
      <w:pPr>
        <w:spacing w:after="0" w:line="408" w:lineRule="auto"/>
        <w:jc w:val="both"/>
        <w:sectPr>
          <w:pgSz w:w="11910" w:h="16840"/>
          <w:pgMar w:header="746" w:footer="937" w:top="1040" w:bottom="1120" w:left="1020" w:right="9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408" w:lineRule="auto" w:before="0"/>
        <w:ind w:right="105"/>
        <w:jc w:val="left"/>
      </w:pPr>
      <w:r>
        <w:rPr/>
        <w:t>合肥、蚌埠等安徽省地市区域的市场领先优势，加大营销人员和项目管理人员的引进力度，以快速的市场</w:t>
      </w:r>
      <w:r>
        <w:rPr>
          <w:w w:val="99"/>
        </w:rPr>
        <w:t> </w:t>
      </w:r>
      <w:r>
        <w:rPr>
          <w:spacing w:val="-3"/>
        </w:rPr>
        <w:t>响应能力和丰富的项目运作经验，形成集商务拓展、项目运营、产品服务、本地化管理于一体的营销体系，</w:t>
      </w:r>
      <w:r>
        <w:rPr>
          <w:w w:val="99"/>
        </w:rPr>
        <w:t> </w:t>
      </w:r>
      <w:r>
        <w:rPr/>
        <w:t>持续扩大市场份额；</w:t>
      </w:r>
    </w:p>
    <w:p>
      <w:pPr>
        <w:pStyle w:val="BodyText"/>
        <w:spacing w:line="408" w:lineRule="auto" w:before="46"/>
        <w:ind w:right="210" w:firstLine="480"/>
        <w:jc w:val="both"/>
      </w:pPr>
      <w:r>
        <w:rPr/>
        <w:t>智能安防领域，紧抓各地“平安城市”建设战略机遇，成功中标安徽省亳州市直单位&amp;居民小区公共</w:t>
      </w:r>
      <w:r>
        <w:rPr>
          <w:w w:val="99"/>
        </w:rPr>
        <w:t> </w:t>
      </w:r>
      <w:r>
        <w:rPr>
          <w:spacing w:val="4"/>
        </w:rPr>
        <w:t>区域视频监控系统项目、亳州市视频数据平台后期建设选取入围集成商项目，迈出了公司进军“平安城</w:t>
      </w:r>
      <w:r>
        <w:rPr>
          <w:w w:val="99"/>
        </w:rPr>
        <w:t> </w:t>
      </w:r>
      <w:r>
        <w:rPr>
          <w:w w:val="95"/>
        </w:rPr>
        <w:t>市”市场的坚实步伐；聚合资源优势，延伸产品链条，在司法信息化、建筑智能化、金融信息化等细分市</w:t>
      </w:r>
      <w:r>
        <w:rPr>
          <w:spacing w:val="43"/>
          <w:w w:val="95"/>
        </w:rPr>
        <w:t> </w:t>
      </w:r>
      <w:r>
        <w:rPr>
          <w:spacing w:val="43"/>
          <w:w w:val="95"/>
        </w:rPr>
      </w:r>
      <w:r>
        <w:rPr>
          <w:w w:val="95"/>
        </w:rPr>
        <w:t>场领域持续探索，凭借积极灵活的市场策略和踏实奋斗的敬业精神，为行业信息化服务提供多元化发展思   </w:t>
      </w:r>
      <w:r>
        <w:rPr>
          <w:spacing w:val="37"/>
          <w:w w:val="95"/>
        </w:rPr>
        <w:t> </w:t>
      </w:r>
      <w:r>
        <w:rPr>
          <w:spacing w:val="37"/>
          <w:w w:val="95"/>
        </w:rPr>
      </w:r>
      <w:r>
        <w:rPr/>
        <w:t>路。</w:t>
      </w:r>
    </w:p>
    <w:p>
      <w:pPr>
        <w:pStyle w:val="BodyText"/>
        <w:spacing w:line="408" w:lineRule="auto" w:before="46"/>
        <w:ind w:right="212" w:firstLine="480"/>
        <w:jc w:val="both"/>
      </w:pPr>
      <w:r>
        <w:rPr/>
        <w:t>报告期内，公司加快布局“互联网+”业务，积极开展基于云计算、大数据的商业模式创新，推进对</w:t>
      </w:r>
      <w:r>
        <w:rPr>
          <w:w w:val="99"/>
        </w:rPr>
        <w:t> </w:t>
      </w:r>
      <w:r>
        <w:rPr/>
        <w:t>旗下互联网平台的业务整合和升级，开拓新的盈利渠道，努力提升行业价值。</w:t>
      </w:r>
    </w:p>
    <w:p>
      <w:pPr>
        <w:pStyle w:val="BodyText"/>
        <w:spacing w:line="408" w:lineRule="auto" w:before="46"/>
        <w:ind w:right="212" w:firstLine="480"/>
        <w:jc w:val="both"/>
      </w:pPr>
      <w:r>
        <w:rPr/>
        <w:t>公司以行云天下手机app和微信公众号两大服务平台为载体，依托ETC网上营业厅和95369安徽交通卡</w:t>
      </w:r>
      <w:r>
        <w:rPr>
          <w:w w:val="99"/>
        </w:rPr>
        <w:t> </w:t>
      </w:r>
      <w:r>
        <w:rPr>
          <w:spacing w:val="2"/>
          <w:w w:val="95"/>
        </w:rPr>
        <w:t>话务中心，持续强化在ETC服务领域的行业地位和话语权，实现了经营规模和用户数量的快速增长；为更</w:t>
      </w:r>
      <w:r>
        <w:rPr>
          <w:spacing w:val="45"/>
          <w:w w:val="95"/>
        </w:rPr>
        <w:t> </w:t>
      </w:r>
      <w:r>
        <w:rPr>
          <w:spacing w:val="45"/>
          <w:w w:val="95"/>
        </w:rPr>
      </w:r>
      <w:r>
        <w:rPr>
          <w:w w:val="95"/>
        </w:rPr>
        <w:t>好地抢占出行服务和车后市场，行云天下收购了上海亲益保网络科技有限公司和安徽光大保险代理有限责</w:t>
      </w:r>
      <w:r>
        <w:rPr>
          <w:spacing w:val="37"/>
          <w:w w:val="95"/>
        </w:rPr>
        <w:t> </w:t>
      </w:r>
      <w:r>
        <w:rPr>
          <w:spacing w:val="37"/>
          <w:w w:val="95"/>
        </w:rPr>
      </w:r>
      <w:r>
        <w:rPr>
          <w:spacing w:val="-5"/>
        </w:rPr>
        <w:t>任公司，对原有业务内容和运作模式进行升级换代，形成了“用车服务”、“保险服务”、“车生活服务”</w:t>
      </w:r>
      <w:r>
        <w:rPr>
          <w:w w:val="99"/>
        </w:rPr>
        <w:t> </w:t>
      </w:r>
      <w:r>
        <w:rPr/>
        <w:t>三个业务板块，构建一体化综合性服务平台，营造以汽车养用需求为核心的车主车生活服务生态圈。</w:t>
      </w:r>
    </w:p>
    <w:p>
      <w:pPr>
        <w:pStyle w:val="BodyText"/>
        <w:spacing w:line="408" w:lineRule="auto" w:before="46"/>
        <w:ind w:right="192" w:firstLine="480"/>
        <w:jc w:val="both"/>
      </w:pPr>
      <w:r>
        <w:rPr/>
        <w:t>公司按照“平台+数据+服务”的发展理念，以中国港口网、领航者EDI平台、船舶跟踪系统、集装箱</w:t>
      </w:r>
      <w:r>
        <w:rPr>
          <w:w w:val="99"/>
        </w:rPr>
        <w:t> </w:t>
      </w:r>
      <w:r>
        <w:rPr>
          <w:w w:val="95"/>
        </w:rPr>
        <w:t>跟踪、领航者系列SaaS平台为载体，建设港口航运大数据平台，开展基于智能检索和大数据分析的港航业</w:t>
      </w:r>
      <w:r>
        <w:rPr>
          <w:spacing w:val="43"/>
          <w:w w:val="95"/>
        </w:rPr>
        <w:t> </w:t>
      </w:r>
      <w:r>
        <w:rPr>
          <w:spacing w:val="43"/>
          <w:w w:val="95"/>
        </w:rPr>
      </w:r>
      <w:r>
        <w:rPr>
          <w:w w:val="95"/>
        </w:rPr>
        <w:t>务营运预测及物流跟踪服务；为进一步强化企业“线上业务运营”和“线下业务运作”相结合的能力，公</w:t>
      </w:r>
      <w:r>
        <w:rPr>
          <w:spacing w:val="40"/>
          <w:w w:val="95"/>
        </w:rPr>
        <w:t> </w:t>
      </w:r>
      <w:r>
        <w:rPr>
          <w:spacing w:val="40"/>
          <w:w w:val="95"/>
        </w:rPr>
      </w:r>
      <w:r>
        <w:rPr>
          <w:w w:val="95"/>
        </w:rPr>
        <w:t>司与国内资深航运人士合资成立了上海舶云供应链管理有限公司，为内贸海运业各方提供“物流跟踪”、</w:t>
      </w:r>
      <w:r>
        <w:rPr>
          <w:spacing w:val="61"/>
          <w:w w:val="95"/>
        </w:rPr>
        <w:t> </w:t>
      </w:r>
      <w:r>
        <w:rPr>
          <w:spacing w:val="61"/>
          <w:w w:val="95"/>
        </w:rPr>
      </w:r>
      <w:r>
        <w:rPr>
          <w:w w:val="95"/>
        </w:rPr>
        <w:t>“航次管理”、“机务管理”、“数据分析”、“金融扶持”等产业相关SaaS服务，打造“航运+互联网+</w:t>
      </w:r>
      <w:r>
        <w:rPr>
          <w:spacing w:val="43"/>
          <w:w w:val="95"/>
        </w:rPr>
        <w:t> </w:t>
      </w:r>
      <w:r>
        <w:rPr>
          <w:spacing w:val="43"/>
          <w:w w:val="95"/>
        </w:rPr>
      </w:r>
      <w:r>
        <w:rPr/>
        <w:t>金融+服务”的综合性一体化平台，大力拓展内贸大特件、杂件货海运市场。</w:t>
      </w:r>
    </w:p>
    <w:p>
      <w:pPr>
        <w:pStyle w:val="BodyText"/>
        <w:spacing w:line="408" w:lineRule="auto" w:before="46"/>
        <w:ind w:right="212" w:firstLine="480"/>
        <w:jc w:val="both"/>
      </w:pPr>
      <w:r>
        <w:rPr>
          <w:spacing w:val="-2"/>
        </w:rPr>
        <w:t>报告期内，公司旗下“行云天下平台”和“舶云智运综合服务平台”分别荣获“全国公路出行服务产</w:t>
      </w:r>
      <w:r>
        <w:rPr>
          <w:w w:val="99"/>
        </w:rPr>
        <w:t> </w:t>
      </w:r>
      <w:r>
        <w:rPr>
          <w:w w:val="95"/>
        </w:rPr>
        <w:t>品移动客户端影响力TOP10”和“中国小谷围‘互联网+交通运输’创新创业大赛一等奖”，彰显了强大的</w:t>
      </w:r>
      <w:r>
        <w:rPr>
          <w:spacing w:val="37"/>
          <w:w w:val="95"/>
        </w:rPr>
        <w:t> </w:t>
      </w:r>
      <w:r>
        <w:rPr>
          <w:spacing w:val="37"/>
          <w:w w:val="95"/>
        </w:rPr>
      </w:r>
      <w:r>
        <w:rPr/>
        <w:t>品牌实力和发展潜力。</w:t>
      </w:r>
    </w:p>
    <w:p>
      <w:pPr>
        <w:pStyle w:val="BodyText"/>
        <w:spacing w:line="408" w:lineRule="auto" w:before="46"/>
        <w:ind w:right="210" w:firstLine="480"/>
        <w:jc w:val="both"/>
      </w:pPr>
      <w:r>
        <w:rPr>
          <w:spacing w:val="-2"/>
        </w:rPr>
        <w:t>报告期内，公司加快并购重组步伐，积极推进发行股份购买资产并募集配套资金事项，以向特定对象</w:t>
      </w:r>
      <w:r>
        <w:rPr>
          <w:w w:val="99"/>
        </w:rPr>
        <w:t> </w:t>
      </w:r>
      <w:r>
        <w:rPr>
          <w:w w:val="95"/>
        </w:rPr>
        <w:t>非公开发行股份的方式收购以军工电子信息为主营业务的赛英科技100%股权，并以询价的方式向不超过10</w:t>
      </w:r>
      <w:r>
        <w:rPr>
          <w:spacing w:val="41"/>
          <w:w w:val="95"/>
        </w:rPr>
        <w:t> </w:t>
      </w:r>
      <w:r>
        <w:rPr>
          <w:spacing w:val="41"/>
          <w:w w:val="95"/>
        </w:rPr>
      </w:r>
      <w:r>
        <w:rPr>
          <w:spacing w:val="2"/>
          <w:w w:val="95"/>
        </w:rPr>
        <w:t>名其他特定投资者发行股份募集配套资金不超过1.825亿元，用于赛英科技微位移雷达生产线建设项目。</w:t>
      </w:r>
      <w:r>
        <w:rPr>
          <w:spacing w:val="42"/>
          <w:w w:val="95"/>
        </w:rPr>
        <w:t> </w:t>
      </w:r>
      <w:r>
        <w:rPr>
          <w:spacing w:val="42"/>
          <w:w w:val="95"/>
        </w:rPr>
      </w:r>
      <w:r>
        <w:rPr>
          <w:w w:val="95"/>
        </w:rPr>
        <w:t>目前，该事项已获得中国证监会核准批复，发行股份购买资产事项已经完成，后续配套融资事宜正在有条</w:t>
      </w:r>
      <w:r>
        <w:rPr>
          <w:spacing w:val="43"/>
          <w:w w:val="95"/>
        </w:rPr>
        <w:t> </w:t>
      </w:r>
      <w:r>
        <w:rPr>
          <w:spacing w:val="43"/>
          <w:w w:val="95"/>
        </w:rPr>
      </w:r>
      <w:r>
        <w:rPr/>
        <w:t>不紊地推进中。</w:t>
      </w:r>
    </w:p>
    <w:p>
      <w:pPr>
        <w:spacing w:after="0" w:line="408" w:lineRule="auto"/>
        <w:jc w:val="both"/>
        <w:sectPr>
          <w:pgSz w:w="11910" w:h="16840"/>
          <w:pgMar w:header="746" w:footer="937" w:top="1040" w:bottom="1120" w:left="1020" w:right="9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2、收入与成本</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（1）营业收入构成</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995,817,238.17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
              <w:jc w:val="right"/>
              <w:rPr>
                <w:rFonts w:ascii="宋体" w:hAnsi="宋体" w:cs="宋体" w:eastAsia="宋体" w:hint="default"/>
                <w:sz w:val="18"/>
                <w:szCs w:val="18"/>
              </w:rPr>
            </w:pPr>
            <w:r>
              <w:rPr>
                <w:rFonts w:ascii="宋体"/>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992,136,841.31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
              <w:jc w:val="right"/>
              <w:rPr>
                <w:rFonts w:ascii="宋体" w:hAnsi="宋体" w:cs="宋体" w:eastAsia="宋体" w:hint="default"/>
                <w:sz w:val="18"/>
                <w:szCs w:val="18"/>
              </w:rPr>
            </w:pPr>
            <w:r>
              <w:rPr>
                <w:rFonts w:ascii="宋体"/>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0.37%</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高速公路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680,672,882.32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676,425,747.40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港口航运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151,804,957.13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126,595,878.18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19.91%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城市智能交通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64,286,104.97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58,126,032.41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10.60%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智能安防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65,928,879.72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83,789,009.01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-21.32%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33,124,414.03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47,200,174.31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-29.82%</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822,451,772.50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780,474,505.88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5.38%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131,556,196.44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142,643,005.90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32,253,505.02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36,033,039.07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-10.49%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9,555,764.21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32,986,290.46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-71.03%</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安徽省内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521,054,738.12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485,838,264.22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安徽省外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474,762,500.05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506,298,577.09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-6.23%</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r>
        <w:rPr/>
        <w:t>（2）占公司营业收入或营业利润</w:t>
      </w:r>
      <w:r>
        <w:rPr>
          <w:spacing w:val="-65"/>
        </w:rPr>
        <w:t> </w:t>
      </w:r>
      <w:r>
        <w:rPr/>
        <w:t>10%以上的行业、产品或地区情况</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6" w:footer="937" w:top="1040" w:bottom="1120" w:left="1020" w:right="1020"/>
        </w:sectPr>
      </w:pPr>
    </w:p>
    <w:p>
      <w:pPr>
        <w:spacing w:line="360"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120" w:left="1020" w:right="1020"/>
          <w:cols w:num="2" w:equalWidth="0">
            <w:col w:w="3173" w:space="5745"/>
            <w:col w:w="952"/>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7" w:right="4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高速公路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680,672,882.32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531,605,245.64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-5.20%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4.81%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港口航运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151,804,957.13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91,667,768.00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19.32%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城市智能交通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64,286,104.97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53,026,086.37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10.55%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智能安防</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65,928,879.72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50,344,945.62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2.49%</w:t>
            </w: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33,124,414.03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23,401,714.02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-33.38%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3.77%</w:t>
            </w:r>
          </w:p>
        </w:tc>
      </w:tr>
    </w:tbl>
    <w:p>
      <w:pPr>
        <w:spacing w:after="0" w:line="240" w:lineRule="auto"/>
        <w:jc w:val="right"/>
        <w:rPr>
          <w:rFonts w:ascii="宋体" w:hAnsi="宋体" w:cs="宋体" w:eastAsia="宋体" w:hint="default"/>
          <w:sz w:val="18"/>
          <w:szCs w:val="18"/>
        </w:rPr>
        <w:sectPr>
          <w:type w:val="continuous"/>
          <w:pgSz w:w="11910" w:h="16840"/>
          <w:pgMar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995,817,238.17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750,045,759.65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-4.67%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3.98%</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822,451,772.50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663,918,660.17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-0.25%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131,556,196.44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73,911,205.06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-6.97%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-0.48%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32,253,505.02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6,173,415.88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-49.92%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15.07%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9,555,764.21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6,042,478.54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-79.47%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995,817,238.17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750,045,759.65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-4.67%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3.98%</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安徽省内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521,054,738.12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379,477,522.07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474,762,500.05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370,568,237.58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-10.11%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995,817,238.17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750,045,759.65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-4.67%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3.98%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年按报告期末口径调整后的主营业务数据</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（3）公司实物销售收入是否大于劳务收入</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（4）公司已签订的重大销售合同截至本报告期的履行情况</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（5）营业成本构成</w:t>
      </w:r>
      <w:r>
        <w:rPr>
          <w:b w:val="0"/>
          <w:bCs w:val="0"/>
        </w:rPr>
      </w:r>
    </w:p>
    <w:p>
      <w:pPr>
        <w:spacing w:line="240" w:lineRule="auto" w:before="4"/>
        <w:rPr>
          <w:rFonts w:ascii="宋体" w:hAnsi="宋体" w:cs="宋体" w:eastAsia="宋体" w:hint="default"/>
          <w:b/>
          <w:bCs/>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外购材料及工程 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658,253,727.63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sz w:val="18"/>
              </w:rPr>
              <w:t>739,484,635.07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-10.98%</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53,444,015.06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center"/>
              <w:rPr>
                <w:rFonts w:ascii="宋体" w:hAnsi="宋体" w:cs="宋体" w:eastAsia="宋体" w:hint="default"/>
                <w:sz w:val="18"/>
                <w:szCs w:val="18"/>
              </w:rPr>
            </w:pPr>
            <w:r>
              <w:rPr>
                <w:rFonts w:ascii="宋体"/>
                <w:sz w:val="18"/>
              </w:rPr>
              <w:t>28,896,972.84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84.95%</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38,348,016.96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0" w:right="0"/>
              <w:jc w:val="center"/>
              <w:rPr>
                <w:rFonts w:ascii="宋体" w:hAnsi="宋体" w:cs="宋体" w:eastAsia="宋体" w:hint="default"/>
                <w:sz w:val="18"/>
                <w:szCs w:val="18"/>
              </w:rPr>
            </w:pPr>
            <w:r>
              <w:rPr>
                <w:rFonts w:ascii="宋体"/>
                <w:sz w:val="18"/>
              </w:rPr>
              <w:t>18,398,910.58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108.43%</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750,045,759.65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sz w:val="18"/>
              </w:rPr>
              <w:t>786,780,518.49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-4.67%</w:t>
            </w:r>
          </w:p>
        </w:tc>
      </w:tr>
    </w:tbl>
    <w:p>
      <w:pPr>
        <w:spacing w:line="240" w:lineRule="auto" w:before="5"/>
        <w:rPr>
          <w:rFonts w:ascii="宋体" w:hAnsi="宋体" w:cs="宋体" w:eastAsia="宋体" w:hint="default"/>
          <w:sz w:val="27"/>
          <w:szCs w:val="27"/>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外购材料及工程 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612,330,899.84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640,886,993.67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23,301,266.67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12,210,782.84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90.83%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28,286,493.66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12,469,117.31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126.85%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663,918,660.17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665,566,893.82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-0.25%</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外购材料及工程 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39,474,266.34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61,591,676.76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-35.91%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24,574,234.24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12,459,009.75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97.24%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9,862,704.48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5,400,459.95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82.63%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73,911,205.06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79,451,146.46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-6.97%</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外购材料及工程 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406,082.91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7,359,974.55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-94.48%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5,568,514.15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4,227,180.25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31.73%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198,818.82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739,555.38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-73.12%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技术转让</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6,173,415.88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12,326,710.18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-49.92%</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外购材料及工程 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6,042,478.54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29,435,768.03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-79.47%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6,042,478.54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29,435,768.03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-79.47%</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（6）报告期内合并范围是否发生变动</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pStyle w:val="BodyText"/>
        <w:spacing w:line="240" w:lineRule="auto" w:before="92"/>
        <w:ind w:right="0"/>
        <w:jc w:val="left"/>
      </w:pPr>
      <w:r>
        <w:rPr/>
        <w:t>本期新纳入合并范围的子公司、特殊目的主体、通过受托经营或承租等方式形成控制权的经营实体</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609"/>
        <w:gridCol w:w="4980"/>
      </w:tblGrid>
      <w:tr>
        <w:trPr>
          <w:trHeight w:val="347" w:hRule="exact"/>
        </w:trPr>
        <w:tc>
          <w:tcPr>
            <w:tcW w:w="4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4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上海舶云供应链管理有限公司</w:t>
            </w:r>
          </w:p>
        </w:tc>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4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浙江自贸区舶云智慧物流有限公司</w:t>
            </w:r>
          </w:p>
        </w:tc>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4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安徽光大保险代理有限责任公司</w:t>
            </w:r>
          </w:p>
        </w:tc>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购并</w:t>
            </w:r>
          </w:p>
        </w:tc>
      </w:tr>
      <w:tr>
        <w:trPr>
          <w:trHeight w:val="347" w:hRule="exact"/>
        </w:trPr>
        <w:tc>
          <w:tcPr>
            <w:tcW w:w="4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上海亲益保网络科技有限公司</w:t>
            </w:r>
          </w:p>
        </w:tc>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购并</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（7）公司报告期内业务、产品或服务发生重大变化或调整有关情况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（8）主要销售客户和主要供应商情况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424"/>
        <w:gridCol w:w="3144"/>
      </w:tblGrid>
      <w:tr>
        <w:trPr>
          <w:trHeight w:val="402" w:hRule="exact"/>
        </w:trPr>
        <w:tc>
          <w:tcPr>
            <w:tcW w:w="6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298,424,557.95</w:t>
            </w:r>
          </w:p>
        </w:tc>
      </w:tr>
      <w:tr>
        <w:trPr>
          <w:trHeight w:val="402" w:hRule="exact"/>
        </w:trPr>
        <w:tc>
          <w:tcPr>
            <w:tcW w:w="6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29.97%</w:t>
            </w:r>
          </w:p>
        </w:tc>
      </w:tr>
      <w:tr>
        <w:trPr>
          <w:trHeight w:val="402" w:hRule="exact"/>
        </w:trPr>
        <w:tc>
          <w:tcPr>
            <w:tcW w:w="6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33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188,539,790.95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18.93%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2</w:t>
            </w:r>
          </w:p>
        </w:tc>
        <w:tc>
          <w:tcPr>
            <w:tcW w:w="33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32,651,809.85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3.28%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33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32,449,988.39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4</w:t>
            </w:r>
          </w:p>
        </w:tc>
        <w:tc>
          <w:tcPr>
            <w:tcW w:w="33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22,970,002.67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2.31%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c>
          <w:tcPr>
            <w:tcW w:w="33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21,812,966.09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298,424,557.95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29.97%</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17"/>
        <w:ind w:left="112" w:right="8114"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6424"/>
        <w:gridCol w:w="3144"/>
      </w:tblGrid>
      <w:tr>
        <w:trPr>
          <w:trHeight w:val="402" w:hRule="exact"/>
        </w:trPr>
        <w:tc>
          <w:tcPr>
            <w:tcW w:w="6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51,136,203.04</w:t>
            </w:r>
          </w:p>
        </w:tc>
      </w:tr>
      <w:tr>
        <w:trPr>
          <w:trHeight w:val="402" w:hRule="exact"/>
        </w:trPr>
        <w:tc>
          <w:tcPr>
            <w:tcW w:w="6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11.88%</w:t>
            </w:r>
          </w:p>
        </w:tc>
      </w:tr>
      <w:tr>
        <w:trPr>
          <w:trHeight w:val="402" w:hRule="exact"/>
        </w:trPr>
        <w:tc>
          <w:tcPr>
            <w:tcW w:w="6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r>
    </w:tbl>
    <w:p>
      <w:pPr>
        <w:spacing w:before="68"/>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名供应商资料</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1</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17,935,356.84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4.17%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2</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8,691,598.50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3</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8,300,000.00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1.93%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8,248,926.00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5</w:t>
            </w:r>
          </w:p>
        </w:tc>
        <w:tc>
          <w:tcPr>
            <w:tcW w:w="31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7,960,321.70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1.85%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51,136,203.04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11.88%</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3、费用</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0"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3" w:right="0"/>
              <w:jc w:val="left"/>
              <w:rPr>
                <w:rFonts w:ascii="宋体" w:hAnsi="宋体" w:cs="宋体" w:eastAsia="宋体" w:hint="default"/>
                <w:sz w:val="18"/>
                <w:szCs w:val="18"/>
              </w:rPr>
            </w:pPr>
            <w:r>
              <w:rPr>
                <w:rFonts w:ascii="宋体"/>
                <w:sz w:val="18"/>
              </w:rPr>
              <w:t>39,165,418.77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3" w:right="0"/>
              <w:jc w:val="left"/>
              <w:rPr>
                <w:rFonts w:ascii="宋体" w:hAnsi="宋体" w:cs="宋体" w:eastAsia="宋体" w:hint="default"/>
                <w:sz w:val="18"/>
                <w:szCs w:val="18"/>
              </w:rPr>
            </w:pPr>
            <w:r>
              <w:rPr>
                <w:rFonts w:ascii="宋体"/>
                <w:sz w:val="18"/>
              </w:rPr>
              <w:t>35,407,499.42</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8" w:right="0"/>
              <w:jc w:val="left"/>
              <w:rPr>
                <w:rFonts w:ascii="宋体" w:hAnsi="宋体" w:cs="宋体" w:eastAsia="宋体" w:hint="default"/>
                <w:sz w:val="18"/>
                <w:szCs w:val="18"/>
              </w:rPr>
            </w:pPr>
            <w:r>
              <w:rPr>
                <w:rFonts w:ascii="宋体"/>
                <w:sz w:val="18"/>
              </w:rPr>
              <w:t>10.61%</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本期差旅费增加所致</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114,717,651.55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81,814,805.45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40.22%</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本期研发支出增加所致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-2,410,910.79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-3,549,589.62</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32.08%</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本期获得利息收入减少所致</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4、研发投入</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13"/>
          <w:szCs w:val="13"/>
        </w:rPr>
      </w:pPr>
    </w:p>
    <w:p>
      <w:pPr>
        <w:pStyle w:val="BodyText"/>
        <w:spacing w:line="408" w:lineRule="auto" w:before="0"/>
        <w:ind w:right="115" w:firstLine="376"/>
        <w:jc w:val="both"/>
      </w:pPr>
      <w:r>
        <w:rPr/>
        <w:t>公司以智能交通发展为引领，以路网管理和联网收费业务为核心，开发了智能路网管理系统、交通运</w:t>
      </w:r>
      <w:r>
        <w:rPr>
          <w:w w:val="99"/>
        </w:rPr>
        <w:t> </w:t>
      </w:r>
      <w:r>
        <w:rPr>
          <w:w w:val="95"/>
        </w:rPr>
        <w:t>输智慧信息服务和交通应急救援服务系统、公众出行服务和汽车后市场服务系统、道路运输车辆卫星定位</w:t>
      </w:r>
      <w:r>
        <w:rPr>
          <w:spacing w:val="37"/>
          <w:w w:val="95"/>
        </w:rPr>
        <w:t> </w:t>
      </w:r>
      <w:r>
        <w:rPr>
          <w:spacing w:val="37"/>
          <w:w w:val="95"/>
        </w:rPr>
      </w:r>
      <w:r>
        <w:rPr>
          <w:w w:val="95"/>
        </w:rPr>
        <w:t>系统等产品，构建出企业完整的智慧交通业务链，使公司在交通运输信息化和智能化系统建设领域保持良</w:t>
      </w:r>
      <w:r>
        <w:rPr>
          <w:spacing w:val="37"/>
          <w:w w:val="95"/>
        </w:rPr>
        <w:t> </w:t>
      </w:r>
      <w:r>
        <w:rPr>
          <w:spacing w:val="37"/>
          <w:w w:val="95"/>
        </w:rPr>
      </w:r>
      <w:r>
        <w:rPr/>
        <w:t>好的竞争优势。</w:t>
      </w:r>
    </w:p>
    <w:p>
      <w:pPr>
        <w:pStyle w:val="BodyText"/>
        <w:spacing w:line="405" w:lineRule="auto" w:before="46"/>
        <w:ind w:right="112" w:firstLine="420"/>
        <w:jc w:val="left"/>
        <w:rPr>
          <w:sz w:val="18"/>
          <w:szCs w:val="18"/>
        </w:rPr>
      </w:pPr>
      <w:r>
        <w:rPr>
          <w:w w:val="95"/>
        </w:rPr>
        <w:t>为适应现代化港口智能型、自动化管理需求，公司采用业界先进的技术架构和技术解决方案，持续完</w:t>
      </w:r>
      <w:r>
        <w:rPr>
          <w:w w:val="99"/>
        </w:rPr>
        <w:t> </w:t>
      </w:r>
      <w:r>
        <w:rPr>
          <w:w w:val="95"/>
        </w:rPr>
        <w:t>善以码头操作系统（集装箱CITOS、散杂货GCTOS）为核心的传统港航信息化产品，提升码头作业效率；研</w:t>
      </w:r>
      <w:r>
        <w:rPr>
          <w:spacing w:val="38"/>
          <w:w w:val="95"/>
        </w:rPr>
        <w:t> </w:t>
      </w:r>
      <w:r>
        <w:rPr>
          <w:spacing w:val="38"/>
          <w:w w:val="95"/>
        </w:rPr>
      </w:r>
      <w:r>
        <w:rPr>
          <w:w w:val="95"/>
        </w:rPr>
        <w:t>制基于TD-LTE技术的系列通讯终端产品，创无线产品自主品牌，为港口用户提供从终端到网络系统再到应</w:t>
      </w:r>
      <w:r>
        <w:rPr>
          <w:spacing w:val="37"/>
          <w:w w:val="95"/>
        </w:rPr>
        <w:t> </w:t>
      </w:r>
      <w:r>
        <w:rPr>
          <w:spacing w:val="37"/>
          <w:w w:val="95"/>
        </w:rPr>
      </w:r>
      <w:r>
        <w:rPr/>
        <w:t>用软件的端到端整体解决方案，巩固企业市场占有率和行业地位，为海外市场开拓增强后劲。</w:t>
      </w:r>
      <w:r>
        <w:rPr>
          <w:w w:val="99"/>
        </w:rPr>
        <w:t> </w:t>
      </w:r>
      <w:r>
        <w:rPr>
          <w:sz w:val="18"/>
          <w:szCs w:val="18"/>
        </w:rPr>
        <w:t>公司研发投入情况</w:t>
      </w: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pacing w:val="-1"/>
                <w:sz w:val="18"/>
              </w:rPr>
              <w:t>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pacing w:val="-1"/>
                <w:sz w:val="18"/>
              </w:rPr>
              <w:t>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宋体" w:hAnsi="宋体" w:cs="宋体" w:eastAsia="宋体" w:hint="default"/>
                <w:sz w:val="18"/>
                <w:szCs w:val="18"/>
              </w:rPr>
            </w:pPr>
            <w:r>
              <w:rPr>
                <w:rFonts w:ascii="宋体"/>
                <w:spacing w:val="-1"/>
                <w:sz w:val="18"/>
              </w:rPr>
              <w:t>8.61%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8"/>
                <w:szCs w:val="18"/>
              </w:rPr>
            </w:pPr>
            <w:r>
              <w:rPr>
                <w:rFonts w:ascii="宋体"/>
                <w:spacing w:val="-1"/>
                <w:sz w:val="18"/>
              </w:rPr>
              <w:t>50.90%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18"/>
                <w:szCs w:val="18"/>
              </w:rPr>
            </w:pPr>
            <w:r>
              <w:rPr>
                <w:rFonts w:ascii="宋体"/>
                <w:spacing w:val="-1"/>
                <w:sz w:val="18"/>
              </w:rPr>
              <w:t>50.50%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18"/>
                <w:szCs w:val="18"/>
              </w:rPr>
            </w:pPr>
            <w:r>
              <w:rPr>
                <w:rFonts w:ascii="宋体"/>
                <w:spacing w:val="-1"/>
                <w:sz w:val="18"/>
              </w:rPr>
              <w:t>0.40%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pacing w:val="-1"/>
                <w:sz w:val="18"/>
              </w:rPr>
              <w:t>58,976,534.33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pacing w:val="-1"/>
                <w:sz w:val="18"/>
              </w:rPr>
              <w:t>55,365,933.16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宋体" w:hAnsi="宋体" w:cs="宋体" w:eastAsia="宋体" w:hint="default"/>
                <w:sz w:val="18"/>
                <w:szCs w:val="18"/>
              </w:rPr>
            </w:pPr>
            <w:r>
              <w:rPr>
                <w:rFonts w:ascii="宋体"/>
                <w:spacing w:val="-1"/>
                <w:sz w:val="18"/>
              </w:rPr>
              <w:t>6.52%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18"/>
                <w:szCs w:val="18"/>
              </w:rPr>
            </w:pPr>
            <w:r>
              <w:rPr>
                <w:rFonts w:ascii="宋体"/>
                <w:spacing w:val="-1"/>
                <w:sz w:val="18"/>
              </w:rPr>
              <w:t>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宋体" w:hAnsi="宋体" w:cs="宋体" w:eastAsia="宋体" w:hint="default"/>
                <w:sz w:val="18"/>
                <w:szCs w:val="18"/>
              </w:rPr>
            </w:pPr>
            <w:r>
              <w:rPr>
                <w:rFonts w:ascii="宋体"/>
                <w:spacing w:val="-1"/>
                <w:sz w:val="18"/>
              </w:rPr>
              <w:t>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18"/>
                <w:szCs w:val="18"/>
              </w:rPr>
            </w:pPr>
            <w:r>
              <w:rPr>
                <w:rFonts w:ascii="宋体"/>
                <w:spacing w:val="-1"/>
                <w:sz w:val="18"/>
              </w:rPr>
              <w:t>0.34%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18"/>
                <w:szCs w:val="18"/>
              </w:rPr>
            </w:pPr>
            <w:r>
              <w:rPr>
                <w:rFonts w:ascii="宋体"/>
                <w:spacing w:val="-1"/>
                <w:sz w:val="18"/>
              </w:rPr>
              <w:t>21,068,156.15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宋体" w:hAnsi="宋体" w:cs="宋体" w:eastAsia="宋体" w:hint="default"/>
                <w:sz w:val="18"/>
                <w:szCs w:val="18"/>
              </w:rPr>
            </w:pPr>
            <w:r>
              <w:rPr>
                <w:rFonts w:ascii="宋体"/>
                <w:spacing w:val="-1"/>
                <w:sz w:val="18"/>
              </w:rPr>
              <w:t>18,424,554.29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宋体" w:hAnsi="宋体" w:cs="宋体" w:eastAsia="宋体" w:hint="default"/>
                <w:sz w:val="18"/>
                <w:szCs w:val="18"/>
              </w:rPr>
            </w:pPr>
            <w:r>
              <w:rPr>
                <w:rFonts w:ascii="宋体"/>
                <w:spacing w:val="-1"/>
                <w:sz w:val="18"/>
              </w:rPr>
              <w:t>14.35%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2.44%</w:t>
            </w:r>
          </w:p>
        </w:tc>
      </w:tr>
    </w:tbl>
    <w:p>
      <w:pPr>
        <w:spacing w:before="32"/>
        <w:ind w:left="11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60" w:lineRule="auto" w:before="115"/>
        <w:ind w:left="112" w:right="5774" w:firstLine="0"/>
        <w:jc w:val="left"/>
        <w:rPr>
          <w:rFonts w:ascii="宋体" w:hAnsi="宋体" w:cs="宋体" w:eastAsia="宋体" w:hint="default"/>
          <w:sz w:val="18"/>
          <w:szCs w:val="18"/>
        </w:rPr>
      </w:pPr>
      <w:r>
        <w:rPr>
          <w:rFonts w:ascii="宋体" w:hAnsi="宋体" w:cs="宋体" w:eastAsia="宋体" w:hint="default"/>
          <w:sz w:val="18"/>
          <w:szCs w:val="18"/>
        </w:rPr>
        <w:t>□ 适用 √ 不适用 研发投入资本化率大幅变动的原因及其合理性说明</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5、现金流</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1,175,953,109.67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1,183,924,586.45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-0.67%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1,146,044,122.85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1,073,538,563.80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6.75%</w:t>
            </w:r>
          </w:p>
        </w:tc>
      </w:tr>
      <w:tr>
        <w:trPr>
          <w:trHeight w:val="71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29,908,986.82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110,386,022.65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-72.91%</w:t>
            </w:r>
          </w:p>
        </w:tc>
      </w:tr>
    </w:tbl>
    <w:p>
      <w:pPr>
        <w:spacing w:after="0" w:line="240" w:lineRule="auto"/>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532,373,891.62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1,282,582,567.97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-58.49%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619,801,078.19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1,387,975,624.87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-55.34%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-87,427,186.57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-105,393,056.90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17.05%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42,992,131.97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17,814,907.99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141.33%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48,346,598.87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58,452,413.81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-17.29%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-5,354,466.90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-40,637,505.82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86.82%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-62,738,635.55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-35,674,416.90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-75.86%</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57" w:lineRule="auto" w:before="117"/>
        <w:ind w:left="112" w:right="1904" w:firstLine="0"/>
        <w:jc w:val="left"/>
        <w:rPr>
          <w:rFonts w:ascii="宋体" w:hAnsi="宋体" w:cs="宋体" w:eastAsia="宋体" w:hint="default"/>
          <w:sz w:val="18"/>
          <w:szCs w:val="18"/>
        </w:rPr>
      </w:pPr>
      <w:r>
        <w:rPr>
          <w:rFonts w:ascii="宋体" w:hAnsi="宋体" w:cs="宋体" w:eastAsia="宋体" w:hint="default"/>
          <w:sz w:val="18"/>
          <w:szCs w:val="18"/>
        </w:rPr>
        <w:t>√ 适用 □ 不适用 1、本期经营活动产生的现金流量净额较上期下降，主要是项目结算回款减少，应收款项增加所致；</w:t>
      </w:r>
    </w:p>
    <w:p>
      <w:pPr>
        <w:spacing w:line="224" w:lineRule="exact"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2、本期投资活动产生的现金流量净额较上期上升，主要是本期固定资产-研发大楼支出减少所致；</w:t>
      </w:r>
    </w:p>
    <w:p>
      <w:pPr>
        <w:spacing w:before="76"/>
        <w:ind w:left="112" w:right="0" w:firstLine="0"/>
        <w:jc w:val="left"/>
        <w:rPr>
          <w:rFonts w:ascii="宋体" w:hAnsi="宋体" w:cs="宋体" w:eastAsia="宋体" w:hint="default"/>
          <w:sz w:val="18"/>
          <w:szCs w:val="18"/>
        </w:rPr>
      </w:pPr>
      <w:r>
        <w:rPr>
          <w:rFonts w:ascii="宋体" w:hAnsi="宋体" w:cs="宋体" w:eastAsia="宋体" w:hint="default"/>
          <w:sz w:val="18"/>
          <w:szCs w:val="18"/>
        </w:rPr>
        <w:t>3、本期筹资活动产生的现金流量净额较上期增加，主要是本期收回上期保函保证金所致；</w:t>
      </w:r>
    </w:p>
    <w:p>
      <w:pPr>
        <w:spacing w:before="76"/>
        <w:ind w:left="112" w:right="0" w:firstLine="0"/>
        <w:jc w:val="left"/>
        <w:rPr>
          <w:rFonts w:ascii="宋体" w:hAnsi="宋体" w:cs="宋体" w:eastAsia="宋体" w:hint="default"/>
          <w:sz w:val="18"/>
          <w:szCs w:val="18"/>
        </w:rPr>
      </w:pPr>
      <w:r>
        <w:rPr>
          <w:rFonts w:ascii="宋体" w:hAnsi="宋体" w:cs="宋体" w:eastAsia="宋体" w:hint="default"/>
          <w:sz w:val="18"/>
          <w:szCs w:val="18"/>
        </w:rPr>
        <w:t>4、本期现金及现金等价物净增加额较上期减少，主要是本期经营活动产生的现金流量净额减少所致。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357" w:lineRule="auto" w:before="117"/>
        <w:ind w:left="112" w:right="1904" w:firstLine="0"/>
        <w:jc w:val="left"/>
        <w:rPr>
          <w:rFonts w:ascii="宋体" w:hAnsi="宋体" w:cs="宋体" w:eastAsia="宋体" w:hint="default"/>
          <w:sz w:val="18"/>
          <w:szCs w:val="18"/>
        </w:rPr>
      </w:pPr>
      <w:r>
        <w:rPr>
          <w:rFonts w:ascii="宋体" w:hAnsi="宋体" w:cs="宋体" w:eastAsia="宋体" w:hint="default"/>
          <w:sz w:val="18"/>
          <w:szCs w:val="18"/>
        </w:rPr>
        <w:t>√ 适用 □ 不适用 本期经营活动产生的现金流量净额比本年度净利润少6,210.9万元，主要是本期应收账款增加所致。</w:t>
      </w:r>
    </w:p>
    <w:p>
      <w:pPr>
        <w:spacing w:line="240" w:lineRule="auto" w:before="4"/>
        <w:rPr>
          <w:rFonts w:ascii="宋体" w:hAnsi="宋体" w:cs="宋体" w:eastAsia="宋体" w:hint="default"/>
          <w:sz w:val="18"/>
          <w:szCs w:val="18"/>
        </w:rPr>
      </w:pPr>
    </w:p>
    <w:p>
      <w:pPr>
        <w:pStyle w:val="Heading4"/>
        <w:spacing w:line="240" w:lineRule="auto"/>
        <w:ind w:right="0"/>
        <w:jc w:val="left"/>
        <w:rPr>
          <w:b w:val="0"/>
          <w:bCs w:val="0"/>
        </w:rPr>
      </w:pPr>
      <w:r>
        <w:rPr/>
        <w:t>三、非主营业务分析</w:t>
      </w:r>
      <w:r>
        <w:rPr>
          <w:b w:val="0"/>
          <w:bCs w:val="0"/>
        </w:rPr>
      </w:r>
    </w:p>
    <w:p>
      <w:pPr>
        <w:spacing w:line="240" w:lineRule="auto" w:before="3"/>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253"/>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3,229,601.15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2.94%</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59"/>
              <w:jc w:val="left"/>
              <w:rPr>
                <w:rFonts w:ascii="宋体" w:hAnsi="宋体" w:cs="宋体" w:eastAsia="宋体" w:hint="default"/>
                <w:sz w:val="18"/>
                <w:szCs w:val="18"/>
              </w:rPr>
            </w:pPr>
            <w:r>
              <w:rPr>
                <w:rFonts w:ascii="宋体" w:hAnsi="宋体" w:cs="宋体" w:eastAsia="宋体" w:hint="default"/>
                <w:sz w:val="18"/>
                <w:szCs w:val="18"/>
              </w:rPr>
              <w:t>暂时闲置资金购买结构性存 款收益</w:t>
            </w: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10,276,872.94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9.35%</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应收款项计提坏账准备</w:t>
            </w: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可持续</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10,835.99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0.01%</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52,103.37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0.05%</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不可持续</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t>1、资产构成重大变动情况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666,283,227.</w:t>
            </w:r>
          </w:p>
          <w:p>
            <w:pPr>
              <w:pStyle w:val="TableParagraph"/>
              <w:spacing w:line="240" w:lineRule="auto" w:before="76"/>
              <w:ind w:right="19"/>
              <w:jc w:val="right"/>
              <w:rPr>
                <w:rFonts w:ascii="宋体" w:hAnsi="宋体" w:cs="宋体" w:eastAsia="宋体" w:hint="default"/>
                <w:sz w:val="18"/>
                <w:szCs w:val="18"/>
              </w:rPr>
            </w:pPr>
            <w:r>
              <w:rPr>
                <w:rFonts w:ascii="宋体"/>
                <w:sz w:val="18"/>
              </w:rPr>
              <w:t>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745,790,180.</w:t>
            </w:r>
          </w:p>
          <w:p>
            <w:pPr>
              <w:pStyle w:val="TableParagraph"/>
              <w:spacing w:line="240" w:lineRule="auto" w:before="76"/>
              <w:ind w:right="19"/>
              <w:jc w:val="right"/>
              <w:rPr>
                <w:rFonts w:ascii="宋体" w:hAnsi="宋体" w:cs="宋体" w:eastAsia="宋体" w:hint="default"/>
                <w:sz w:val="18"/>
                <w:szCs w:val="18"/>
              </w:rPr>
            </w:pPr>
            <w:r>
              <w:rPr>
                <w:rFonts w:ascii="宋体"/>
                <w:sz w:val="18"/>
              </w:rPr>
              <w:t>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-6.92%</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285,258,121.</w:t>
            </w:r>
          </w:p>
          <w:p>
            <w:pPr>
              <w:pStyle w:val="TableParagraph"/>
              <w:spacing w:line="240" w:lineRule="auto" w:before="76"/>
              <w:ind w:right="19"/>
              <w:jc w:val="right"/>
              <w:rPr>
                <w:rFonts w:ascii="宋体" w:hAnsi="宋体" w:cs="宋体" w:eastAsia="宋体" w:hint="default"/>
                <w:sz w:val="18"/>
                <w:szCs w:val="18"/>
              </w:rPr>
            </w:pPr>
            <w:r>
              <w:rPr>
                <w:rFonts w:ascii="宋体"/>
                <w:sz w:val="18"/>
              </w:rPr>
              <w:t>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220,935,753.</w:t>
            </w:r>
          </w:p>
          <w:p>
            <w:pPr>
              <w:pStyle w:val="TableParagraph"/>
              <w:spacing w:line="240" w:lineRule="auto" w:before="76"/>
              <w:ind w:right="19"/>
              <w:jc w:val="right"/>
              <w:rPr>
                <w:rFonts w:ascii="宋体" w:hAnsi="宋体" w:cs="宋体" w:eastAsia="宋体" w:hint="default"/>
                <w:sz w:val="18"/>
                <w:szCs w:val="18"/>
              </w:rPr>
            </w:pPr>
            <w:r>
              <w:rPr>
                <w:rFonts w:ascii="宋体"/>
                <w:sz w:val="18"/>
              </w:rPr>
              <w:t>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2.27%</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344,787,126.</w:t>
            </w:r>
          </w:p>
          <w:p>
            <w:pPr>
              <w:pStyle w:val="TableParagraph"/>
              <w:spacing w:line="240" w:lineRule="auto" w:before="76"/>
              <w:ind w:right="19"/>
              <w:jc w:val="right"/>
              <w:rPr>
                <w:rFonts w:ascii="宋体" w:hAnsi="宋体" w:cs="宋体" w:eastAsia="宋体" w:hint="default"/>
                <w:sz w:val="18"/>
                <w:szCs w:val="18"/>
              </w:rPr>
            </w:pPr>
            <w:r>
              <w:rPr>
                <w:rFonts w:ascii="宋体"/>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297,215,927.</w:t>
            </w:r>
          </w:p>
          <w:p>
            <w:pPr>
              <w:pStyle w:val="TableParagraph"/>
              <w:spacing w:line="240" w:lineRule="auto" w:before="76"/>
              <w:ind w:right="19"/>
              <w:jc w:val="right"/>
              <w:rPr>
                <w:rFonts w:ascii="宋体" w:hAnsi="宋体" w:cs="宋体" w:eastAsia="宋体" w:hint="default"/>
                <w:sz w:val="18"/>
                <w:szCs w:val="18"/>
              </w:rPr>
            </w:pPr>
            <w:r>
              <w:rPr>
                <w:rFonts w:ascii="宋体"/>
                <w:sz w:val="18"/>
              </w:rPr>
              <w:t>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1.14%</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35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本期控股子公司汉高信息新增投资</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1" w:right="0"/>
              <w:jc w:val="left"/>
              <w:rPr>
                <w:rFonts w:ascii="宋体" w:hAnsi="宋体" w:cs="宋体" w:eastAsia="宋体" w:hint="default"/>
                <w:sz w:val="18"/>
                <w:szCs w:val="18"/>
              </w:rPr>
            </w:pPr>
            <w:r>
              <w:rPr>
                <w:rFonts w:ascii="宋体"/>
                <w:sz w:val="18"/>
              </w:rPr>
              <w:t>2,203,345.93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0.11%</w:t>
            </w: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0.11%</w:t>
            </w:r>
          </w:p>
        </w:tc>
        <w:tc>
          <w:tcPr>
            <w:tcW w:w="291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设立安徽西太华信息科技有限公司</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147,176,934.</w:t>
            </w:r>
          </w:p>
          <w:p>
            <w:pPr>
              <w:pStyle w:val="TableParagraph"/>
              <w:spacing w:line="240" w:lineRule="auto" w:before="76"/>
              <w:ind w:right="19"/>
              <w:jc w:val="right"/>
              <w:rPr>
                <w:rFonts w:ascii="宋体" w:hAnsi="宋体" w:cs="宋体" w:eastAsia="宋体" w:hint="default"/>
                <w:sz w:val="18"/>
                <w:szCs w:val="18"/>
              </w:rPr>
            </w:pPr>
            <w:r>
              <w:rPr>
                <w:rFonts w:ascii="宋体"/>
                <w:sz w:val="18"/>
              </w:rPr>
              <w:t>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125,699,917.</w:t>
            </w:r>
          </w:p>
          <w:p>
            <w:pPr>
              <w:pStyle w:val="TableParagraph"/>
              <w:spacing w:line="240" w:lineRule="auto" w:before="76"/>
              <w:ind w:right="19"/>
              <w:jc w:val="right"/>
              <w:rPr>
                <w:rFonts w:ascii="宋体" w:hAnsi="宋体" w:cs="宋体" w:eastAsia="宋体" w:hint="default"/>
                <w:sz w:val="18"/>
                <w:szCs w:val="18"/>
              </w:rPr>
            </w:pPr>
            <w:r>
              <w:rPr>
                <w:rFonts w:ascii="宋体"/>
                <w:sz w:val="18"/>
              </w:rPr>
              <w:t>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0.55%</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106,507,082.</w:t>
            </w:r>
          </w:p>
          <w:p>
            <w:pPr>
              <w:pStyle w:val="TableParagraph"/>
              <w:spacing w:line="240" w:lineRule="auto" w:before="76"/>
              <w:ind w:right="19"/>
              <w:jc w:val="right"/>
              <w:rPr>
                <w:rFonts w:ascii="宋体" w:hAnsi="宋体" w:cs="宋体" w:eastAsia="宋体" w:hint="default"/>
                <w:sz w:val="18"/>
                <w:szCs w:val="18"/>
              </w:rPr>
            </w:pPr>
            <w:r>
              <w:rPr>
                <w:rFonts w:ascii="宋体"/>
                <w:sz w:val="18"/>
              </w:rPr>
              <w:t>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55,614,773.9</w:t>
            </w:r>
          </w:p>
          <w:p>
            <w:pPr>
              <w:pStyle w:val="TableParagraph"/>
              <w:spacing w:line="240" w:lineRule="auto" w:before="76"/>
              <w:ind w:right="21"/>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2.28%</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主要是全资子公司华东科技研发大 楼投入增加所致。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10,000,000.0</w:t>
            </w:r>
          </w:p>
          <w:p>
            <w:pPr>
              <w:pStyle w:val="TableParagraph"/>
              <w:spacing w:line="240" w:lineRule="auto" w:before="76"/>
              <w:ind w:right="22"/>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0.49%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10,000,000.0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0.53%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-0.04%</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2、以公允价值计量的资产和负债</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3、截至报告期末的资产权利受限情况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06" w:type="dxa"/>
        <w:tblLayout w:type="fixed"/>
        <w:tblCellMar>
          <w:top w:w="0" w:type="dxa"/>
          <w:left w:w="0" w:type="dxa"/>
          <w:bottom w:w="0" w:type="dxa"/>
          <w:right w:w="0" w:type="dxa"/>
        </w:tblCellMar>
        <w:tblLook w:val="01E0"/>
      </w:tblPr>
      <w:tblGrid>
        <w:gridCol w:w="2539"/>
        <w:gridCol w:w="3300"/>
        <w:gridCol w:w="3735"/>
      </w:tblGrid>
      <w:tr>
        <w:trPr>
          <w:trHeight w:val="347" w:hRule="exact"/>
        </w:trPr>
        <w:tc>
          <w:tcPr>
            <w:tcW w:w="2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余额（元）</w:t>
            </w:r>
          </w:p>
        </w:tc>
        <w:tc>
          <w:tcPr>
            <w:tcW w:w="3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7" w:hRule="exact"/>
        </w:trPr>
        <w:tc>
          <w:tcPr>
            <w:tcW w:w="2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14,988,072.70</w:t>
            </w:r>
          </w:p>
        </w:tc>
        <w:tc>
          <w:tcPr>
            <w:tcW w:w="3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票据、保函保证金等</w:t>
            </w:r>
          </w:p>
        </w:tc>
      </w:tr>
      <w:tr>
        <w:trPr>
          <w:trHeight w:val="347" w:hRule="exact"/>
        </w:trPr>
        <w:tc>
          <w:tcPr>
            <w:tcW w:w="2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14,988,072.70</w:t>
            </w:r>
          </w:p>
        </w:tc>
        <w:tc>
          <w:tcPr>
            <w:tcW w:w="373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3"/>
        <w:rPr>
          <w:rFonts w:ascii="宋体" w:hAnsi="宋体" w:cs="宋体" w:eastAsia="宋体" w:hint="default"/>
          <w:b/>
          <w:bCs/>
          <w:sz w:val="17"/>
          <w:szCs w:val="17"/>
        </w:rPr>
      </w:pPr>
    </w:p>
    <w:p>
      <w:pPr>
        <w:pStyle w:val="Heading4"/>
        <w:spacing w:line="240" w:lineRule="auto" w:before="26"/>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t>1、总体情况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74" w:right="0"/>
              <w:jc w:val="left"/>
              <w:rPr>
                <w:rFonts w:ascii="宋体" w:hAnsi="宋体" w:cs="宋体" w:eastAsia="宋体" w:hint="default"/>
                <w:sz w:val="18"/>
                <w:szCs w:val="18"/>
              </w:rPr>
            </w:pPr>
            <w:r>
              <w:rPr>
                <w:rFonts w:ascii="宋体"/>
                <w:sz w:val="18"/>
              </w:rPr>
              <w:t>2,220,000.00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100.00%</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r>
        <w:rPr/>
        <w:t>2、报告期内获取的重大的股权投资情况</w:t>
      </w:r>
      <w:r>
        <w:rPr>
          <w:b w:val="0"/>
          <w:bCs w:val="0"/>
        </w:rPr>
      </w:r>
    </w:p>
    <w:p>
      <w:pPr>
        <w:spacing w:line="240" w:lineRule="auto" w:before="4"/>
        <w:rPr>
          <w:rFonts w:ascii="宋体" w:hAnsi="宋体" w:cs="宋体" w:eastAsia="宋体" w:hint="default"/>
          <w:b/>
          <w:bCs/>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54"/>
        <w:gridCol w:w="895"/>
        <w:gridCol w:w="465"/>
        <w:gridCol w:w="536"/>
        <w:gridCol w:w="622"/>
        <w:gridCol w:w="622"/>
        <w:gridCol w:w="618"/>
        <w:gridCol w:w="616"/>
        <w:gridCol w:w="618"/>
        <w:gridCol w:w="1003"/>
        <w:gridCol w:w="465"/>
        <w:gridCol w:w="585"/>
        <w:gridCol w:w="514"/>
        <w:gridCol w:w="690"/>
        <w:gridCol w:w="668"/>
      </w:tblGrid>
      <w:tr>
        <w:trPr>
          <w:trHeight w:val="102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1" w:right="5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 w:right="45"/>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2" w:right="82"/>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6" w:right="3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5"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0"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5"/>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 w:right="45"/>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6" w:right="107"/>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71"/>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7"/>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6"/>
              <w:jc w:val="both"/>
              <w:rPr>
                <w:rFonts w:ascii="宋体" w:hAnsi="宋体" w:cs="宋体" w:eastAsia="宋体" w:hint="default"/>
                <w:sz w:val="18"/>
                <w:szCs w:val="18"/>
              </w:rPr>
            </w:pPr>
            <w:r>
              <w:rPr>
                <w:rFonts w:ascii="宋体" w:hAnsi="宋体" w:cs="宋体" w:eastAsia="宋体" w:hint="default"/>
                <w:sz w:val="18"/>
                <w:szCs w:val="18"/>
              </w:rPr>
              <w:t>披露索 引（如 有）</w:t>
            </w:r>
          </w:p>
        </w:tc>
      </w:tr>
    </w:tbl>
    <w:p>
      <w:pPr>
        <w:spacing w:after="0" w:line="316" w:lineRule="auto"/>
        <w:jc w:val="both"/>
        <w:rPr>
          <w:rFonts w:ascii="宋体" w:hAnsi="宋体" w:cs="宋体" w:eastAsia="宋体" w:hint="default"/>
          <w:sz w:val="18"/>
          <w:szCs w:val="18"/>
        </w:rPr>
        <w:sectPr>
          <w:footerReference w:type="default" r:id="rId15"/>
          <w:pgSz w:w="11910" w:h="16840"/>
          <w:pgMar w:footer="937" w:header="746" w:top="1040" w:bottom="1120" w:left="1020" w:right="1020"/>
          <w:pgNumType w:start="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654"/>
        <w:gridCol w:w="895"/>
        <w:gridCol w:w="465"/>
        <w:gridCol w:w="536"/>
        <w:gridCol w:w="622"/>
        <w:gridCol w:w="622"/>
        <w:gridCol w:w="618"/>
        <w:gridCol w:w="616"/>
        <w:gridCol w:w="618"/>
        <w:gridCol w:w="1003"/>
        <w:gridCol w:w="465"/>
        <w:gridCol w:w="585"/>
        <w:gridCol w:w="514"/>
        <w:gridCol w:w="690"/>
        <w:gridCol w:w="668"/>
      </w:tblGrid>
      <w:tr>
        <w:trPr>
          <w:trHeight w:val="356" w:hRule="exact"/>
        </w:trPr>
        <w:tc>
          <w:tcPr>
            <w:tcW w:w="654" w:type="dxa"/>
            <w:tcBorders>
              <w:top w:val="single" w:sz="4" w:space="0" w:color="000000"/>
              <w:left w:val="single" w:sz="4" w:space="0" w:color="000000"/>
              <w:bottom w:val="nil" w:sz="6" w:space="0" w:color="auto"/>
              <w:right w:val="single" w:sz="4" w:space="0" w:color="000000"/>
            </w:tcBorders>
            <w:shd w:val="clear" w:color="auto" w:fill="C6ECCC"/>
          </w:tcPr>
          <w:p>
            <w:pPr/>
          </w:p>
        </w:tc>
        <w:tc>
          <w:tcPr>
            <w:tcW w:w="89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right="115"/>
              <w:jc w:val="center"/>
              <w:rPr>
                <w:rFonts w:ascii="宋体" w:hAnsi="宋体" w:cs="宋体" w:eastAsia="宋体" w:hint="default"/>
                <w:sz w:val="18"/>
                <w:szCs w:val="18"/>
              </w:rPr>
            </w:pPr>
            <w:r>
              <w:rPr>
                <w:rFonts w:ascii="宋体" w:hAnsi="宋体" w:cs="宋体" w:eastAsia="宋体" w:hint="default"/>
                <w:sz w:val="18"/>
                <w:szCs w:val="18"/>
              </w:rPr>
              <w:t>智能交通</w:t>
            </w:r>
          </w:p>
        </w:tc>
        <w:tc>
          <w:tcPr>
            <w:tcW w:w="465" w:type="dxa"/>
            <w:tcBorders>
              <w:top w:val="single" w:sz="4" w:space="0" w:color="000000"/>
              <w:left w:val="single" w:sz="4" w:space="0" w:color="000000"/>
              <w:bottom w:val="nil" w:sz="6" w:space="0" w:color="auto"/>
              <w:right w:val="single" w:sz="4" w:space="0" w:color="000000"/>
            </w:tcBorders>
          </w:tcPr>
          <w:p>
            <w:pPr/>
          </w:p>
        </w:tc>
        <w:tc>
          <w:tcPr>
            <w:tcW w:w="536"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shd w:val="clear" w:color="auto" w:fill="C6ECCC"/>
          </w:tcPr>
          <w:p>
            <w:pPr/>
          </w:p>
        </w:tc>
        <w:tc>
          <w:tcPr>
            <w:tcW w:w="618" w:type="dxa"/>
            <w:tcBorders>
              <w:top w:val="single" w:sz="4" w:space="0" w:color="000000"/>
              <w:left w:val="single" w:sz="4" w:space="0" w:color="000000"/>
              <w:bottom w:val="nil" w:sz="6" w:space="0" w:color="auto"/>
              <w:right w:val="single" w:sz="4" w:space="0" w:color="000000"/>
            </w:tcBorders>
            <w:shd w:val="clear" w:color="auto" w:fill="C6ECCC"/>
          </w:tcPr>
          <w:p>
            <w:pPr/>
          </w:p>
        </w:tc>
        <w:tc>
          <w:tcPr>
            <w:tcW w:w="616" w:type="dxa"/>
            <w:tcBorders>
              <w:top w:val="single" w:sz="4" w:space="0" w:color="000000"/>
              <w:left w:val="single" w:sz="4" w:space="0" w:color="000000"/>
              <w:bottom w:val="nil" w:sz="6" w:space="0" w:color="auto"/>
              <w:right w:val="single" w:sz="4" w:space="0" w:color="000000"/>
            </w:tcBorders>
            <w:shd w:val="clear" w:color="auto" w:fill="C6ECCC"/>
          </w:tcPr>
          <w:p>
            <w:pPr/>
          </w:p>
        </w:tc>
        <w:tc>
          <w:tcPr>
            <w:tcW w:w="618" w:type="dxa"/>
            <w:tcBorders>
              <w:top w:val="single" w:sz="4" w:space="0" w:color="000000"/>
              <w:left w:val="single" w:sz="4" w:space="0" w:color="000000"/>
              <w:bottom w:val="nil" w:sz="6" w:space="0" w:color="auto"/>
              <w:right w:val="single" w:sz="4" w:space="0" w:color="000000"/>
            </w:tcBorders>
            <w:shd w:val="clear" w:color="auto" w:fill="C6ECCC"/>
          </w:tcPr>
          <w:p>
            <w:pPr/>
          </w:p>
        </w:tc>
        <w:tc>
          <w:tcPr>
            <w:tcW w:w="1003" w:type="dxa"/>
            <w:tcBorders>
              <w:top w:val="single" w:sz="4" w:space="0" w:color="000000"/>
              <w:left w:val="single" w:sz="4" w:space="0" w:color="000000"/>
              <w:bottom w:val="nil" w:sz="6" w:space="0" w:color="auto"/>
              <w:right w:val="single" w:sz="4" w:space="0" w:color="000000"/>
            </w:tcBorders>
            <w:shd w:val="clear" w:color="auto" w:fill="C6ECCC"/>
          </w:tcPr>
          <w:p>
            <w:pPr/>
          </w:p>
        </w:tc>
        <w:tc>
          <w:tcPr>
            <w:tcW w:w="465" w:type="dxa"/>
            <w:tcBorders>
              <w:top w:val="single" w:sz="4" w:space="0" w:color="000000"/>
              <w:left w:val="single" w:sz="4" w:space="0" w:color="000000"/>
              <w:bottom w:val="nil" w:sz="6" w:space="0" w:color="auto"/>
              <w:right w:val="single" w:sz="4" w:space="0" w:color="000000"/>
            </w:tcBorders>
          </w:tcPr>
          <w:p>
            <w:pPr/>
          </w:p>
        </w:tc>
        <w:tc>
          <w:tcPr>
            <w:tcW w:w="585" w:type="dxa"/>
            <w:tcBorders>
              <w:top w:val="single" w:sz="4" w:space="0" w:color="000000"/>
              <w:left w:val="single" w:sz="4" w:space="0" w:color="000000"/>
              <w:bottom w:val="nil" w:sz="6" w:space="0" w:color="auto"/>
              <w:right w:val="single" w:sz="4" w:space="0" w:color="000000"/>
            </w:tcBorders>
          </w:tcPr>
          <w:p>
            <w:pPr/>
          </w:p>
        </w:tc>
        <w:tc>
          <w:tcPr>
            <w:tcW w:w="514" w:type="dxa"/>
            <w:tcBorders>
              <w:top w:val="single" w:sz="4" w:space="0" w:color="000000"/>
              <w:left w:val="single" w:sz="4" w:space="0" w:color="000000"/>
              <w:bottom w:val="nil" w:sz="6" w:space="0" w:color="auto"/>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654" w:type="dxa"/>
            <w:tcBorders>
              <w:top w:val="nil" w:sz="6" w:space="0" w:color="auto"/>
              <w:left w:val="single" w:sz="4" w:space="0" w:color="000000"/>
              <w:bottom w:val="nil" w:sz="6" w:space="0" w:color="auto"/>
              <w:right w:val="single" w:sz="4" w:space="0" w:color="000000"/>
            </w:tcBorders>
            <w:shd w:val="clear" w:color="auto" w:fill="C6ECCC"/>
          </w:tcPr>
          <w:p>
            <w:pPr/>
          </w:p>
        </w:tc>
        <w:tc>
          <w:tcPr>
            <w:tcW w:w="8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4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536"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C6ECCC"/>
          </w:tcPr>
          <w:p>
            <w:pPr/>
          </w:p>
        </w:tc>
        <w:tc>
          <w:tcPr>
            <w:tcW w:w="618" w:type="dxa"/>
            <w:tcBorders>
              <w:top w:val="nil" w:sz="6" w:space="0" w:color="auto"/>
              <w:left w:val="single" w:sz="4" w:space="0" w:color="000000"/>
              <w:bottom w:val="nil" w:sz="6" w:space="0" w:color="auto"/>
              <w:right w:val="single" w:sz="4" w:space="0" w:color="000000"/>
            </w:tcBorders>
            <w:shd w:val="clear" w:color="auto" w:fill="C6ECCC"/>
          </w:tcPr>
          <w:p>
            <w:pPr/>
          </w:p>
        </w:tc>
        <w:tc>
          <w:tcPr>
            <w:tcW w:w="616" w:type="dxa"/>
            <w:tcBorders>
              <w:top w:val="nil" w:sz="6" w:space="0" w:color="auto"/>
              <w:left w:val="single" w:sz="4" w:space="0" w:color="000000"/>
              <w:bottom w:val="nil" w:sz="6" w:space="0" w:color="auto"/>
              <w:right w:val="single" w:sz="4" w:space="0" w:color="000000"/>
            </w:tcBorders>
            <w:shd w:val="clear" w:color="auto" w:fill="C6ECCC"/>
          </w:tcPr>
          <w:p>
            <w:pPr/>
          </w:p>
        </w:tc>
        <w:tc>
          <w:tcPr>
            <w:tcW w:w="618" w:type="dxa"/>
            <w:tcBorders>
              <w:top w:val="nil" w:sz="6" w:space="0" w:color="auto"/>
              <w:left w:val="single" w:sz="4" w:space="0" w:color="000000"/>
              <w:bottom w:val="nil" w:sz="6" w:space="0" w:color="auto"/>
              <w:right w:val="single" w:sz="4" w:space="0" w:color="000000"/>
            </w:tcBorders>
            <w:shd w:val="clear" w:color="auto" w:fill="C6ECCC"/>
          </w:tcPr>
          <w:p>
            <w:pPr/>
          </w:p>
        </w:tc>
        <w:tc>
          <w:tcPr>
            <w:tcW w:w="1003" w:type="dxa"/>
            <w:tcBorders>
              <w:top w:val="nil" w:sz="6" w:space="0" w:color="auto"/>
              <w:left w:val="single" w:sz="4" w:space="0" w:color="000000"/>
              <w:bottom w:val="nil" w:sz="6" w:space="0" w:color="auto"/>
              <w:right w:val="single" w:sz="4" w:space="0" w:color="000000"/>
            </w:tcBorders>
            <w:shd w:val="clear" w:color="auto" w:fill="C6ECCC"/>
          </w:tcPr>
          <w:p>
            <w:pPr/>
          </w:p>
        </w:tc>
        <w:tc>
          <w:tcPr>
            <w:tcW w:w="465" w:type="dxa"/>
            <w:tcBorders>
              <w:top w:val="nil" w:sz="6" w:space="0" w:color="auto"/>
              <w:left w:val="single" w:sz="4" w:space="0" w:color="000000"/>
              <w:bottom w:val="nil" w:sz="6" w:space="0" w:color="auto"/>
              <w:right w:val="single" w:sz="4" w:space="0" w:color="000000"/>
            </w:tcBorders>
          </w:tcPr>
          <w:p>
            <w:pPr/>
          </w:p>
        </w:tc>
        <w:tc>
          <w:tcPr>
            <w:tcW w:w="585" w:type="dxa"/>
            <w:tcBorders>
              <w:top w:val="nil" w:sz="6" w:space="0" w:color="auto"/>
              <w:left w:val="single" w:sz="4" w:space="0" w:color="000000"/>
              <w:bottom w:val="nil" w:sz="6" w:space="0" w:color="auto"/>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shd w:val="clear" w:color="auto" w:fill="C6ECCC"/>
          </w:tcPr>
          <w:p>
            <w:pPr/>
          </w:p>
        </w:tc>
      </w:tr>
      <w:tr>
        <w:trPr>
          <w:trHeight w:val="1872" w:hRule="exact"/>
        </w:trPr>
        <w:tc>
          <w:tcPr>
            <w:tcW w:w="65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79"/>
              <w:jc w:val="both"/>
              <w:rPr>
                <w:rFonts w:ascii="宋体" w:hAnsi="宋体" w:cs="宋体" w:eastAsia="宋体" w:hint="default"/>
                <w:sz w:val="18"/>
                <w:szCs w:val="18"/>
              </w:rPr>
            </w:pPr>
            <w:r>
              <w:rPr>
                <w:rFonts w:ascii="宋体" w:hAnsi="宋体" w:cs="宋体" w:eastAsia="宋体" w:hint="default"/>
                <w:sz w:val="18"/>
                <w:szCs w:val="18"/>
              </w:rPr>
              <w:t>安徽西 太华信 息科技 有限公 司</w:t>
            </w:r>
          </w:p>
        </w:tc>
        <w:tc>
          <w:tcPr>
            <w:tcW w:w="8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设计及技 </w:t>
            </w:r>
            <w:r>
              <w:rPr>
                <w:rFonts w:ascii="宋体" w:hAnsi="宋体" w:cs="宋体" w:eastAsia="宋体" w:hint="default"/>
                <w:spacing w:val="-13"/>
                <w:sz w:val="18"/>
                <w:szCs w:val="18"/>
              </w:rPr>
              <w:t>术服务；机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电设备、电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子产品及 计算机网 络配件的</w:t>
            </w:r>
          </w:p>
        </w:tc>
        <w:tc>
          <w:tcPr>
            <w:tcW w:w="4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69"/>
              <w:jc w:val="right"/>
              <w:rPr>
                <w:rFonts w:ascii="宋体" w:hAnsi="宋体" w:cs="宋体" w:eastAsia="宋体" w:hint="default"/>
                <w:sz w:val="18"/>
                <w:szCs w:val="18"/>
              </w:rPr>
            </w:pPr>
            <w:r>
              <w:rPr>
                <w:rFonts w:ascii="宋体" w:hAnsi="宋体" w:cs="宋体" w:eastAsia="宋体" w:hint="default"/>
                <w:sz w:val="18"/>
                <w:szCs w:val="18"/>
              </w:rPr>
              <w:t>新设</w:t>
            </w:r>
          </w:p>
        </w:tc>
        <w:tc>
          <w:tcPr>
            <w:tcW w:w="5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3" w:right="0"/>
              <w:jc w:val="left"/>
              <w:rPr>
                <w:rFonts w:ascii="宋体" w:hAnsi="宋体" w:cs="宋体" w:eastAsia="宋体" w:hint="default"/>
                <w:sz w:val="18"/>
                <w:szCs w:val="18"/>
              </w:rPr>
            </w:pPr>
            <w:r>
              <w:rPr>
                <w:rFonts w:ascii="宋体"/>
                <w:sz w:val="18"/>
              </w:rPr>
              <w:t>2,220</w:t>
            </w:r>
          </w:p>
          <w:p>
            <w:pPr>
              <w:pStyle w:val="TableParagraph"/>
              <w:spacing w:line="240" w:lineRule="auto" w:before="76"/>
              <w:ind w:left="53" w:right="0"/>
              <w:jc w:val="left"/>
              <w:rPr>
                <w:rFonts w:ascii="宋体" w:hAnsi="宋体" w:cs="宋体" w:eastAsia="宋体" w:hint="default"/>
                <w:sz w:val="18"/>
                <w:szCs w:val="18"/>
              </w:rPr>
            </w:pPr>
            <w:r>
              <w:rPr>
                <w:rFonts w:ascii="宋体"/>
                <w:sz w:val="18"/>
              </w:rPr>
              <w:t>,000.</w:t>
            </w:r>
          </w:p>
          <w:p>
            <w:pPr>
              <w:pStyle w:val="TableParagraph"/>
              <w:spacing w:line="240" w:lineRule="auto" w:before="76"/>
              <w:ind w:left="322" w:right="0"/>
              <w:jc w:val="left"/>
              <w:rPr>
                <w:rFonts w:ascii="宋体" w:hAnsi="宋体" w:cs="宋体" w:eastAsia="宋体" w:hint="default"/>
                <w:sz w:val="18"/>
                <w:szCs w:val="18"/>
              </w:rPr>
            </w:pPr>
            <w:r>
              <w:rPr>
                <w:rFonts w:ascii="宋体"/>
                <w:sz w:val="18"/>
              </w:rPr>
              <w:t>00</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 w:right="0"/>
              <w:jc w:val="center"/>
              <w:rPr>
                <w:rFonts w:ascii="宋体" w:hAnsi="宋体" w:cs="宋体" w:eastAsia="宋体" w:hint="default"/>
                <w:sz w:val="18"/>
                <w:szCs w:val="18"/>
              </w:rPr>
            </w:pPr>
            <w:r>
              <w:rPr>
                <w:rFonts w:ascii="宋体"/>
                <w:sz w:val="18"/>
              </w:rPr>
              <w:t>37.00%</w:t>
            </w:r>
          </w:p>
        </w:tc>
        <w:tc>
          <w:tcPr>
            <w:tcW w:w="62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联营</w:t>
            </w:r>
          </w:p>
        </w:tc>
        <w:tc>
          <w:tcPr>
            <w:tcW w:w="61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61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软件产 品</w:t>
            </w:r>
          </w:p>
        </w:tc>
        <w:tc>
          <w:tcPr>
            <w:tcW w:w="100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3" w:right="67"/>
              <w:jc w:val="left"/>
              <w:rPr>
                <w:rFonts w:ascii="宋体" w:hAnsi="宋体" w:cs="宋体" w:eastAsia="宋体" w:hint="default"/>
                <w:sz w:val="18"/>
                <w:szCs w:val="18"/>
              </w:rPr>
            </w:pPr>
            <w:r>
              <w:rPr>
                <w:rFonts w:ascii="宋体" w:hAnsi="宋体" w:cs="宋体" w:eastAsia="宋体" w:hint="default"/>
                <w:sz w:val="18"/>
                <w:szCs w:val="18"/>
              </w:rPr>
              <w:t>工商注册完 毕</w:t>
            </w:r>
          </w:p>
        </w:tc>
        <w:tc>
          <w:tcPr>
            <w:tcW w:w="46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72" w:right="0"/>
              <w:jc w:val="left"/>
              <w:rPr>
                <w:rFonts w:ascii="宋体" w:hAnsi="宋体" w:cs="宋体" w:eastAsia="宋体" w:hint="default"/>
                <w:sz w:val="18"/>
                <w:szCs w:val="18"/>
              </w:rPr>
            </w:pPr>
            <w:r>
              <w:rPr>
                <w:rFonts w:ascii="宋体"/>
                <w:sz w:val="18"/>
              </w:rPr>
              <w:t>10,0</w:t>
            </w:r>
          </w:p>
          <w:p>
            <w:pPr>
              <w:pStyle w:val="TableParagraph"/>
              <w:spacing w:line="240" w:lineRule="auto" w:before="76"/>
              <w:ind w:left="72" w:right="0"/>
              <w:jc w:val="left"/>
              <w:rPr>
                <w:rFonts w:ascii="宋体" w:hAnsi="宋体" w:cs="宋体" w:eastAsia="宋体" w:hint="default"/>
                <w:sz w:val="18"/>
                <w:szCs w:val="18"/>
              </w:rPr>
            </w:pPr>
            <w:r>
              <w:rPr>
                <w:rFonts w:ascii="宋体"/>
                <w:sz w:val="18"/>
              </w:rPr>
              <w:t>00,0</w:t>
            </w:r>
          </w:p>
          <w:p>
            <w:pPr>
              <w:pStyle w:val="TableParagraph"/>
              <w:spacing w:line="240" w:lineRule="auto" w:before="76"/>
              <w:ind w:left="72" w:right="0"/>
              <w:jc w:val="left"/>
              <w:rPr>
                <w:rFonts w:ascii="宋体" w:hAnsi="宋体" w:cs="宋体" w:eastAsia="宋体" w:hint="default"/>
                <w:sz w:val="18"/>
                <w:szCs w:val="18"/>
              </w:rPr>
            </w:pPr>
            <w:r>
              <w:rPr>
                <w:rFonts w:ascii="宋体"/>
                <w:sz w:val="18"/>
              </w:rPr>
              <w:t>00.0</w:t>
            </w:r>
          </w:p>
          <w:p>
            <w:pPr>
              <w:pStyle w:val="TableParagraph"/>
              <w:spacing w:line="240" w:lineRule="auto" w:before="76"/>
              <w:ind w:right="22"/>
              <w:jc w:val="right"/>
              <w:rPr>
                <w:rFonts w:ascii="宋体" w:hAnsi="宋体" w:cs="宋体" w:eastAsia="宋体" w:hint="default"/>
                <w:sz w:val="18"/>
                <w:szCs w:val="18"/>
              </w:rPr>
            </w:pPr>
            <w:r>
              <w:rPr>
                <w:rFonts w:ascii="宋体"/>
                <w:sz w:val="18"/>
              </w:rPr>
              <w:t>0</w:t>
            </w:r>
          </w:p>
        </w:tc>
        <w:tc>
          <w:tcPr>
            <w:tcW w:w="5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sz w:val="18"/>
              </w:rPr>
              <w:t>-45,0</w:t>
            </w:r>
          </w:p>
          <w:p>
            <w:pPr>
              <w:pStyle w:val="TableParagraph"/>
              <w:spacing w:line="240" w:lineRule="auto" w:before="76"/>
              <w:ind w:left="101" w:right="0"/>
              <w:jc w:val="left"/>
              <w:rPr>
                <w:rFonts w:ascii="宋体" w:hAnsi="宋体" w:cs="宋体" w:eastAsia="宋体" w:hint="default"/>
                <w:sz w:val="18"/>
                <w:szCs w:val="18"/>
              </w:rPr>
            </w:pPr>
            <w:r>
              <w:rPr>
                <w:rFonts w:ascii="宋体"/>
                <w:sz w:val="18"/>
              </w:rPr>
              <w:t>11.00</w:t>
            </w:r>
          </w:p>
        </w:tc>
        <w:tc>
          <w:tcPr>
            <w:tcW w:w="51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shd w:val="clear" w:color="auto" w:fill="C6ECCC"/>
          </w:tcPr>
          <w:p>
            <w:pPr/>
          </w:p>
        </w:tc>
      </w:tr>
      <w:tr>
        <w:trPr>
          <w:trHeight w:val="312" w:hRule="exact"/>
        </w:trPr>
        <w:tc>
          <w:tcPr>
            <w:tcW w:w="654" w:type="dxa"/>
            <w:tcBorders>
              <w:top w:val="nil" w:sz="6" w:space="0" w:color="auto"/>
              <w:left w:val="single" w:sz="4" w:space="0" w:color="000000"/>
              <w:bottom w:val="nil" w:sz="6" w:space="0" w:color="auto"/>
              <w:right w:val="single" w:sz="4" w:space="0" w:color="000000"/>
            </w:tcBorders>
            <w:shd w:val="clear" w:color="auto" w:fill="C6ECCC"/>
          </w:tcPr>
          <w:p>
            <w:pPr/>
          </w:p>
        </w:tc>
        <w:tc>
          <w:tcPr>
            <w:tcW w:w="89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3"/>
                <w:sz w:val="18"/>
                <w:szCs w:val="18"/>
              </w:rPr>
              <w:t>安装、销售</w:t>
            </w:r>
          </w:p>
        </w:tc>
        <w:tc>
          <w:tcPr>
            <w:tcW w:w="465" w:type="dxa"/>
            <w:tcBorders>
              <w:top w:val="nil" w:sz="6" w:space="0" w:color="auto"/>
              <w:left w:val="single" w:sz="4" w:space="0" w:color="000000"/>
              <w:bottom w:val="nil" w:sz="6" w:space="0" w:color="auto"/>
              <w:right w:val="single" w:sz="4" w:space="0" w:color="000000"/>
            </w:tcBorders>
          </w:tcPr>
          <w:p>
            <w:pPr/>
          </w:p>
        </w:tc>
        <w:tc>
          <w:tcPr>
            <w:tcW w:w="536"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C6ECCC"/>
          </w:tcPr>
          <w:p>
            <w:pPr/>
          </w:p>
        </w:tc>
        <w:tc>
          <w:tcPr>
            <w:tcW w:w="618" w:type="dxa"/>
            <w:tcBorders>
              <w:top w:val="nil" w:sz="6" w:space="0" w:color="auto"/>
              <w:left w:val="single" w:sz="4" w:space="0" w:color="000000"/>
              <w:bottom w:val="nil" w:sz="6" w:space="0" w:color="auto"/>
              <w:right w:val="single" w:sz="4" w:space="0" w:color="000000"/>
            </w:tcBorders>
            <w:shd w:val="clear" w:color="auto" w:fill="C6ECCC"/>
          </w:tcPr>
          <w:p>
            <w:pPr/>
          </w:p>
        </w:tc>
        <w:tc>
          <w:tcPr>
            <w:tcW w:w="616" w:type="dxa"/>
            <w:tcBorders>
              <w:top w:val="nil" w:sz="6" w:space="0" w:color="auto"/>
              <w:left w:val="single" w:sz="4" w:space="0" w:color="000000"/>
              <w:bottom w:val="nil" w:sz="6" w:space="0" w:color="auto"/>
              <w:right w:val="single" w:sz="4" w:space="0" w:color="000000"/>
            </w:tcBorders>
            <w:shd w:val="clear" w:color="auto" w:fill="C6ECCC"/>
          </w:tcPr>
          <w:p>
            <w:pPr/>
          </w:p>
        </w:tc>
        <w:tc>
          <w:tcPr>
            <w:tcW w:w="618" w:type="dxa"/>
            <w:tcBorders>
              <w:top w:val="nil" w:sz="6" w:space="0" w:color="auto"/>
              <w:left w:val="single" w:sz="4" w:space="0" w:color="000000"/>
              <w:bottom w:val="nil" w:sz="6" w:space="0" w:color="auto"/>
              <w:right w:val="single" w:sz="4" w:space="0" w:color="000000"/>
            </w:tcBorders>
            <w:shd w:val="clear" w:color="auto" w:fill="C6ECCC"/>
          </w:tcPr>
          <w:p>
            <w:pPr/>
          </w:p>
        </w:tc>
        <w:tc>
          <w:tcPr>
            <w:tcW w:w="1003" w:type="dxa"/>
            <w:tcBorders>
              <w:top w:val="nil" w:sz="6" w:space="0" w:color="auto"/>
              <w:left w:val="single" w:sz="4" w:space="0" w:color="000000"/>
              <w:bottom w:val="nil" w:sz="6" w:space="0" w:color="auto"/>
              <w:right w:val="single" w:sz="4" w:space="0" w:color="000000"/>
            </w:tcBorders>
            <w:shd w:val="clear" w:color="auto" w:fill="C6ECCC"/>
          </w:tcPr>
          <w:p>
            <w:pPr/>
          </w:p>
        </w:tc>
        <w:tc>
          <w:tcPr>
            <w:tcW w:w="465" w:type="dxa"/>
            <w:tcBorders>
              <w:top w:val="nil" w:sz="6" w:space="0" w:color="auto"/>
              <w:left w:val="single" w:sz="4" w:space="0" w:color="000000"/>
              <w:bottom w:val="nil" w:sz="6" w:space="0" w:color="auto"/>
              <w:right w:val="single" w:sz="4" w:space="0" w:color="000000"/>
            </w:tcBorders>
          </w:tcPr>
          <w:p>
            <w:pPr/>
          </w:p>
        </w:tc>
        <w:tc>
          <w:tcPr>
            <w:tcW w:w="585" w:type="dxa"/>
            <w:tcBorders>
              <w:top w:val="nil" w:sz="6" w:space="0" w:color="auto"/>
              <w:left w:val="single" w:sz="4" w:space="0" w:color="000000"/>
              <w:bottom w:val="nil" w:sz="6" w:space="0" w:color="auto"/>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shd w:val="clear" w:color="auto" w:fill="C6ECCC"/>
          </w:tcPr>
          <w:p>
            <w:pPr/>
          </w:p>
        </w:tc>
      </w:tr>
      <w:tr>
        <w:trPr>
          <w:trHeight w:val="358" w:hRule="exact"/>
        </w:trPr>
        <w:tc>
          <w:tcPr>
            <w:tcW w:w="654" w:type="dxa"/>
            <w:tcBorders>
              <w:top w:val="nil" w:sz="6" w:space="0" w:color="auto"/>
              <w:left w:val="single" w:sz="4" w:space="0" w:color="000000"/>
              <w:bottom w:val="single" w:sz="4" w:space="0" w:color="000000"/>
              <w:right w:val="single" w:sz="4" w:space="0" w:color="000000"/>
            </w:tcBorders>
            <w:shd w:val="clear" w:color="auto" w:fill="C6ECCC"/>
          </w:tcPr>
          <w:p>
            <w:pPr/>
          </w:p>
        </w:tc>
        <w:tc>
          <w:tcPr>
            <w:tcW w:w="89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及施工。</w:t>
            </w:r>
          </w:p>
        </w:tc>
        <w:tc>
          <w:tcPr>
            <w:tcW w:w="465" w:type="dxa"/>
            <w:tcBorders>
              <w:top w:val="nil" w:sz="6" w:space="0" w:color="auto"/>
              <w:left w:val="single" w:sz="4" w:space="0" w:color="000000"/>
              <w:bottom w:val="single" w:sz="4" w:space="0" w:color="000000"/>
              <w:right w:val="single" w:sz="4" w:space="0" w:color="000000"/>
            </w:tcBorders>
          </w:tcPr>
          <w:p>
            <w:pPr/>
          </w:p>
        </w:tc>
        <w:tc>
          <w:tcPr>
            <w:tcW w:w="536"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C6ECCC"/>
          </w:tcPr>
          <w:p>
            <w:pPr/>
          </w:p>
        </w:tc>
        <w:tc>
          <w:tcPr>
            <w:tcW w:w="618" w:type="dxa"/>
            <w:tcBorders>
              <w:top w:val="nil" w:sz="6" w:space="0" w:color="auto"/>
              <w:left w:val="single" w:sz="4" w:space="0" w:color="000000"/>
              <w:bottom w:val="single" w:sz="4" w:space="0" w:color="000000"/>
              <w:right w:val="single" w:sz="4" w:space="0" w:color="000000"/>
            </w:tcBorders>
            <w:shd w:val="clear" w:color="auto" w:fill="C6ECCC"/>
          </w:tcPr>
          <w:p>
            <w:pPr/>
          </w:p>
        </w:tc>
        <w:tc>
          <w:tcPr>
            <w:tcW w:w="616" w:type="dxa"/>
            <w:tcBorders>
              <w:top w:val="nil" w:sz="6" w:space="0" w:color="auto"/>
              <w:left w:val="single" w:sz="4" w:space="0" w:color="000000"/>
              <w:bottom w:val="single" w:sz="4" w:space="0" w:color="000000"/>
              <w:right w:val="single" w:sz="4" w:space="0" w:color="000000"/>
            </w:tcBorders>
            <w:shd w:val="clear" w:color="auto" w:fill="C6ECCC"/>
          </w:tcPr>
          <w:p>
            <w:pPr/>
          </w:p>
        </w:tc>
        <w:tc>
          <w:tcPr>
            <w:tcW w:w="618" w:type="dxa"/>
            <w:tcBorders>
              <w:top w:val="nil" w:sz="6" w:space="0" w:color="auto"/>
              <w:left w:val="single" w:sz="4" w:space="0" w:color="000000"/>
              <w:bottom w:val="single" w:sz="4" w:space="0" w:color="000000"/>
              <w:right w:val="single" w:sz="4" w:space="0" w:color="000000"/>
            </w:tcBorders>
            <w:shd w:val="clear" w:color="auto" w:fill="C6ECCC"/>
          </w:tcPr>
          <w:p>
            <w:pPr/>
          </w:p>
        </w:tc>
        <w:tc>
          <w:tcPr>
            <w:tcW w:w="1003" w:type="dxa"/>
            <w:tcBorders>
              <w:top w:val="nil" w:sz="6" w:space="0" w:color="auto"/>
              <w:left w:val="single" w:sz="4" w:space="0" w:color="000000"/>
              <w:bottom w:val="single" w:sz="4" w:space="0" w:color="000000"/>
              <w:right w:val="single" w:sz="4" w:space="0" w:color="000000"/>
            </w:tcBorders>
            <w:shd w:val="clear" w:color="auto" w:fill="C6ECCC"/>
          </w:tcPr>
          <w:p>
            <w:pPr/>
          </w:p>
        </w:tc>
        <w:tc>
          <w:tcPr>
            <w:tcW w:w="465" w:type="dxa"/>
            <w:tcBorders>
              <w:top w:val="nil" w:sz="6" w:space="0" w:color="auto"/>
              <w:left w:val="single" w:sz="4" w:space="0" w:color="000000"/>
              <w:bottom w:val="single" w:sz="4" w:space="0" w:color="000000"/>
              <w:right w:val="single" w:sz="4" w:space="0" w:color="000000"/>
            </w:tcBorders>
          </w:tcPr>
          <w:p>
            <w:pPr/>
          </w:p>
        </w:tc>
        <w:tc>
          <w:tcPr>
            <w:tcW w:w="585" w:type="dxa"/>
            <w:tcBorders>
              <w:top w:val="nil" w:sz="6" w:space="0" w:color="auto"/>
              <w:left w:val="single" w:sz="4" w:space="0" w:color="000000"/>
              <w:bottom w:val="single" w:sz="4" w:space="0" w:color="000000"/>
              <w:right w:val="single" w:sz="4" w:space="0" w:color="000000"/>
            </w:tcBorders>
          </w:tcPr>
          <w:p>
            <w:pPr/>
          </w:p>
        </w:tc>
        <w:tc>
          <w:tcPr>
            <w:tcW w:w="514" w:type="dxa"/>
            <w:tcBorders>
              <w:top w:val="nil" w:sz="6" w:space="0" w:color="auto"/>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shd w:val="clear" w:color="auto" w:fill="C6ECCC"/>
          </w:tcPr>
          <w:p>
            <w:pP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5"/>
              <w:jc w:val="right"/>
              <w:rPr>
                <w:rFonts w:ascii="宋体" w:hAnsi="宋体" w:cs="宋体" w:eastAsia="宋体" w:hint="default"/>
                <w:sz w:val="18"/>
                <w:szCs w:val="18"/>
              </w:rPr>
            </w:pPr>
            <w:r>
              <w:rPr>
                <w:rFonts w:ascii="宋体"/>
                <w:sz w:val="18"/>
              </w:rPr>
              <w:t>--</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sz w:val="18"/>
              </w:rPr>
              <w:t>2,220</w:t>
            </w:r>
          </w:p>
          <w:p>
            <w:pPr>
              <w:pStyle w:val="TableParagraph"/>
              <w:spacing w:line="240" w:lineRule="auto" w:before="76"/>
              <w:ind w:left="53" w:right="0"/>
              <w:jc w:val="left"/>
              <w:rPr>
                <w:rFonts w:ascii="宋体" w:hAnsi="宋体" w:cs="宋体" w:eastAsia="宋体" w:hint="default"/>
                <w:sz w:val="18"/>
                <w:szCs w:val="18"/>
              </w:rPr>
            </w:pPr>
            <w:r>
              <w:rPr>
                <w:rFonts w:ascii="宋体"/>
                <w:sz w:val="18"/>
              </w:rPr>
              <w:t>,000.</w:t>
            </w:r>
          </w:p>
          <w:p>
            <w:pPr>
              <w:pStyle w:val="TableParagraph"/>
              <w:spacing w:line="240" w:lineRule="auto" w:before="76"/>
              <w:ind w:left="322" w:right="0"/>
              <w:jc w:val="left"/>
              <w:rPr>
                <w:rFonts w:ascii="宋体" w:hAnsi="宋体" w:cs="宋体" w:eastAsia="宋体" w:hint="default"/>
                <w:sz w:val="18"/>
                <w:szCs w:val="18"/>
              </w:rPr>
            </w:pPr>
            <w:r>
              <w:rPr>
                <w:rFonts w:ascii="宋体"/>
                <w:sz w:val="18"/>
              </w:rPr>
              <w:t>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9"/>
              <w:jc w:val="right"/>
              <w:rPr>
                <w:rFonts w:ascii="宋体" w:hAnsi="宋体" w:cs="宋体" w:eastAsia="宋体" w:hint="default"/>
                <w:sz w:val="18"/>
                <w:szCs w:val="18"/>
              </w:rPr>
            </w:pPr>
            <w:r>
              <w:rPr>
                <w:rFonts w:ascii="宋体"/>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sz w:val="18"/>
              </w:rPr>
              <w:t>10,0</w:t>
            </w:r>
          </w:p>
          <w:p>
            <w:pPr>
              <w:pStyle w:val="TableParagraph"/>
              <w:spacing w:line="240" w:lineRule="auto" w:before="76"/>
              <w:ind w:left="72" w:right="0"/>
              <w:jc w:val="left"/>
              <w:rPr>
                <w:rFonts w:ascii="宋体" w:hAnsi="宋体" w:cs="宋体" w:eastAsia="宋体" w:hint="default"/>
                <w:sz w:val="18"/>
                <w:szCs w:val="18"/>
              </w:rPr>
            </w:pPr>
            <w:r>
              <w:rPr>
                <w:rFonts w:ascii="宋体"/>
                <w:sz w:val="18"/>
              </w:rPr>
              <w:t>00,0</w:t>
            </w:r>
          </w:p>
          <w:p>
            <w:pPr>
              <w:pStyle w:val="TableParagraph"/>
              <w:spacing w:line="240" w:lineRule="auto" w:before="76"/>
              <w:ind w:left="72" w:right="0"/>
              <w:jc w:val="left"/>
              <w:rPr>
                <w:rFonts w:ascii="宋体" w:hAnsi="宋体" w:cs="宋体" w:eastAsia="宋体" w:hint="default"/>
                <w:sz w:val="18"/>
                <w:szCs w:val="18"/>
              </w:rPr>
            </w:pPr>
            <w:r>
              <w:rPr>
                <w:rFonts w:ascii="宋体"/>
                <w:sz w:val="18"/>
              </w:rPr>
              <w:t>00.0</w:t>
            </w:r>
          </w:p>
          <w:p>
            <w:pPr>
              <w:pStyle w:val="TableParagraph"/>
              <w:spacing w:line="240" w:lineRule="auto" w:before="76"/>
              <w:ind w:right="22"/>
              <w:jc w:val="right"/>
              <w:rPr>
                <w:rFonts w:ascii="宋体" w:hAnsi="宋体" w:cs="宋体" w:eastAsia="宋体" w:hint="default"/>
                <w:sz w:val="18"/>
                <w:szCs w:val="18"/>
              </w:rPr>
            </w:pPr>
            <w:r>
              <w:rPr>
                <w:rFonts w:ascii="宋体"/>
                <w:sz w:val="18"/>
              </w:rPr>
              <w:t>0</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sz w:val="18"/>
              </w:rPr>
              <w:t>-45,0</w:t>
            </w:r>
          </w:p>
          <w:p>
            <w:pPr>
              <w:pStyle w:val="TableParagraph"/>
              <w:spacing w:line="240" w:lineRule="auto" w:before="76"/>
              <w:ind w:left="101" w:right="0"/>
              <w:jc w:val="left"/>
              <w:rPr>
                <w:rFonts w:ascii="宋体" w:hAnsi="宋体" w:cs="宋体" w:eastAsia="宋体" w:hint="default"/>
                <w:sz w:val="18"/>
                <w:szCs w:val="18"/>
              </w:rPr>
            </w:pPr>
            <w:r>
              <w:rPr>
                <w:rFonts w:ascii="宋体"/>
                <w:sz w:val="18"/>
              </w:rPr>
              <w:t>11.00</w:t>
            </w:r>
          </w:p>
        </w:tc>
        <w:tc>
          <w:tcPr>
            <w:tcW w:w="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2" w:right="0"/>
              <w:jc w:val="left"/>
              <w:rPr>
                <w:rFonts w:ascii="宋体" w:hAnsi="宋体" w:cs="宋体" w:eastAsia="宋体" w:hint="default"/>
                <w:sz w:val="18"/>
                <w:szCs w:val="18"/>
              </w:rPr>
            </w:pPr>
            <w:r>
              <w:rPr>
                <w:rFonts w:ascii="宋体"/>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pict>
          <v:group style="position:absolute;margin-left:134.300003pt;margin-top:-240.086319pt;width:23pt;height:160.25pt;mso-position-horizontal-relative:page;mso-position-vertical-relative:paragraph;z-index:-876304" coordorigin="2686,-4802" coordsize="460,3205">
            <v:shape style="position:absolute;left:2686;top:-4802;width:460;height:3205" coordorigin="2686,-4802" coordsize="460,3205" path="m2686,-4802l3146,-4802,3146,-1597,2686,-1597,2686,-4802xe" filled="true" fillcolor="#ffffff" stroked="false">
              <v:path arrowok="t"/>
              <v:fill type="solid"/>
            </v:shape>
            <w10:wrap type="none"/>
          </v:group>
        </w:pict>
      </w:r>
      <w:r>
        <w:rPr/>
        <w:t>3、报告期内正在进行的重大的非股权投资情况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4、以公允价值计量的金融资产</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5、募集资金使用情况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（1）募集资金总体使用情况</w:t>
      </w:r>
      <w:r>
        <w:rPr>
          <w:b w:val="0"/>
          <w:bCs w:val="0"/>
        </w:rPr>
      </w:r>
    </w:p>
    <w:p>
      <w:pPr>
        <w:spacing w:line="240" w:lineRule="auto" w:before="4"/>
        <w:rPr>
          <w:rFonts w:ascii="宋体" w:hAnsi="宋体" w:cs="宋体" w:eastAsia="宋体" w:hint="default"/>
          <w:b/>
          <w:bCs/>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2" w:right="73"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3"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36,195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4" w:right="0"/>
              <w:jc w:val="center"/>
              <w:rPr>
                <w:rFonts w:ascii="宋体" w:hAnsi="宋体" w:cs="宋体" w:eastAsia="宋体" w:hint="default"/>
                <w:sz w:val="18"/>
                <w:szCs w:val="18"/>
              </w:rPr>
            </w:pPr>
            <w:r>
              <w:rPr>
                <w:rFonts w:ascii="宋体"/>
                <w:sz w:val="18"/>
              </w:rPr>
              <w:t>8,405.63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23,639.79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12,555.21</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4" w:right="114"/>
              <w:jc w:val="left"/>
              <w:rPr>
                <w:rFonts w:ascii="宋体" w:hAnsi="宋体" w:cs="宋体" w:eastAsia="宋体" w:hint="default"/>
                <w:sz w:val="18"/>
                <w:szCs w:val="18"/>
              </w:rPr>
            </w:pPr>
            <w:r>
              <w:rPr>
                <w:rFonts w:ascii="宋体" w:hAnsi="宋体" w:cs="宋体" w:eastAsia="宋体" w:hint="default"/>
                <w:sz w:val="18"/>
                <w:szCs w:val="18"/>
              </w:rPr>
              <w:t>存放募投 资金专户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36,195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 w:right="0"/>
              <w:jc w:val="center"/>
              <w:rPr>
                <w:rFonts w:ascii="宋体" w:hAnsi="宋体" w:cs="宋体" w:eastAsia="宋体" w:hint="default"/>
                <w:sz w:val="18"/>
                <w:szCs w:val="18"/>
              </w:rPr>
            </w:pPr>
            <w:r>
              <w:rPr>
                <w:rFonts w:ascii="宋体"/>
                <w:sz w:val="18"/>
              </w:rPr>
              <w:t>8,405.63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23,639.79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12,555.21</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本公司募投资金项目未出现异常情况，截至</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日，本公司募投资金项目正在进行。</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（2）募集资金承诺项目情况</w:t>
      </w:r>
      <w:r>
        <w:rPr>
          <w:b w:val="0"/>
          <w:bCs w:val="0"/>
        </w:rPr>
      </w:r>
    </w:p>
    <w:p>
      <w:pPr>
        <w:spacing w:line="240" w:lineRule="auto" w:before="4"/>
        <w:rPr>
          <w:rFonts w:ascii="宋体" w:hAnsi="宋体" w:cs="宋体" w:eastAsia="宋体" w:hint="default"/>
          <w:b/>
          <w:bCs/>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44"/>
        <w:ind w:left="0" w:right="121" w:firstLine="0"/>
        <w:jc w:val="right"/>
        <w:rPr>
          <w:rFonts w:ascii="宋体" w:hAnsi="宋体" w:cs="宋体" w:eastAsia="宋体" w:hint="default"/>
          <w:sz w:val="18"/>
          <w:szCs w:val="18"/>
        </w:rPr>
      </w:pPr>
      <w:r>
        <w:rPr/>
        <w:pict>
          <v:shape style="position:absolute;margin-left:56.459999pt;margin-top:-476.007294pt;width:479.15pt;height:618.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19" w:right="67"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3"/>
                          <w:jc w:val="center"/>
                          <w:rPr>
                            <w:rFonts w:ascii="宋体" w:hAnsi="宋体" w:cs="宋体" w:eastAsia="宋体" w:hint="default"/>
                            <w:sz w:val="18"/>
                            <w:szCs w:val="18"/>
                          </w:rPr>
                        </w:pPr>
                        <w:r>
                          <w:rPr>
                            <w:rFonts w:ascii="宋体" w:hAnsi="宋体" w:cs="宋体" w:eastAsia="宋体" w:hint="default"/>
                            <w:sz w:val="18"/>
                            <w:szCs w:val="18"/>
                          </w:rPr>
                          <w:t>是否已变 更项目 (含部分 变更)</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3"/>
                          <w:jc w:val="center"/>
                          <w:rPr>
                            <w:rFonts w:ascii="宋体" w:hAnsi="宋体" w:cs="宋体" w:eastAsia="宋体" w:hint="default"/>
                            <w:sz w:val="18"/>
                            <w:szCs w:val="18"/>
                          </w:rPr>
                        </w:pPr>
                        <w:r>
                          <w:rPr>
                            <w:rFonts w:ascii="宋体" w:hAnsi="宋体" w:cs="宋体" w:eastAsia="宋体" w:hint="default"/>
                            <w:sz w:val="18"/>
                            <w:szCs w:val="18"/>
                          </w:rPr>
                          <w:t>调整后投 资总额 (1)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 w:right="22"/>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 w:right="22"/>
                          <w:jc w:val="both"/>
                          <w:rPr>
                            <w:rFonts w:ascii="宋体" w:hAnsi="宋体" w:cs="宋体" w:eastAsia="宋体" w:hint="default"/>
                            <w:sz w:val="18"/>
                            <w:szCs w:val="18"/>
                          </w:rPr>
                        </w:pPr>
                        <w:r>
                          <w:rPr>
                            <w:rFonts w:ascii="宋体" w:hAnsi="宋体" w:cs="宋体" w:eastAsia="宋体" w:hint="default"/>
                            <w:sz w:val="18"/>
                            <w:szCs w:val="18"/>
                          </w:rPr>
                          <w:t>截至期末 累计投入 金额(2)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 w:right="22"/>
                          <w:jc w:val="center"/>
                          <w:rPr>
                            <w:rFonts w:ascii="宋体" w:hAnsi="宋体" w:cs="宋体" w:eastAsia="宋体" w:hint="default"/>
                            <w:sz w:val="18"/>
                            <w:szCs w:val="18"/>
                          </w:rPr>
                        </w:pPr>
                        <w:r>
                          <w:rPr>
                            <w:rFonts w:ascii="宋体" w:hAnsi="宋体" w:cs="宋体" w:eastAsia="宋体" w:hint="default"/>
                            <w:sz w:val="18"/>
                            <w:szCs w:val="18"/>
                          </w:rPr>
                          <w:t>截至期末 投资进度 (3)＝ (2)/(1)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 w:right="22"/>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 w:right="2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港口物流软件及信息 服务平台建设项目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宋体" w:hAnsi="宋体" w:cs="宋体" w:eastAsia="宋体" w:hint="default"/>
                            <w:sz w:val="18"/>
                            <w:szCs w:val="18"/>
                          </w:rPr>
                        </w:pPr>
                        <w:r>
                          <w:rPr>
                            <w:rFonts w:ascii="宋体"/>
                            <w:spacing w:val="-1"/>
                            <w:sz w:val="18"/>
                          </w:rPr>
                          <w:t>9,014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宋体" w:hAnsi="宋体" w:cs="宋体" w:eastAsia="宋体" w:hint="default"/>
                            <w:sz w:val="18"/>
                            <w:szCs w:val="18"/>
                          </w:rPr>
                        </w:pPr>
                        <w:r>
                          <w:rPr>
                            <w:rFonts w:ascii="宋体"/>
                            <w:spacing w:val="-1"/>
                            <w:sz w:val="18"/>
                          </w:rPr>
                          <w:t>9,014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4,574.15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6,784.95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75.27%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1,193.2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宋体" w:hAnsi="宋体" w:cs="宋体" w:eastAsia="宋体" w:hint="default"/>
                            <w:sz w:val="18"/>
                            <w:szCs w:val="18"/>
                          </w:rPr>
                          <w:t>TD-LTE</w:t>
                        </w:r>
                        <w:r>
                          <w:rPr>
                            <w:rFonts w:ascii="宋体" w:hAnsi="宋体" w:cs="宋体" w:eastAsia="宋体" w:hint="default"/>
                            <w:spacing w:val="-47"/>
                            <w:sz w:val="18"/>
                            <w:szCs w:val="18"/>
                          </w:rPr>
                          <w:t> </w:t>
                        </w:r>
                        <w:r>
                          <w:rPr>
                            <w:rFonts w:ascii="宋体" w:hAnsi="宋体" w:cs="宋体" w:eastAsia="宋体" w:hint="default"/>
                            <w:sz w:val="18"/>
                            <w:szCs w:val="18"/>
                          </w:rPr>
                          <w:t>技术的企</w:t>
                        </w:r>
                        <w:r>
                          <w:rPr>
                            <w:rFonts w:ascii="宋体" w:hAnsi="宋体" w:cs="宋体" w:eastAsia="宋体" w:hint="default"/>
                            <w:sz w:val="18"/>
                            <w:szCs w:val="18"/>
                          </w:rPr>
                          <w:t> 业网通讯终端产业化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4,055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4,055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1,976.07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3,483.55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85.91%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618.14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智能路网管理系统建 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宋体" w:hAnsi="宋体" w:cs="宋体" w:eastAsia="宋体" w:hint="default"/>
                            <w:sz w:val="18"/>
                            <w:szCs w:val="18"/>
                          </w:rPr>
                        </w:pPr>
                        <w:r>
                          <w:rPr>
                            <w:rFonts w:ascii="宋体"/>
                            <w:spacing w:val="-1"/>
                            <w:sz w:val="18"/>
                          </w:rPr>
                          <w:t>6,692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宋体" w:hAnsi="宋体" w:cs="宋体" w:eastAsia="宋体" w:hint="default"/>
                            <w:sz w:val="18"/>
                            <w:szCs w:val="18"/>
                          </w:rPr>
                        </w:pPr>
                        <w:r>
                          <w:rPr>
                            <w:rFonts w:ascii="宋体"/>
                            <w:spacing w:val="-1"/>
                            <w:sz w:val="18"/>
                          </w:rPr>
                          <w:t>6,692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320.22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3,849.62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57.53%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1,529.63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交通运输智慧信息服 务平台建设项目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8,213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pacing w:val="-1"/>
                            <w:sz w:val="18"/>
                          </w:rPr>
                          <w:t>8,213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1,055.57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4,309.8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52.48%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1,533.97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市场营销和服务网络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宋体" w:hAnsi="宋体" w:cs="宋体" w:eastAsia="宋体" w:hint="default"/>
                            <w:sz w:val="18"/>
                            <w:szCs w:val="18"/>
                          </w:rPr>
                        </w:pPr>
                        <w:r>
                          <w:rPr>
                            <w:rFonts w:ascii="宋体"/>
                            <w:spacing w:val="-1"/>
                            <w:sz w:val="18"/>
                          </w:rPr>
                          <w:t>4,221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宋体" w:hAnsi="宋体" w:cs="宋体" w:eastAsia="宋体" w:hint="default"/>
                            <w:sz w:val="18"/>
                            <w:szCs w:val="18"/>
                          </w:rPr>
                        </w:pPr>
                        <w:r>
                          <w:rPr>
                            <w:rFonts w:ascii="宋体"/>
                            <w:spacing w:val="-1"/>
                            <w:sz w:val="18"/>
                          </w:rPr>
                          <w:t>4,221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479.62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1,209.88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28.66%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4,001.99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91"/>
                          <w:jc w:val="righ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36,195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36,195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8,405.63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23,639.7</w:t>
                        </w:r>
                      </w:p>
                      <w:p>
                        <w:pPr>
                          <w:pStyle w:val="TableParagraph"/>
                          <w:spacing w:line="240" w:lineRule="auto" w:before="76"/>
                          <w:ind w:right="21"/>
                          <w:jc w:val="right"/>
                          <w:rPr>
                            <w:rFonts w:ascii="宋体" w:hAnsi="宋体" w:cs="宋体" w:eastAsia="宋体" w:hint="default"/>
                            <w:sz w:val="18"/>
                            <w:szCs w:val="18"/>
                          </w:rPr>
                        </w:pPr>
                        <w:r>
                          <w:rPr>
                            <w:rFonts w:ascii="宋体"/>
                            <w:sz w:val="18"/>
                          </w:rPr>
                          <w:t>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4,874.94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92"/>
                          <w:jc w:val="right"/>
                          <w:rPr>
                            <w:rFonts w:ascii="宋体" w:hAnsi="宋体" w:cs="宋体" w:eastAsia="宋体" w:hint="default"/>
                            <w:sz w:val="18"/>
                            <w:szCs w:val="18"/>
                          </w:rPr>
                        </w:pPr>
                        <w:r>
                          <w:rPr>
                            <w:rFonts w:ascii="宋体"/>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sz w:val="18"/>
                          </w:rPr>
                          <w:t>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1"/>
                          <w:jc w:val="righ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36,195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36,195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8,405.63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23,639.7</w:t>
                        </w:r>
                      </w:p>
                      <w:p>
                        <w:pPr>
                          <w:pStyle w:val="TableParagraph"/>
                          <w:spacing w:line="240" w:lineRule="auto" w:before="76"/>
                          <w:ind w:right="21"/>
                          <w:jc w:val="right"/>
                          <w:rPr>
                            <w:rFonts w:ascii="宋体" w:hAnsi="宋体" w:cs="宋体" w:eastAsia="宋体" w:hint="default"/>
                            <w:sz w:val="18"/>
                            <w:szCs w:val="18"/>
                          </w:rPr>
                        </w:pPr>
                        <w:r>
                          <w:rPr>
                            <w:rFonts w:ascii="宋体"/>
                            <w:sz w:val="18"/>
                          </w:rPr>
                          <w:t>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4,874.94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2"/>
                          <w:jc w:val="right"/>
                          <w:rPr>
                            <w:rFonts w:ascii="宋体" w:hAnsi="宋体" w:cs="宋体" w:eastAsia="宋体" w:hint="default"/>
                            <w:sz w:val="18"/>
                            <w:szCs w:val="18"/>
                          </w:rPr>
                        </w:pPr>
                        <w:r>
                          <w:rPr>
                            <w:rFonts w:ascii="宋体"/>
                            <w:sz w:val="18"/>
                          </w:rPr>
                          <w:t>--</w:t>
                        </w:r>
                      </w:p>
                    </w:tc>
                  </w:tr>
                  <w:tr>
                    <w:trPr>
                      <w:trHeight w:val="285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21"/>
                          <w:jc w:val="left"/>
                          <w:rPr>
                            <w:rFonts w:ascii="宋体" w:hAnsi="宋体" w:cs="宋体" w:eastAsia="宋体" w:hint="default"/>
                            <w:sz w:val="18"/>
                            <w:szCs w:val="18"/>
                          </w:rPr>
                        </w:pPr>
                        <w:r>
                          <w:rPr>
                            <w:rFonts w:ascii="宋体" w:hAnsi="宋体" w:cs="宋体" w:eastAsia="宋体" w:hint="default"/>
                            <w:spacing w:val="-5"/>
                            <w:sz w:val="18"/>
                            <w:szCs w:val="18"/>
                          </w:rPr>
                          <w:t>1、“港口物流软件及信息服务平台建设项目”</w:t>
                        </w:r>
                        <w:r>
                          <w:rPr>
                            <w:rFonts w:ascii="宋体" w:hAnsi="宋体" w:cs="宋体" w:eastAsia="宋体" w:hint="default"/>
                            <w:sz w:val="18"/>
                            <w:szCs w:val="18"/>
                          </w:rPr>
                          <w:t> 新建场地主体工程已完成和系统建设正在加快进行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软件系统开发平台和部分设备已投入运行，并产生相应的经济效益。截至</w:t>
                        </w:r>
                        <w:r>
                          <w:rPr>
                            <w:rFonts w:ascii="宋体" w:hAnsi="宋体" w:cs="宋体" w:eastAsia="宋体" w:hint="default"/>
                            <w:spacing w:val="-55"/>
                            <w:sz w:val="18"/>
                            <w:szCs w:val="18"/>
                          </w:rPr>
                          <w:t> </w:t>
                        </w: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6"/>
                            <w:sz w:val="18"/>
                            <w:szCs w:val="18"/>
                          </w:rPr>
                          <w:t> </w:t>
                        </w:r>
                        <w:r>
                          <w:rPr>
                            <w:rFonts w:ascii="宋体" w:hAnsi="宋体" w:cs="宋体" w:eastAsia="宋体" w:hint="default"/>
                            <w:spacing w:val="-8"/>
                            <w:sz w:val="18"/>
                            <w:szCs w:val="18"/>
                          </w:rPr>
                          <w:t>日，本项</w:t>
                        </w:r>
                        <w:r>
                          <w:rPr>
                            <w:rFonts w:ascii="宋体" w:hAnsi="宋体" w:cs="宋体" w:eastAsia="宋体" w:hint="default"/>
                            <w:sz w:val="18"/>
                            <w:szCs w:val="18"/>
                          </w:rPr>
                          <w:t> 目按照投入运行计算达到预计收益。 2、“基于 TD-LTE</w:t>
                        </w:r>
                        <w:r>
                          <w:rPr>
                            <w:rFonts w:ascii="宋体" w:hAnsi="宋体" w:cs="宋体" w:eastAsia="宋体" w:hint="default"/>
                            <w:spacing w:val="-4"/>
                            <w:sz w:val="18"/>
                            <w:szCs w:val="18"/>
                          </w:rPr>
                          <w:t> </w:t>
                        </w:r>
                        <w:r>
                          <w:rPr>
                            <w:rFonts w:ascii="宋体" w:hAnsi="宋体" w:cs="宋体" w:eastAsia="宋体" w:hint="default"/>
                            <w:sz w:val="18"/>
                            <w:szCs w:val="18"/>
                          </w:rPr>
                          <w:t>技术的企业网通讯终端产业化建设项目”</w:t>
                        </w:r>
                        <w:r>
                          <w:rPr>
                            <w:rFonts w:ascii="宋体" w:hAnsi="宋体" w:cs="宋体" w:eastAsia="宋体" w:hint="default"/>
                            <w:sz w:val="18"/>
                            <w:szCs w:val="18"/>
                          </w:rPr>
                          <w:t> </w:t>
                        </w:r>
                        <w:r>
                          <w:rPr>
                            <w:rFonts w:ascii="宋体" w:hAnsi="宋体" w:cs="宋体" w:eastAsia="宋体" w:hint="default"/>
                            <w:spacing w:val="-2"/>
                            <w:sz w:val="18"/>
                            <w:szCs w:val="18"/>
                          </w:rPr>
                          <w:t>产业化基地主体工程已完成，软件系统和部分设备已投入运行，并产生相应的经济效益。截至</w:t>
                        </w:r>
                        <w:r>
                          <w:rPr>
                            <w:rFonts w:ascii="宋体" w:hAnsi="宋体" w:cs="宋体" w:eastAsia="宋体" w:hint="default"/>
                            <w:spacing w:val="-9"/>
                            <w:sz w:val="18"/>
                            <w:szCs w:val="18"/>
                          </w:rPr>
                          <w:t> </w:t>
                        </w:r>
                        <w:r>
                          <w:rPr>
                            <w:rFonts w:ascii="宋体" w:hAnsi="宋体" w:cs="宋体" w:eastAsia="宋体" w:hint="default"/>
                            <w:sz w:val="18"/>
                            <w:szCs w:val="18"/>
                          </w:rPr>
                          <w:t>2017</w:t>
                        </w:r>
                      </w:p>
                      <w:p>
                        <w:pPr>
                          <w:pStyle w:val="TableParagraph"/>
                          <w:spacing w:line="316" w:lineRule="auto" w:before="19"/>
                          <w:ind w:left="23" w:right="2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31</w:t>
                        </w:r>
                        <w:r>
                          <w:rPr>
                            <w:rFonts w:ascii="宋体" w:hAnsi="宋体" w:cs="宋体" w:eastAsia="宋体" w:hint="default"/>
                            <w:spacing w:val="-54"/>
                            <w:sz w:val="18"/>
                            <w:szCs w:val="18"/>
                          </w:rPr>
                          <w:t> </w:t>
                        </w:r>
                        <w:r>
                          <w:rPr>
                            <w:rFonts w:ascii="宋体" w:hAnsi="宋体" w:cs="宋体" w:eastAsia="宋体" w:hint="default"/>
                            <w:sz w:val="18"/>
                            <w:szCs w:val="18"/>
                          </w:rPr>
                          <w:t>日，本项目按照投入运行计算达到预计收益。</w:t>
                        </w:r>
                        <w:r>
                          <w:rPr>
                            <w:rFonts w:ascii="宋体" w:hAnsi="宋体" w:cs="宋体" w:eastAsia="宋体" w:hint="default"/>
                            <w:spacing w:val="34"/>
                            <w:sz w:val="18"/>
                            <w:szCs w:val="18"/>
                          </w:rPr>
                          <w:t> </w:t>
                        </w:r>
                        <w:r>
                          <w:rPr>
                            <w:rFonts w:ascii="宋体" w:hAnsi="宋体" w:cs="宋体" w:eastAsia="宋体" w:hint="default"/>
                            <w:sz w:val="18"/>
                            <w:szCs w:val="18"/>
                          </w:rPr>
                          <w:t>3、“智能路网管理系统建设项目”依据</w:t>
                        </w:r>
                        <w:r>
                          <w:rPr>
                            <w:rFonts w:ascii="宋体" w:hAnsi="宋体" w:cs="宋体" w:eastAsia="宋体" w:hint="default"/>
                            <w:sz w:val="18"/>
                            <w:szCs w:val="18"/>
                          </w:rPr>
                          <w:t> 交通运输部提出的我国新一代国家交通控制网的总体框架，公司在智能路网管理平台总体方案下， 在交通控制信息管理、路网协同管控、运营服务模式、交通状态感知与监控等方面研发的相关软件 </w:t>
                        </w:r>
                        <w:r>
                          <w:rPr>
                            <w:rFonts w:ascii="宋体" w:hAnsi="宋体" w:cs="宋体" w:eastAsia="宋体" w:hint="default"/>
                            <w:spacing w:val="-3"/>
                            <w:sz w:val="18"/>
                            <w:szCs w:val="18"/>
                          </w:rPr>
                          <w:t>产品已获得知识产权认证并投入市场，产生了相应的经济效益。截至</w:t>
                        </w:r>
                        <w:r>
                          <w:rPr>
                            <w:rFonts w:ascii="宋体" w:hAnsi="宋体" w:cs="宋体" w:eastAsia="宋体" w:hint="default"/>
                            <w:spacing w:val="-40"/>
                            <w:sz w:val="18"/>
                            <w:szCs w:val="18"/>
                          </w:rPr>
                          <w:t> </w:t>
                        </w:r>
                        <w:r>
                          <w:rPr>
                            <w:rFonts w:ascii="宋体" w:hAnsi="宋体" w:cs="宋体" w:eastAsia="宋体" w:hint="default"/>
                            <w:sz w:val="18"/>
                            <w:szCs w:val="18"/>
                          </w:rPr>
                          <w:t>2017</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31</w:t>
                        </w:r>
                        <w:r>
                          <w:rPr>
                            <w:rFonts w:ascii="宋体" w:hAnsi="宋体" w:cs="宋体" w:eastAsia="宋体" w:hint="default"/>
                            <w:spacing w:val="-41"/>
                            <w:sz w:val="18"/>
                            <w:szCs w:val="18"/>
                          </w:rPr>
                          <w:t> </w:t>
                        </w:r>
                        <w:r>
                          <w:rPr>
                            <w:rFonts w:ascii="宋体" w:hAnsi="宋体" w:cs="宋体" w:eastAsia="宋体" w:hint="default"/>
                            <w:spacing w:val="-6"/>
                            <w:sz w:val="18"/>
                            <w:szCs w:val="18"/>
                          </w:rPr>
                          <w:t>日，本项目按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照投入运行计算达到预计收益。</w:t>
                        </w:r>
                        <w:r>
                          <w:rPr>
                            <w:rFonts w:ascii="宋体" w:hAnsi="宋体" w:cs="宋体" w:eastAsia="宋体" w:hint="default"/>
                            <w:spacing w:val="-1"/>
                            <w:sz w:val="18"/>
                            <w:szCs w:val="18"/>
                          </w:rPr>
                          <w:t> </w:t>
                        </w:r>
                        <w:r>
                          <w:rPr>
                            <w:rFonts w:ascii="宋体" w:hAnsi="宋体" w:cs="宋体" w:eastAsia="宋体" w:hint="default"/>
                            <w:sz w:val="18"/>
                            <w:szCs w:val="18"/>
                          </w:rPr>
                          <w:t>4、“交通运输智慧信息服务平台建设项目”依托项目平台建设的</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宋体" w:hAnsi="宋体" w:cs="宋体" w:eastAsia="宋体" w:hint="default"/>
          <w:sz w:val="20"/>
          <w:szCs w:val="20"/>
        </w:rPr>
      </w:pPr>
      <w:r>
        <w:rPr/>
        <w:pict>
          <v:shape style="position:absolute;margin-left:56.459999pt;margin-top:72.000023pt;width:479.15pt;height:685.1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254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1"/>
                          <w:ind w:left="23" w:right="22"/>
                          <w:jc w:val="left"/>
                          <w:rPr>
                            <w:rFonts w:ascii="宋体" w:hAnsi="宋体" w:cs="宋体" w:eastAsia="宋体" w:hint="default"/>
                            <w:sz w:val="18"/>
                            <w:szCs w:val="18"/>
                          </w:rPr>
                        </w:pPr>
                        <w:r>
                          <w:rPr>
                            <w:rFonts w:ascii="宋体" w:hAnsi="宋体" w:cs="宋体" w:eastAsia="宋体" w:hint="default"/>
                            <w:sz w:val="18"/>
                            <w:szCs w:val="18"/>
                          </w:rPr>
                          <w:t>“行云天下</w:t>
                        </w:r>
                        <w:r>
                          <w:rPr>
                            <w:rFonts w:ascii="宋体" w:hAnsi="宋体" w:cs="宋体" w:eastAsia="宋体" w:hint="default"/>
                            <w:spacing w:val="-47"/>
                            <w:sz w:val="18"/>
                            <w:szCs w:val="18"/>
                          </w:rPr>
                          <w:t> </w:t>
                        </w:r>
                        <w:r>
                          <w:rPr>
                            <w:rFonts w:ascii="宋体" w:hAnsi="宋体" w:cs="宋体" w:eastAsia="宋体" w:hint="default"/>
                            <w:spacing w:val="-15"/>
                            <w:sz w:val="18"/>
                            <w:szCs w:val="18"/>
                          </w:rPr>
                          <w:t>APP”，于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月荣获交通部“全国公路出行服务产品移动客户端影响力</w:t>
                        </w:r>
                        <w:r>
                          <w:rPr>
                            <w:rFonts w:ascii="宋体" w:hAnsi="宋体" w:cs="宋体" w:eastAsia="宋体" w:hint="default"/>
                            <w:spacing w:val="-45"/>
                            <w:sz w:val="18"/>
                            <w:szCs w:val="18"/>
                          </w:rPr>
                          <w:t> </w:t>
                        </w:r>
                        <w:r>
                          <w:rPr>
                            <w:rFonts w:ascii="宋体" w:hAnsi="宋体" w:cs="宋体" w:eastAsia="宋体" w:hint="default"/>
                            <w:spacing w:val="-1"/>
                            <w:sz w:val="18"/>
                            <w:szCs w:val="18"/>
                          </w:rPr>
                          <w:t>TOP10”</w:t>
                        </w:r>
                        <w:r>
                          <w:rPr>
                            <w:rFonts w:ascii="宋体" w:hAnsi="宋体" w:cs="宋体" w:eastAsia="宋体" w:hint="default"/>
                            <w:sz w:val="18"/>
                            <w:szCs w:val="18"/>
                          </w:rPr>
                          <w:t> </w:t>
                        </w:r>
                        <w:r>
                          <w:rPr>
                            <w:rFonts w:ascii="宋体" w:hAnsi="宋体" w:cs="宋体" w:eastAsia="宋体" w:hint="default"/>
                            <w:spacing w:val="-7"/>
                            <w:sz w:val="18"/>
                            <w:szCs w:val="18"/>
                          </w:rPr>
                          <w:t>称号。系统以“互联网+”便捷交通为核心，以行业数据为支撑，为出行者打造集“出行服务”、“电</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子支付”、“用车服务”、“养车服务”、“车管服务”、“车友生活”、“汽车金融”、“微旅 游”等服务产品为一体的“行云无忧”综合性服务平台。公司将继续紧跟市场需求，挖掘车后市场 </w:t>
                        </w:r>
                        <w:r>
                          <w:rPr>
                            <w:rFonts w:ascii="宋体" w:hAnsi="宋体" w:cs="宋体" w:eastAsia="宋体" w:hint="default"/>
                            <w:spacing w:val="-3"/>
                            <w:sz w:val="18"/>
                            <w:szCs w:val="18"/>
                          </w:rPr>
                          <w:t>增值服务价值，为交通参与者构建车生活服务生态圈。截至</w:t>
                        </w:r>
                        <w:r>
                          <w:rPr>
                            <w:rFonts w:ascii="宋体" w:hAnsi="宋体" w:cs="宋体" w:eastAsia="宋体" w:hint="default"/>
                            <w:spacing w:val="-41"/>
                            <w:sz w:val="18"/>
                            <w:szCs w:val="18"/>
                          </w:rPr>
                          <w:t> </w:t>
                        </w: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pacing w:val="-4"/>
                            <w:sz w:val="18"/>
                            <w:szCs w:val="18"/>
                          </w:rPr>
                          <w:t>日，本项目按照投入运</w:t>
                        </w:r>
                        <w:r>
                          <w:rPr>
                            <w:rFonts w:ascii="宋体" w:hAnsi="宋体" w:cs="宋体" w:eastAsia="宋体" w:hint="default"/>
                            <w:sz w:val="18"/>
                            <w:szCs w:val="18"/>
                          </w:rPr>
                          <w:t> 行计算达到预计收益。</w:t>
                        </w:r>
                        <w:r>
                          <w:rPr>
                            <w:rFonts w:ascii="宋体" w:hAnsi="宋体" w:cs="宋体" w:eastAsia="宋体" w:hint="default"/>
                            <w:spacing w:val="60"/>
                            <w:sz w:val="18"/>
                            <w:szCs w:val="18"/>
                          </w:rPr>
                          <w:t> </w:t>
                        </w:r>
                        <w:r>
                          <w:rPr>
                            <w:rFonts w:ascii="宋体" w:hAnsi="宋体" w:cs="宋体" w:eastAsia="宋体" w:hint="default"/>
                            <w:spacing w:val="-5"/>
                            <w:sz w:val="18"/>
                            <w:szCs w:val="18"/>
                          </w:rPr>
                          <w:t>5、“市场营销和服务网络建设项目”公司西安、长沙办事处（非独立核算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已建设完毕。项目涉及的其他地区，公司将根据当地已执行的企业购置办公用房的具体政策要求， 尽快落实场地和分支机构的设立工作。</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88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5"/>
                            <w:sz w:val="18"/>
                            <w:szCs w:val="18"/>
                          </w:rPr>
                          <w:t>（1）公司</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9"/>
                            <w:sz w:val="18"/>
                            <w:szCs w:val="18"/>
                          </w:rPr>
                          <w:t> </w:t>
                        </w:r>
                        <w:r>
                          <w:rPr>
                            <w:rFonts w:ascii="宋体" w:hAnsi="宋体" w:cs="宋体" w:eastAsia="宋体" w:hint="default"/>
                            <w:sz w:val="18"/>
                            <w:szCs w:val="18"/>
                          </w:rPr>
                          <w:t>日召开的</w:t>
                        </w:r>
                        <w:r>
                          <w:rPr>
                            <w:rFonts w:ascii="宋体" w:hAnsi="宋体" w:cs="宋体" w:eastAsia="宋体" w:hint="default"/>
                            <w:spacing w:val="-7"/>
                            <w:sz w:val="18"/>
                            <w:szCs w:val="18"/>
                          </w:rPr>
                          <w:t> </w:t>
                        </w:r>
                        <w:r>
                          <w:rPr>
                            <w:rFonts w:ascii="宋体" w:hAnsi="宋体" w:cs="宋体" w:eastAsia="宋体" w:hint="default"/>
                            <w:sz w:val="18"/>
                            <w:szCs w:val="18"/>
                          </w:rPr>
                          <w:t>2015</w:t>
                        </w:r>
                        <w:r>
                          <w:rPr>
                            <w:rFonts w:ascii="宋体" w:hAnsi="宋体" w:cs="宋体" w:eastAsia="宋体" w:hint="default"/>
                            <w:spacing w:val="-49"/>
                            <w:sz w:val="18"/>
                            <w:szCs w:val="18"/>
                          </w:rPr>
                          <w:t> </w:t>
                        </w:r>
                        <w:r>
                          <w:rPr>
                            <w:rFonts w:ascii="宋体" w:hAnsi="宋体" w:cs="宋体" w:eastAsia="宋体" w:hint="default"/>
                            <w:sz w:val="18"/>
                            <w:szCs w:val="18"/>
                          </w:rPr>
                          <w:t>年第二次临时股东大会审议通过，根据募集资金建设项目</w:t>
                        </w:r>
                        <w:r>
                          <w:rPr>
                            <w:rFonts w:ascii="宋体" w:hAnsi="宋体" w:cs="宋体" w:eastAsia="宋体" w:hint="default"/>
                            <w:sz w:val="18"/>
                            <w:szCs w:val="18"/>
                          </w:rPr>
                          <w:t> 进度安排，公司将募集资金投资项目“交通运输智慧信息服务平台建设项目”中“公众出行服务和 汽车后市场服务”子项目的部分募集资金用途变更为对“互联网+”交通产业进行投资，即使用 2,400</w:t>
                        </w:r>
                        <w:r>
                          <w:rPr>
                            <w:rFonts w:ascii="宋体" w:hAnsi="宋体" w:cs="宋体" w:eastAsia="宋体" w:hint="default"/>
                            <w:spacing w:val="-47"/>
                            <w:sz w:val="18"/>
                            <w:szCs w:val="18"/>
                          </w:rPr>
                          <w:t> </w:t>
                        </w:r>
                        <w:r>
                          <w:rPr>
                            <w:rFonts w:ascii="宋体" w:hAnsi="宋体" w:cs="宋体" w:eastAsia="宋体" w:hint="default"/>
                            <w:sz w:val="18"/>
                            <w:szCs w:val="18"/>
                          </w:rPr>
                          <w:t>万元与安徽省高速公路联网运营有限公司和安徽天行健健康管理有限公司共同投资设立安徽</w:t>
                        </w:r>
                        <w:r>
                          <w:rPr>
                            <w:rFonts w:ascii="宋体" w:hAnsi="宋体" w:cs="宋体" w:eastAsia="宋体" w:hint="default"/>
                            <w:sz w:val="18"/>
                            <w:szCs w:val="18"/>
                          </w:rPr>
                          <w:t> 行云天下科技有限公司。该公司设立后，“交通运输智慧信息服务平台建设项目”中“公众出行服 务和汽车后市场服务”子项目的实施主体将由公司变更为控股子公司安徽行云天下科技有限公司， 该子项目的实施地点也由合肥市高新区皖水路</w:t>
                        </w:r>
                        <w:r>
                          <w:rPr>
                            <w:rFonts w:ascii="宋体" w:hAnsi="宋体" w:cs="宋体" w:eastAsia="宋体" w:hint="default"/>
                            <w:spacing w:val="-62"/>
                            <w:sz w:val="18"/>
                            <w:szCs w:val="18"/>
                          </w:rPr>
                          <w:t> </w:t>
                        </w:r>
                        <w:r>
                          <w:rPr>
                            <w:rFonts w:ascii="宋体" w:hAnsi="宋体" w:cs="宋体" w:eastAsia="宋体" w:hint="default"/>
                            <w:sz w:val="18"/>
                            <w:szCs w:val="18"/>
                          </w:rPr>
                          <w:t>589</w:t>
                        </w:r>
                        <w:r>
                          <w:rPr>
                            <w:rFonts w:ascii="宋体" w:hAnsi="宋体" w:cs="宋体" w:eastAsia="宋体" w:hint="default"/>
                            <w:spacing w:val="-60"/>
                            <w:sz w:val="18"/>
                            <w:szCs w:val="18"/>
                          </w:rPr>
                          <w:t> </w:t>
                        </w:r>
                        <w:r>
                          <w:rPr>
                            <w:rFonts w:ascii="宋体" w:hAnsi="宋体" w:cs="宋体" w:eastAsia="宋体" w:hint="default"/>
                            <w:sz w:val="18"/>
                            <w:szCs w:val="18"/>
                          </w:rPr>
                          <w:t>号变更为合肥市高新区天通路</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60"/>
                            <w:sz w:val="18"/>
                            <w:szCs w:val="18"/>
                          </w:rPr>
                          <w:t> </w:t>
                        </w:r>
                        <w:r>
                          <w:rPr>
                            <w:rFonts w:ascii="宋体" w:hAnsi="宋体" w:cs="宋体" w:eastAsia="宋体" w:hint="default"/>
                            <w:sz w:val="18"/>
                            <w:szCs w:val="18"/>
                          </w:rPr>
                          <w:t>号软件园</w:t>
                        </w:r>
                        <w:r>
                          <w:rPr>
                            <w:rFonts w:ascii="宋体" w:hAnsi="宋体" w:cs="宋体" w:eastAsia="宋体" w:hint="default"/>
                            <w:spacing w:val="-62"/>
                            <w:sz w:val="18"/>
                            <w:szCs w:val="18"/>
                          </w:rPr>
                          <w:t> </w:t>
                        </w:r>
                        <w:r>
                          <w:rPr>
                            <w:rFonts w:ascii="宋体" w:hAnsi="宋体" w:cs="宋体" w:eastAsia="宋体" w:hint="default"/>
                            <w:sz w:val="18"/>
                            <w:szCs w:val="18"/>
                          </w:rPr>
                          <w:t>3</w:t>
                        </w:r>
                        <w:r>
                          <w:rPr>
                            <w:rFonts w:ascii="宋体" w:hAnsi="宋体" w:cs="宋体" w:eastAsia="宋体" w:hint="default"/>
                            <w:spacing w:val="-60"/>
                            <w:sz w:val="18"/>
                            <w:szCs w:val="18"/>
                          </w:rPr>
                          <w:t> </w:t>
                        </w:r>
                        <w:r>
                          <w:rPr>
                            <w:rFonts w:ascii="宋体" w:hAnsi="宋体" w:cs="宋体" w:eastAsia="宋体" w:hint="default"/>
                            <w:sz w:val="18"/>
                            <w:szCs w:val="18"/>
                          </w:rPr>
                          <w:t>号楼</w:t>
                        </w:r>
                      </w:p>
                      <w:p>
                        <w:pPr>
                          <w:pStyle w:val="TableParagraph"/>
                          <w:spacing w:line="316" w:lineRule="auto" w:before="19"/>
                          <w:ind w:left="23" w:right="22"/>
                          <w:jc w:val="both"/>
                          <w:rPr>
                            <w:rFonts w:ascii="宋体" w:hAnsi="宋体" w:cs="宋体" w:eastAsia="宋体" w:hint="default"/>
                            <w:sz w:val="18"/>
                            <w:szCs w:val="18"/>
                          </w:rPr>
                        </w:pPr>
                        <w:r>
                          <w:rPr>
                            <w:rFonts w:ascii="宋体" w:hAnsi="宋体" w:cs="宋体" w:eastAsia="宋体" w:hint="default"/>
                            <w:sz w:val="18"/>
                            <w:szCs w:val="18"/>
                          </w:rPr>
                          <w:t>210</w:t>
                        </w:r>
                        <w:r>
                          <w:rPr>
                            <w:rFonts w:ascii="宋体" w:hAnsi="宋体" w:cs="宋体" w:eastAsia="宋体" w:hint="default"/>
                            <w:spacing w:val="-47"/>
                            <w:sz w:val="18"/>
                            <w:szCs w:val="18"/>
                          </w:rPr>
                          <w:t> </w:t>
                        </w:r>
                        <w:r>
                          <w:rPr>
                            <w:rFonts w:ascii="宋体" w:hAnsi="宋体" w:cs="宋体" w:eastAsia="宋体" w:hint="default"/>
                            <w:sz w:val="18"/>
                            <w:szCs w:val="18"/>
                          </w:rPr>
                          <w:t>室。</w:t>
                        </w:r>
                        <w:r>
                          <w:rPr>
                            <w:rFonts w:ascii="宋体" w:hAnsi="宋体" w:cs="宋体" w:eastAsia="宋体" w:hint="default"/>
                            <w:spacing w:val="89"/>
                            <w:sz w:val="18"/>
                            <w:szCs w:val="18"/>
                          </w:rPr>
                          <w:t> </w:t>
                        </w:r>
                        <w:r>
                          <w:rPr>
                            <w:rFonts w:ascii="宋体" w:hAnsi="宋体" w:cs="宋体" w:eastAsia="宋体" w:hint="default"/>
                            <w:sz w:val="18"/>
                            <w:szCs w:val="18"/>
                          </w:rPr>
                          <w:t>（2）公司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日第三届董事会第十九次会议通过决议：①将募集资金投资项</w:t>
                        </w:r>
                        <w:r>
                          <w:rPr>
                            <w:rFonts w:ascii="宋体" w:hAnsi="宋体" w:cs="宋体" w:eastAsia="宋体" w:hint="default"/>
                            <w:sz w:val="18"/>
                            <w:szCs w:val="18"/>
                          </w:rPr>
                          <w:t> 目“港口物流软件及信息服务平台”建设项目之“物流信息服务平台建设”建设子项目的实施主体 由安徽皖通科技的全资子公司烟台华东电子软件技术有限公司（以下简称华东电子）变更为华东电 子的全资子公司烟台华东数据科技有限公司，该子项目的实施地点也由烟台市莱山区迎春大街</w:t>
                        </w:r>
                        <w:r>
                          <w:rPr>
                            <w:rFonts w:ascii="宋体" w:hAnsi="宋体" w:cs="宋体" w:eastAsia="宋体" w:hint="default"/>
                            <w:spacing w:val="-48"/>
                            <w:sz w:val="18"/>
                            <w:szCs w:val="18"/>
                          </w:rPr>
                          <w:t> </w:t>
                        </w:r>
                        <w:r>
                          <w:rPr>
                            <w:rFonts w:ascii="宋体" w:hAnsi="宋体" w:cs="宋体" w:eastAsia="宋体" w:hint="default"/>
                            <w:sz w:val="18"/>
                            <w:szCs w:val="18"/>
                          </w:rPr>
                          <w:t>133</w:t>
                        </w:r>
                      </w:p>
                      <w:p>
                        <w:pPr>
                          <w:pStyle w:val="TableParagraph"/>
                          <w:spacing w:line="316" w:lineRule="auto" w:before="19"/>
                          <w:ind w:left="23" w:right="22"/>
                          <w:jc w:val="both"/>
                          <w:rPr>
                            <w:rFonts w:ascii="宋体" w:hAnsi="宋体" w:cs="宋体" w:eastAsia="宋体" w:hint="default"/>
                            <w:sz w:val="18"/>
                            <w:szCs w:val="18"/>
                          </w:rPr>
                        </w:pPr>
                        <w:r>
                          <w:rPr>
                            <w:rFonts w:ascii="宋体" w:hAnsi="宋体" w:cs="宋体" w:eastAsia="宋体" w:hint="default"/>
                            <w:sz w:val="18"/>
                            <w:szCs w:val="18"/>
                          </w:rPr>
                          <w:t>号变更为烟台高新区蓝海路</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号楼；②将募集资金投资项目“港口物流软件及信息服务平台建</w:t>
                        </w:r>
                        <w:r>
                          <w:rPr>
                            <w:rFonts w:ascii="宋体" w:hAnsi="宋体" w:cs="宋体" w:eastAsia="宋体" w:hint="default"/>
                            <w:sz w:val="18"/>
                            <w:szCs w:val="18"/>
                          </w:rPr>
                          <w:t> 设项目”之“港口物流软件产品升级与开发”子项目的实施主体由华东电子变更为华东电子的全资 </w:t>
                        </w:r>
                        <w:r>
                          <w:rPr>
                            <w:rFonts w:ascii="宋体" w:hAnsi="宋体" w:cs="宋体" w:eastAsia="宋体" w:hint="default"/>
                            <w:spacing w:val="-3"/>
                            <w:sz w:val="18"/>
                            <w:szCs w:val="18"/>
                          </w:rPr>
                          <w:t>子公司烟台华东电子科技有限公司（以下简称“华东科技”）；将募集资金投资项目“基于</w:t>
                        </w:r>
                        <w:r>
                          <w:rPr>
                            <w:rFonts w:ascii="宋体" w:hAnsi="宋体" w:cs="宋体" w:eastAsia="宋体" w:hint="default"/>
                            <w:spacing w:val="-31"/>
                            <w:sz w:val="18"/>
                            <w:szCs w:val="18"/>
                          </w:rPr>
                          <w:t> </w:t>
                        </w:r>
                        <w:r>
                          <w:rPr>
                            <w:rFonts w:ascii="宋体" w:hAnsi="宋体" w:cs="宋体" w:eastAsia="宋体" w:hint="default"/>
                            <w:spacing w:val="-1"/>
                            <w:sz w:val="18"/>
                            <w:szCs w:val="18"/>
                          </w:rPr>
                          <w:t>TD-LTE</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技术的企业网通讯终端产业化建设项目”的实施主体由华东电子变更为华东科技。该两个子项目的 实施地点也由烟台市莱山区迎春大街</w:t>
                        </w:r>
                        <w:r>
                          <w:rPr>
                            <w:rFonts w:ascii="宋体" w:hAnsi="宋体" w:cs="宋体" w:eastAsia="宋体" w:hint="default"/>
                            <w:spacing w:val="-47"/>
                            <w:sz w:val="18"/>
                            <w:szCs w:val="18"/>
                          </w:rPr>
                          <w:t> </w:t>
                        </w:r>
                        <w:r>
                          <w:rPr>
                            <w:rFonts w:ascii="宋体" w:hAnsi="宋体" w:cs="宋体" w:eastAsia="宋体" w:hint="default"/>
                            <w:sz w:val="18"/>
                            <w:szCs w:val="18"/>
                          </w:rPr>
                          <w:t>133</w:t>
                        </w:r>
                        <w:r>
                          <w:rPr>
                            <w:rFonts w:ascii="宋体" w:hAnsi="宋体" w:cs="宋体" w:eastAsia="宋体" w:hint="default"/>
                            <w:spacing w:val="-44"/>
                            <w:sz w:val="18"/>
                            <w:szCs w:val="18"/>
                          </w:rPr>
                          <w:t> </w:t>
                        </w:r>
                        <w:r>
                          <w:rPr>
                            <w:rFonts w:ascii="宋体" w:hAnsi="宋体" w:cs="宋体" w:eastAsia="宋体" w:hint="default"/>
                            <w:sz w:val="18"/>
                            <w:szCs w:val="18"/>
                          </w:rPr>
                          <w:t>号变更为烟台高新区科技大道</w:t>
                        </w:r>
                        <w:r>
                          <w:rPr>
                            <w:rFonts w:ascii="宋体" w:hAnsi="宋体" w:cs="宋体" w:eastAsia="宋体" w:hint="default"/>
                            <w:spacing w:val="-47"/>
                            <w:sz w:val="18"/>
                            <w:szCs w:val="18"/>
                          </w:rPr>
                          <w:t> </w:t>
                        </w:r>
                        <w:r>
                          <w:rPr>
                            <w:rFonts w:ascii="宋体" w:hAnsi="宋体" w:cs="宋体" w:eastAsia="宋体" w:hint="default"/>
                            <w:sz w:val="18"/>
                            <w:szCs w:val="18"/>
                          </w:rPr>
                          <w:t>69</w:t>
                        </w:r>
                        <w:r>
                          <w:rPr>
                            <w:rFonts w:ascii="宋体" w:hAnsi="宋体" w:cs="宋体" w:eastAsia="宋体" w:hint="default"/>
                            <w:spacing w:val="-46"/>
                            <w:sz w:val="18"/>
                            <w:szCs w:val="18"/>
                          </w:rPr>
                          <w:t> </w:t>
                        </w:r>
                        <w:r>
                          <w:rPr>
                            <w:rFonts w:ascii="宋体" w:hAnsi="宋体" w:cs="宋体" w:eastAsia="宋体" w:hint="default"/>
                            <w:sz w:val="18"/>
                            <w:szCs w:val="18"/>
                          </w:rPr>
                          <w:t>号创业大厦。  （3）公</w:t>
                        </w:r>
                      </w:p>
                      <w:p>
                        <w:pPr>
                          <w:pStyle w:val="TableParagraph"/>
                          <w:spacing w:line="316" w:lineRule="auto" w:before="19"/>
                          <w:ind w:left="23" w:right="22"/>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日召开的第三届董事会第二十四次会议审议通过：将“港口物流软件及信息服务</w:t>
                        </w:r>
                        <w:r>
                          <w:rPr>
                            <w:rFonts w:ascii="宋体" w:hAnsi="宋体" w:cs="宋体" w:eastAsia="宋体" w:hint="default"/>
                            <w:sz w:val="18"/>
                            <w:szCs w:val="18"/>
                          </w:rPr>
                          <w:t> 平台建设项目”之“物流信息服务平台建设”子项目、“港口物流软件及信息服务平台建设项目” 之“港口物流软件产品升级与开发”子项目和“基于</w:t>
                        </w:r>
                        <w:r>
                          <w:rPr>
                            <w:rFonts w:ascii="宋体" w:hAnsi="宋体" w:cs="宋体" w:eastAsia="宋体" w:hint="default"/>
                            <w:spacing w:val="-48"/>
                            <w:sz w:val="18"/>
                            <w:szCs w:val="18"/>
                          </w:rPr>
                          <w:t> </w:t>
                        </w:r>
                        <w:r>
                          <w:rPr>
                            <w:rFonts w:ascii="宋体" w:hAnsi="宋体" w:cs="宋体" w:eastAsia="宋体" w:hint="default"/>
                            <w:sz w:val="18"/>
                            <w:szCs w:val="18"/>
                          </w:rPr>
                          <w:t>TD-LTE</w:t>
                        </w:r>
                        <w:r>
                          <w:rPr>
                            <w:rFonts w:ascii="宋体" w:hAnsi="宋体" w:cs="宋体" w:eastAsia="宋体" w:hint="default"/>
                            <w:spacing w:val="-47"/>
                            <w:sz w:val="18"/>
                            <w:szCs w:val="18"/>
                          </w:rPr>
                          <w:t> </w:t>
                        </w:r>
                        <w:r>
                          <w:rPr>
                            <w:rFonts w:ascii="宋体" w:hAnsi="宋体" w:cs="宋体" w:eastAsia="宋体" w:hint="default"/>
                            <w:sz w:val="18"/>
                            <w:szCs w:val="18"/>
                          </w:rPr>
                          <w:t>技术的企业网通讯终端产业化建设项</w:t>
                        </w:r>
                        <w:r>
                          <w:rPr>
                            <w:rFonts w:ascii="宋体" w:hAnsi="宋体" w:cs="宋体" w:eastAsia="宋体" w:hint="default"/>
                            <w:sz w:val="18"/>
                            <w:szCs w:val="18"/>
                          </w:rPr>
                          <w:t> 目”的实施地点分别由烟台高新区蓝海路</w:t>
                        </w:r>
                        <w:r>
                          <w:rPr>
                            <w:rFonts w:ascii="宋体" w:hAnsi="宋体" w:cs="宋体" w:eastAsia="宋体" w:hint="default"/>
                            <w:spacing w:val="-63"/>
                            <w:sz w:val="18"/>
                            <w:szCs w:val="18"/>
                          </w:rPr>
                          <w:t> </w:t>
                        </w:r>
                        <w:r>
                          <w:rPr>
                            <w:rFonts w:ascii="宋体" w:hAnsi="宋体" w:cs="宋体" w:eastAsia="宋体" w:hint="default"/>
                            <w:sz w:val="18"/>
                            <w:szCs w:val="18"/>
                          </w:rPr>
                          <w:t>1</w:t>
                        </w:r>
                        <w:r>
                          <w:rPr>
                            <w:rFonts w:ascii="宋体" w:hAnsi="宋体" w:cs="宋体" w:eastAsia="宋体" w:hint="default"/>
                            <w:spacing w:val="-61"/>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宋体" w:hAnsi="宋体" w:cs="宋体" w:eastAsia="宋体" w:hint="default"/>
                            <w:sz w:val="18"/>
                            <w:szCs w:val="18"/>
                          </w:rPr>
                          <w:t>4</w:t>
                        </w:r>
                        <w:r>
                          <w:rPr>
                            <w:rFonts w:ascii="宋体" w:hAnsi="宋体" w:cs="宋体" w:eastAsia="宋体" w:hint="default"/>
                            <w:spacing w:val="-61"/>
                            <w:sz w:val="18"/>
                            <w:szCs w:val="18"/>
                          </w:rPr>
                          <w:t> </w:t>
                        </w:r>
                        <w:r>
                          <w:rPr>
                            <w:rFonts w:ascii="宋体" w:hAnsi="宋体" w:cs="宋体" w:eastAsia="宋体" w:hint="default"/>
                            <w:sz w:val="18"/>
                            <w:szCs w:val="18"/>
                          </w:rPr>
                          <w:t>号楼和烟台高新区科技大道</w:t>
                        </w:r>
                        <w:r>
                          <w:rPr>
                            <w:rFonts w:ascii="宋体" w:hAnsi="宋体" w:cs="宋体" w:eastAsia="宋体" w:hint="default"/>
                            <w:spacing w:val="-60"/>
                            <w:sz w:val="18"/>
                            <w:szCs w:val="18"/>
                          </w:rPr>
                          <w:t> </w:t>
                        </w:r>
                        <w:r>
                          <w:rPr>
                            <w:rFonts w:ascii="宋体" w:hAnsi="宋体" w:cs="宋体" w:eastAsia="宋体" w:hint="default"/>
                            <w:sz w:val="18"/>
                            <w:szCs w:val="18"/>
                          </w:rPr>
                          <w:t>69</w:t>
                        </w:r>
                        <w:r>
                          <w:rPr>
                            <w:rFonts w:ascii="宋体" w:hAnsi="宋体" w:cs="宋体" w:eastAsia="宋体" w:hint="default"/>
                            <w:spacing w:val="-61"/>
                            <w:sz w:val="18"/>
                            <w:szCs w:val="18"/>
                          </w:rPr>
                          <w:t> </w:t>
                        </w:r>
                        <w:r>
                          <w:rPr>
                            <w:rFonts w:ascii="宋体" w:hAnsi="宋体" w:cs="宋体" w:eastAsia="宋体" w:hint="default"/>
                            <w:sz w:val="18"/>
                            <w:szCs w:val="18"/>
                          </w:rPr>
                          <w:t>号创业大厦统一变更</w:t>
                        </w:r>
                      </w:p>
                      <w:p>
                        <w:pPr>
                          <w:pStyle w:val="TableParagraph"/>
                          <w:spacing w:line="316" w:lineRule="auto" w:before="19"/>
                          <w:ind w:left="23" w:right="22"/>
                          <w:jc w:val="both"/>
                          <w:rPr>
                            <w:rFonts w:ascii="宋体" w:hAnsi="宋体" w:cs="宋体" w:eastAsia="宋体" w:hint="default"/>
                            <w:sz w:val="18"/>
                            <w:szCs w:val="18"/>
                          </w:rPr>
                        </w:pPr>
                        <w:r>
                          <w:rPr>
                            <w:rFonts w:ascii="宋体" w:hAnsi="宋体" w:cs="宋体" w:eastAsia="宋体" w:hint="default"/>
                            <w:sz w:val="18"/>
                            <w:szCs w:val="18"/>
                          </w:rPr>
                          <w:t>为烟台高新区海越路以西、科技大道以北地块。</w:t>
                        </w:r>
                        <w:r>
                          <w:rPr>
                            <w:rFonts w:ascii="宋体" w:hAnsi="宋体" w:cs="宋体" w:eastAsia="宋体" w:hint="default"/>
                            <w:spacing w:val="39"/>
                            <w:sz w:val="18"/>
                            <w:szCs w:val="18"/>
                          </w:rPr>
                          <w:t> </w:t>
                        </w:r>
                        <w:r>
                          <w:rPr>
                            <w:rFonts w:ascii="宋体" w:hAnsi="宋体" w:cs="宋体" w:eastAsia="宋体" w:hint="default"/>
                            <w:spacing w:val="-5"/>
                            <w:sz w:val="18"/>
                            <w:szCs w:val="18"/>
                          </w:rPr>
                          <w:t>（4）公司</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51"/>
                            <w:sz w:val="18"/>
                            <w:szCs w:val="18"/>
                          </w:rPr>
                          <w:t> </w:t>
                        </w:r>
                        <w:r>
                          <w:rPr>
                            <w:rFonts w:ascii="宋体" w:hAnsi="宋体" w:cs="宋体" w:eastAsia="宋体" w:hint="default"/>
                            <w:sz w:val="18"/>
                            <w:szCs w:val="18"/>
                          </w:rPr>
                          <w:t>日第三届董事会第二十</w:t>
                        </w:r>
                        <w:r>
                          <w:rPr>
                            <w:rFonts w:ascii="宋体" w:hAnsi="宋体" w:cs="宋体" w:eastAsia="宋体" w:hint="default"/>
                            <w:sz w:val="18"/>
                            <w:szCs w:val="18"/>
                          </w:rPr>
                          <w:t> 七次会议通过决议：将募集资金投资项目“港口物流软件及信息服务平台建设项目”之“物流信息 服务平台建设”子项目的实施主体由全资子公司烟台华东电子软件技术有限公司（以下简称华东电 子）的全资子公司烟台华东数据科技有限公司变更为华东电子的全资子公司烟台华东电子科技有限 公司，此项变更不涉及到实施地变更。 （5）公司</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日召开的第四届董事会第十一</w:t>
                        </w:r>
                        <w:r>
                          <w:rPr>
                            <w:rFonts w:ascii="宋体" w:hAnsi="宋体" w:cs="宋体" w:eastAsia="宋体" w:hint="default"/>
                            <w:sz w:val="18"/>
                            <w:szCs w:val="18"/>
                          </w:rPr>
                          <w:t> 次会议审议通过：将募集资金投资项目“交通运输智慧信息服务平台建设项目”中“公众出行服务 和汽车后市场服务”子项目的实施地点由合肥市高新区天通路</w:t>
                        </w:r>
                        <w:r>
                          <w:rPr>
                            <w:rFonts w:ascii="宋体" w:hAnsi="宋体" w:cs="宋体" w:eastAsia="宋体" w:hint="default"/>
                            <w:spacing w:val="-62"/>
                            <w:sz w:val="18"/>
                            <w:szCs w:val="18"/>
                          </w:rPr>
                          <w:t> </w:t>
                        </w:r>
                        <w:r>
                          <w:rPr>
                            <w:rFonts w:ascii="宋体" w:hAnsi="宋体" w:cs="宋体" w:eastAsia="宋体" w:hint="default"/>
                            <w:sz w:val="18"/>
                            <w:szCs w:val="18"/>
                          </w:rPr>
                          <w:t>10</w:t>
                        </w:r>
                        <w:r>
                          <w:rPr>
                            <w:rFonts w:ascii="宋体" w:hAnsi="宋体" w:cs="宋体" w:eastAsia="宋体" w:hint="default"/>
                            <w:spacing w:val="-60"/>
                            <w:sz w:val="18"/>
                            <w:szCs w:val="18"/>
                          </w:rPr>
                          <w:t> </w:t>
                        </w:r>
                        <w:r>
                          <w:rPr>
                            <w:rFonts w:ascii="宋体" w:hAnsi="宋体" w:cs="宋体" w:eastAsia="宋体" w:hint="default"/>
                            <w:sz w:val="18"/>
                            <w:szCs w:val="18"/>
                          </w:rPr>
                          <w:t>号软件园</w:t>
                        </w:r>
                        <w:r>
                          <w:rPr>
                            <w:rFonts w:ascii="宋体" w:hAnsi="宋体" w:cs="宋体" w:eastAsia="宋体" w:hint="default"/>
                            <w:spacing w:val="-59"/>
                            <w:sz w:val="18"/>
                            <w:szCs w:val="18"/>
                          </w:rPr>
                          <w:t> </w:t>
                        </w:r>
                        <w:r>
                          <w:rPr>
                            <w:rFonts w:ascii="宋体" w:hAnsi="宋体" w:cs="宋体" w:eastAsia="宋体" w:hint="default"/>
                            <w:sz w:val="18"/>
                            <w:szCs w:val="18"/>
                          </w:rPr>
                          <w:t>3</w:t>
                        </w:r>
                        <w:r>
                          <w:rPr>
                            <w:rFonts w:ascii="宋体" w:hAnsi="宋体" w:cs="宋体" w:eastAsia="宋体" w:hint="default"/>
                            <w:spacing w:val="-60"/>
                            <w:sz w:val="18"/>
                            <w:szCs w:val="18"/>
                          </w:rPr>
                          <w:t> </w:t>
                        </w:r>
                        <w:r>
                          <w:rPr>
                            <w:rFonts w:ascii="宋体" w:hAnsi="宋体" w:cs="宋体" w:eastAsia="宋体" w:hint="default"/>
                            <w:sz w:val="18"/>
                            <w:szCs w:val="18"/>
                          </w:rPr>
                          <w:t>号楼</w:t>
                        </w:r>
                        <w:r>
                          <w:rPr>
                            <w:rFonts w:ascii="宋体" w:hAnsi="宋体" w:cs="宋体" w:eastAsia="宋体" w:hint="default"/>
                            <w:spacing w:val="-62"/>
                            <w:sz w:val="18"/>
                            <w:szCs w:val="18"/>
                          </w:rPr>
                          <w:t> </w:t>
                        </w:r>
                        <w:r>
                          <w:rPr>
                            <w:rFonts w:ascii="宋体" w:hAnsi="宋体" w:cs="宋体" w:eastAsia="宋体" w:hint="default"/>
                            <w:sz w:val="18"/>
                            <w:szCs w:val="18"/>
                          </w:rPr>
                          <w:t>210</w:t>
                        </w:r>
                        <w:r>
                          <w:rPr>
                            <w:rFonts w:ascii="宋体" w:hAnsi="宋体" w:cs="宋体" w:eastAsia="宋体" w:hint="default"/>
                            <w:spacing w:val="-60"/>
                            <w:sz w:val="18"/>
                            <w:szCs w:val="18"/>
                          </w:rPr>
                          <w:t> </w:t>
                        </w:r>
                        <w:r>
                          <w:rPr>
                            <w:rFonts w:ascii="宋体" w:hAnsi="宋体" w:cs="宋体" w:eastAsia="宋体" w:hint="default"/>
                            <w:sz w:val="18"/>
                            <w:szCs w:val="18"/>
                          </w:rPr>
                          <w:t>室变更为合肥</w:t>
                        </w:r>
                        <w:r>
                          <w:rPr>
                            <w:rFonts w:ascii="宋体" w:hAnsi="宋体" w:cs="宋体" w:eastAsia="宋体" w:hint="default"/>
                            <w:sz w:val="18"/>
                            <w:szCs w:val="18"/>
                          </w:rPr>
                          <w:t> 市高新区天达路</w:t>
                        </w:r>
                        <w:r>
                          <w:rPr>
                            <w:rFonts w:ascii="宋体" w:hAnsi="宋体" w:cs="宋体" w:eastAsia="宋体" w:hint="default"/>
                            <w:spacing w:val="-47"/>
                            <w:sz w:val="18"/>
                            <w:szCs w:val="18"/>
                          </w:rPr>
                          <w:t> </w:t>
                        </w:r>
                        <w:r>
                          <w:rPr>
                            <w:rFonts w:ascii="宋体" w:hAnsi="宋体" w:cs="宋体" w:eastAsia="宋体" w:hint="default"/>
                            <w:sz w:val="18"/>
                            <w:szCs w:val="18"/>
                          </w:rPr>
                          <w:t>71</w:t>
                        </w:r>
                        <w:r>
                          <w:rPr>
                            <w:rFonts w:ascii="宋体" w:hAnsi="宋体" w:cs="宋体" w:eastAsia="宋体" w:hint="default"/>
                            <w:spacing w:val="-46"/>
                            <w:sz w:val="18"/>
                            <w:szCs w:val="18"/>
                          </w:rPr>
                          <w:t> </w:t>
                        </w:r>
                        <w:r>
                          <w:rPr>
                            <w:rFonts w:ascii="宋体" w:hAnsi="宋体" w:cs="宋体" w:eastAsia="宋体" w:hint="default"/>
                            <w:sz w:val="18"/>
                            <w:szCs w:val="18"/>
                          </w:rPr>
                          <w:t>号华亿科学园</w:t>
                        </w:r>
                        <w:r>
                          <w:rPr>
                            <w:rFonts w:ascii="宋体" w:hAnsi="宋体" w:cs="宋体" w:eastAsia="宋体" w:hint="default"/>
                            <w:spacing w:val="-45"/>
                            <w:sz w:val="18"/>
                            <w:szCs w:val="18"/>
                          </w:rPr>
                          <w:t> </w:t>
                        </w:r>
                        <w:r>
                          <w:rPr>
                            <w:rFonts w:ascii="宋体" w:hAnsi="宋体" w:cs="宋体" w:eastAsia="宋体" w:hint="default"/>
                            <w:sz w:val="18"/>
                            <w:szCs w:val="18"/>
                          </w:rPr>
                          <w:t>E1</w:t>
                        </w:r>
                        <w:r>
                          <w:rPr>
                            <w:rFonts w:ascii="宋体" w:hAnsi="宋体" w:cs="宋体" w:eastAsia="宋体" w:hint="default"/>
                            <w:spacing w:val="-46"/>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宋体" w:hAnsi="宋体" w:cs="宋体" w:eastAsia="宋体" w:hint="default"/>
                            <w:sz w:val="18"/>
                            <w:szCs w:val="18"/>
                          </w:rPr>
                          <w:t>402。</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44"/>
        <w:ind w:left="0" w:right="12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both"/>
              <w:rPr>
                <w:rFonts w:ascii="宋体" w:hAnsi="宋体" w:cs="宋体" w:eastAsia="宋体" w:hint="default"/>
                <w:sz w:val="18"/>
                <w:szCs w:val="18"/>
              </w:rPr>
            </w:pPr>
            <w:r>
              <w:rPr>
                <w:rFonts w:ascii="宋体" w:hAnsi="宋体" w:cs="宋体" w:eastAsia="宋体" w:hint="default"/>
                <w:sz w:val="18"/>
                <w:szCs w:val="18"/>
              </w:rPr>
              <w:t>在公司非公开发行股票募集资金到位以前，为保障募集资金投资项目的顺利进行，部分募集资金投 资项目已由公司利用自筹资金先行投入。先行投入的自筹资金金额已经大华会计师事务所（特殊普 通合伙）鉴证，并出具了《安徽皖通科技股份有限公司以自筹资金预先投入募集资金投资项目的鉴 </w:t>
            </w:r>
            <w:r>
              <w:rPr>
                <w:rFonts w:ascii="宋体" w:hAnsi="宋体" w:cs="宋体" w:eastAsia="宋体" w:hint="default"/>
                <w:spacing w:val="-6"/>
                <w:sz w:val="18"/>
                <w:szCs w:val="18"/>
              </w:rPr>
              <w:t>证报告》（大华核字[2014]005008</w:t>
            </w:r>
            <w:r>
              <w:rPr>
                <w:rFonts w:ascii="宋体" w:hAnsi="宋体" w:cs="宋体" w:eastAsia="宋体" w:hint="default"/>
                <w:spacing w:val="-20"/>
                <w:sz w:val="18"/>
                <w:szCs w:val="18"/>
              </w:rPr>
              <w:t> </w:t>
            </w:r>
            <w:r>
              <w:rPr>
                <w:rFonts w:ascii="宋体" w:hAnsi="宋体" w:cs="宋体" w:eastAsia="宋体" w:hint="default"/>
                <w:spacing w:val="-5"/>
                <w:sz w:val="18"/>
                <w:szCs w:val="18"/>
              </w:rPr>
              <w:t>号）。依据该鉴证报告，公司用募集资金置换先期自筹资金共计人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民币</w:t>
            </w:r>
            <w:r>
              <w:rPr>
                <w:rFonts w:ascii="宋体" w:hAnsi="宋体" w:cs="宋体" w:eastAsia="宋体" w:hint="default"/>
                <w:spacing w:val="-48"/>
                <w:sz w:val="18"/>
                <w:szCs w:val="18"/>
              </w:rPr>
              <w:t> </w:t>
            </w:r>
            <w:r>
              <w:rPr>
                <w:rFonts w:ascii="宋体" w:hAnsi="宋体" w:cs="宋体" w:eastAsia="宋体" w:hint="default"/>
                <w:sz w:val="18"/>
                <w:szCs w:val="18"/>
              </w:rPr>
              <w:t>1,203.90</w:t>
            </w:r>
            <w:r>
              <w:rPr>
                <w:rFonts w:ascii="宋体" w:hAnsi="宋体" w:cs="宋体" w:eastAsia="宋体" w:hint="default"/>
                <w:spacing w:val="-47"/>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83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年第二次临时股东大会审议通过，根据募集资金投资项目建设</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pacing w:val="-3"/>
                <w:sz w:val="18"/>
                <w:szCs w:val="18"/>
              </w:rPr>
              <w:t>进度安排，2014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月将闲置募集资金</w:t>
            </w:r>
            <w:r>
              <w:rPr>
                <w:rFonts w:ascii="宋体" w:hAnsi="宋体" w:cs="宋体" w:eastAsia="宋体" w:hint="default"/>
                <w:spacing w:val="-51"/>
                <w:sz w:val="18"/>
                <w:szCs w:val="18"/>
              </w:rPr>
              <w:t> </w:t>
            </w:r>
            <w:r>
              <w:rPr>
                <w:rFonts w:ascii="宋体" w:hAnsi="宋体" w:cs="宋体" w:eastAsia="宋体" w:hint="default"/>
                <w:sz w:val="18"/>
                <w:szCs w:val="18"/>
              </w:rPr>
              <w:t>15,000</w:t>
            </w:r>
            <w:r>
              <w:rPr>
                <w:rFonts w:ascii="宋体" w:hAnsi="宋体" w:cs="宋体" w:eastAsia="宋体" w:hint="default"/>
                <w:spacing w:val="-50"/>
                <w:sz w:val="18"/>
                <w:szCs w:val="18"/>
              </w:rPr>
              <w:t> </w:t>
            </w:r>
            <w:r>
              <w:rPr>
                <w:rFonts w:ascii="宋体" w:hAnsi="宋体" w:cs="宋体" w:eastAsia="宋体" w:hint="default"/>
                <w:sz w:val="18"/>
                <w:szCs w:val="18"/>
              </w:rPr>
              <w:t>万元暂时用于补充流动资金，用于在公司中标项目</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实施过程中，提供前期设备采购资金和支付相关应付账款。该次暂时补充流动资金已于</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316" w:lineRule="auto" w:before="76"/>
              <w:ind w:left="23" w:right="2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日全部归还至募集资金专用账户，使用期限未超过</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pacing w:val="1"/>
                <w:sz w:val="18"/>
                <w:szCs w:val="18"/>
              </w:rPr>
              <w:t> </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宋体" w:hAnsi="宋体" w:cs="宋体" w:eastAsia="宋体" w:hint="default"/>
                <w:sz w:val="18"/>
                <w:szCs w:val="18"/>
              </w:rPr>
              <w:t>2015 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日召开</w:t>
            </w:r>
            <w:r>
              <w:rPr>
                <w:rFonts w:ascii="宋体" w:hAnsi="宋体" w:cs="宋体" w:eastAsia="宋体" w:hint="default"/>
                <w:sz w:val="18"/>
                <w:szCs w:val="18"/>
              </w:rPr>
              <w:t> 的第三届董事会第二十二次会议审议通过，按照募集资金投资项目建设进度安排，公司及全资、控 股子公司拟将当前闲置募集资金</w:t>
            </w:r>
            <w:r>
              <w:rPr>
                <w:rFonts w:ascii="宋体" w:hAnsi="宋体" w:cs="宋体" w:eastAsia="宋体" w:hint="default"/>
                <w:spacing w:val="-47"/>
                <w:sz w:val="18"/>
                <w:szCs w:val="18"/>
              </w:rPr>
              <w:t> </w:t>
            </w:r>
            <w:r>
              <w:rPr>
                <w:rFonts w:ascii="宋体" w:hAnsi="宋体" w:cs="宋体" w:eastAsia="宋体" w:hint="default"/>
                <w:sz w:val="18"/>
                <w:szCs w:val="18"/>
              </w:rPr>
              <w:t>14,000</w:t>
            </w:r>
            <w:r>
              <w:rPr>
                <w:rFonts w:ascii="宋体" w:hAnsi="宋体" w:cs="宋体" w:eastAsia="宋体" w:hint="default"/>
                <w:spacing w:val="-46"/>
                <w:sz w:val="18"/>
                <w:szCs w:val="18"/>
              </w:rPr>
              <w:t> </w:t>
            </w:r>
            <w:r>
              <w:rPr>
                <w:rFonts w:ascii="宋体" w:hAnsi="宋体" w:cs="宋体" w:eastAsia="宋体" w:hint="default"/>
                <w:sz w:val="18"/>
                <w:szCs w:val="18"/>
              </w:rPr>
              <w:t>万元暂时用于补充流动资金，使用期限不超过</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个月，用</w:t>
            </w:r>
            <w:r>
              <w:rPr>
                <w:rFonts w:ascii="宋体" w:hAnsi="宋体" w:cs="宋体" w:eastAsia="宋体" w:hint="default"/>
                <w:sz w:val="18"/>
                <w:szCs w:val="18"/>
              </w:rPr>
              <w:t> 于在公司中标项目实施过程中，提供前期设备采购资金和支付相关应付账款。该次暂时补充流动资 金已于</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日全部归还至募集资金专用账户，使用期限未超过</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  公司</w:t>
            </w:r>
            <w:r>
              <w:rPr>
                <w:rFonts w:ascii="宋体" w:hAnsi="宋体" w:cs="宋体" w:eastAsia="宋体" w:hint="default"/>
                <w:spacing w:val="-47"/>
                <w:sz w:val="18"/>
                <w:szCs w:val="18"/>
              </w:rPr>
              <w:t> </w:t>
            </w:r>
            <w:r>
              <w:rPr>
                <w:rFonts w:ascii="宋体" w:hAnsi="宋体" w:cs="宋体" w:eastAsia="宋体" w:hint="default"/>
                <w:sz w:val="18"/>
                <w:szCs w:val="18"/>
              </w:rPr>
              <w:t>2017</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13</w:t>
            </w:r>
            <w:r>
              <w:rPr>
                <w:rFonts w:ascii="宋体" w:hAnsi="宋体" w:cs="宋体" w:eastAsia="宋体" w:hint="default"/>
                <w:spacing w:val="-39"/>
                <w:sz w:val="18"/>
                <w:szCs w:val="18"/>
              </w:rPr>
              <w:t> </w:t>
            </w:r>
            <w:r>
              <w:rPr>
                <w:rFonts w:ascii="宋体" w:hAnsi="宋体" w:cs="宋体" w:eastAsia="宋体" w:hint="default"/>
                <w:spacing w:val="-3"/>
                <w:sz w:val="18"/>
                <w:szCs w:val="18"/>
              </w:rPr>
              <w:t>日召开的第四届董事会第二次会议审议通过，根据募集资金投资项目建设进度安排，公司</w:t>
            </w:r>
          </w:p>
          <w:p>
            <w:pPr>
              <w:pStyle w:val="TableParagraph"/>
              <w:spacing w:line="316" w:lineRule="auto" w:before="76"/>
              <w:ind w:left="23" w:right="21"/>
              <w:jc w:val="both"/>
              <w:rPr>
                <w:rFonts w:ascii="宋体" w:hAnsi="宋体" w:cs="宋体" w:eastAsia="宋体" w:hint="default"/>
                <w:sz w:val="18"/>
                <w:szCs w:val="18"/>
              </w:rPr>
            </w:pPr>
            <w:r>
              <w:rPr>
                <w:rFonts w:ascii="宋体" w:hAnsi="宋体" w:cs="宋体" w:eastAsia="宋体" w:hint="default"/>
                <w:sz w:val="18"/>
                <w:szCs w:val="18"/>
              </w:rPr>
              <w:t>及全资、控股子公司拟将当前闲置募集资金</w:t>
            </w:r>
            <w:r>
              <w:rPr>
                <w:rFonts w:ascii="宋体" w:hAnsi="宋体" w:cs="宋体" w:eastAsia="宋体" w:hint="default"/>
                <w:spacing w:val="-59"/>
                <w:sz w:val="18"/>
                <w:szCs w:val="18"/>
              </w:rPr>
              <w:t> </w:t>
            </w:r>
            <w:r>
              <w:rPr>
                <w:rFonts w:ascii="宋体" w:hAnsi="宋体" w:cs="宋体" w:eastAsia="宋体" w:hint="default"/>
                <w:sz w:val="18"/>
                <w:szCs w:val="18"/>
              </w:rPr>
              <w:t>7,000</w:t>
            </w:r>
            <w:r>
              <w:rPr>
                <w:rFonts w:ascii="宋体" w:hAnsi="宋体" w:cs="宋体" w:eastAsia="宋体" w:hint="default"/>
                <w:spacing w:val="-60"/>
                <w:sz w:val="18"/>
                <w:szCs w:val="18"/>
              </w:rPr>
              <w:t> </w:t>
            </w:r>
            <w:r>
              <w:rPr>
                <w:rFonts w:ascii="宋体" w:hAnsi="宋体" w:cs="宋体" w:eastAsia="宋体" w:hint="default"/>
                <w:sz w:val="18"/>
                <w:szCs w:val="18"/>
              </w:rPr>
              <w:t>万元暂时用于补充流动资金，使用期限不超过</w:t>
            </w:r>
            <w:r>
              <w:rPr>
                <w:rFonts w:ascii="宋体" w:hAnsi="宋体" w:cs="宋体" w:eastAsia="宋体" w:hint="default"/>
                <w:spacing w:val="-60"/>
                <w:sz w:val="18"/>
                <w:szCs w:val="18"/>
              </w:rPr>
              <w:t> </w:t>
            </w:r>
            <w:r>
              <w:rPr>
                <w:rFonts w:ascii="宋体" w:hAnsi="宋体" w:cs="宋体" w:eastAsia="宋体" w:hint="default"/>
                <w:sz w:val="18"/>
                <w:szCs w:val="18"/>
              </w:rPr>
              <w:t>12</w:t>
            </w:r>
            <w:r>
              <w:rPr>
                <w:rFonts w:ascii="宋体" w:hAnsi="宋体" w:cs="宋体" w:eastAsia="宋体" w:hint="default"/>
                <w:sz w:val="18"/>
                <w:szCs w:val="18"/>
              </w:rPr>
              <w:t> 个月，用于在公司中标项目实施过程中，提供前期设备采购资金和支付相关应付账款。该次暂时补 充流动资金已于</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日全部归还至募集资金专用账户，使用期限未超过</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尚未使用的募集资金将用于完成募投项目，其存放于募投资金三方监管专户。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（3）募集资金变更项目情况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63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公司报告期不存在募集资金变更项目情况。</w:t>
      </w:r>
    </w:p>
    <w:p>
      <w:pPr>
        <w:spacing w:line="240" w:lineRule="auto" w:before="7"/>
        <w:rPr>
          <w:rFonts w:ascii="宋体" w:hAnsi="宋体" w:cs="宋体" w:eastAsia="宋体" w:hint="default"/>
          <w:sz w:val="18"/>
          <w:szCs w:val="18"/>
        </w:rPr>
      </w:pPr>
    </w:p>
    <w:p>
      <w:pPr>
        <w:pStyle w:val="Heading4"/>
        <w:spacing w:line="240" w:lineRule="auto"/>
        <w:ind w:right="0"/>
        <w:jc w:val="left"/>
        <w:rPr>
          <w:b w:val="0"/>
          <w:bCs w:val="0"/>
        </w:rPr>
      </w:pPr>
      <w:r>
        <w:rPr/>
        <w:t>六、重大资产和股权出售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1、出售重大资产情况</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73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公司报告期未出售重大资产。</w:t>
      </w:r>
    </w:p>
    <w:p>
      <w:pPr>
        <w:spacing w:after="0" w:line="36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94"/>
        <w:jc w:val="left"/>
        <w:rPr>
          <w:b w:val="0"/>
          <w:bCs w:val="0"/>
        </w:rPr>
      </w:pPr>
      <w:r>
        <w:rPr/>
        <w:t>2、出售重大股权情况</w:t>
      </w:r>
      <w:r>
        <w:rPr>
          <w:b w:val="0"/>
          <w:bCs w:val="0"/>
        </w:rPr>
      </w:r>
    </w:p>
    <w:p>
      <w:pPr>
        <w:spacing w:line="240" w:lineRule="auto" w:before="9"/>
        <w:rPr>
          <w:rFonts w:ascii="宋体" w:hAnsi="宋体" w:cs="宋体" w:eastAsia="宋体" w:hint="default"/>
          <w:b/>
          <w:bCs/>
          <w:sz w:val="27"/>
          <w:szCs w:val="27"/>
        </w:rPr>
      </w:pPr>
    </w:p>
    <w:p>
      <w:pPr>
        <w:spacing w:before="0"/>
        <w:ind w:left="112" w:right="9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94"/>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37" w:top="1040" w:bottom="1120" w:left="1020" w:right="920"/>
        </w:sectPr>
      </w:pPr>
    </w:p>
    <w:p>
      <w:pPr>
        <w:spacing w:before="44"/>
        <w:ind w:left="112" w:right="-18"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11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5"/>
          <w:sz w:val="18"/>
          <w:szCs w:val="18"/>
        </w:rPr>
        <w:t> </w:t>
      </w:r>
      <w:r>
        <w:rPr>
          <w:rFonts w:ascii="宋体" w:hAnsi="宋体" w:cs="宋体" w:eastAsia="宋体" w:hint="default"/>
          <w:sz w:val="18"/>
          <w:szCs w:val="18"/>
        </w:rPr>
        <w:t>10%以上的参股公司情况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120" w:left="1020" w:right="920"/>
          <w:cols w:num="2" w:equalWidth="0">
            <w:col w:w="4750" w:space="4168"/>
            <w:col w:w="10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烟台华东电 子软件技术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09"/>
              <w:jc w:val="left"/>
              <w:rPr>
                <w:rFonts w:ascii="宋体" w:hAnsi="宋体" w:cs="宋体" w:eastAsia="宋体" w:hint="default"/>
                <w:sz w:val="18"/>
                <w:szCs w:val="18"/>
              </w:rPr>
            </w:pPr>
            <w:r>
              <w:rPr>
                <w:rFonts w:ascii="宋体" w:hAnsi="宋体" w:cs="宋体" w:eastAsia="宋体" w:hint="default"/>
                <w:sz w:val="18"/>
                <w:szCs w:val="18"/>
              </w:rPr>
              <w:t>电子与信息 等</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9"/>
              <w:jc w:val="right"/>
              <w:rPr>
                <w:rFonts w:ascii="宋体" w:hAnsi="宋体" w:cs="宋体" w:eastAsia="宋体" w:hint="default"/>
                <w:sz w:val="18"/>
                <w:szCs w:val="18"/>
              </w:rPr>
            </w:pPr>
            <w:r>
              <w:rPr>
                <w:rFonts w:ascii="宋体"/>
                <w:spacing w:val="-1"/>
                <w:sz w:val="18"/>
              </w:rPr>
              <w:t>60,000,000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454,984,996</w:t>
            </w:r>
          </w:p>
          <w:p>
            <w:pPr>
              <w:pStyle w:val="TableParagraph"/>
              <w:spacing w:line="240" w:lineRule="auto" w:before="76"/>
              <w:ind w:right="22"/>
              <w:jc w:val="right"/>
              <w:rPr>
                <w:rFonts w:ascii="宋体" w:hAnsi="宋体" w:cs="宋体" w:eastAsia="宋体" w:hint="default"/>
                <w:sz w:val="18"/>
                <w:szCs w:val="18"/>
              </w:rPr>
            </w:pPr>
            <w:r>
              <w:rPr>
                <w:rFonts w:ascii="宋体"/>
                <w:spacing w:val="-1"/>
                <w:sz w:val="18"/>
              </w:rPr>
              <w:t>.36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sz w:val="18"/>
              </w:rPr>
              <w:t>376,851,56</w:t>
            </w:r>
          </w:p>
          <w:p>
            <w:pPr>
              <w:pStyle w:val="TableParagraph"/>
              <w:spacing w:line="240" w:lineRule="auto" w:before="76"/>
              <w:ind w:left="651" w:right="0"/>
              <w:jc w:val="left"/>
              <w:rPr>
                <w:rFonts w:ascii="宋体" w:hAnsi="宋体" w:cs="宋体" w:eastAsia="宋体" w:hint="default"/>
                <w:sz w:val="18"/>
                <w:szCs w:val="18"/>
              </w:rPr>
            </w:pPr>
            <w:r>
              <w:rPr>
                <w:rFonts w:ascii="宋体"/>
                <w:sz w:val="18"/>
              </w:rPr>
              <w:t>3.57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144,435,15</w:t>
            </w:r>
          </w:p>
          <w:p>
            <w:pPr>
              <w:pStyle w:val="TableParagraph"/>
              <w:spacing w:line="240" w:lineRule="auto" w:before="76"/>
              <w:ind w:left="652" w:right="0"/>
              <w:jc w:val="left"/>
              <w:rPr>
                <w:rFonts w:ascii="宋体" w:hAnsi="宋体" w:cs="宋体" w:eastAsia="宋体" w:hint="default"/>
                <w:sz w:val="18"/>
                <w:szCs w:val="18"/>
              </w:rPr>
            </w:pPr>
            <w:r>
              <w:rPr>
                <w:rFonts w:ascii="宋体"/>
                <w:sz w:val="18"/>
              </w:rPr>
              <w:t>7.05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31,360,492</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22,853,722.</w:t>
            </w:r>
          </w:p>
          <w:p>
            <w:pPr>
              <w:pStyle w:val="TableParagraph"/>
              <w:spacing w:line="240" w:lineRule="auto" w:before="76"/>
              <w:ind w:right="20"/>
              <w:jc w:val="right"/>
              <w:rPr>
                <w:rFonts w:ascii="宋体" w:hAnsi="宋体" w:cs="宋体" w:eastAsia="宋体" w:hint="default"/>
                <w:sz w:val="18"/>
                <w:szCs w:val="18"/>
              </w:rPr>
            </w:pPr>
            <w:r>
              <w:rPr>
                <w:rFonts w:ascii="宋体"/>
                <w:sz w:val="18"/>
              </w:rPr>
              <w:t>96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119"/>
              <w:jc w:val="both"/>
              <w:rPr>
                <w:rFonts w:ascii="宋体" w:hAnsi="宋体" w:cs="宋体" w:eastAsia="宋体" w:hint="default"/>
                <w:sz w:val="18"/>
                <w:szCs w:val="18"/>
              </w:rPr>
            </w:pPr>
            <w:r>
              <w:rPr>
                <w:rFonts w:ascii="宋体" w:hAnsi="宋体" w:cs="宋体" w:eastAsia="宋体" w:hint="default"/>
                <w:sz w:val="18"/>
                <w:szCs w:val="18"/>
              </w:rPr>
              <w:t>安徽汉高信 息科技有限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9"/>
              <w:jc w:val="left"/>
              <w:rPr>
                <w:rFonts w:ascii="宋体" w:hAnsi="宋体" w:cs="宋体" w:eastAsia="宋体" w:hint="default"/>
                <w:sz w:val="18"/>
                <w:szCs w:val="18"/>
              </w:rPr>
            </w:pPr>
            <w:r>
              <w:rPr>
                <w:rFonts w:ascii="宋体" w:hAnsi="宋体" w:cs="宋体" w:eastAsia="宋体" w:hint="default"/>
                <w:sz w:val="18"/>
                <w:szCs w:val="18"/>
              </w:rPr>
              <w:t>电子与信息 等</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9"/>
              <w:jc w:val="right"/>
              <w:rPr>
                <w:rFonts w:ascii="宋体" w:hAnsi="宋体" w:cs="宋体" w:eastAsia="宋体" w:hint="default"/>
                <w:sz w:val="18"/>
                <w:szCs w:val="18"/>
              </w:rPr>
            </w:pPr>
            <w:r>
              <w:rPr>
                <w:rFonts w:ascii="宋体"/>
                <w:spacing w:val="-1"/>
                <w:sz w:val="18"/>
              </w:rPr>
              <w:t>50,500,000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221,800,958</w:t>
            </w:r>
          </w:p>
          <w:p>
            <w:pPr>
              <w:pStyle w:val="TableParagraph"/>
              <w:spacing w:line="240" w:lineRule="auto" w:before="76"/>
              <w:ind w:right="22"/>
              <w:jc w:val="right"/>
              <w:rPr>
                <w:rFonts w:ascii="宋体" w:hAnsi="宋体" w:cs="宋体" w:eastAsia="宋体" w:hint="default"/>
                <w:sz w:val="18"/>
                <w:szCs w:val="18"/>
              </w:rPr>
            </w:pPr>
            <w:r>
              <w:rPr>
                <w:rFonts w:ascii="宋体"/>
                <w:spacing w:val="-1"/>
                <w:sz w:val="18"/>
              </w:rPr>
              <w:t>.01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81,437,148</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288,175,15</w:t>
            </w:r>
          </w:p>
          <w:p>
            <w:pPr>
              <w:pStyle w:val="TableParagraph"/>
              <w:spacing w:line="240" w:lineRule="auto" w:before="76"/>
              <w:ind w:left="652" w:right="0"/>
              <w:jc w:val="left"/>
              <w:rPr>
                <w:rFonts w:ascii="宋体" w:hAnsi="宋体" w:cs="宋体" w:eastAsia="宋体" w:hint="default"/>
                <w:sz w:val="18"/>
                <w:szCs w:val="18"/>
              </w:rPr>
            </w:pPr>
            <w:r>
              <w:rPr>
                <w:rFonts w:ascii="宋体"/>
                <w:sz w:val="18"/>
              </w:rPr>
              <w:t>1.44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24,392,351</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20,970,491.</w:t>
            </w:r>
          </w:p>
          <w:p>
            <w:pPr>
              <w:pStyle w:val="TableParagraph"/>
              <w:spacing w:line="240" w:lineRule="auto" w:before="76"/>
              <w:ind w:right="20"/>
              <w:jc w:val="right"/>
              <w:rPr>
                <w:rFonts w:ascii="宋体" w:hAnsi="宋体" w:cs="宋体" w:eastAsia="宋体" w:hint="default"/>
                <w:sz w:val="18"/>
                <w:szCs w:val="18"/>
              </w:rPr>
            </w:pPr>
            <w:r>
              <w:rPr>
                <w:rFonts w:ascii="宋体"/>
                <w:sz w:val="18"/>
              </w:rPr>
              <w:t>97</w:t>
            </w:r>
          </w:p>
        </w:tc>
      </w:tr>
    </w:tbl>
    <w:p>
      <w:pPr>
        <w:spacing w:before="50"/>
        <w:ind w:left="112" w:right="94"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12" w:right="9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安徽光大保险代理有限责任公司</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暂无重大影响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上海亲益保网络科技有限公司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股份支付购买</w:t>
            </w:r>
          </w:p>
        </w:tc>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暂无重大影响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上海舶云供应链管理有限公司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暂无重大影响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浙江自贸区舶云智慧物流有限公司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暂无重大影响</w:t>
            </w:r>
          </w:p>
        </w:tc>
      </w:tr>
    </w:tbl>
    <w:p>
      <w:pPr>
        <w:spacing w:before="49"/>
        <w:ind w:left="112" w:right="94"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3"/>
        <w:rPr>
          <w:rFonts w:ascii="宋体" w:hAnsi="宋体" w:cs="宋体" w:eastAsia="宋体" w:hint="default"/>
          <w:sz w:val="25"/>
          <w:szCs w:val="25"/>
        </w:rPr>
      </w:pPr>
    </w:p>
    <w:p>
      <w:pPr>
        <w:pStyle w:val="Heading4"/>
        <w:spacing w:line="240" w:lineRule="auto"/>
        <w:ind w:right="94"/>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12" w:right="9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94"/>
        <w:jc w:val="left"/>
        <w:rPr>
          <w:b w:val="0"/>
          <w:bCs w:val="0"/>
        </w:rPr>
      </w:pPr>
      <w:r>
        <w:rPr/>
        <w:t>九、公司未来发展的展望</w:t>
      </w:r>
      <w:r>
        <w:rPr>
          <w:b w:val="0"/>
          <w:bCs w:val="0"/>
        </w:rPr>
      </w:r>
    </w:p>
    <w:p>
      <w:pPr>
        <w:spacing w:line="240" w:lineRule="auto" w:before="8"/>
        <w:rPr>
          <w:rFonts w:ascii="宋体" w:hAnsi="宋体" w:cs="宋体" w:eastAsia="宋体" w:hint="default"/>
          <w:b/>
          <w:bCs/>
          <w:sz w:val="30"/>
          <w:szCs w:val="30"/>
        </w:rPr>
      </w:pPr>
    </w:p>
    <w:p>
      <w:pPr>
        <w:pStyle w:val="Heading5"/>
        <w:spacing w:line="240" w:lineRule="auto"/>
        <w:ind w:left="595" w:right="94"/>
        <w:jc w:val="left"/>
        <w:rPr>
          <w:b w:val="0"/>
          <w:bCs w:val="0"/>
        </w:rPr>
      </w:pPr>
      <w:r>
        <w:rPr/>
        <w:t>（一）行业竞争格局和发展趋势</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line="408" w:lineRule="auto" w:before="0"/>
        <w:ind w:left="592" w:right="94" w:hanging="58"/>
        <w:jc w:val="left"/>
        <w:rPr>
          <w:rFonts w:ascii="宋体" w:hAnsi="宋体" w:cs="宋体" w:eastAsia="宋体" w:hint="default"/>
          <w:sz w:val="21"/>
          <w:szCs w:val="21"/>
        </w:rPr>
      </w:pPr>
      <w:r>
        <w:rPr>
          <w:rFonts w:ascii="宋体" w:hAnsi="宋体" w:cs="宋体" w:eastAsia="宋体" w:hint="default"/>
          <w:b/>
          <w:bCs/>
          <w:sz w:val="21"/>
          <w:szCs w:val="21"/>
        </w:rPr>
        <w:t>1、国家加快基础设施网络布局</w:t>
      </w:r>
      <w:r>
        <w:rPr>
          <w:rFonts w:ascii="宋体" w:hAnsi="宋体" w:cs="宋体" w:eastAsia="宋体" w:hint="default"/>
          <w:b/>
          <w:bCs/>
          <w:spacing w:val="1"/>
          <w:sz w:val="21"/>
          <w:szCs w:val="21"/>
        </w:rPr>
        <w:t> </w:t>
      </w:r>
      <w:r>
        <w:rPr>
          <w:rFonts w:ascii="宋体" w:hAnsi="宋体" w:cs="宋体" w:eastAsia="宋体" w:hint="default"/>
          <w:b/>
          <w:bCs/>
          <w:sz w:val="21"/>
          <w:szCs w:val="21"/>
        </w:rPr>
        <w:t>交通运输行业整体需求依然旺盛</w:t>
      </w:r>
      <w:r>
        <w:rPr>
          <w:rFonts w:ascii="宋体" w:hAnsi="宋体" w:cs="宋体" w:eastAsia="宋体" w:hint="default"/>
          <w:b/>
          <w:bCs/>
          <w:w w:val="99"/>
          <w:sz w:val="21"/>
          <w:szCs w:val="21"/>
        </w:rPr>
        <w:t> </w:t>
      </w:r>
      <w:r>
        <w:rPr>
          <w:rFonts w:ascii="宋体" w:hAnsi="宋体" w:cs="宋体" w:eastAsia="宋体" w:hint="default"/>
          <w:w w:val="95"/>
          <w:sz w:val="21"/>
          <w:szCs w:val="21"/>
        </w:rPr>
        <w:t>“十三五”时期，我国交通运输业正处于支撑全面建成小康社会的攻坚期、优化网络布局的关键期、</w:t>
      </w:r>
      <w:r>
        <w:rPr>
          <w:rFonts w:ascii="宋体" w:hAnsi="宋体" w:cs="宋体" w:eastAsia="宋体" w:hint="default"/>
          <w:sz w:val="21"/>
          <w:szCs w:val="21"/>
        </w:rPr>
      </w:r>
    </w:p>
    <w:p>
      <w:pPr>
        <w:pStyle w:val="BodyText"/>
        <w:spacing w:line="408" w:lineRule="auto" w:before="46"/>
        <w:ind w:left="592" w:right="94" w:hanging="480"/>
        <w:jc w:val="left"/>
      </w:pPr>
      <w:r>
        <w:rPr/>
        <w:t>提质增效升级的转型期，已进入现代化建设新阶段。</w:t>
      </w:r>
      <w:r>
        <w:rPr>
          <w:w w:val="99"/>
        </w:rPr>
        <w:t> </w:t>
      </w:r>
      <w:r>
        <w:rPr>
          <w:spacing w:val="-4"/>
          <w:w w:val="95"/>
        </w:rPr>
        <w:t>根据国务院发布《“十三五”现代综合交通运输体系发展规划》，我国将加速完善基础设施网络布局，</w:t>
      </w:r>
      <w:r>
        <w:rPr>
          <w:spacing w:val="-4"/>
        </w:rPr>
      </w:r>
    </w:p>
    <w:p>
      <w:pPr>
        <w:pStyle w:val="BodyText"/>
        <w:spacing w:line="240" w:lineRule="auto" w:before="46"/>
        <w:ind w:right="94"/>
        <w:jc w:val="left"/>
      </w:pPr>
      <w:r>
        <w:rPr>
          <w:spacing w:val="2"/>
        </w:rPr>
        <w:t>建设多向连通的综合运输通道，构建高品质的快速交通网，加快推进由7条首都放射线、11条北南纵线、</w:t>
      </w:r>
    </w:p>
    <w:p>
      <w:pPr>
        <w:spacing w:after="0" w:line="240" w:lineRule="auto"/>
        <w:jc w:val="left"/>
        <w:sectPr>
          <w:type w:val="continuous"/>
          <w:pgSz w:w="11910" w:h="16840"/>
          <w:pgMar w:top="1040" w:bottom="1120" w:left="1020" w:right="9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408" w:lineRule="auto" w:before="0"/>
        <w:ind w:right="190"/>
        <w:jc w:val="both"/>
      </w:pPr>
      <w:r>
        <w:rPr>
          <w:w w:val="95"/>
        </w:rPr>
        <w:t>18条东西横线，以及地区环线、并行线、联络线等组成的国家高速公路网建设，尽快打通国家高速公路主</w:t>
      </w:r>
      <w:r>
        <w:rPr>
          <w:spacing w:val="41"/>
          <w:w w:val="95"/>
        </w:rPr>
        <w:t> </w:t>
      </w:r>
      <w:r>
        <w:rPr>
          <w:spacing w:val="41"/>
          <w:w w:val="95"/>
        </w:rPr>
      </w:r>
      <w:r>
        <w:rPr>
          <w:w w:val="95"/>
        </w:rPr>
        <w:t>线待贯通路段，推进建设年代较早、交通繁忙的国家高速公路扩容改造和分流路线建设，有序发展地方高</w:t>
      </w:r>
      <w:r>
        <w:rPr>
          <w:spacing w:val="40"/>
          <w:w w:val="95"/>
        </w:rPr>
        <w:t> </w:t>
      </w:r>
      <w:r>
        <w:rPr>
          <w:spacing w:val="40"/>
          <w:w w:val="95"/>
        </w:rPr>
      </w:r>
      <w:r>
        <w:rPr>
          <w:w w:val="95"/>
        </w:rPr>
        <w:t>速公路；持续优化港口布局，稳步推进集装箱码头项目，提升沿海和内河水运设施专业化水平，加快内河</w:t>
      </w:r>
      <w:r>
        <w:rPr>
          <w:spacing w:val="45"/>
          <w:w w:val="95"/>
        </w:rPr>
        <w:t> </w:t>
      </w:r>
      <w:r>
        <w:rPr>
          <w:spacing w:val="45"/>
          <w:w w:val="95"/>
        </w:rPr>
      </w:r>
      <w:r>
        <w:rPr/>
        <w:t>高等级航道建设。</w:t>
      </w:r>
    </w:p>
    <w:p>
      <w:pPr>
        <w:pStyle w:val="BodyText"/>
        <w:spacing w:line="408" w:lineRule="auto" w:before="46"/>
        <w:ind w:right="185" w:firstLine="480"/>
        <w:jc w:val="both"/>
      </w:pPr>
      <w:r>
        <w:rPr>
          <w:spacing w:val="-2"/>
        </w:rPr>
        <w:t>十九大提出加强水利、铁路、公路、水运、航空、管道、电网、信息、物流等基础设施网络建设，建</w:t>
      </w:r>
      <w:r>
        <w:rPr>
          <w:w w:val="99"/>
        </w:rPr>
        <w:t> </w:t>
      </w:r>
      <w:r>
        <w:rPr>
          <w:w w:val="95"/>
        </w:rPr>
        <w:t>设“交通强国”。根据2018年交通运输工作会议要求，2018年作为交通强国的起步之年，国家将持续推进</w:t>
      </w:r>
      <w:r>
        <w:rPr>
          <w:spacing w:val="40"/>
          <w:w w:val="95"/>
        </w:rPr>
        <w:t> </w:t>
      </w:r>
      <w:r>
        <w:rPr>
          <w:spacing w:val="40"/>
          <w:w w:val="95"/>
        </w:rPr>
      </w:r>
      <w:r>
        <w:rPr>
          <w:spacing w:val="2"/>
          <w:w w:val="95"/>
        </w:rPr>
        <w:t>交通运输固定资产投资，全年计划新增高速公路通车里程5000公里，新改建国省干线公路1.6万公里，新</w:t>
      </w:r>
      <w:r>
        <w:rPr>
          <w:spacing w:val="41"/>
          <w:w w:val="95"/>
        </w:rPr>
        <w:t> </w:t>
      </w:r>
      <w:r>
        <w:rPr>
          <w:spacing w:val="41"/>
          <w:w w:val="95"/>
        </w:rPr>
      </w:r>
      <w:r>
        <w:rPr/>
        <w:t>增内河高等级航道达标里程600公里，主要港口集装箱铁水联运量增长15%以上。</w:t>
      </w:r>
    </w:p>
    <w:p>
      <w:pPr>
        <w:spacing w:line="408" w:lineRule="auto" w:before="46"/>
        <w:ind w:left="595" w:right="182" w:hanging="3"/>
        <w:jc w:val="left"/>
        <w:rPr>
          <w:rFonts w:ascii="宋体" w:hAnsi="宋体" w:cs="宋体" w:eastAsia="宋体" w:hint="default"/>
          <w:sz w:val="21"/>
          <w:szCs w:val="21"/>
        </w:rPr>
      </w:pPr>
      <w:r>
        <w:rPr>
          <w:rFonts w:ascii="宋体" w:hAnsi="宋体" w:cs="宋体" w:eastAsia="宋体" w:hint="default"/>
          <w:w w:val="95"/>
          <w:sz w:val="21"/>
          <w:szCs w:val="21"/>
        </w:rPr>
        <w:t>伴随综合交通基础设施建设成网步伐的加快，交通运输行业整体需求保持强劲势头，市场前景广阔。</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b/>
          <w:bCs/>
          <w:sz w:val="21"/>
          <w:szCs w:val="21"/>
        </w:rPr>
        <w:t>2、现代交通运输体系建设加速</w:t>
      </w:r>
      <w:r>
        <w:rPr>
          <w:rFonts w:ascii="宋体" w:hAnsi="宋体" w:cs="宋体" w:eastAsia="宋体" w:hint="default"/>
          <w:b/>
          <w:bCs/>
          <w:spacing w:val="-11"/>
          <w:sz w:val="21"/>
          <w:szCs w:val="21"/>
        </w:rPr>
        <w:t> </w:t>
      </w:r>
      <w:r>
        <w:rPr>
          <w:rFonts w:ascii="宋体" w:hAnsi="宋体" w:cs="宋体" w:eastAsia="宋体" w:hint="default"/>
          <w:b/>
          <w:bCs/>
          <w:sz w:val="21"/>
          <w:szCs w:val="21"/>
        </w:rPr>
        <w:t>信息化引领行业转型升级</w:t>
      </w:r>
      <w:r>
        <w:rPr>
          <w:rFonts w:ascii="宋体" w:hAnsi="宋体" w:cs="宋体" w:eastAsia="宋体" w:hint="default"/>
          <w:sz w:val="21"/>
          <w:szCs w:val="21"/>
        </w:rPr>
      </w:r>
    </w:p>
    <w:p>
      <w:pPr>
        <w:pStyle w:val="BodyText"/>
        <w:spacing w:line="408" w:lineRule="auto" w:before="46"/>
        <w:ind w:right="190" w:firstLine="480"/>
        <w:jc w:val="both"/>
      </w:pPr>
      <w:r>
        <w:rPr>
          <w:spacing w:val="-2"/>
        </w:rPr>
        <w:t>《“十三五”现代综合交通运输体系发展规划》提出，到2020年，基本建成安全、便捷、高效、绿色</w:t>
      </w:r>
      <w:r>
        <w:rPr>
          <w:w w:val="99"/>
        </w:rPr>
        <w:t> </w:t>
      </w:r>
      <w:r>
        <w:rPr>
          <w:w w:val="95"/>
        </w:rPr>
        <w:t>的现代综合交通运输体系，部分地区和领域率先基本实现交通运输现代化。交通信息化、智能化作为行业</w:t>
      </w:r>
      <w:r>
        <w:rPr>
          <w:spacing w:val="40"/>
          <w:w w:val="95"/>
        </w:rPr>
        <w:t> </w:t>
      </w:r>
      <w:r>
        <w:rPr>
          <w:spacing w:val="40"/>
          <w:w w:val="95"/>
        </w:rPr>
      </w:r>
      <w:r>
        <w:rPr>
          <w:w w:val="95"/>
        </w:rPr>
        <w:t>提质增效升级的重要抓手，已广泛应用于交通运输的各个环节，在“十三五”时期将面临前所未有的发展  </w:t>
      </w:r>
      <w:r>
        <w:rPr>
          <w:spacing w:val="37"/>
          <w:w w:val="95"/>
        </w:rPr>
        <w:t> </w:t>
      </w:r>
      <w:r>
        <w:rPr>
          <w:spacing w:val="37"/>
          <w:w w:val="95"/>
        </w:rPr>
      </w:r>
      <w:r>
        <w:rPr/>
        <w:t>机遇。</w:t>
      </w:r>
    </w:p>
    <w:p>
      <w:pPr>
        <w:pStyle w:val="BodyText"/>
        <w:spacing w:line="408" w:lineRule="auto" w:before="46"/>
        <w:ind w:right="190" w:firstLine="480"/>
        <w:jc w:val="both"/>
      </w:pPr>
      <w:r>
        <w:rPr>
          <w:spacing w:val="-2"/>
        </w:rPr>
        <w:t>“十三五”期间，国家将促进交通产业智能化变革，推动智能化运输服务升级，优化交通运行和管理</w:t>
      </w:r>
      <w:r>
        <w:rPr>
          <w:w w:val="99"/>
        </w:rPr>
        <w:t> </w:t>
      </w:r>
      <w:r>
        <w:rPr>
          <w:w w:val="95"/>
        </w:rPr>
        <w:t>控制，健全智能决策支持与监管，加强交通发展智能化建设。其中，综合交通枢纽协同运行与服务示范工</w:t>
      </w:r>
      <w:r>
        <w:rPr>
          <w:spacing w:val="44"/>
          <w:w w:val="95"/>
        </w:rPr>
        <w:t> </w:t>
      </w:r>
      <w:r>
        <w:rPr>
          <w:spacing w:val="44"/>
          <w:w w:val="95"/>
        </w:rPr>
      </w:r>
      <w:r>
        <w:rPr>
          <w:spacing w:val="2"/>
          <w:w w:val="95"/>
        </w:rPr>
        <w:t>程、新一代国家交通控制网示范工程、高速公路电子不停车收费系统（ETC）应用拓展工程等被列为交通</w:t>
      </w:r>
      <w:r>
        <w:rPr>
          <w:spacing w:val="45"/>
          <w:w w:val="95"/>
        </w:rPr>
        <w:t> </w:t>
      </w:r>
      <w:r>
        <w:rPr>
          <w:spacing w:val="45"/>
          <w:w w:val="95"/>
        </w:rPr>
      </w:r>
      <w:r>
        <w:rPr/>
        <w:t>运输智能化重点工程。</w:t>
      </w:r>
    </w:p>
    <w:p>
      <w:pPr>
        <w:pStyle w:val="BodyText"/>
        <w:spacing w:line="408" w:lineRule="auto" w:before="46"/>
        <w:ind w:right="195" w:firstLine="480"/>
        <w:jc w:val="both"/>
      </w:pPr>
      <w:r>
        <w:rPr>
          <w:spacing w:val="-2"/>
        </w:rPr>
        <w:t>目前，我国智能交通系统已从探索阶段进入到实际开发和应用阶段，在行业需求和政策支持的双轮驱</w:t>
      </w:r>
      <w:r>
        <w:rPr>
          <w:w w:val="99"/>
        </w:rPr>
        <w:t> </w:t>
      </w:r>
      <w:r>
        <w:rPr/>
        <w:t>动下，智能交通行业逐渐形成庞大的产业链生态圈，已进入产业化、规模化发展阶段。</w:t>
      </w:r>
    </w:p>
    <w:p>
      <w:pPr>
        <w:pStyle w:val="BodyText"/>
        <w:spacing w:line="408" w:lineRule="auto" w:before="46"/>
        <w:ind w:right="190" w:firstLine="480"/>
        <w:jc w:val="both"/>
      </w:pPr>
      <w:r>
        <w:rPr>
          <w:spacing w:val="-2"/>
        </w:rPr>
        <w:t>据前瞻产业研究院《智能交通行业分析报告》，根据市场需求分析以及相关规划，未来几年我国智能</w:t>
      </w:r>
      <w:r>
        <w:rPr>
          <w:w w:val="99"/>
        </w:rPr>
        <w:t> </w:t>
      </w:r>
      <w:r>
        <w:rPr/>
        <w:t>交通行业有望保持20%左右的市场规模增速，预计到2021年的市场规模将突破千亿元。</w:t>
      </w:r>
    </w:p>
    <w:p>
      <w:pPr>
        <w:spacing w:line="408" w:lineRule="auto" w:before="46"/>
        <w:ind w:left="592" w:right="182" w:hanging="58"/>
        <w:jc w:val="left"/>
        <w:rPr>
          <w:rFonts w:ascii="宋体" w:hAnsi="宋体" w:cs="宋体" w:eastAsia="宋体" w:hint="default"/>
          <w:sz w:val="21"/>
          <w:szCs w:val="21"/>
        </w:rPr>
      </w:pPr>
      <w:r>
        <w:rPr>
          <w:rFonts w:ascii="宋体" w:hAnsi="宋体" w:cs="宋体" w:eastAsia="宋体" w:hint="default"/>
          <w:b/>
          <w:bCs/>
          <w:color w:val="333333"/>
          <w:sz w:val="21"/>
          <w:szCs w:val="21"/>
        </w:rPr>
        <w:t>3、“互联网+”交通运输深入实施</w:t>
      </w:r>
      <w:r>
        <w:rPr>
          <w:rFonts w:ascii="宋体" w:hAnsi="宋体" w:cs="宋体" w:eastAsia="宋体" w:hint="default"/>
          <w:b/>
          <w:bCs/>
          <w:color w:val="333333"/>
          <w:spacing w:val="1"/>
          <w:sz w:val="21"/>
          <w:szCs w:val="21"/>
        </w:rPr>
        <w:t> </w:t>
      </w:r>
      <w:r>
        <w:rPr>
          <w:rFonts w:ascii="宋体" w:hAnsi="宋体" w:cs="宋体" w:eastAsia="宋体" w:hint="default"/>
          <w:b/>
          <w:bCs/>
          <w:color w:val="333333"/>
          <w:sz w:val="21"/>
          <w:szCs w:val="21"/>
        </w:rPr>
        <w:t>交通大数据产业化进程加快</w:t>
      </w:r>
      <w:r>
        <w:rPr>
          <w:rFonts w:ascii="宋体" w:hAnsi="宋体" w:cs="宋体" w:eastAsia="宋体" w:hint="default"/>
          <w:b/>
          <w:bCs/>
          <w:color w:val="333333"/>
          <w:w w:val="99"/>
          <w:sz w:val="21"/>
          <w:szCs w:val="21"/>
        </w:rPr>
        <w:t> </w:t>
      </w:r>
      <w:r>
        <w:rPr>
          <w:rFonts w:ascii="宋体" w:hAnsi="宋体" w:cs="宋体" w:eastAsia="宋体" w:hint="default"/>
          <w:spacing w:val="-2"/>
          <w:sz w:val="21"/>
          <w:szCs w:val="21"/>
        </w:rPr>
        <w:t>近年来，我国国民机动车保有量的大幅攀升，城市化进程加速，公众出行频次呈现快速上涨的发展态</w:t>
      </w:r>
    </w:p>
    <w:p>
      <w:pPr>
        <w:pStyle w:val="BodyText"/>
        <w:spacing w:line="408" w:lineRule="auto" w:before="46"/>
        <w:ind w:right="192"/>
        <w:jc w:val="both"/>
      </w:pPr>
      <w:r>
        <w:rPr>
          <w:w w:val="95"/>
        </w:rPr>
        <w:t>势，交通信息服务需求旺盛；另外，随着移动通信、云计算、互联网技术加速融入交通运输行业，智慧交</w:t>
      </w:r>
      <w:r>
        <w:rPr>
          <w:spacing w:val="41"/>
          <w:w w:val="95"/>
        </w:rPr>
        <w:t> </w:t>
      </w:r>
      <w:r>
        <w:rPr>
          <w:spacing w:val="41"/>
          <w:w w:val="95"/>
        </w:rPr>
      </w:r>
      <w:r>
        <w:rPr/>
        <w:t>通迎来新的变革，“互联网+”交通领域获得前所未有的发展契机，交通大数据产业化呼之欲出。</w:t>
      </w:r>
    </w:p>
    <w:p>
      <w:pPr>
        <w:pStyle w:val="BodyText"/>
        <w:spacing w:line="408" w:lineRule="auto" w:before="46"/>
        <w:ind w:right="172" w:firstLine="480"/>
        <w:jc w:val="both"/>
      </w:pPr>
      <w:r>
        <w:rPr>
          <w:spacing w:val="-2"/>
        </w:rPr>
        <w:t>《“十三五”现代综合交通运输体系发展规划》提出，“十三五”期间将大力推进云计算与大数据应</w:t>
      </w:r>
      <w:r>
        <w:rPr>
          <w:w w:val="99"/>
        </w:rPr>
        <w:t> </w:t>
      </w:r>
      <w:r>
        <w:rPr>
          <w:w w:val="95"/>
        </w:rPr>
        <w:t>用，建设综合交通运输大数据中心，强化交通运输信息采集、挖掘和应用，促进交通各领域数据资源综合</w:t>
      </w:r>
      <w:r>
        <w:rPr>
          <w:spacing w:val="42"/>
          <w:w w:val="95"/>
        </w:rPr>
        <w:t> </w:t>
      </w:r>
      <w:r>
        <w:rPr>
          <w:spacing w:val="42"/>
          <w:w w:val="95"/>
        </w:rPr>
      </w:r>
      <w:r>
        <w:rPr>
          <w:w w:val="95"/>
        </w:rPr>
        <w:t>开发利用和跨部门共享共用，支持互联网企业与交通运输企业、行业协会等整合完善各类交通信息平台，</w:t>
      </w:r>
      <w:r>
        <w:rPr>
          <w:spacing w:val="61"/>
          <w:w w:val="95"/>
        </w:rPr>
        <w:t> </w:t>
      </w:r>
      <w:r>
        <w:rPr>
          <w:spacing w:val="61"/>
          <w:w w:val="95"/>
        </w:rPr>
      </w:r>
      <w:r>
        <w:rPr/>
        <w:t>提供综合出行信息服务。</w:t>
      </w:r>
    </w:p>
    <w:p>
      <w:pPr>
        <w:spacing w:after="0" w:line="408" w:lineRule="auto"/>
        <w:jc w:val="both"/>
        <w:sectPr>
          <w:pgSz w:w="11910" w:h="16840"/>
          <w:pgMar w:header="746" w:footer="937" w:top="1040" w:bottom="1120" w:left="1020" w:right="9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408" w:lineRule="auto" w:before="0"/>
        <w:ind w:right="207" w:firstLine="480"/>
        <w:jc w:val="both"/>
      </w:pPr>
      <w:r>
        <w:rPr>
          <w:spacing w:val="-6"/>
          <w:w w:val="99"/>
        </w:rPr>
        <w:t>2017年9月，交通运输部发布了《智慧交通让出行更便捷行动方案（2017-2020年）》（以下简称“《方</w:t>
      </w:r>
      <w:r>
        <w:rPr>
          <w:w w:val="99"/>
        </w:rPr>
        <w:t> </w:t>
      </w:r>
      <w:r>
        <w:rPr/>
        <w:t>案》”），细化了交通大数据在出行服务体系建设方面的相关应用举措。</w:t>
      </w:r>
    </w:p>
    <w:p>
      <w:pPr>
        <w:pStyle w:val="BodyText"/>
        <w:spacing w:line="408" w:lineRule="auto" w:before="46"/>
        <w:ind w:right="94" w:firstLine="480"/>
        <w:jc w:val="left"/>
      </w:pPr>
      <w:r>
        <w:rPr>
          <w:w w:val="95"/>
        </w:rPr>
        <w:t>《方案》提出，将加快推进ETC拓展应用，2018年，ETC客车使用率达42%；2020年，使用率将达50%；</w:t>
      </w:r>
      <w:r>
        <w:rPr>
          <w:w w:val="99"/>
        </w:rPr>
        <w:t> </w:t>
      </w:r>
      <w:r>
        <w:rPr/>
        <w:t>推动相关政府部门、事业单位加快交通出行公共信息资源开放，充分利用以综合交通出行大数据开放云平</w:t>
      </w:r>
      <w:r>
        <w:rPr>
          <w:w w:val="99"/>
        </w:rPr>
        <w:t> </w:t>
      </w:r>
      <w:r>
        <w:rPr/>
        <w:t>台为代表的各类数据开放平台，支撑各类出行信息服务产品的研发推广，鼓励各类主体利用开放信息资源</w:t>
      </w:r>
      <w:r>
        <w:rPr>
          <w:w w:val="99"/>
        </w:rPr>
        <w:t> </w:t>
      </w:r>
      <w:r>
        <w:rPr/>
        <w:t>开展出行服务创新。</w:t>
      </w:r>
    </w:p>
    <w:p>
      <w:pPr>
        <w:spacing w:line="408" w:lineRule="auto" w:before="46"/>
        <w:ind w:left="592" w:right="202" w:hanging="58"/>
        <w:jc w:val="left"/>
        <w:rPr>
          <w:rFonts w:ascii="宋体" w:hAnsi="宋体" w:cs="宋体" w:eastAsia="宋体" w:hint="default"/>
          <w:sz w:val="21"/>
          <w:szCs w:val="21"/>
        </w:rPr>
      </w:pPr>
      <w:r>
        <w:rPr>
          <w:rFonts w:ascii="宋体" w:hAnsi="宋体" w:cs="宋体" w:eastAsia="宋体" w:hint="default"/>
          <w:b/>
          <w:bCs/>
          <w:color w:val="333333"/>
          <w:sz w:val="21"/>
          <w:szCs w:val="21"/>
        </w:rPr>
        <w:t>4、平安城市领域政府投入加大</w:t>
      </w:r>
      <w:r>
        <w:rPr>
          <w:rFonts w:ascii="宋体" w:hAnsi="宋体" w:cs="宋体" w:eastAsia="宋体" w:hint="default"/>
          <w:b/>
          <w:bCs/>
          <w:color w:val="333333"/>
          <w:spacing w:val="1"/>
          <w:sz w:val="21"/>
          <w:szCs w:val="21"/>
        </w:rPr>
        <w:t> </w:t>
      </w:r>
      <w:r>
        <w:rPr>
          <w:rFonts w:ascii="宋体" w:hAnsi="宋体" w:cs="宋体" w:eastAsia="宋体" w:hint="default"/>
          <w:b/>
          <w:bCs/>
          <w:color w:val="333333"/>
          <w:sz w:val="21"/>
          <w:szCs w:val="21"/>
        </w:rPr>
        <w:t>相关信息化建设市场可期</w:t>
      </w:r>
      <w:r>
        <w:rPr>
          <w:rFonts w:ascii="宋体" w:hAnsi="宋体" w:cs="宋体" w:eastAsia="宋体" w:hint="default"/>
          <w:b/>
          <w:bCs/>
          <w:color w:val="333333"/>
          <w:w w:val="99"/>
          <w:sz w:val="21"/>
          <w:szCs w:val="21"/>
        </w:rPr>
        <w:t> </w:t>
      </w:r>
      <w:r>
        <w:rPr>
          <w:rFonts w:ascii="宋体" w:hAnsi="宋体" w:cs="宋体" w:eastAsia="宋体" w:hint="default"/>
          <w:spacing w:val="-2"/>
          <w:sz w:val="21"/>
          <w:szCs w:val="21"/>
        </w:rPr>
        <w:t>近年来，伴随着各地智慧城市建设热潮的掀起和智能安防产业的整体升级，政府在平安城市建设领域</w:t>
      </w:r>
    </w:p>
    <w:p>
      <w:pPr>
        <w:pStyle w:val="BodyText"/>
        <w:spacing w:line="408" w:lineRule="auto" w:before="46"/>
        <w:ind w:left="532" w:right="94" w:hanging="420"/>
        <w:jc w:val="left"/>
      </w:pPr>
      <w:r>
        <w:rPr/>
        <w:t>的投入日渐加大，由此带来的市场容量也与日俱增。</w:t>
      </w:r>
      <w:r>
        <w:rPr>
          <w:w w:val="99"/>
        </w:rPr>
        <w:t> </w:t>
      </w:r>
      <w:r>
        <w:rPr>
          <w:w w:val="95"/>
        </w:rPr>
        <w:t>前瞻产业研究院发布的数据显示，一个中型的平安城市建设投入约在10亿元左右，重点城市则会达到</w:t>
      </w:r>
      <w:r>
        <w:rPr/>
      </w:r>
    </w:p>
    <w:p>
      <w:pPr>
        <w:pStyle w:val="BodyText"/>
        <w:spacing w:line="408" w:lineRule="auto" w:before="46"/>
        <w:ind w:right="94"/>
        <w:jc w:val="left"/>
      </w:pPr>
      <w:r>
        <w:rPr>
          <w:w w:val="95"/>
        </w:rPr>
        <w:t>几十亿甚至上百亿规模。目前，我国中型城市数量超过300个，因此仅二三线城市就有上千亿的市场规模。</w:t>
      </w:r>
      <w:r>
        <w:rPr>
          <w:spacing w:val="46"/>
          <w:w w:val="95"/>
        </w:rPr>
        <w:t> </w:t>
      </w:r>
      <w:r>
        <w:rPr>
          <w:spacing w:val="46"/>
          <w:w w:val="95"/>
        </w:rPr>
      </w:r>
      <w:r>
        <w:rPr/>
        <w:t>再加上全国接近2000个县级市、县和自治县，由政府带动的平安城市潜在投资规模巨大。</w:t>
      </w:r>
    </w:p>
    <w:p>
      <w:pPr>
        <w:pStyle w:val="BodyText"/>
        <w:spacing w:line="408" w:lineRule="auto" w:before="46"/>
        <w:ind w:right="192" w:firstLine="420"/>
        <w:jc w:val="both"/>
      </w:pPr>
      <w:r>
        <w:rPr>
          <w:spacing w:val="2"/>
        </w:rPr>
        <w:t>根据2016年5月九部委联合发布的《关于加强公共安全视频监控建设联网应用工作的若干意见》，到</w:t>
      </w:r>
      <w:r>
        <w:rPr>
          <w:w w:val="99"/>
        </w:rPr>
        <w:t> </w:t>
      </w:r>
      <w:r>
        <w:rPr>
          <w:w w:val="95"/>
        </w:rPr>
        <w:t>2020年，要基本实现“全域覆盖、全网共享、全时可用、全程可控”的公共安全视频监控建设联网应用。</w:t>
      </w:r>
      <w:r>
        <w:rPr>
          <w:spacing w:val="61"/>
          <w:w w:val="95"/>
        </w:rPr>
        <w:t> </w:t>
      </w:r>
      <w:r>
        <w:rPr>
          <w:spacing w:val="61"/>
          <w:w w:val="95"/>
        </w:rPr>
      </w:r>
      <w:r>
        <w:rPr>
          <w:w w:val="95"/>
        </w:rPr>
        <w:t>以此为目标，目前的平安城市建设已经由原先的覆盖建设为主，逐渐转型为监控网络互联互通及智能化应</w:t>
      </w:r>
      <w:r>
        <w:rPr>
          <w:spacing w:val="37"/>
          <w:w w:val="95"/>
        </w:rPr>
        <w:t> </w:t>
      </w:r>
      <w:r>
        <w:rPr>
          <w:spacing w:val="37"/>
          <w:w w:val="95"/>
        </w:rPr>
      </w:r>
      <w:r>
        <w:rPr>
          <w:w w:val="95"/>
        </w:rPr>
        <w:t>用为主，呈现出数字化、高清化、智能化、系统化的新趋势；同时把在一二线城市建设项目中已经成熟稳</w:t>
      </w:r>
      <w:r>
        <w:rPr>
          <w:spacing w:val="42"/>
          <w:w w:val="95"/>
        </w:rPr>
        <w:t> </w:t>
      </w:r>
      <w:r>
        <w:rPr>
          <w:spacing w:val="42"/>
          <w:w w:val="95"/>
        </w:rPr>
      </w:r>
      <w:r>
        <w:rPr/>
        <w:t>定的设备和方案，大力向三四线城市推广建设，为实现全国视频信息互联互通打下基础。</w:t>
      </w:r>
    </w:p>
    <w:p>
      <w:pPr>
        <w:pStyle w:val="BodyText"/>
        <w:spacing w:line="408" w:lineRule="auto" w:before="46"/>
        <w:ind w:right="215" w:firstLine="480"/>
        <w:jc w:val="both"/>
      </w:pPr>
      <w:r>
        <w:rPr>
          <w:spacing w:val="-2"/>
        </w:rPr>
        <w:t>在庞大的市场容量和激烈的竞争格局中，实施能力强、能够提供整体解决方案的大型企业有望抢占先</w:t>
      </w:r>
      <w:r>
        <w:rPr>
          <w:w w:val="99"/>
        </w:rPr>
        <w:t> </w:t>
      </w:r>
      <w:r>
        <w:rPr/>
        <w:t>机，赢得主动的战略地位。</w:t>
      </w:r>
    </w:p>
    <w:p>
      <w:pPr>
        <w:spacing w:line="240" w:lineRule="auto" w:before="7"/>
        <w:rPr>
          <w:rFonts w:ascii="宋体" w:hAnsi="宋体" w:cs="宋体" w:eastAsia="宋体" w:hint="default"/>
          <w:sz w:val="23"/>
          <w:szCs w:val="23"/>
        </w:rPr>
      </w:pPr>
    </w:p>
    <w:p>
      <w:pPr>
        <w:pStyle w:val="Heading5"/>
        <w:spacing w:line="240" w:lineRule="auto"/>
        <w:ind w:left="595" w:right="94"/>
        <w:jc w:val="left"/>
        <w:rPr>
          <w:b w:val="0"/>
          <w:bCs w:val="0"/>
        </w:rPr>
      </w:pPr>
      <w:r>
        <w:rPr/>
        <w:t>（二）公司发展战略</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pStyle w:val="BodyText"/>
        <w:spacing w:line="408" w:lineRule="auto" w:before="0"/>
        <w:ind w:right="212" w:firstLine="480"/>
        <w:jc w:val="both"/>
      </w:pPr>
      <w:r>
        <w:rPr>
          <w:spacing w:val="-2"/>
        </w:rPr>
        <w:t>2018年，公司将继续围绕“中国一流的交通信息化解决方案提供商和服务供应商”的战略定位，聚焦</w:t>
      </w:r>
      <w:r>
        <w:rPr>
          <w:w w:val="99"/>
        </w:rPr>
        <w:t> </w:t>
      </w:r>
      <w:r>
        <w:rPr>
          <w:w w:val="95"/>
        </w:rPr>
        <w:t>行业需求，以产品创新引领变革发展，以服务优化驱动市场需求，在做大做强的基础上做实做优，增强公</w:t>
      </w:r>
      <w:r>
        <w:rPr>
          <w:spacing w:val="42"/>
          <w:w w:val="95"/>
        </w:rPr>
        <w:t> </w:t>
      </w:r>
      <w:r>
        <w:rPr>
          <w:spacing w:val="42"/>
          <w:w w:val="95"/>
        </w:rPr>
      </w:r>
      <w:r>
        <w:rPr>
          <w:spacing w:val="2"/>
          <w:w w:val="95"/>
        </w:rPr>
        <w:t>司行业影响力和市场地位；着力优化“大交通信息化”战略布局，积极开展“互联网+”交通与“互联网</w:t>
      </w:r>
      <w:r>
        <w:rPr>
          <w:spacing w:val="2"/>
        </w:rPr>
      </w:r>
    </w:p>
    <w:p>
      <w:pPr>
        <w:pStyle w:val="BodyText"/>
        <w:spacing w:line="408" w:lineRule="auto" w:before="46"/>
        <w:ind w:right="212"/>
        <w:jc w:val="both"/>
      </w:pPr>
      <w:r>
        <w:rPr>
          <w:spacing w:val="2"/>
          <w:w w:val="95"/>
        </w:rPr>
        <w:t>+”港口航运等新兴业务，加速各领域业务协作和渠道共享，努力实现产业协同增效；坚持集团化战略理</w:t>
      </w:r>
      <w:r>
        <w:rPr>
          <w:spacing w:val="47"/>
          <w:w w:val="95"/>
        </w:rPr>
        <w:t> </w:t>
      </w:r>
      <w:r>
        <w:rPr>
          <w:spacing w:val="47"/>
          <w:w w:val="95"/>
        </w:rPr>
      </w:r>
      <w:r>
        <w:rPr>
          <w:w w:val="95"/>
        </w:rPr>
        <w:t>念，加快资本运作进程，内涵发展与外延扩张并举，规模扩大与风险防控双管齐下，保持企业健康稳定持</w:t>
      </w:r>
      <w:r>
        <w:rPr>
          <w:spacing w:val="42"/>
          <w:w w:val="95"/>
        </w:rPr>
        <w:t> </w:t>
      </w:r>
      <w:r>
        <w:rPr>
          <w:spacing w:val="42"/>
          <w:w w:val="95"/>
        </w:rPr>
      </w:r>
      <w:r>
        <w:rPr/>
        <w:t>续发展。</w:t>
      </w:r>
    </w:p>
    <w:p>
      <w:pPr>
        <w:spacing w:line="240" w:lineRule="auto" w:before="4"/>
        <w:rPr>
          <w:rFonts w:ascii="宋体" w:hAnsi="宋体" w:cs="宋体" w:eastAsia="宋体" w:hint="default"/>
          <w:sz w:val="23"/>
          <w:szCs w:val="23"/>
        </w:rPr>
      </w:pPr>
    </w:p>
    <w:p>
      <w:pPr>
        <w:pStyle w:val="Heading5"/>
        <w:spacing w:line="240" w:lineRule="auto"/>
        <w:ind w:left="595" w:right="94"/>
        <w:jc w:val="left"/>
        <w:rPr>
          <w:b w:val="0"/>
          <w:bCs w:val="0"/>
        </w:rPr>
      </w:pPr>
      <w:r>
        <w:rPr/>
        <w:t>（三）2018年经营计划</w:t>
      </w:r>
      <w:r>
        <w:rPr>
          <w:b w:val="0"/>
          <w:bCs w:val="0"/>
        </w:rPr>
      </w:r>
    </w:p>
    <w:p>
      <w:pPr>
        <w:spacing w:after="0" w:line="240" w:lineRule="auto"/>
        <w:jc w:val="left"/>
        <w:sectPr>
          <w:pgSz w:w="11910" w:h="16840"/>
          <w:pgMar w:header="746" w:footer="937" w:top="1040" w:bottom="1120" w:left="1020" w:right="92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line="408" w:lineRule="auto" w:before="0"/>
        <w:ind w:left="592" w:right="182" w:hanging="58"/>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sz w:val="21"/>
          <w:szCs w:val="21"/>
        </w:rPr>
        <w:t>、</w:t>
      </w:r>
      <w:r>
        <w:rPr>
          <w:rFonts w:ascii="宋体" w:hAnsi="宋体" w:cs="宋体" w:eastAsia="宋体" w:hint="default"/>
          <w:b/>
          <w:bCs/>
          <w:sz w:val="21"/>
          <w:szCs w:val="21"/>
        </w:rPr>
        <w:t>推动技术革新</w:t>
      </w:r>
      <w:r>
        <w:rPr>
          <w:rFonts w:ascii="宋体" w:hAnsi="宋体" w:cs="宋体" w:eastAsia="宋体" w:hint="default"/>
          <w:b/>
          <w:bCs/>
          <w:spacing w:val="-2"/>
          <w:sz w:val="21"/>
          <w:szCs w:val="21"/>
        </w:rPr>
        <w:t> </w:t>
      </w:r>
      <w:r>
        <w:rPr>
          <w:rFonts w:ascii="宋体" w:hAnsi="宋体" w:cs="宋体" w:eastAsia="宋体" w:hint="default"/>
          <w:b/>
          <w:bCs/>
          <w:sz w:val="21"/>
          <w:szCs w:val="21"/>
        </w:rPr>
        <w:t>强化创新引领</w:t>
      </w:r>
      <w:r>
        <w:rPr>
          <w:rFonts w:ascii="宋体" w:hAnsi="宋体" w:cs="宋体" w:eastAsia="宋体" w:hint="default"/>
          <w:b/>
          <w:bCs/>
          <w:w w:val="99"/>
          <w:sz w:val="21"/>
          <w:szCs w:val="21"/>
        </w:rPr>
        <w:t> </w:t>
      </w:r>
      <w:r>
        <w:rPr>
          <w:rFonts w:ascii="宋体" w:hAnsi="宋体" w:cs="宋体" w:eastAsia="宋体" w:hint="default"/>
          <w:sz w:val="21"/>
          <w:szCs w:val="21"/>
        </w:rPr>
        <w:t>公司将紧抓“互联网+”交通的战略契机，推进企业技术和业务创新工作，不断探索与交通大数据、</w:t>
      </w:r>
    </w:p>
    <w:p>
      <w:pPr>
        <w:pStyle w:val="BodyText"/>
        <w:spacing w:line="408" w:lineRule="auto" w:before="46"/>
        <w:ind w:right="190"/>
        <w:jc w:val="both"/>
      </w:pPr>
      <w:r>
        <w:rPr>
          <w:spacing w:val="2"/>
          <w:w w:val="95"/>
        </w:rPr>
        <w:t>云计算、AI技术、V2X通信、聚合支付等新兴技术相结合的智慧交通解决方案，重点打造面向国家新一代</w:t>
      </w:r>
      <w:r>
        <w:rPr>
          <w:spacing w:val="42"/>
          <w:w w:val="95"/>
        </w:rPr>
        <w:t> </w:t>
      </w:r>
      <w:r>
        <w:rPr>
          <w:spacing w:val="42"/>
          <w:w w:val="95"/>
        </w:rPr>
      </w:r>
      <w:r>
        <w:rPr>
          <w:w w:val="95"/>
        </w:rPr>
        <w:t>交通控制网管理和服务需求的交通大数据产品线，推动指挥交通大数据的社会化研发与应用，形成路网交</w:t>
      </w:r>
      <w:r>
        <w:rPr>
          <w:spacing w:val="40"/>
          <w:w w:val="95"/>
        </w:rPr>
        <w:t> </w:t>
      </w:r>
      <w:r>
        <w:rPr>
          <w:spacing w:val="40"/>
          <w:w w:val="95"/>
        </w:rPr>
      </w:r>
      <w:r>
        <w:rPr>
          <w:w w:val="95"/>
        </w:rPr>
        <w:t>通预测、协同指挥、辅助决策、快速救援、车路协同、出行服务等产品的规模化市场应用，形成集系统集</w:t>
      </w:r>
      <w:r>
        <w:rPr>
          <w:spacing w:val="43"/>
          <w:w w:val="95"/>
        </w:rPr>
        <w:t> </w:t>
      </w:r>
      <w:r>
        <w:rPr>
          <w:spacing w:val="43"/>
          <w:w w:val="95"/>
        </w:rPr>
      </w:r>
      <w:r>
        <w:rPr>
          <w:w w:val="95"/>
        </w:rPr>
        <w:t>成、软件研发、数据挖掘和运营服务于一体的智慧交通产业生态圈，促进公司核心价值、核心能力、核心</w:t>
      </w:r>
      <w:r>
        <w:rPr>
          <w:spacing w:val="46"/>
          <w:w w:val="95"/>
        </w:rPr>
        <w:t> </w:t>
      </w:r>
      <w:r>
        <w:rPr>
          <w:spacing w:val="46"/>
          <w:w w:val="95"/>
        </w:rPr>
      </w:r>
      <w:r>
        <w:rPr/>
        <w:t>技术、核心客户、核心案例的全面提升。</w:t>
      </w:r>
    </w:p>
    <w:p>
      <w:pPr>
        <w:pStyle w:val="BodyText"/>
        <w:spacing w:line="408" w:lineRule="auto" w:before="46"/>
        <w:ind w:right="189" w:firstLine="480"/>
        <w:jc w:val="both"/>
      </w:pPr>
      <w:r>
        <w:rPr>
          <w:spacing w:val="-6"/>
          <w:w w:val="99"/>
        </w:rPr>
        <w:t>同时，公司将基于分布式系统架构和已经建成的容器云平台，部署智慧口岸、智慧港口相关PaaS和SaaS</w:t>
      </w:r>
      <w:r>
        <w:rPr>
          <w:w w:val="99"/>
        </w:rPr>
        <w:t> </w:t>
      </w:r>
      <w:r>
        <w:rPr>
          <w:w w:val="95"/>
        </w:rPr>
        <w:t>产品应用，开展无人值守码头相关技术研究，加快传统港航信息化产品线升级换代，</w:t>
      </w:r>
      <w:r>
        <w:rPr>
          <w:color w:val="333333"/>
          <w:w w:val="95"/>
        </w:rPr>
        <w:t>推进全自动集装箱码</w:t>
      </w:r>
      <w:r>
        <w:rPr>
          <w:color w:val="333333"/>
          <w:spacing w:val="40"/>
          <w:w w:val="95"/>
        </w:rPr>
        <w:t> </w:t>
      </w:r>
      <w:r>
        <w:rPr>
          <w:color w:val="333333"/>
          <w:spacing w:val="40"/>
          <w:w w:val="95"/>
        </w:rPr>
      </w:r>
      <w:r>
        <w:rPr>
          <w:color w:val="333333"/>
          <w:spacing w:val="2"/>
          <w:w w:val="95"/>
        </w:rPr>
        <w:t>头系统建设</w:t>
      </w:r>
      <w:r>
        <w:rPr>
          <w:spacing w:val="2"/>
          <w:w w:val="95"/>
        </w:rPr>
        <w:t>；按照“平台+数据+服务”的发展理念，以华东港航云平台、领航者EDI平台、船舶跟踪、集</w:t>
      </w:r>
      <w:r>
        <w:rPr>
          <w:spacing w:val="43"/>
          <w:w w:val="95"/>
        </w:rPr>
        <w:t> </w:t>
      </w:r>
      <w:r>
        <w:rPr>
          <w:spacing w:val="43"/>
          <w:w w:val="95"/>
        </w:rPr>
      </w:r>
      <w:r>
        <w:rPr>
          <w:w w:val="95"/>
        </w:rPr>
        <w:t>装箱跟踪为载体，依托港口大数据存贮和分析技术体系，建设港航物流“行业云”，提供以港口为核心的</w:t>
      </w:r>
      <w:r>
        <w:rPr>
          <w:spacing w:val="43"/>
          <w:w w:val="95"/>
        </w:rPr>
        <w:t> </w:t>
      </w:r>
      <w:r>
        <w:rPr>
          <w:spacing w:val="43"/>
          <w:w w:val="95"/>
        </w:rPr>
      </w:r>
      <w:r>
        <w:rPr/>
        <w:t>物流链上下游延展服务功能，打造面向物流供应链的港口“一站式”信息服务平台。</w:t>
      </w:r>
    </w:p>
    <w:p>
      <w:pPr>
        <w:spacing w:line="408" w:lineRule="auto" w:before="46"/>
        <w:ind w:left="592" w:right="182" w:hanging="60"/>
        <w:jc w:val="left"/>
        <w:rPr>
          <w:rFonts w:ascii="宋体" w:hAnsi="宋体" w:cs="宋体" w:eastAsia="宋体" w:hint="default"/>
          <w:sz w:val="21"/>
          <w:szCs w:val="21"/>
        </w:rPr>
      </w:pPr>
      <w:r>
        <w:rPr>
          <w:rFonts w:ascii="宋体" w:hAnsi="宋体" w:cs="宋体" w:eastAsia="宋体" w:hint="default"/>
          <w:b/>
          <w:bCs/>
          <w:sz w:val="21"/>
          <w:szCs w:val="21"/>
        </w:rPr>
        <w:t>2、构建营销网络</w:t>
      </w:r>
      <w:r>
        <w:rPr>
          <w:rFonts w:ascii="宋体" w:hAnsi="宋体" w:cs="宋体" w:eastAsia="宋体" w:hint="default"/>
          <w:b/>
          <w:bCs/>
          <w:spacing w:val="-2"/>
          <w:sz w:val="21"/>
          <w:szCs w:val="21"/>
        </w:rPr>
        <w:t> </w:t>
      </w:r>
      <w:r>
        <w:rPr>
          <w:rFonts w:ascii="宋体" w:hAnsi="宋体" w:cs="宋体" w:eastAsia="宋体" w:hint="default"/>
          <w:b/>
          <w:bCs/>
          <w:sz w:val="21"/>
          <w:szCs w:val="21"/>
        </w:rPr>
        <w:t>全力拓展市场</w:t>
      </w:r>
      <w:r>
        <w:rPr>
          <w:rFonts w:ascii="宋体" w:hAnsi="宋体" w:cs="宋体" w:eastAsia="宋体" w:hint="default"/>
          <w:b/>
          <w:bCs/>
          <w:w w:val="99"/>
          <w:sz w:val="21"/>
          <w:szCs w:val="21"/>
        </w:rPr>
        <w:t> </w:t>
      </w:r>
      <w:r>
        <w:rPr>
          <w:rFonts w:ascii="宋体" w:hAnsi="宋体" w:cs="宋体" w:eastAsia="宋体" w:hint="default"/>
          <w:w w:val="95"/>
          <w:sz w:val="21"/>
          <w:szCs w:val="21"/>
        </w:rPr>
        <w:t>公司将不断强化行业建设市场信息搜集和分析工作，搭建公司客户与项目信息库，不断总结各行业、</w:t>
      </w:r>
      <w:r>
        <w:rPr>
          <w:rFonts w:ascii="宋体" w:hAnsi="宋体" w:cs="宋体" w:eastAsia="宋体" w:hint="default"/>
          <w:sz w:val="21"/>
          <w:szCs w:val="21"/>
        </w:rPr>
      </w:r>
    </w:p>
    <w:p>
      <w:pPr>
        <w:pStyle w:val="BodyText"/>
        <w:spacing w:line="408" w:lineRule="auto" w:before="46"/>
        <w:ind w:right="190"/>
        <w:jc w:val="both"/>
      </w:pPr>
      <w:r>
        <w:rPr>
          <w:w w:val="95"/>
        </w:rPr>
        <w:t>各区域市场特点，制定灵活多变的市场策略，抢占市场布局先机；充分发挥区域市场优势，凭借对客户需</w:t>
      </w:r>
      <w:r>
        <w:rPr>
          <w:spacing w:val="45"/>
          <w:w w:val="95"/>
        </w:rPr>
        <w:t> </w:t>
      </w:r>
      <w:r>
        <w:rPr>
          <w:spacing w:val="45"/>
          <w:w w:val="95"/>
        </w:rPr>
      </w:r>
      <w:r>
        <w:rPr>
          <w:w w:val="95"/>
        </w:rPr>
        <w:t>求的深刻理解，打造示范项目，形成以点带面的标杆效应，构建优质客户服务体系，牢牢巩固在重点行业</w:t>
      </w:r>
      <w:r>
        <w:rPr>
          <w:spacing w:val="42"/>
          <w:w w:val="95"/>
        </w:rPr>
        <w:t> </w:t>
      </w:r>
      <w:r>
        <w:rPr>
          <w:spacing w:val="42"/>
          <w:w w:val="95"/>
        </w:rPr>
      </w:r>
      <w:r>
        <w:rPr>
          <w:w w:val="95"/>
        </w:rPr>
        <w:t>领域的市场份额；深化与中交、中建等大型企业的合作关系，乘着“一带一路”的政策东风，以非洲、拉</w:t>
      </w:r>
      <w:r>
        <w:rPr>
          <w:spacing w:val="42"/>
          <w:w w:val="95"/>
        </w:rPr>
        <w:t> </w:t>
      </w:r>
      <w:r>
        <w:rPr>
          <w:spacing w:val="42"/>
          <w:w w:val="95"/>
        </w:rPr>
      </w:r>
      <w:r>
        <w:rPr>
          <w:w w:val="95"/>
        </w:rPr>
        <w:t>美为市场根据地，持续推进业务国际化进程；加大对优秀市场营销人员的引进和培养力度，建立以绩效为</w:t>
      </w:r>
      <w:r>
        <w:rPr>
          <w:spacing w:val="43"/>
          <w:w w:val="95"/>
        </w:rPr>
        <w:t> </w:t>
      </w:r>
      <w:r>
        <w:rPr>
          <w:spacing w:val="43"/>
          <w:w w:val="95"/>
        </w:rPr>
      </w:r>
      <w:r>
        <w:rPr>
          <w:w w:val="95"/>
        </w:rPr>
        <w:t>导向的市场开拓激励机制，细化指标，分项考核，充分调动市场人员的主观能动性，为开发新客户做好人</w:t>
      </w:r>
      <w:r>
        <w:rPr>
          <w:spacing w:val="41"/>
          <w:w w:val="95"/>
        </w:rPr>
        <w:t> </w:t>
      </w:r>
      <w:r>
        <w:rPr>
          <w:spacing w:val="41"/>
          <w:w w:val="95"/>
        </w:rPr>
      </w:r>
      <w:r>
        <w:rPr/>
        <w:t>员储备。</w:t>
      </w:r>
    </w:p>
    <w:p>
      <w:pPr>
        <w:spacing w:line="408" w:lineRule="auto" w:before="46"/>
        <w:ind w:left="592" w:right="182" w:hanging="60"/>
        <w:jc w:val="left"/>
        <w:rPr>
          <w:rFonts w:ascii="宋体" w:hAnsi="宋体" w:cs="宋体" w:eastAsia="宋体" w:hint="default"/>
          <w:sz w:val="21"/>
          <w:szCs w:val="21"/>
        </w:rPr>
      </w:pPr>
      <w:r>
        <w:rPr>
          <w:rFonts w:ascii="宋体" w:hAnsi="宋体" w:cs="宋体" w:eastAsia="宋体" w:hint="default"/>
          <w:b/>
          <w:bCs/>
          <w:sz w:val="21"/>
          <w:szCs w:val="21"/>
        </w:rPr>
        <w:t>3、加强集团管理</w:t>
      </w:r>
      <w:r>
        <w:rPr>
          <w:rFonts w:ascii="宋体" w:hAnsi="宋体" w:cs="宋体" w:eastAsia="宋体" w:hint="default"/>
          <w:b/>
          <w:bCs/>
          <w:spacing w:val="-2"/>
          <w:sz w:val="21"/>
          <w:szCs w:val="21"/>
        </w:rPr>
        <w:t> </w:t>
      </w:r>
      <w:r>
        <w:rPr>
          <w:rFonts w:ascii="宋体" w:hAnsi="宋体" w:cs="宋体" w:eastAsia="宋体" w:hint="default"/>
          <w:b/>
          <w:bCs/>
          <w:sz w:val="21"/>
          <w:szCs w:val="21"/>
        </w:rPr>
        <w:t>促进业务协同</w:t>
      </w:r>
      <w:r>
        <w:rPr>
          <w:rFonts w:ascii="宋体" w:hAnsi="宋体" w:cs="宋体" w:eastAsia="宋体" w:hint="default"/>
          <w:b/>
          <w:bCs/>
          <w:w w:val="99"/>
          <w:sz w:val="21"/>
          <w:szCs w:val="21"/>
        </w:rPr>
        <w:t> </w:t>
      </w:r>
      <w:r>
        <w:rPr>
          <w:rFonts w:ascii="宋体" w:hAnsi="宋体" w:cs="宋体" w:eastAsia="宋体" w:hint="default"/>
          <w:spacing w:val="-2"/>
          <w:sz w:val="21"/>
          <w:szCs w:val="21"/>
        </w:rPr>
        <w:t>公司将秉承集团化发展理念，全面梳理集团各业务板块经营及管理流程，以融合、创新、共赢、发展</w:t>
      </w:r>
    </w:p>
    <w:p>
      <w:pPr>
        <w:pStyle w:val="BodyText"/>
        <w:spacing w:line="408" w:lineRule="auto" w:before="46"/>
        <w:ind w:right="190"/>
        <w:jc w:val="both"/>
      </w:pPr>
      <w:r>
        <w:rPr>
          <w:w w:val="95"/>
        </w:rPr>
        <w:t>为目标，明确各公司定位及资源配置导向，坚持以市场化导向为原则，集中力量发展市场份额高、利润率</w:t>
      </w:r>
      <w:r>
        <w:rPr>
          <w:spacing w:val="42"/>
          <w:w w:val="95"/>
        </w:rPr>
        <w:t> </w:t>
      </w:r>
      <w:r>
        <w:rPr>
          <w:spacing w:val="42"/>
          <w:w w:val="95"/>
        </w:rPr>
      </w:r>
      <w:r>
        <w:rPr>
          <w:w w:val="95"/>
        </w:rPr>
        <w:t>可观的优势业务，着力挖掘前景良好、潜力较大的新型业务，通过交流、共享、互补等多种形式，促进各</w:t>
      </w:r>
      <w:r>
        <w:rPr>
          <w:spacing w:val="40"/>
          <w:w w:val="95"/>
        </w:rPr>
        <w:t> </w:t>
      </w:r>
      <w:r>
        <w:rPr>
          <w:spacing w:val="40"/>
          <w:w w:val="95"/>
        </w:rPr>
      </w:r>
      <w:r>
        <w:rPr>
          <w:w w:val="95"/>
        </w:rPr>
        <w:t>业务间的渠道、市场、技术及业务协同，构建共赢发展的良好氛围，增强企业运营效率和经济效益；强化</w:t>
      </w:r>
      <w:r>
        <w:rPr>
          <w:spacing w:val="44"/>
          <w:w w:val="95"/>
        </w:rPr>
        <w:t> </w:t>
      </w:r>
      <w:r>
        <w:rPr>
          <w:spacing w:val="44"/>
          <w:w w:val="95"/>
        </w:rPr>
      </w:r>
      <w:r>
        <w:rPr>
          <w:w w:val="95"/>
        </w:rPr>
        <w:t>对集团风险管控和内控管理，通过制度建设、日常沟通、专项督导、全面检查等多种形式，提升各子公司</w:t>
      </w:r>
      <w:r>
        <w:rPr>
          <w:spacing w:val="43"/>
          <w:w w:val="95"/>
        </w:rPr>
        <w:t> </w:t>
      </w:r>
      <w:r>
        <w:rPr>
          <w:spacing w:val="43"/>
          <w:w w:val="95"/>
        </w:rPr>
      </w:r>
      <w:r>
        <w:rPr>
          <w:w w:val="95"/>
        </w:rPr>
        <w:t>风险识别能力和内部管理意识，并在日常经营管理中贯彻落实，保障内控体系切实有效运行，推动公司规</w:t>
      </w:r>
      <w:r>
        <w:rPr>
          <w:spacing w:val="40"/>
          <w:w w:val="95"/>
        </w:rPr>
        <w:t> </w:t>
      </w:r>
      <w:r>
        <w:rPr>
          <w:spacing w:val="40"/>
          <w:w w:val="95"/>
        </w:rPr>
      </w:r>
      <w:r>
        <w:rPr/>
        <w:t>范运作和健康有序发展，提升企业整体价值。</w:t>
      </w:r>
    </w:p>
    <w:p>
      <w:pPr>
        <w:spacing w:line="408" w:lineRule="auto" w:before="46"/>
        <w:ind w:left="592" w:right="182" w:hanging="60"/>
        <w:jc w:val="left"/>
        <w:rPr>
          <w:rFonts w:ascii="宋体" w:hAnsi="宋体" w:cs="宋体" w:eastAsia="宋体" w:hint="default"/>
          <w:sz w:val="21"/>
          <w:szCs w:val="21"/>
        </w:rPr>
      </w:pPr>
      <w:r>
        <w:rPr>
          <w:rFonts w:ascii="宋体" w:hAnsi="宋体" w:cs="宋体" w:eastAsia="宋体" w:hint="default"/>
          <w:b/>
          <w:bCs/>
          <w:sz w:val="21"/>
          <w:szCs w:val="21"/>
        </w:rPr>
        <w:t>4、 关注团队建设</w:t>
      </w:r>
      <w:r>
        <w:rPr>
          <w:rFonts w:ascii="宋体" w:hAnsi="宋体" w:cs="宋体" w:eastAsia="宋体" w:hint="default"/>
          <w:b/>
          <w:bCs/>
          <w:spacing w:val="2"/>
          <w:sz w:val="21"/>
          <w:szCs w:val="21"/>
        </w:rPr>
        <w:t> </w:t>
      </w:r>
      <w:r>
        <w:rPr>
          <w:rFonts w:ascii="宋体" w:hAnsi="宋体" w:cs="宋体" w:eastAsia="宋体" w:hint="default"/>
          <w:b/>
          <w:bCs/>
          <w:sz w:val="21"/>
          <w:szCs w:val="21"/>
        </w:rPr>
        <w:t>搭建人才梯队</w:t>
      </w:r>
      <w:r>
        <w:rPr>
          <w:rFonts w:ascii="宋体" w:hAnsi="宋体" w:cs="宋体" w:eastAsia="宋体" w:hint="default"/>
          <w:b/>
          <w:bCs/>
          <w:w w:val="99"/>
          <w:sz w:val="21"/>
          <w:szCs w:val="21"/>
        </w:rPr>
        <w:t> </w:t>
      </w:r>
      <w:r>
        <w:rPr>
          <w:rFonts w:ascii="宋体" w:hAnsi="宋体" w:cs="宋体" w:eastAsia="宋体" w:hint="default"/>
          <w:spacing w:val="-2"/>
          <w:sz w:val="21"/>
          <w:szCs w:val="21"/>
        </w:rPr>
        <w:t>公司将基于战略发展和业务规模需求，通过自主招聘、专家引荐、联合培养等多种渠道引进优秀的经</w:t>
      </w:r>
    </w:p>
    <w:p>
      <w:pPr>
        <w:spacing w:after="0" w:line="408" w:lineRule="auto"/>
        <w:jc w:val="left"/>
        <w:rPr>
          <w:rFonts w:ascii="宋体" w:hAnsi="宋体" w:cs="宋体" w:eastAsia="宋体" w:hint="default"/>
          <w:sz w:val="21"/>
          <w:szCs w:val="21"/>
        </w:rPr>
        <w:sectPr>
          <w:pgSz w:w="11910" w:h="16840"/>
          <w:pgMar w:header="746" w:footer="937" w:top="1040" w:bottom="1120" w:left="1020" w:right="9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408" w:lineRule="auto" w:before="0"/>
        <w:ind w:right="210"/>
        <w:jc w:val="both"/>
      </w:pPr>
      <w:r>
        <w:rPr>
          <w:w w:val="95"/>
        </w:rPr>
        <w:t>营管理和专业技术人才，为企业持续、健康发展提供人才保障和智力支持；通过实施全覆盖、多形式、多</w:t>
      </w:r>
      <w:r>
        <w:rPr>
          <w:spacing w:val="43"/>
          <w:w w:val="95"/>
        </w:rPr>
        <w:t> </w:t>
      </w:r>
      <w:r>
        <w:rPr>
          <w:spacing w:val="43"/>
          <w:w w:val="95"/>
        </w:rPr>
      </w:r>
      <w:r>
        <w:rPr>
          <w:w w:val="95"/>
        </w:rPr>
        <w:t>渠道的教育培训，拓宽员工视野，提升专业和管理技能，努力打造结构合理、素质过硬的业务团队，以应</w:t>
      </w:r>
      <w:r>
        <w:rPr>
          <w:spacing w:val="43"/>
          <w:w w:val="95"/>
        </w:rPr>
        <w:t> </w:t>
      </w:r>
      <w:r>
        <w:rPr>
          <w:spacing w:val="43"/>
          <w:w w:val="95"/>
        </w:rPr>
      </w:r>
      <w:r>
        <w:rPr>
          <w:w w:val="95"/>
        </w:rPr>
        <w:t>对日益激烈的市场竞争；积极进行人力资源管理创新，以薪酬福利为基础，充分发挥员工持股、限制性股</w:t>
      </w:r>
      <w:r>
        <w:rPr>
          <w:spacing w:val="45"/>
          <w:w w:val="95"/>
        </w:rPr>
        <w:t> </w:t>
      </w:r>
      <w:r>
        <w:rPr>
          <w:spacing w:val="45"/>
          <w:w w:val="95"/>
        </w:rPr>
      </w:r>
      <w:r>
        <w:rPr>
          <w:w w:val="95"/>
        </w:rPr>
        <w:t>票的激励作用，将员工个人利益与公司整体利益有效结合，增强全员凝聚力和归属感，推动企业持续健康</w:t>
      </w:r>
      <w:r>
        <w:rPr>
          <w:spacing w:val="43"/>
          <w:w w:val="95"/>
        </w:rPr>
        <w:t> </w:t>
      </w:r>
      <w:r>
        <w:rPr>
          <w:spacing w:val="43"/>
          <w:w w:val="95"/>
        </w:rPr>
      </w:r>
      <w:r>
        <w:rPr/>
        <w:t>快速发展。</w:t>
      </w:r>
    </w:p>
    <w:p>
      <w:pPr>
        <w:spacing w:line="408" w:lineRule="auto" w:before="46"/>
        <w:ind w:left="592" w:right="202" w:hanging="60"/>
        <w:jc w:val="left"/>
        <w:rPr>
          <w:rFonts w:ascii="宋体" w:hAnsi="宋体" w:cs="宋体" w:eastAsia="宋体" w:hint="default"/>
          <w:sz w:val="21"/>
          <w:szCs w:val="21"/>
        </w:rPr>
      </w:pPr>
      <w:r>
        <w:rPr>
          <w:rFonts w:ascii="宋体" w:hAnsi="宋体" w:cs="宋体" w:eastAsia="宋体" w:hint="default"/>
          <w:b/>
          <w:bCs/>
          <w:sz w:val="21"/>
          <w:szCs w:val="21"/>
        </w:rPr>
        <w:t>5、加快业务整合</w:t>
      </w:r>
      <w:r>
        <w:rPr>
          <w:rFonts w:ascii="宋体" w:hAnsi="宋体" w:cs="宋体" w:eastAsia="宋体" w:hint="default"/>
          <w:b/>
          <w:bCs/>
          <w:spacing w:val="1"/>
          <w:sz w:val="21"/>
          <w:szCs w:val="21"/>
        </w:rPr>
        <w:t> </w:t>
      </w:r>
      <w:r>
        <w:rPr>
          <w:rFonts w:ascii="宋体" w:hAnsi="宋体" w:cs="宋体" w:eastAsia="宋体" w:hint="default"/>
          <w:b/>
          <w:bCs/>
          <w:sz w:val="21"/>
          <w:szCs w:val="21"/>
        </w:rPr>
        <w:t>深化资本运作</w:t>
      </w:r>
      <w:r>
        <w:rPr>
          <w:rFonts w:ascii="宋体" w:hAnsi="宋体" w:cs="宋体" w:eastAsia="宋体" w:hint="default"/>
          <w:b/>
          <w:bCs/>
          <w:w w:val="99"/>
          <w:sz w:val="21"/>
          <w:szCs w:val="21"/>
        </w:rPr>
        <w:t> </w:t>
      </w:r>
      <w:r>
        <w:rPr>
          <w:rFonts w:ascii="宋体" w:hAnsi="宋体" w:cs="宋体" w:eastAsia="宋体" w:hint="default"/>
          <w:spacing w:val="-2"/>
          <w:sz w:val="21"/>
          <w:szCs w:val="21"/>
        </w:rPr>
        <w:t>公司将坚持内涵式发展和外延式扩张并重的发展战略，持续深化资本运作，加快对赛英科技的业务整</w:t>
      </w:r>
    </w:p>
    <w:p>
      <w:pPr>
        <w:pStyle w:val="BodyText"/>
        <w:spacing w:line="408" w:lineRule="auto" w:before="46"/>
        <w:ind w:right="105"/>
        <w:jc w:val="left"/>
      </w:pPr>
      <w:r>
        <w:rPr/>
        <w:t>合力度，有序推进后续募集配套资金及股份发行相关事项；同时充分利用资本市场平台，围绕主营业务上</w:t>
      </w:r>
      <w:r>
        <w:rPr>
          <w:w w:val="99"/>
        </w:rPr>
        <w:t> </w:t>
      </w:r>
      <w:r>
        <w:rPr/>
        <w:t>下游相关产业，按照优势互补、扩大经营、增加收益和降低风险的原则，以并购重组、战略合作、投资参</w:t>
      </w:r>
      <w:r>
        <w:rPr>
          <w:w w:val="99"/>
        </w:rPr>
        <w:t> </w:t>
      </w:r>
      <w:r>
        <w:rPr>
          <w:spacing w:val="-3"/>
        </w:rPr>
        <w:t>股等多种方式，进一步延伸公司产业链和业务范围，以高效的资产管理和业务运作方式增强企业整体效益，</w:t>
      </w:r>
      <w:r>
        <w:rPr>
          <w:w w:val="99"/>
        </w:rPr>
        <w:t> </w:t>
      </w:r>
      <w:r>
        <w:rPr/>
        <w:t>提升综合竞争力。</w:t>
      </w:r>
    </w:p>
    <w:p>
      <w:pPr>
        <w:spacing w:line="240" w:lineRule="auto" w:before="7"/>
        <w:rPr>
          <w:rFonts w:ascii="宋体" w:hAnsi="宋体" w:cs="宋体" w:eastAsia="宋体" w:hint="default"/>
          <w:sz w:val="23"/>
          <w:szCs w:val="23"/>
        </w:rPr>
      </w:pPr>
    </w:p>
    <w:p>
      <w:pPr>
        <w:pStyle w:val="Heading5"/>
        <w:spacing w:line="240" w:lineRule="auto"/>
        <w:ind w:left="595" w:right="94"/>
        <w:jc w:val="left"/>
        <w:rPr>
          <w:b w:val="0"/>
          <w:bCs w:val="0"/>
        </w:rPr>
      </w:pPr>
      <w:r>
        <w:rPr/>
        <w:t>（四）企业面临的风险及应对措施</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pStyle w:val="BodyText"/>
        <w:spacing w:line="408" w:lineRule="auto" w:before="0"/>
        <w:ind w:left="592" w:right="202" w:firstLine="2"/>
        <w:jc w:val="left"/>
      </w:pPr>
      <w:r>
        <w:rPr>
          <w:rFonts w:ascii="宋体" w:hAnsi="宋体" w:cs="宋体" w:eastAsia="宋体" w:hint="default"/>
          <w:b/>
          <w:bCs/>
        </w:rPr>
        <w:t>1、人力资源风险</w:t>
      </w:r>
      <w:r>
        <w:rPr>
          <w:rFonts w:ascii="宋体" w:hAnsi="宋体" w:cs="宋体" w:eastAsia="宋体" w:hint="default"/>
          <w:b/>
          <w:bCs/>
          <w:w w:val="99"/>
        </w:rPr>
        <w:t> </w:t>
      </w:r>
      <w:r>
        <w:rPr>
          <w:spacing w:val="-2"/>
        </w:rPr>
        <w:t>公司所处的软件与信息技术服务业属于知识密集、人才密集和技术密集型行业，专业技术与领导团队</w:t>
      </w:r>
    </w:p>
    <w:p>
      <w:pPr>
        <w:pStyle w:val="BodyText"/>
        <w:spacing w:line="408" w:lineRule="auto" w:before="46"/>
        <w:ind w:right="94"/>
        <w:jc w:val="left"/>
      </w:pPr>
      <w:r>
        <w:rPr>
          <w:w w:val="95"/>
        </w:rPr>
        <w:t>是保持公司竞争力的核心力量。随着行业竞争的日益加剧和劳动力供求关系的变化，人力成本逐年递增，</w:t>
      </w:r>
      <w:r>
        <w:rPr>
          <w:spacing w:val="61"/>
          <w:w w:val="95"/>
        </w:rPr>
        <w:t> </w:t>
      </w:r>
      <w:r>
        <w:rPr>
          <w:spacing w:val="61"/>
          <w:w w:val="95"/>
        </w:rPr>
      </w:r>
      <w:r>
        <w:rPr/>
        <w:t>人才流动更为常态化，如何有效吸引、留存优秀人才成为企业发展面临的重要问题。</w:t>
      </w:r>
    </w:p>
    <w:p>
      <w:pPr>
        <w:pStyle w:val="BodyText"/>
        <w:spacing w:line="408" w:lineRule="auto" w:before="46"/>
        <w:ind w:right="94" w:firstLine="480"/>
        <w:jc w:val="left"/>
      </w:pPr>
      <w:r>
        <w:rPr>
          <w:w w:val="95"/>
        </w:rPr>
        <w:t>公司将秉承“以人为本</w:t>
      </w:r>
      <w:r>
        <w:rPr>
          <w:spacing w:val="91"/>
          <w:w w:val="95"/>
        </w:rPr>
        <w:t> </w:t>
      </w:r>
      <w:r>
        <w:rPr>
          <w:w w:val="95"/>
        </w:rPr>
        <w:t>科学为尚”的企业文化，持续完善、改进人力资源管理体系，以科学、合理、</w:t>
      </w:r>
      <w:r>
        <w:rPr>
          <w:w w:val="99"/>
        </w:rPr>
        <w:t> </w:t>
      </w:r>
      <w:r>
        <w:rPr/>
        <w:t>灵活的薪酬福利、培训机制、考核方案为员工搭建自我价值实现的平台，营造积极向上的良性竞争氛围；</w:t>
      </w:r>
      <w:r>
        <w:rPr>
          <w:w w:val="99"/>
        </w:rPr>
        <w:t> </w:t>
      </w:r>
      <w:r>
        <w:rPr/>
        <w:t>积极探索员工持股、股权激励等可行性措施，强化对核心骨干员工的激励，持续优化人才队伍，努力形成</w:t>
      </w:r>
      <w:r>
        <w:rPr>
          <w:w w:val="99"/>
        </w:rPr>
        <w:t> </w:t>
      </w:r>
      <w:r>
        <w:rPr/>
        <w:t>人才成长与企业发展的共赢局面。</w:t>
      </w:r>
    </w:p>
    <w:p>
      <w:pPr>
        <w:pStyle w:val="BodyText"/>
        <w:spacing w:line="408" w:lineRule="auto" w:before="46"/>
        <w:ind w:left="592" w:right="202" w:firstLine="2"/>
        <w:jc w:val="left"/>
      </w:pPr>
      <w:r>
        <w:rPr>
          <w:rFonts w:ascii="宋体" w:hAnsi="宋体" w:cs="宋体" w:eastAsia="宋体" w:hint="default"/>
          <w:b/>
          <w:bCs/>
        </w:rPr>
        <w:t>2、并购整合风险</w:t>
      </w:r>
      <w:r>
        <w:rPr>
          <w:rFonts w:ascii="宋体" w:hAnsi="宋体" w:cs="宋体" w:eastAsia="宋体" w:hint="default"/>
          <w:b/>
          <w:bCs/>
          <w:w w:val="99"/>
        </w:rPr>
        <w:t> </w:t>
      </w:r>
      <w:r>
        <w:rPr>
          <w:spacing w:val="-2"/>
        </w:rPr>
        <w:t>随着公司产业链布局的不断完善，子公司数量随之增多，业务、资产、人员规模不断扩大，集团内部</w:t>
      </w:r>
    </w:p>
    <w:p>
      <w:pPr>
        <w:pStyle w:val="BodyText"/>
        <w:spacing w:line="408" w:lineRule="auto" w:before="46"/>
        <w:ind w:right="105"/>
        <w:jc w:val="left"/>
      </w:pPr>
      <w:r>
        <w:rPr>
          <w:spacing w:val="-3"/>
        </w:rPr>
        <w:t>各公司企业文化、业务模式、人员管理等方面的差异对企业内部管理提出了一定挑战，如何调动各方资源，</w:t>
      </w:r>
      <w:r>
        <w:rPr>
          <w:w w:val="99"/>
        </w:rPr>
        <w:t> </w:t>
      </w:r>
      <w:r>
        <w:rPr/>
        <w:t>实现1+1&gt;2的整合预期成为企业后续发展亟待解决的问题。</w:t>
      </w:r>
    </w:p>
    <w:p>
      <w:pPr>
        <w:pStyle w:val="BodyText"/>
        <w:spacing w:line="408" w:lineRule="auto" w:before="46"/>
        <w:ind w:right="210" w:firstLine="480"/>
        <w:jc w:val="both"/>
      </w:pPr>
      <w:r>
        <w:rPr>
          <w:spacing w:val="-2"/>
        </w:rPr>
        <w:t>公司将从制度建设、业务流程、日常管理等方面全面梳理集团内部控制流程，加大对子公司的内部控</w:t>
      </w:r>
      <w:r>
        <w:rPr>
          <w:w w:val="99"/>
        </w:rPr>
        <w:t> </w:t>
      </w:r>
      <w:r>
        <w:rPr>
          <w:w w:val="95"/>
        </w:rPr>
        <w:t>制和运营监督，有效防范和控制风险；加强对企业管理人员的风险防控培训工作，提升各层级管理团队管</w:t>
      </w:r>
      <w:r>
        <w:rPr>
          <w:spacing w:val="43"/>
          <w:w w:val="95"/>
        </w:rPr>
        <w:t> </w:t>
      </w:r>
      <w:r>
        <w:rPr>
          <w:spacing w:val="43"/>
          <w:w w:val="95"/>
        </w:rPr>
      </w:r>
      <w:r>
        <w:rPr>
          <w:w w:val="95"/>
        </w:rPr>
        <w:t>理理念和管理水平，将相对成熟的规范运作体系引入子公司管理实践中；根据子公司各自的业务特点、盈</w:t>
      </w:r>
      <w:r>
        <w:rPr>
          <w:spacing w:val="43"/>
          <w:w w:val="95"/>
        </w:rPr>
        <w:t> </w:t>
      </w:r>
      <w:r>
        <w:rPr>
          <w:spacing w:val="43"/>
          <w:w w:val="95"/>
        </w:rPr>
      </w:r>
      <w:r>
        <w:rPr>
          <w:w w:val="95"/>
        </w:rPr>
        <w:t>利能力、发展阶段和管理成熟度，在集团战略规划的整体框架内，实行差异化、分类化管理，发挥各子公</w:t>
      </w:r>
      <w:r>
        <w:rPr/>
      </w:r>
    </w:p>
    <w:p>
      <w:pPr>
        <w:spacing w:after="0" w:line="408" w:lineRule="auto"/>
        <w:jc w:val="both"/>
        <w:sectPr>
          <w:pgSz w:w="11910" w:h="16840"/>
          <w:pgMar w:header="746" w:footer="937" w:top="1040" w:bottom="1120" w:left="1020" w:right="9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408" w:lineRule="auto" w:before="0"/>
        <w:ind w:left="595" w:right="4054" w:hanging="483"/>
        <w:jc w:val="left"/>
        <w:rPr>
          <w:rFonts w:ascii="宋体" w:hAnsi="宋体" w:cs="宋体" w:eastAsia="宋体" w:hint="default"/>
          <w:sz w:val="21"/>
          <w:szCs w:val="21"/>
        </w:rPr>
      </w:pPr>
      <w:r>
        <w:rPr>
          <w:rFonts w:ascii="宋体" w:hAnsi="宋体" w:cs="宋体" w:eastAsia="宋体" w:hint="default"/>
          <w:w w:val="95"/>
          <w:sz w:val="21"/>
          <w:szCs w:val="21"/>
        </w:rPr>
        <w:t>司的专业优势，构建科学高效的资源整合和配置体系。</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b/>
          <w:bCs/>
          <w:sz w:val="21"/>
          <w:szCs w:val="21"/>
        </w:rPr>
        <w:t>3、财务管理风险</w:t>
      </w:r>
      <w:r>
        <w:rPr>
          <w:rFonts w:ascii="宋体" w:hAnsi="宋体" w:cs="宋体" w:eastAsia="宋体" w:hint="default"/>
          <w:sz w:val="21"/>
          <w:szCs w:val="21"/>
        </w:rPr>
      </w:r>
    </w:p>
    <w:p>
      <w:pPr>
        <w:pStyle w:val="BodyText"/>
        <w:spacing w:line="408" w:lineRule="auto" w:before="46"/>
        <w:ind w:right="190" w:firstLine="480"/>
        <w:jc w:val="both"/>
      </w:pPr>
      <w:r>
        <w:rPr>
          <w:spacing w:val="-2"/>
        </w:rPr>
        <w:t>公司客户以政府部门、大型企业集团为主，应收账款总体质量良好，但随着业务规模和销售网络的持</w:t>
      </w:r>
      <w:r>
        <w:rPr>
          <w:w w:val="99"/>
        </w:rPr>
        <w:t> </w:t>
      </w:r>
      <w:r>
        <w:rPr>
          <w:w w:val="95"/>
        </w:rPr>
        <w:t>续扩大，各区域市场差异明显，应收账款呈现逐年增加的趋势。如果客户信用发生重大变化或公司采取的</w:t>
      </w:r>
      <w:r>
        <w:rPr>
          <w:spacing w:val="43"/>
          <w:w w:val="95"/>
        </w:rPr>
        <w:t> </w:t>
      </w:r>
      <w:r>
        <w:rPr>
          <w:spacing w:val="43"/>
          <w:w w:val="95"/>
        </w:rPr>
      </w:r>
      <w:r>
        <w:rPr/>
        <w:t>收款措施不力，存在应收账款坏账的风险。</w:t>
      </w:r>
    </w:p>
    <w:p>
      <w:pPr>
        <w:pStyle w:val="BodyText"/>
        <w:spacing w:line="408" w:lineRule="auto" w:before="46"/>
        <w:ind w:right="0" w:firstLine="480"/>
        <w:jc w:val="left"/>
      </w:pPr>
      <w:r>
        <w:rPr>
          <w:w w:val="95"/>
        </w:rPr>
        <w:t>公司将进一步加强客户信用管理，在前期市场开拓和商务投标环节综合评估客户按约付款的可能性，</w:t>
      </w:r>
      <w:r>
        <w:rPr>
          <w:w w:val="99"/>
        </w:rPr>
        <w:t> </w:t>
      </w:r>
      <w:r>
        <w:rPr/>
        <w:t>强化项目实施过程中的客户履约管理，选择灵活多变的合作方式，采用科学的资金结算，构建严格的款项</w:t>
      </w:r>
      <w:r>
        <w:rPr>
          <w:w w:val="99"/>
        </w:rPr>
        <w:t> </w:t>
      </w:r>
      <w:r>
        <w:rPr/>
        <w:t>催收机制，保障相关账款能够顺利回收，有效防范应收账款坏账风险。</w:t>
      </w:r>
    </w:p>
    <w:p>
      <w:pPr>
        <w:spacing w:line="240" w:lineRule="auto" w:before="11"/>
        <w:rPr>
          <w:rFonts w:ascii="宋体" w:hAnsi="宋体" w:cs="宋体" w:eastAsia="宋体" w:hint="default"/>
          <w:sz w:val="18"/>
          <w:szCs w:val="18"/>
        </w:rPr>
      </w:pPr>
    </w:p>
    <w:p>
      <w:pPr>
        <w:pStyle w:val="Heading4"/>
        <w:spacing w:line="240" w:lineRule="auto"/>
        <w:ind w:right="182"/>
        <w:jc w:val="left"/>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82"/>
        <w:jc w:val="left"/>
        <w:rPr>
          <w:b w:val="0"/>
          <w:bCs w:val="0"/>
        </w:rPr>
      </w:pPr>
      <w:r>
        <w:rPr/>
        <w:t>1、报告期内接待调研、沟通、采访等活动登记表</w:t>
      </w:r>
      <w:r>
        <w:rPr>
          <w:b w:val="0"/>
          <w:bCs w:val="0"/>
        </w:rPr>
      </w:r>
    </w:p>
    <w:p>
      <w:pPr>
        <w:spacing w:line="240" w:lineRule="auto" w:before="7"/>
        <w:rPr>
          <w:rFonts w:ascii="宋体" w:hAnsi="宋体" w:cs="宋体" w:eastAsia="宋体" w:hint="default"/>
          <w:b/>
          <w:bCs/>
          <w:sz w:val="27"/>
          <w:szCs w:val="27"/>
        </w:rPr>
      </w:pPr>
    </w:p>
    <w:p>
      <w:pPr>
        <w:spacing w:before="0"/>
        <w:ind w:left="112" w:right="18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http://irm.cninfo.com.cn,公司生产 经营和未来发展情况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33"/>
              <w:jc w:val="left"/>
              <w:rPr>
                <w:rFonts w:ascii="宋体" w:hAnsi="宋体" w:cs="宋体" w:eastAsia="宋体" w:hint="default"/>
                <w:sz w:val="18"/>
                <w:szCs w:val="18"/>
              </w:rPr>
            </w:pPr>
            <w:r>
              <w:rPr>
                <w:rFonts w:ascii="宋体" w:hAnsi="宋体" w:cs="宋体" w:eastAsia="宋体" w:hint="default"/>
                <w:sz w:val="18"/>
                <w:szCs w:val="18"/>
              </w:rPr>
              <w:t>http://irm.cninfo.com.cn,公司生产 经营和未来发展情况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http://irm.cninfo.com.cn,公司生产 经营和未来发展情况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33"/>
              <w:jc w:val="left"/>
              <w:rPr>
                <w:rFonts w:ascii="宋体" w:hAnsi="宋体" w:cs="宋体" w:eastAsia="宋体" w:hint="default"/>
                <w:sz w:val="18"/>
                <w:szCs w:val="18"/>
              </w:rPr>
            </w:pPr>
            <w:r>
              <w:rPr>
                <w:rFonts w:ascii="宋体" w:hAnsi="宋体" w:cs="宋体" w:eastAsia="宋体" w:hint="default"/>
                <w:sz w:val="18"/>
                <w:szCs w:val="18"/>
              </w:rPr>
              <w:t>http://irm.cninfo.com.cn,公司生产 经营和未来发展情况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http://irm.cninfo.com.cn,公司生产 经营和未来发展情况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33"/>
              <w:jc w:val="left"/>
              <w:rPr>
                <w:rFonts w:ascii="宋体" w:hAnsi="宋体" w:cs="宋体" w:eastAsia="宋体" w:hint="default"/>
                <w:sz w:val="18"/>
                <w:szCs w:val="18"/>
              </w:rPr>
            </w:pPr>
            <w:r>
              <w:rPr>
                <w:rFonts w:ascii="宋体" w:hAnsi="宋体" w:cs="宋体" w:eastAsia="宋体" w:hint="default"/>
                <w:sz w:val="18"/>
                <w:szCs w:val="18"/>
              </w:rPr>
              <w:t>http://irm.cninfo.com.cn,公司生产 经营和未来发展情况</w:t>
            </w:r>
          </w:p>
        </w:tc>
      </w:tr>
    </w:tbl>
    <w:p>
      <w:pPr>
        <w:spacing w:after="0" w:line="316" w:lineRule="auto"/>
        <w:jc w:val="left"/>
        <w:rPr>
          <w:rFonts w:ascii="宋体" w:hAnsi="宋体" w:cs="宋体" w:eastAsia="宋体" w:hint="default"/>
          <w:sz w:val="18"/>
          <w:szCs w:val="18"/>
        </w:rPr>
        <w:sectPr>
          <w:footerReference w:type="default" r:id="rId16"/>
          <w:pgSz w:w="11910" w:h="16840"/>
          <w:pgMar w:footer="937" w:header="746" w:top="1040" w:bottom="1120" w:left="1020" w:right="940"/>
          <w:pgNumType w:start="3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3391" w:right="3488"/>
        <w:jc w:val="center"/>
        <w:rPr>
          <w:b w:val="0"/>
          <w:bCs w:val="0"/>
        </w:rPr>
      </w:pPr>
      <w:bookmarkStart w:name="_bookmark4" w:id="5"/>
      <w:bookmarkEnd w:id="5"/>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94"/>
        <w:jc w:val="left"/>
        <w:rPr>
          <w:b w:val="0"/>
          <w:bCs w:val="0"/>
        </w:rPr>
      </w:pP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before="0"/>
        <w:ind w:left="112" w:right="94"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2" w:right="9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92"/>
        <w:ind w:right="105" w:firstLine="420"/>
        <w:jc w:val="left"/>
      </w:pPr>
      <w:r>
        <w:rPr>
          <w:spacing w:val="-3"/>
        </w:rPr>
        <w:t>根据中国证券监督管理委员会《关于进一步落实上市公司现金分红有关事项的通知》（证监发（2012）</w:t>
      </w:r>
      <w:r>
        <w:rPr>
          <w:w w:val="99"/>
        </w:rPr>
        <w:t> </w:t>
      </w:r>
      <w:r>
        <w:rPr/>
        <w:t>37</w:t>
      </w:r>
      <w:r>
        <w:rPr>
          <w:spacing w:val="-19"/>
        </w:rPr>
        <w:t> </w:t>
      </w:r>
      <w:r>
        <w:rPr/>
        <w:t>号）和《上市公司监管指引第3号——上市公司现金分红》等相关文件的规定和要求，公司结合实际情</w:t>
      </w:r>
      <w:r>
        <w:rPr>
          <w:w w:val="99"/>
        </w:rPr>
        <w:t> </w:t>
      </w:r>
      <w:r>
        <w:rPr/>
        <w:t>况，就股东回报规划及利润分配政策制定等事项与独立董事及部分流通股东充分沟通，同时通过专线电话</w:t>
      </w:r>
      <w:r>
        <w:rPr>
          <w:w w:val="99"/>
        </w:rPr>
        <w:t> </w:t>
      </w:r>
      <w:r>
        <w:rPr/>
        <w:t>方式听取中小股东的意见和诉求，确认适合公司未来发展的现金分红事项的决策程序，在此基础上，公司</w:t>
      </w:r>
      <w:r>
        <w:rPr>
          <w:w w:val="99"/>
        </w:rPr>
        <w:t> </w:t>
      </w:r>
      <w:r>
        <w:rPr/>
        <w:t>制订了修正案，并提交公司第一届董事会第十八次会议审议通过，独立董事发表了独立意见。为进一步征</w:t>
      </w:r>
      <w:r>
        <w:rPr>
          <w:w w:val="99"/>
        </w:rPr>
        <w:t> </w:t>
      </w:r>
      <w:r>
        <w:rPr>
          <w:spacing w:val="-3"/>
        </w:rPr>
        <w:t>求中小股东诉求，保障中小股东的合法权益，公司于2012年第一次临时股东大会上提交审议了《公司章程》</w:t>
      </w:r>
      <w:r>
        <w:rPr>
          <w:w w:val="99"/>
        </w:rPr>
        <w:t> </w:t>
      </w:r>
      <w:r>
        <w:rPr/>
        <w:t>修正案。公司董事会每三年审阅一次股东回报规划，根据国家政策、结合公司实际经营状况进行及时、合</w:t>
      </w:r>
      <w:r>
        <w:rPr>
          <w:w w:val="99"/>
        </w:rPr>
        <w:t> </w:t>
      </w:r>
      <w:r>
        <w:rPr/>
        <w:t>理的修订，确保规划内容不违反相关法律法规、规范性文件及《公司章程》确定的利润分配政策。</w:t>
      </w:r>
    </w:p>
    <w:p>
      <w:pPr>
        <w:pStyle w:val="BodyText"/>
        <w:spacing w:line="273" w:lineRule="auto" w:before="48"/>
        <w:ind w:right="210" w:firstLine="420"/>
        <w:jc w:val="both"/>
      </w:pPr>
      <w:r>
        <w:rPr>
          <w:w w:val="95"/>
        </w:rPr>
        <w:t>《公司章程》第一百五十五条明确规定了公司的利润分配政策的原则、利润分配的形式、现金分配的</w:t>
      </w:r>
      <w:r>
        <w:rPr>
          <w:w w:val="99"/>
        </w:rPr>
        <w:t> </w:t>
      </w:r>
      <w:r>
        <w:rPr>
          <w:w w:val="95"/>
        </w:rPr>
        <w:t>条件、现金分配的比例、利润分配的期间、股票股利分配的条件、利润分配的决策程序和机制、有关利润</w:t>
      </w:r>
      <w:r>
        <w:rPr>
          <w:spacing w:val="44"/>
          <w:w w:val="95"/>
        </w:rPr>
        <w:t> </w:t>
      </w:r>
      <w:r>
        <w:rPr>
          <w:spacing w:val="44"/>
          <w:w w:val="95"/>
        </w:rPr>
      </w:r>
      <w:r>
        <w:rPr>
          <w:w w:val="95"/>
        </w:rPr>
        <w:t>分配的信息披露事项、利润分配政策的调整原则等，公司将严格按照《公司章程》的规定，实施利润分配</w:t>
      </w:r>
      <w:r>
        <w:rPr>
          <w:spacing w:val="43"/>
          <w:w w:val="95"/>
        </w:rPr>
        <w:t> </w:t>
      </w:r>
      <w:r>
        <w:rPr>
          <w:spacing w:val="43"/>
          <w:w w:val="95"/>
        </w:rPr>
      </w:r>
      <w:r>
        <w:rPr/>
        <w:t>政策，强化回报股东意识，满足股东的合理投资回报和公司长远发展的要求。</w:t>
      </w:r>
    </w:p>
    <w:p>
      <w:pPr>
        <w:spacing w:line="240" w:lineRule="auto" w:before="10"/>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7309"/>
        <w:gridCol w:w="2259"/>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7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2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2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2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2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2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2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12" w:right="94"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年（包括本报告期）的普通股股利分配方案（预案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73" w:lineRule="auto" w:before="91"/>
        <w:ind w:right="192" w:firstLine="420"/>
        <w:jc w:val="both"/>
      </w:pPr>
      <w:r>
        <w:rPr>
          <w:w w:val="95"/>
        </w:rPr>
        <w:t>1、公司2015年年度权益分配方案为：以公司2015年12月31日总股本291,939,213股为基数，向全体股</w:t>
      </w:r>
      <w:r>
        <w:rPr>
          <w:w w:val="99"/>
        </w:rPr>
        <w:t> </w:t>
      </w:r>
      <w:r>
        <w:rPr>
          <w:w w:val="95"/>
        </w:rPr>
        <w:t>东每10股派发现金红利人民币0.5元（含税），同时用资本公积金转增股本，向全体股东每10股转增2股，</w:t>
      </w:r>
      <w:r>
        <w:rPr>
          <w:spacing w:val="61"/>
          <w:w w:val="95"/>
        </w:rPr>
        <w:t> </w:t>
      </w:r>
      <w:r>
        <w:rPr>
          <w:spacing w:val="61"/>
          <w:w w:val="95"/>
        </w:rPr>
      </w:r>
      <w:r>
        <w:rPr/>
        <w:t>不送股。2016年5月12日实施完毕；</w:t>
      </w:r>
    </w:p>
    <w:p>
      <w:pPr>
        <w:pStyle w:val="BodyText"/>
        <w:spacing w:line="290" w:lineRule="auto" w:before="48"/>
        <w:ind w:right="192" w:firstLine="420"/>
        <w:jc w:val="right"/>
      </w:pPr>
      <w:r>
        <w:rPr>
          <w:w w:val="95"/>
        </w:rPr>
        <w:t>2、公司2016年年度权益分配方案为：以公司2016年12月31日总股本350,327,055股为基数，向全体股</w:t>
      </w:r>
      <w:r>
        <w:rPr>
          <w:w w:val="99"/>
        </w:rPr>
        <w:t> </w:t>
      </w:r>
      <w:r>
        <w:rPr>
          <w:w w:val="95"/>
        </w:rPr>
        <w:t>东每10股派发现金红利人民币0.5元（含税），不以公积金转增股本，不送股。2017年4月14日实施完毕；</w:t>
      </w:r>
      <w:r>
        <w:rPr>
          <w:spacing w:val="33"/>
          <w:w w:val="95"/>
        </w:rPr>
        <w:t> </w:t>
      </w:r>
      <w:r>
        <w:rPr>
          <w:spacing w:val="33"/>
          <w:w w:val="95"/>
        </w:rPr>
      </w:r>
      <w:r>
        <w:rPr>
          <w:spacing w:val="2"/>
          <w:w w:val="95"/>
        </w:rPr>
        <w:t>3、公司2017年年度权益分配预案为：2017年度不派发现金红利，也不以资本公积金转增股本，未分</w:t>
      </w:r>
      <w:r>
        <w:rPr>
          <w:spacing w:val="2"/>
        </w:rPr>
      </w:r>
    </w:p>
    <w:p>
      <w:pPr>
        <w:pStyle w:val="BodyText"/>
        <w:spacing w:line="268" w:lineRule="exact" w:before="0"/>
        <w:ind w:right="94"/>
        <w:jc w:val="left"/>
      </w:pPr>
      <w:r>
        <w:rPr/>
        <w:t>配利润结转下一年度。</w:t>
      </w:r>
    </w:p>
    <w:p>
      <w:pPr>
        <w:spacing w:before="101"/>
        <w:ind w:left="112" w:right="94"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2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734"/>
        <w:gridCol w:w="1740"/>
        <w:gridCol w:w="1308"/>
        <w:gridCol w:w="1594"/>
      </w:tblGrid>
      <w:tr>
        <w:trPr>
          <w:trHeight w:val="10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13" w:right="69"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 w:right="51"/>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4" w:right="53"/>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0" w:right="106"/>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bl>
    <w:p>
      <w:pPr>
        <w:spacing w:after="0" w:line="316" w:lineRule="auto"/>
        <w:jc w:val="left"/>
        <w:rPr>
          <w:rFonts w:ascii="宋体" w:hAnsi="宋体" w:cs="宋体" w:eastAsia="宋体" w:hint="default"/>
          <w:sz w:val="18"/>
          <w:szCs w:val="18"/>
        </w:rPr>
        <w:sectPr>
          <w:pgSz w:w="11910" w:h="16840"/>
          <w:pgMar w:header="746" w:footer="937" w:top="1040" w:bottom="1120" w:left="1020" w:right="9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734"/>
        <w:gridCol w:w="1740"/>
        <w:gridCol w:w="1308"/>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82,717,605.13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17,516,352.75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76,872,684.10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22.79%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14,596,960.65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69,494,426.63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21.00%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38" w:right="45" w:hanging="992"/>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公司发行股份购买资产并募集配套资金事项已于</w:t>
            </w:r>
            <w:r>
              <w:rPr>
                <w:rFonts w:ascii="宋体" w:hAnsi="宋体" w:cs="宋体" w:eastAsia="宋体" w:hint="default"/>
                <w:spacing w:val="-57"/>
                <w:sz w:val="18"/>
                <w:szCs w:val="18"/>
              </w:rPr>
              <w:t> </w:t>
            </w:r>
            <w:r>
              <w:rPr>
                <w:rFonts w:ascii="宋体" w:hAnsi="宋体" w:cs="宋体" w:eastAsia="宋体" w:hint="default"/>
                <w:sz w:val="18"/>
                <w:szCs w:val="18"/>
              </w:rPr>
              <w:t>2018</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w:t>
            </w:r>
            <w:r>
              <w:rPr>
                <w:rFonts w:ascii="宋体" w:hAnsi="宋体" w:cs="宋体" w:eastAsia="宋体" w:hint="default"/>
                <w:spacing w:val="-56"/>
                <w:sz w:val="18"/>
                <w:szCs w:val="18"/>
              </w:rPr>
              <w:t> </w:t>
            </w:r>
            <w:r>
              <w:rPr>
                <w:rFonts w:ascii="宋体" w:hAnsi="宋体" w:cs="宋体" w:eastAsia="宋体" w:hint="default"/>
                <w:sz w:val="18"/>
                <w:szCs w:val="18"/>
              </w:rPr>
              <w:t>月</w:t>
            </w:r>
          </w:p>
        </w:tc>
        <w:tc>
          <w:tcPr>
            <w:tcW w:w="4784"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日获得中国证监会核准</w:t>
            </w:r>
            <w:r>
              <w:rPr>
                <w:rFonts w:ascii="宋体" w:hAnsi="宋体" w:cs="宋体" w:eastAsia="宋体" w:hint="default"/>
                <w:spacing w:val="-87"/>
                <w:sz w:val="18"/>
                <w:szCs w:val="18"/>
              </w:rPr>
              <w:t>，</w:t>
            </w:r>
            <w:r>
              <w:rPr>
                <w:rFonts w:ascii="宋体" w:hAnsi="宋体" w:cs="宋体" w:eastAsia="宋体" w:hint="default"/>
                <w:sz w:val="18"/>
                <w:szCs w:val="18"/>
              </w:rPr>
              <w:t>本次发行股份购买资产涉及的新增</w:t>
            </w:r>
          </w:p>
        </w:tc>
        <w:tc>
          <w:tcPr>
            <w:tcW w:w="4784"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股份已于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日在深圳证券交易所上市，尚需进</w:t>
            </w:r>
          </w:p>
        </w:tc>
        <w:tc>
          <w:tcPr>
            <w:tcW w:w="478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公司未分配利润将全部用于公司运营及发展。今后，公司将</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行发行股份募集配套资金的股份发行工作。根据中国证监会</w:t>
            </w:r>
          </w:p>
        </w:tc>
        <w:tc>
          <w:tcPr>
            <w:tcW w:w="478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一如既往地重视以现金分红形式对投资者进行回报，严格按</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《证券发行与承销管理办法》的相关规定，上市公司发行证</w:t>
            </w:r>
          </w:p>
        </w:tc>
        <w:tc>
          <w:tcPr>
            <w:tcW w:w="478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照法律法规和《公司章程》以及《安徽皖通科技股份有限公</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券，存在利润分配方案、公积金转增股本方案尚未提交股东</w:t>
            </w:r>
          </w:p>
        </w:tc>
        <w:tc>
          <w:tcPr>
            <w:tcW w:w="478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司未来三年（2017-2019</w:t>
            </w:r>
            <w:r>
              <w:rPr>
                <w:rFonts w:ascii="宋体" w:hAnsi="宋体" w:cs="宋体" w:eastAsia="宋体" w:hint="default"/>
                <w:spacing w:val="-59"/>
                <w:sz w:val="18"/>
                <w:szCs w:val="18"/>
              </w:rPr>
              <w:t> </w:t>
            </w:r>
            <w:r>
              <w:rPr>
                <w:rFonts w:ascii="宋体" w:hAnsi="宋体" w:cs="宋体" w:eastAsia="宋体" w:hint="default"/>
                <w:spacing w:val="-5"/>
                <w:sz w:val="18"/>
                <w:szCs w:val="18"/>
              </w:rPr>
              <w:t>年）股东回报规划》等规定，综合考</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大会表决或者虽经股东大会表决通过但未实施的，应当在方</w:t>
            </w:r>
          </w:p>
        </w:tc>
        <w:tc>
          <w:tcPr>
            <w:tcW w:w="478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虑与利润分配相关的各种因素，积极履行公司的利润分配制</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案实施后发行。为了顺利、快速推进公司发行股份购买资产</w:t>
            </w:r>
          </w:p>
        </w:tc>
        <w:tc>
          <w:tcPr>
            <w:tcW w:w="478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度，与投资者共享公司发展的成果。</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并募集配套资金事项的实施，公司董事会拟定 </w:t>
            </w:r>
            <w:r>
              <w:rPr>
                <w:rFonts w:ascii="宋体" w:hAnsi="宋体" w:cs="宋体" w:eastAsia="宋体" w:hint="default"/>
                <w:sz w:val="18"/>
                <w:szCs w:val="18"/>
              </w:rPr>
              <w:t>2017</w:t>
            </w:r>
            <w:r>
              <w:rPr>
                <w:rFonts w:ascii="宋体" w:hAnsi="宋体" w:cs="宋体" w:eastAsia="宋体" w:hint="default"/>
                <w:spacing w:val="-71"/>
                <w:sz w:val="18"/>
                <w:szCs w:val="18"/>
              </w:rPr>
              <w:t> </w:t>
            </w:r>
            <w:r>
              <w:rPr>
                <w:rFonts w:ascii="宋体" w:hAnsi="宋体" w:cs="宋体" w:eastAsia="宋体" w:hint="default"/>
                <w:sz w:val="18"/>
                <w:szCs w:val="18"/>
              </w:rPr>
              <w:t>年度不进</w:t>
            </w:r>
          </w:p>
        </w:tc>
        <w:tc>
          <w:tcPr>
            <w:tcW w:w="4784"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行利润分配。</w:t>
            </w:r>
          </w:p>
        </w:tc>
        <w:tc>
          <w:tcPr>
            <w:tcW w:w="4784" w:type="dxa"/>
            <w:tcBorders>
              <w:top w:val="nil" w:sz="6" w:space="0" w:color="auto"/>
              <w:left w:val="single" w:sz="4" w:space="0" w:color="000000"/>
              <w:bottom w:val="single" w:sz="4" w:space="0" w:color="000000"/>
              <w:right w:val="single" w:sz="4" w:space="0" w:color="000000"/>
            </w:tcBorders>
            <w:shd w:val="clear" w:color="auto" w:fill="C6ECCC"/>
          </w:tcPr>
          <w:p>
            <w:pP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4554" w:firstLine="0"/>
        <w:jc w:val="left"/>
        <w:rPr>
          <w:rFonts w:ascii="宋体" w:hAnsi="宋体" w:cs="宋体" w:eastAsia="宋体" w:hint="default"/>
          <w:sz w:val="18"/>
          <w:szCs w:val="18"/>
        </w:rPr>
      </w:pPr>
      <w:r>
        <w:rPr>
          <w:rFonts w:ascii="宋体" w:hAnsi="宋体" w:cs="宋体" w:eastAsia="宋体" w:hint="default"/>
          <w:sz w:val="18"/>
          <w:szCs w:val="18"/>
        </w:rPr>
        <w:t>□ 适用 √ 不适用 公司计划年度不派发现金红利，不送红股，不以公积金转增股本。</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73" w:lineRule="auto"/>
        <w:ind w:right="0"/>
        <w:jc w:val="left"/>
        <w:rPr>
          <w:b w:val="0"/>
          <w:bCs w:val="0"/>
        </w:rPr>
      </w:pPr>
      <w:r>
        <w:rPr>
          <w:spacing w:val="3"/>
          <w:w w:val="95"/>
        </w:rPr>
        <w:t>1、公司实际控制人、股东、关联方、收购人以及公司等承诺相关方在报告期内履行完毕及截至报告期末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6"/>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9"/>
        <w:gridCol w:w="1200"/>
        <w:gridCol w:w="975"/>
        <w:gridCol w:w="2310"/>
        <w:gridCol w:w="870"/>
        <w:gridCol w:w="975"/>
        <w:gridCol w:w="968"/>
      </w:tblGrid>
      <w:tr>
        <w:trPr>
          <w:trHeight w:val="402"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6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收购报告书或权益变动报告 书中所作承诺</w:t>
            </w: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6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650"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安徽皖通科技 股份有限公司</w:t>
            </w: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4" w:right="39"/>
              <w:jc w:val="both"/>
              <w:rPr>
                <w:rFonts w:ascii="宋体" w:hAnsi="宋体" w:cs="宋体" w:eastAsia="宋体" w:hint="default"/>
                <w:sz w:val="18"/>
                <w:szCs w:val="18"/>
              </w:rPr>
            </w:pPr>
            <w:r>
              <w:rPr>
                <w:rFonts w:ascii="宋体" w:hAnsi="宋体" w:cs="宋体" w:eastAsia="宋体" w:hint="default"/>
                <w:sz w:val="18"/>
                <w:szCs w:val="18"/>
              </w:rPr>
              <w:t>不进行重大 资产重组承 诺</w:t>
            </w: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21"/>
              <w:jc w:val="left"/>
              <w:rPr>
                <w:rFonts w:ascii="宋体" w:hAnsi="宋体" w:cs="宋体" w:eastAsia="宋体" w:hint="default"/>
                <w:sz w:val="18"/>
                <w:szCs w:val="18"/>
              </w:rPr>
            </w:pPr>
            <w:r>
              <w:rPr>
                <w:rFonts w:ascii="宋体" w:hAnsi="宋体" w:cs="宋体" w:eastAsia="宋体" w:hint="default"/>
                <w:sz w:val="18"/>
                <w:szCs w:val="18"/>
              </w:rPr>
              <w:t>公司承诺在终止筹划本次重 大资产重组事项暨股票复牌 </w:t>
            </w:r>
            <w:r>
              <w:rPr>
                <w:rFonts w:ascii="宋体" w:hAnsi="宋体" w:cs="宋体" w:eastAsia="宋体" w:hint="default"/>
                <w:spacing w:val="-4"/>
                <w:sz w:val="18"/>
                <w:szCs w:val="18"/>
              </w:rPr>
              <w:t>之日（2016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pacing w:val="-7"/>
                <w:sz w:val="18"/>
                <w:szCs w:val="18"/>
              </w:rPr>
              <w:t>日）起</w:t>
            </w:r>
            <w:r>
              <w:rPr>
                <w:rFonts w:ascii="宋体" w:hAnsi="宋体" w:cs="宋体" w:eastAsia="宋体" w:hint="default"/>
                <w:sz w:val="18"/>
                <w:szCs w:val="18"/>
              </w:rPr>
              <w:t> 六个月内不再筹划重大资产 重组事项。</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9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984"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2" w:right="74"/>
              <w:jc w:val="left"/>
              <w:rPr>
                <w:rFonts w:ascii="宋体" w:hAnsi="宋体" w:cs="宋体" w:eastAsia="宋体" w:hint="default"/>
                <w:sz w:val="18"/>
                <w:szCs w:val="18"/>
              </w:rPr>
            </w:pPr>
            <w:r>
              <w:rPr>
                <w:rFonts w:ascii="宋体" w:hAnsi="宋体" w:cs="宋体" w:eastAsia="宋体" w:hint="default"/>
                <w:sz w:val="18"/>
                <w:szCs w:val="18"/>
              </w:rPr>
              <w:t>首次公开发行或再融资时所 作承诺</w:t>
            </w: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5"/>
                <w:sz w:val="18"/>
                <w:szCs w:val="18"/>
              </w:rPr>
              <w:t>1、发行人实际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控制人王中 胜、杨世宁、</w:t>
            </w: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自公司股票上市之日起三十 </w:t>
            </w:r>
            <w:r>
              <w:rPr>
                <w:rFonts w:ascii="宋体" w:hAnsi="宋体" w:cs="宋体" w:eastAsia="宋体" w:hint="default"/>
                <w:spacing w:val="-7"/>
                <w:sz w:val="18"/>
                <w:szCs w:val="18"/>
              </w:rPr>
              <w:t>六个月内，不转让或者委托他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人管理其持有的公司股份，也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6"/>
              <w:ind w:left="23" w:right="0"/>
              <w:jc w:val="left"/>
              <w:rPr>
                <w:rFonts w:ascii="宋体" w:hAnsi="宋体" w:cs="宋体" w:eastAsia="宋体" w:hint="default"/>
                <w:sz w:val="18"/>
                <w:szCs w:val="18"/>
              </w:rPr>
            </w:pPr>
            <w:r>
              <w:rPr>
                <w:rFonts w:ascii="宋体"/>
                <w:sz w:val="18"/>
              </w:rPr>
              <w:t>9999-12-31</w:t>
            </w:r>
          </w:p>
        </w:tc>
        <w:tc>
          <w:tcPr>
            <w:tcW w:w="9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980"/>
        </w:sectPr>
      </w:pPr>
    </w:p>
    <w:p>
      <w:pPr>
        <w:spacing w:line="240" w:lineRule="auto" w:before="2"/>
        <w:rPr>
          <w:rFonts w:ascii="宋体" w:hAnsi="宋体" w:cs="宋体" w:eastAsia="宋体" w:hint="default"/>
          <w:sz w:val="29"/>
          <w:szCs w:val="29"/>
        </w:rPr>
      </w:pPr>
      <w:r>
        <w:rPr/>
        <w:pict>
          <v:shape style="position:absolute;margin-left:388.440002pt;margin-top:282.200012pt;width:49.4pt;height:253.7pt;mso-position-horizontal-relative:page;mso-position-vertical-relative:page;z-index:-8762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4.549988pt;margin-top:282.200012pt;width:43.25pt;height:253.85pt;mso-position-horizontal-relative:page;mso-position-vertical-relative:page;z-index:-876208" coordorigin="7891,5644" coordsize="865,5077">
            <v:shape style="position:absolute;left:7891;top:5644;width:865;height:5077" coordorigin="7891,5644" coordsize="865,5077" path="m7891,5644l8756,5644,8756,10721,7891,10721,7891,5644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2269"/>
        <w:gridCol w:w="1200"/>
        <w:gridCol w:w="975"/>
        <w:gridCol w:w="2310"/>
        <w:gridCol w:w="870"/>
        <w:gridCol w:w="975"/>
        <w:gridCol w:w="968"/>
      </w:tblGrid>
      <w:tr>
        <w:trPr>
          <w:trHeight w:val="2234" w:hRule="exact"/>
        </w:trPr>
        <w:tc>
          <w:tcPr>
            <w:tcW w:w="2269" w:type="dxa"/>
            <w:vMerge w:val="restart"/>
            <w:tcBorders>
              <w:top w:val="single" w:sz="4" w:space="0" w:color="000000"/>
              <w:left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1"/>
              <w:ind w:left="24" w:right="-3"/>
              <w:jc w:val="left"/>
              <w:rPr>
                <w:rFonts w:ascii="宋体" w:hAnsi="宋体" w:cs="宋体" w:eastAsia="宋体" w:hint="default"/>
                <w:sz w:val="18"/>
                <w:szCs w:val="18"/>
              </w:rPr>
            </w:pPr>
            <w:r>
              <w:rPr>
                <w:rFonts w:ascii="宋体" w:hAnsi="宋体" w:cs="宋体" w:eastAsia="宋体" w:hint="default"/>
                <w:spacing w:val="-5"/>
                <w:sz w:val="18"/>
                <w:szCs w:val="18"/>
              </w:rPr>
              <w:t>杨新子；2、除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上述股东外的 其他股东；3、</w:t>
            </w:r>
            <w:r>
              <w:rPr>
                <w:rFonts w:ascii="宋体" w:hAnsi="宋体" w:cs="宋体" w:eastAsia="宋体" w:hint="default"/>
                <w:sz w:val="18"/>
                <w:szCs w:val="18"/>
              </w:rPr>
              <w:t> 董事、监事、 高级管理人 员。</w:t>
            </w: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1"/>
              <w:ind w:left="23" w:right="21"/>
              <w:jc w:val="left"/>
              <w:rPr>
                <w:rFonts w:ascii="宋体" w:hAnsi="宋体" w:cs="宋体" w:eastAsia="宋体" w:hint="default"/>
                <w:sz w:val="18"/>
                <w:szCs w:val="18"/>
              </w:rPr>
            </w:pPr>
            <w:r>
              <w:rPr>
                <w:rFonts w:ascii="宋体" w:hAnsi="宋体" w:cs="宋体" w:eastAsia="宋体" w:hint="default"/>
                <w:spacing w:val="-7"/>
                <w:sz w:val="18"/>
                <w:szCs w:val="18"/>
              </w:rPr>
              <w:t>不由公司回购该部分股份；三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十六个月锁定期满后，在任职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期间每年转让的公司股份不 超过其所持有公司股份总数 </w:t>
            </w:r>
            <w:r>
              <w:rPr>
                <w:rFonts w:ascii="宋体" w:hAnsi="宋体" w:cs="宋体" w:eastAsia="宋体" w:hint="default"/>
                <w:spacing w:val="-7"/>
                <w:sz w:val="18"/>
                <w:szCs w:val="18"/>
              </w:rPr>
              <w:t>的百分之二十五，在离职后半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年内，不转让所持有的公司股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w:t>
            </w:r>
          </w:p>
        </w:tc>
        <w:tc>
          <w:tcPr>
            <w:tcW w:w="870"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6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962" w:hRule="exact"/>
        </w:trPr>
        <w:tc>
          <w:tcPr>
            <w:tcW w:w="2269" w:type="dxa"/>
            <w:vMerge/>
            <w:tcBorders>
              <w:left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84"/>
              <w:jc w:val="both"/>
              <w:rPr>
                <w:rFonts w:ascii="宋体" w:hAnsi="宋体" w:cs="宋体" w:eastAsia="宋体" w:hint="default"/>
                <w:sz w:val="18"/>
                <w:szCs w:val="18"/>
              </w:rPr>
            </w:pPr>
            <w:r>
              <w:rPr>
                <w:rFonts w:ascii="宋体" w:hAnsi="宋体" w:cs="宋体" w:eastAsia="宋体" w:hint="default"/>
                <w:sz w:val="18"/>
                <w:szCs w:val="18"/>
              </w:rPr>
              <w:t>发行人实际控 制人王中胜、 杨世宁、杨新 子</w:t>
            </w: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sz w:val="18"/>
                <w:szCs w:val="18"/>
              </w:rPr>
              <w:t>股东一致行 动承诺</w:t>
            </w: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21"/>
              <w:jc w:val="left"/>
              <w:rPr>
                <w:rFonts w:ascii="宋体" w:hAnsi="宋体" w:cs="宋体" w:eastAsia="宋体" w:hint="default"/>
                <w:sz w:val="18"/>
                <w:szCs w:val="18"/>
              </w:rPr>
            </w:pPr>
            <w:r>
              <w:rPr>
                <w:rFonts w:ascii="宋体" w:hAnsi="宋体" w:cs="宋体" w:eastAsia="宋体" w:hint="default"/>
                <w:spacing w:val="-7"/>
                <w:sz w:val="18"/>
                <w:szCs w:val="18"/>
              </w:rPr>
              <w:t>王中胜、杨世宁和杨新子三人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承诺：就皖通科技的股东大 </w:t>
            </w:r>
            <w:r>
              <w:rPr>
                <w:rFonts w:ascii="宋体" w:hAnsi="宋体" w:cs="宋体" w:eastAsia="宋体" w:hint="default"/>
                <w:spacing w:val="-7"/>
                <w:sz w:val="18"/>
                <w:szCs w:val="18"/>
              </w:rPr>
              <w:t>会、董事会等重要会议的投票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权和相关事宜等，按照一致行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动人协议书约定保持行动一 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6"/>
              <w:ind w:left="23" w:right="0"/>
              <w:jc w:val="left"/>
              <w:rPr>
                <w:rFonts w:ascii="宋体" w:hAnsi="宋体" w:cs="宋体" w:eastAsia="宋体" w:hint="default"/>
                <w:sz w:val="18"/>
                <w:szCs w:val="18"/>
              </w:rPr>
            </w:pPr>
            <w:r>
              <w:rPr>
                <w:rFonts w:ascii="宋体"/>
                <w:sz w:val="18"/>
              </w:rPr>
              <w:t>9999-12-31</w:t>
            </w:r>
          </w:p>
        </w:tc>
        <w:tc>
          <w:tcPr>
            <w:tcW w:w="9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5082" w:hRule="exact"/>
        </w:trPr>
        <w:tc>
          <w:tcPr>
            <w:tcW w:w="2269" w:type="dxa"/>
            <w:vMerge/>
            <w:tcBorders>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4" w:right="84"/>
              <w:jc w:val="both"/>
              <w:rPr>
                <w:rFonts w:ascii="宋体" w:hAnsi="宋体" w:cs="宋体" w:eastAsia="宋体" w:hint="default"/>
                <w:sz w:val="18"/>
                <w:szCs w:val="18"/>
              </w:rPr>
            </w:pPr>
            <w:r>
              <w:rPr>
                <w:rFonts w:ascii="宋体" w:hAnsi="宋体" w:cs="宋体" w:eastAsia="宋体" w:hint="default"/>
                <w:sz w:val="18"/>
                <w:szCs w:val="18"/>
              </w:rPr>
              <w:t>发行人实际控 制人王中胜、 杨世宁、杨新 子</w:t>
            </w: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4" w:right="39"/>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7"/>
                <w:sz w:val="18"/>
                <w:szCs w:val="18"/>
              </w:rPr>
              <w:t>1、本人及本人控制的公司和/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或其他经济组织目前未从事 与皖通科技及其下属子公司 已生产经营或将生产经营的 产品具有同业竞争或潜在同 </w:t>
            </w:r>
            <w:r>
              <w:rPr>
                <w:rFonts w:ascii="宋体" w:hAnsi="宋体" w:cs="宋体" w:eastAsia="宋体" w:hint="default"/>
                <w:spacing w:val="-7"/>
                <w:sz w:val="18"/>
                <w:szCs w:val="18"/>
              </w:rPr>
              <w:t>业竞争的产品的生产经营；2</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本人及本人控制的其他公司 和/或经济组织将来不从事与</w:t>
            </w:r>
            <w:r>
              <w:rPr>
                <w:rFonts w:ascii="宋体" w:hAnsi="宋体" w:cs="宋体" w:eastAsia="宋体" w:hint="default"/>
                <w:sz w:val="18"/>
                <w:szCs w:val="18"/>
              </w:rPr>
              <w:t> 皖通科技及其下属子公司已 生产经营或将来生产经营的 产品具有同业竞争或潜在同 业竞争的产品的生产经营或 </w:t>
            </w:r>
            <w:r>
              <w:rPr>
                <w:rFonts w:ascii="宋体" w:hAnsi="宋体" w:cs="宋体" w:eastAsia="宋体" w:hint="default"/>
                <w:spacing w:val="-7"/>
                <w:sz w:val="18"/>
                <w:szCs w:val="18"/>
              </w:rPr>
              <w:t>投资。本人将采取合法和有效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的措施，保障本人控制的公司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和/或其他经济组织亦不从事</w:t>
            </w:r>
            <w:r>
              <w:rPr>
                <w:rFonts w:ascii="宋体" w:hAnsi="宋体" w:cs="宋体" w:eastAsia="宋体" w:hint="default"/>
                <w:sz w:val="18"/>
                <w:szCs w:val="18"/>
              </w:rPr>
              <w:t> 上述产品的生产经营。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6"/>
              <w:ind w:left="23" w:right="0"/>
              <w:jc w:val="left"/>
              <w:rPr>
                <w:rFonts w:ascii="宋体" w:hAnsi="宋体" w:cs="宋体" w:eastAsia="宋体" w:hint="default"/>
                <w:sz w:val="18"/>
                <w:szCs w:val="18"/>
              </w:rPr>
            </w:pPr>
            <w:r>
              <w:rPr>
                <w:rFonts w:ascii="宋体"/>
                <w:sz w:val="18"/>
              </w:rPr>
              <w:t>9999-12-31</w:t>
            </w:r>
          </w:p>
        </w:tc>
        <w:tc>
          <w:tcPr>
            <w:tcW w:w="9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2"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6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其他对公司中小股东所作承 诺</w:t>
            </w:r>
          </w:p>
        </w:tc>
        <w:tc>
          <w:tcPr>
            <w:tcW w:w="12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1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6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2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如承诺超期未履行完毕的， 应当详细说明未完成履行的 具体原因及下一步的工作计 划</w:t>
            </w:r>
          </w:p>
        </w:tc>
        <w:tc>
          <w:tcPr>
            <w:tcW w:w="7298" w:type="dxa"/>
            <w:gridSpan w:val="6"/>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4"/>
        <w:rPr>
          <w:rFonts w:ascii="宋体" w:hAnsi="宋体" w:cs="宋体" w:eastAsia="宋体" w:hint="default"/>
          <w:sz w:val="19"/>
          <w:szCs w:val="19"/>
        </w:rPr>
      </w:pPr>
    </w:p>
    <w:p>
      <w:pPr>
        <w:pStyle w:val="Heading5"/>
        <w:spacing w:line="273" w:lineRule="auto" w:before="34"/>
        <w:ind w:right="0"/>
        <w:jc w:val="left"/>
        <w:rPr>
          <w:b w:val="0"/>
          <w:bCs w:val="0"/>
        </w:rPr>
      </w:pPr>
      <w:r>
        <w:rPr>
          <w:spacing w:val="3"/>
          <w:w w:val="95"/>
        </w:rPr>
        <w:t>2、公司资产或项目存在盈利预测，且报告期仍处在盈利预测期间，公司就资产或项目达到原盈利预测及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4"/>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37" w:top="1040" w:bottom="1120" w:left="1020" w:right="98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05"/>
        <w:gridCol w:w="1179"/>
        <w:gridCol w:w="1181"/>
        <w:gridCol w:w="1180"/>
        <w:gridCol w:w="1180"/>
        <w:gridCol w:w="1180"/>
        <w:gridCol w:w="1182"/>
        <w:gridCol w:w="1178"/>
      </w:tblGrid>
      <w:tr>
        <w:trPr>
          <w:trHeight w:val="71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7" w:right="106"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5" w:right="42"/>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95" w:right="43"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94" w:right="4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4" w:hRule="exact"/>
        </w:trPr>
        <w:tc>
          <w:tcPr>
            <w:tcW w:w="130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90"/>
              <w:jc w:val="left"/>
              <w:rPr>
                <w:rFonts w:ascii="宋体" w:hAnsi="宋体" w:cs="宋体" w:eastAsia="宋体" w:hint="default"/>
                <w:sz w:val="18"/>
                <w:szCs w:val="18"/>
              </w:rPr>
            </w:pPr>
            <w:r>
              <w:rPr>
                <w:rFonts w:ascii="宋体" w:hAnsi="宋体" w:cs="宋体" w:eastAsia="宋体" w:hint="default"/>
                <w:sz w:val="18"/>
                <w:szCs w:val="18"/>
              </w:rPr>
              <w:t>成都赛英科技 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7" w:right="0"/>
              <w:jc w:val="left"/>
              <w:rPr>
                <w:rFonts w:ascii="宋体" w:hAnsi="宋体" w:cs="宋体" w:eastAsia="宋体" w:hint="default"/>
                <w:sz w:val="18"/>
                <w:szCs w:val="18"/>
              </w:rPr>
            </w:pPr>
            <w:r>
              <w:rPr>
                <w:rFonts w:ascii="宋体"/>
                <w:sz w:val="18"/>
              </w:rPr>
              <w:t>3,150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6" w:right="0"/>
              <w:jc w:val="left"/>
              <w:rPr>
                <w:rFonts w:ascii="宋体" w:hAnsi="宋体" w:cs="宋体" w:eastAsia="宋体" w:hint="default"/>
                <w:sz w:val="18"/>
                <w:szCs w:val="18"/>
              </w:rPr>
            </w:pPr>
            <w:r>
              <w:rPr>
                <w:rFonts w:ascii="宋体"/>
                <w:sz w:val="18"/>
              </w:rPr>
              <w:t>3,421.64</w:t>
            </w:r>
          </w:p>
        </w:tc>
        <w:tc>
          <w:tcPr>
            <w:tcW w:w="11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61"/>
              <w:jc w:val="left"/>
              <w:rPr>
                <w:rFonts w:ascii="宋体" w:hAnsi="宋体" w:cs="宋体" w:eastAsia="宋体" w:hint="default"/>
                <w:sz w:val="18"/>
                <w:szCs w:val="18"/>
              </w:rPr>
            </w:pPr>
            <w:hyperlink r:id="rId17">
              <w:r>
                <w:rPr>
                  <w:rFonts w:ascii="宋体"/>
                  <w:sz w:val="18"/>
                </w:rPr>
                <w:t>www.cninfo.c</w:t>
              </w:r>
            </w:hyperlink>
            <w:r>
              <w:rPr>
                <w:rFonts w:ascii="宋体"/>
                <w:sz w:val="18"/>
              </w:rPr>
              <w:t> om.cn</w:t>
            </w:r>
          </w:p>
        </w:tc>
      </w:tr>
    </w:tbl>
    <w:p>
      <w:pPr>
        <w:spacing w:before="50"/>
        <w:ind w:left="112" w:right="182"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line="360" w:lineRule="auto" w:before="117"/>
        <w:ind w:left="472" w:right="184" w:hanging="360"/>
        <w:jc w:val="left"/>
        <w:rPr>
          <w:rFonts w:ascii="宋体" w:hAnsi="宋体" w:cs="宋体" w:eastAsia="宋体" w:hint="default"/>
          <w:sz w:val="18"/>
          <w:szCs w:val="18"/>
        </w:rPr>
      </w:pPr>
      <w:r>
        <w:rPr>
          <w:rFonts w:ascii="宋体" w:hAnsi="宋体" w:cs="宋体" w:eastAsia="宋体" w:hint="default"/>
          <w:sz w:val="18"/>
          <w:szCs w:val="18"/>
        </w:rPr>
        <w:t>√ 适用 □ 不适用 公司于2017年9月7日召开的第四届董事会第八次会议和2017年9月27日召开的2017年第二次临时股东大会审议通过了发</w:t>
      </w:r>
    </w:p>
    <w:p>
      <w:pPr>
        <w:spacing w:line="222" w:lineRule="exact"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行股份购买资产暨募集配套资金相关事项。根据公司与易增辉、林木顺、张荷花、吴常念、汪学刚、吴义华、林洪钢、唐世</w:t>
      </w:r>
    </w:p>
    <w:p>
      <w:pPr>
        <w:spacing w:line="316" w:lineRule="auto" w:before="76"/>
        <w:ind w:left="112" w:right="182" w:firstLine="0"/>
        <w:jc w:val="left"/>
        <w:rPr>
          <w:rFonts w:ascii="宋体" w:hAnsi="宋体" w:cs="宋体" w:eastAsia="宋体" w:hint="default"/>
          <w:sz w:val="18"/>
          <w:szCs w:val="18"/>
        </w:rPr>
      </w:pPr>
      <w:r>
        <w:rPr>
          <w:rFonts w:ascii="宋体" w:hAnsi="宋体" w:cs="宋体" w:eastAsia="宋体" w:hint="default"/>
          <w:spacing w:val="-2"/>
          <w:sz w:val="18"/>
          <w:szCs w:val="18"/>
        </w:rPr>
        <w:t>容、姚宗诚、陈乐桥、邹林、周云（以下简称“交易对方”）签订的《发行股份购买资产协议》，公司以非公开发行股份的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方式购买交易对方持有的赛英科技100%股权，交易价格为43,000.00万元。</w:t>
      </w:r>
    </w:p>
    <w:p>
      <w:pPr>
        <w:spacing w:line="316" w:lineRule="auto" w:before="19"/>
        <w:ind w:left="112" w:right="94" w:firstLine="360"/>
        <w:jc w:val="left"/>
        <w:rPr>
          <w:rFonts w:ascii="宋体" w:hAnsi="宋体" w:cs="宋体" w:eastAsia="宋体" w:hint="default"/>
          <w:sz w:val="18"/>
          <w:szCs w:val="18"/>
        </w:rPr>
      </w:pPr>
      <w:r>
        <w:rPr>
          <w:rFonts w:ascii="宋体" w:hAnsi="宋体" w:cs="宋体" w:eastAsia="宋体" w:hint="default"/>
          <w:spacing w:val="-5"/>
          <w:sz w:val="18"/>
          <w:szCs w:val="18"/>
        </w:rPr>
        <w:t>根据公司与易增辉、汪学刚、吴义华、林洪钢、唐世容、姚宗诚、陈乐桥、邹林、周云等9人（以下简称“补偿义务人”）</w:t>
      </w:r>
      <w:r>
        <w:rPr>
          <w:rFonts w:ascii="宋体" w:hAnsi="宋体" w:cs="宋体" w:eastAsia="宋体" w:hint="default"/>
          <w:sz w:val="18"/>
          <w:szCs w:val="18"/>
        </w:rPr>
        <w:t> 签署的《关于成都赛英科技有限公司之标的资产业绩承诺补偿协议》，补偿义务人预计赛英科技在2017年、2018年和2019 年实现的净利润数不低于3,150万元、3,700万元、4,350万元，补偿期实现的净利润数合计不低于11,200万元；鉴于此，补 偿义务人承诺赛英科技在2017年实现的净利润数不低于3,150万元，2017年、2018年累积实现的净利润数不低于6,850万元， </w:t>
      </w:r>
      <w:r>
        <w:rPr>
          <w:rFonts w:ascii="宋体" w:hAnsi="宋体" w:cs="宋体" w:eastAsia="宋体" w:hint="default"/>
          <w:spacing w:val="-2"/>
          <w:sz w:val="18"/>
          <w:szCs w:val="18"/>
        </w:rPr>
        <w:t>2017年、2018年和2019年累积实现的净利润数不低于11,200万元。2017年度至2018年度，若某一年度赛英科技截至当期期末</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累积实现净利润低于累积承诺净利润但不低于累积承诺净利润的90%，则当年补偿义务人无需向上市公司补偿，应补偿金额</w:t>
      </w:r>
      <w:r>
        <w:rPr>
          <w:rFonts w:ascii="宋体" w:hAnsi="宋体" w:cs="宋体" w:eastAsia="宋体" w:hint="default"/>
          <w:sz w:val="18"/>
          <w:szCs w:val="18"/>
        </w:rPr>
        <w:t> </w:t>
      </w:r>
      <w:r>
        <w:rPr>
          <w:rFonts w:ascii="宋体" w:hAnsi="宋体" w:cs="宋体" w:eastAsia="宋体" w:hint="default"/>
          <w:spacing w:val="-2"/>
          <w:sz w:val="18"/>
          <w:szCs w:val="18"/>
        </w:rPr>
        <w:t>累积至下一需要补偿的年度计算。补偿期届满时，若赛英科技各年度实现的累积实现净利润数低于补偿义务人承诺的累积净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利润承诺数的，则补偿义务人向上市公司进行补偿；若赛英科技各年度累积实现净利润数大于或等于补偿义务人承诺的累积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净利润承诺数的，则补偿义务人无需向上市公司进行补偿。补偿义务人应优先采用股份补偿，不足部分采用现金补偿。</w:t>
      </w:r>
    </w:p>
    <w:p>
      <w:pPr>
        <w:spacing w:line="316" w:lineRule="auto" w:before="19"/>
        <w:ind w:left="112" w:right="184" w:firstLine="360"/>
        <w:jc w:val="left"/>
        <w:rPr>
          <w:rFonts w:ascii="宋体" w:hAnsi="宋体" w:cs="宋体" w:eastAsia="宋体" w:hint="default"/>
          <w:sz w:val="18"/>
          <w:szCs w:val="18"/>
        </w:rPr>
      </w:pPr>
      <w:r>
        <w:rPr>
          <w:rFonts w:ascii="宋体" w:hAnsi="宋体" w:cs="宋体" w:eastAsia="宋体" w:hint="default"/>
          <w:sz w:val="18"/>
          <w:szCs w:val="18"/>
        </w:rPr>
        <w:t>根据大华会计师事务所（特殊普通合伙）2018年4月16日出具的大华核字【2018】002422号《成都赛英科技有限公司资 产重组业绩承诺实现情况说明的审核报告》，赛英科技2017年度实际实现的业绩已达到业绩承诺。</w:t>
      </w:r>
    </w:p>
    <w:p>
      <w:pPr>
        <w:spacing w:line="240" w:lineRule="auto" w:before="9"/>
        <w:rPr>
          <w:rFonts w:ascii="宋体" w:hAnsi="宋体" w:cs="宋体" w:eastAsia="宋体" w:hint="default"/>
          <w:sz w:val="20"/>
          <w:szCs w:val="20"/>
        </w:rPr>
      </w:pPr>
    </w:p>
    <w:p>
      <w:pPr>
        <w:pStyle w:val="Heading4"/>
        <w:spacing w:line="240" w:lineRule="auto"/>
        <w:ind w:right="182"/>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40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7"/>
        <w:rPr>
          <w:rFonts w:ascii="宋体" w:hAnsi="宋体" w:cs="宋体" w:eastAsia="宋体" w:hint="default"/>
          <w:sz w:val="20"/>
          <w:szCs w:val="20"/>
        </w:rPr>
      </w:pPr>
    </w:p>
    <w:p>
      <w:pPr>
        <w:pStyle w:val="Heading4"/>
        <w:spacing w:line="312" w:lineRule="exact"/>
        <w:ind w:right="0"/>
        <w:jc w:val="left"/>
        <w:rPr>
          <w:b w:val="0"/>
          <w:bCs w:val="0"/>
        </w:rPr>
      </w:pPr>
      <w:r>
        <w:rPr/>
        <w:t>五、董事会、监事会、独立董事（如有）对会计师事务所本报告期“非标准审计报告”的说</w:t>
      </w:r>
      <w:r>
        <w:rPr>
          <w:spacing w:val="-97"/>
        </w:rPr>
        <w:t> </w:t>
      </w:r>
      <w:r>
        <w:rPr>
          <w:spacing w:val="-97"/>
        </w:rPr>
      </w:r>
      <w:r>
        <w:rPr/>
        <w:t>明</w:t>
      </w:r>
      <w:r>
        <w:rPr>
          <w:b w:val="0"/>
          <w:bCs w:val="0"/>
        </w:rPr>
      </w:r>
    </w:p>
    <w:p>
      <w:pPr>
        <w:spacing w:line="240" w:lineRule="auto" w:before="6"/>
        <w:rPr>
          <w:rFonts w:ascii="宋体" w:hAnsi="宋体" w:cs="宋体" w:eastAsia="宋体" w:hint="default"/>
          <w:b/>
          <w:bCs/>
          <w:sz w:val="24"/>
          <w:szCs w:val="24"/>
        </w:rPr>
      </w:pPr>
    </w:p>
    <w:p>
      <w:pPr>
        <w:spacing w:before="0"/>
        <w:ind w:left="112" w:right="18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182"/>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12" w:right="18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Heading5"/>
        <w:spacing w:line="240" w:lineRule="auto" w:before="89"/>
        <w:ind w:left="535" w:right="182"/>
        <w:jc w:val="left"/>
        <w:rPr>
          <w:b w:val="0"/>
          <w:bCs w:val="0"/>
        </w:rPr>
      </w:pPr>
      <w:r>
        <w:rPr/>
        <w:t>1.会计政策变更</w:t>
      </w:r>
      <w:r>
        <w:rPr>
          <w:b w:val="0"/>
          <w:bCs w:val="0"/>
        </w:rPr>
      </w:r>
    </w:p>
    <w:p>
      <w:pPr>
        <w:pStyle w:val="BodyText"/>
        <w:spacing w:line="273" w:lineRule="auto" w:before="37"/>
        <w:ind w:right="182" w:firstLine="420"/>
        <w:jc w:val="left"/>
      </w:pPr>
      <w:r>
        <w:rPr>
          <w:spacing w:val="-5"/>
        </w:rPr>
        <w:t>1）2017年5月10日，财政部公布了修订后的《企业会计准则第16号——政府补助》，该准则修订自2017</w:t>
      </w:r>
      <w:r>
        <w:rPr>
          <w:w w:val="99"/>
        </w:rPr>
        <w:t> </w:t>
      </w:r>
      <w:r>
        <w:rPr/>
        <w:t>年6月12日起施行，同时要求企业对2017年1月1日存在的政府补助采用未来适用法处理，对2017年1月1日</w:t>
      </w:r>
      <w:r>
        <w:rPr>
          <w:w w:val="99"/>
        </w:rPr>
        <w:t> </w:t>
      </w:r>
      <w:r>
        <w:rPr/>
        <w:t>至该准则施行日之间新增的政府补助根据修订后的准则进行调整。</w:t>
      </w:r>
    </w:p>
    <w:p>
      <w:pPr>
        <w:pStyle w:val="BodyText"/>
        <w:spacing w:line="273" w:lineRule="auto"/>
        <w:ind w:right="182" w:firstLine="420"/>
        <w:jc w:val="left"/>
      </w:pPr>
      <w:r>
        <w:rPr>
          <w:w w:val="95"/>
        </w:rPr>
        <w:t>本公司自2017年6月12日开始采用该修订后的准则，上述会计政策变化的主要内容为：2017年将与企</w:t>
      </w:r>
      <w:r>
        <w:rPr>
          <w:spacing w:val="-85"/>
          <w:w w:val="95"/>
        </w:rPr>
        <w:t> </w:t>
      </w:r>
      <w:r>
        <w:rPr>
          <w:spacing w:val="-85"/>
          <w:w w:val="95"/>
        </w:rPr>
      </w:r>
      <w:r>
        <w:rPr/>
        <w:t>业日常活动有关的政府补助26,306,853.76元计入了“其他收益”。</w:t>
      </w:r>
    </w:p>
    <w:p>
      <w:pPr>
        <w:pStyle w:val="BodyText"/>
        <w:spacing w:line="273" w:lineRule="auto"/>
        <w:ind w:right="182" w:firstLine="420"/>
        <w:jc w:val="left"/>
      </w:pPr>
      <w:r>
        <w:rPr>
          <w:w w:val="95"/>
        </w:rPr>
        <w:t>2）2017年4月28日，财政部发布了《企业会计准则第42号——持有待售的非流动资产、处置组和终止</w:t>
      </w:r>
      <w:r>
        <w:rPr>
          <w:w w:val="99"/>
        </w:rPr>
        <w:t> </w:t>
      </w:r>
      <w:r>
        <w:rPr/>
        <w:t>经营》，该准则自2017年5月28日起施行。本公司根据该准则及财政部《关于修订印发一般企业财务报表</w:t>
      </w:r>
    </w:p>
    <w:p>
      <w:pPr>
        <w:spacing w:after="0" w:line="273" w:lineRule="auto"/>
        <w:jc w:val="left"/>
        <w:sectPr>
          <w:pgSz w:w="11910" w:h="16840"/>
          <w:pgMar w:header="746" w:footer="937" w:top="1040" w:bottom="1120" w:left="1020" w:right="940"/>
        </w:sectPr>
      </w:pPr>
    </w:p>
    <w:p>
      <w:pPr>
        <w:spacing w:line="240" w:lineRule="auto" w:before="6"/>
        <w:rPr>
          <w:rFonts w:ascii="宋体" w:hAnsi="宋体" w:cs="宋体" w:eastAsia="宋体" w:hint="default"/>
          <w:sz w:val="25"/>
          <w:szCs w:val="25"/>
        </w:rPr>
      </w:pPr>
    </w:p>
    <w:p>
      <w:pPr>
        <w:pStyle w:val="BodyText"/>
        <w:spacing w:line="273" w:lineRule="auto" w:before="34"/>
        <w:ind w:right="112"/>
        <w:jc w:val="both"/>
      </w:pPr>
      <w:r>
        <w:rPr>
          <w:w w:val="95"/>
        </w:rPr>
        <w:t>格式的通知》（财会〔2017〕30号的规定，在利润表中新增了“资产处置收益”项目，并对净利润按经营</w:t>
      </w:r>
      <w:r>
        <w:rPr>
          <w:spacing w:val="36"/>
          <w:w w:val="95"/>
        </w:rPr>
        <w:t> </w:t>
      </w:r>
      <w:r>
        <w:rPr>
          <w:spacing w:val="36"/>
          <w:w w:val="95"/>
        </w:rPr>
      </w:r>
      <w:r>
        <w:rPr>
          <w:w w:val="95"/>
        </w:rPr>
        <w:t>持续性进行分类列报。本公司按照《企业会计准则第30号——财务报表列报》等的相关规定，对可比期间</w:t>
      </w:r>
      <w:r>
        <w:rPr>
          <w:spacing w:val="41"/>
          <w:w w:val="95"/>
        </w:rPr>
        <w:t> </w:t>
      </w:r>
      <w:r>
        <w:rPr>
          <w:spacing w:val="41"/>
          <w:w w:val="95"/>
        </w:rPr>
      </w:r>
      <w:r>
        <w:rPr/>
        <w:t>的比较数据进行调整，该会计政策变更追溯调整影响如下：</w:t>
      </w:r>
    </w:p>
    <w:tbl>
      <w:tblPr>
        <w:tblW w:w="0" w:type="auto"/>
        <w:jc w:val="left"/>
        <w:tblInd w:w="119" w:type="dxa"/>
        <w:tblLayout w:type="fixed"/>
        <w:tblCellMar>
          <w:top w:w="0" w:type="dxa"/>
          <w:left w:w="0" w:type="dxa"/>
          <w:bottom w:w="0" w:type="dxa"/>
          <w:right w:w="0" w:type="dxa"/>
        </w:tblCellMar>
        <w:tblLook w:val="01E0"/>
      </w:tblPr>
      <w:tblGrid>
        <w:gridCol w:w="4129"/>
        <w:gridCol w:w="2717"/>
        <w:gridCol w:w="2745"/>
      </w:tblGrid>
      <w:tr>
        <w:trPr>
          <w:trHeight w:val="347" w:hRule="exact"/>
        </w:trPr>
        <w:tc>
          <w:tcPr>
            <w:tcW w:w="4129"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54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2016年度</w:t>
            </w:r>
          </w:p>
        </w:tc>
      </w:tr>
      <w:tr>
        <w:trPr>
          <w:trHeight w:val="347" w:hRule="exact"/>
        </w:trPr>
        <w:tc>
          <w:tcPr>
            <w:tcW w:w="4129" w:type="dxa"/>
            <w:vMerge/>
            <w:tcBorders>
              <w:left w:val="single" w:sz="6" w:space="0" w:color="000000"/>
              <w:bottom w:val="single" w:sz="6" w:space="0" w:color="000000"/>
              <w:right w:val="single" w:sz="6" w:space="0" w:color="000000"/>
            </w:tcBorders>
          </w:tcPr>
          <w:p>
            <w:pPr/>
          </w:p>
        </w:tc>
        <w:tc>
          <w:tcPr>
            <w:tcW w:w="2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21" w:right="0"/>
              <w:jc w:val="left"/>
              <w:rPr>
                <w:rFonts w:ascii="宋体" w:hAnsi="宋体" w:cs="宋体" w:eastAsia="宋体" w:hint="default"/>
                <w:sz w:val="18"/>
                <w:szCs w:val="18"/>
              </w:rPr>
            </w:pPr>
            <w:r>
              <w:rPr>
                <w:rFonts w:ascii="宋体" w:hAnsi="宋体" w:cs="宋体" w:eastAsia="宋体" w:hint="default"/>
                <w:sz w:val="18"/>
                <w:szCs w:val="18"/>
              </w:rPr>
              <w:t>追溯调整前(元)</w:t>
            </w:r>
          </w:p>
        </w:tc>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44" w:right="0"/>
              <w:jc w:val="left"/>
              <w:rPr>
                <w:rFonts w:ascii="宋体" w:hAnsi="宋体" w:cs="宋体" w:eastAsia="宋体" w:hint="default"/>
                <w:sz w:val="18"/>
                <w:szCs w:val="18"/>
              </w:rPr>
            </w:pPr>
            <w:r>
              <w:rPr>
                <w:rFonts w:ascii="宋体" w:hAnsi="宋体" w:cs="宋体" w:eastAsia="宋体" w:hint="default"/>
                <w:sz w:val="18"/>
                <w:szCs w:val="18"/>
              </w:rPr>
              <w:t>追溯调整后（元）</w:t>
            </w:r>
          </w:p>
        </w:tc>
      </w:tr>
      <w:tr>
        <w:trPr>
          <w:trHeight w:val="347" w:hRule="exact"/>
        </w:trPr>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资产处置收益</w:t>
            </w:r>
          </w:p>
        </w:tc>
        <w:tc>
          <w:tcPr>
            <w:tcW w:w="2717" w:type="dxa"/>
            <w:tcBorders>
              <w:top w:val="single" w:sz="6" w:space="0" w:color="000000"/>
              <w:left w:val="single" w:sz="6" w:space="0" w:color="000000"/>
              <w:bottom w:val="single" w:sz="6" w:space="0" w:color="000000"/>
              <w:right w:val="single" w:sz="6" w:space="0" w:color="000000"/>
            </w:tcBorders>
          </w:tcPr>
          <w:p>
            <w:pPr/>
          </w:p>
        </w:tc>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36" w:right="0"/>
              <w:jc w:val="left"/>
              <w:rPr>
                <w:rFonts w:ascii="宋体" w:hAnsi="宋体" w:cs="宋体" w:eastAsia="宋体" w:hint="default"/>
                <w:sz w:val="18"/>
                <w:szCs w:val="18"/>
              </w:rPr>
            </w:pPr>
            <w:r>
              <w:rPr>
                <w:rFonts w:ascii="宋体"/>
                <w:sz w:val="18"/>
              </w:rPr>
              <w:t>-288,879.29</w:t>
            </w:r>
          </w:p>
        </w:tc>
      </w:tr>
      <w:tr>
        <w:trPr>
          <w:trHeight w:val="347" w:hRule="exact"/>
        </w:trPr>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2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10" w:right="0"/>
              <w:jc w:val="left"/>
              <w:rPr>
                <w:rFonts w:ascii="宋体" w:hAnsi="宋体" w:cs="宋体" w:eastAsia="宋体" w:hint="default"/>
                <w:sz w:val="18"/>
                <w:szCs w:val="18"/>
              </w:rPr>
            </w:pPr>
            <w:r>
              <w:rPr>
                <w:rFonts w:ascii="宋体"/>
                <w:sz w:val="18"/>
              </w:rPr>
              <w:t>-288,879.29</w:t>
            </w:r>
          </w:p>
        </w:tc>
        <w:tc>
          <w:tcPr>
            <w:tcW w:w="274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9"/>
          <w:szCs w:val="9"/>
        </w:rPr>
      </w:pPr>
    </w:p>
    <w:p>
      <w:pPr>
        <w:spacing w:line="273" w:lineRule="auto" w:before="34"/>
        <w:ind w:left="532" w:right="5774" w:firstLine="2"/>
        <w:jc w:val="left"/>
        <w:rPr>
          <w:rFonts w:ascii="宋体" w:hAnsi="宋体" w:cs="宋体" w:eastAsia="宋体" w:hint="default"/>
          <w:sz w:val="21"/>
          <w:szCs w:val="21"/>
        </w:rPr>
      </w:pPr>
      <w:r>
        <w:rPr>
          <w:rFonts w:ascii="宋体" w:hAnsi="宋体" w:cs="宋体" w:eastAsia="宋体" w:hint="default"/>
          <w:b/>
          <w:bCs/>
          <w:sz w:val="21"/>
          <w:szCs w:val="21"/>
        </w:rPr>
        <w:t>2.会计估计变更</w:t>
      </w:r>
      <w:r>
        <w:rPr>
          <w:rFonts w:ascii="宋体" w:hAnsi="宋体" w:cs="宋体" w:eastAsia="宋体" w:hint="default"/>
          <w:b/>
          <w:bCs/>
          <w:w w:val="99"/>
          <w:sz w:val="21"/>
          <w:szCs w:val="21"/>
        </w:rPr>
        <w:t> </w:t>
      </w:r>
      <w:r>
        <w:rPr>
          <w:rFonts w:ascii="宋体" w:hAnsi="宋体" w:cs="宋体" w:eastAsia="宋体" w:hint="default"/>
          <w:w w:val="95"/>
          <w:sz w:val="21"/>
          <w:szCs w:val="21"/>
        </w:rPr>
        <w:t>本报告期主要会计估计未发生变更。</w:t>
      </w:r>
      <w:r>
        <w:rPr>
          <w:rFonts w:ascii="宋体" w:hAnsi="宋体" w:cs="宋体" w:eastAsia="宋体" w:hint="default"/>
          <w:sz w:val="21"/>
          <w:szCs w:val="21"/>
        </w:rPr>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55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line="240" w:lineRule="auto" w:before="4"/>
        <w:rPr>
          <w:rFonts w:ascii="宋体" w:hAnsi="宋体" w:cs="宋体" w:eastAsia="宋体" w:hint="default"/>
          <w:sz w:val="18"/>
          <w:szCs w:val="18"/>
        </w:rPr>
      </w:pPr>
    </w:p>
    <w:p>
      <w:pPr>
        <w:pStyle w:val="Heading4"/>
        <w:spacing w:line="240" w:lineRule="auto"/>
        <w:ind w:right="0"/>
        <w:jc w:val="left"/>
        <w:rPr>
          <w:b w:val="0"/>
          <w:bCs w:val="0"/>
        </w:rPr>
      </w:pP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15"/>
          <w:szCs w:val="15"/>
        </w:rPr>
      </w:pPr>
    </w:p>
    <w:p>
      <w:pPr>
        <w:pStyle w:val="BodyText"/>
        <w:spacing w:line="273" w:lineRule="auto" w:before="0"/>
        <w:ind w:right="0" w:firstLine="420"/>
        <w:jc w:val="left"/>
      </w:pPr>
      <w:r>
        <w:rPr/>
        <w:t>本期纳入合并财务报表范围的主体较上期相比，增加4户，减少0户，其中：</w:t>
      </w:r>
      <w:r>
        <w:rPr>
          <w:w w:val="99"/>
        </w:rPr>
        <w:t> </w:t>
      </w:r>
      <w:r>
        <w:rPr>
          <w:w w:val="95"/>
        </w:rPr>
        <w:t>本期新纳入合并范围的子公司、特殊目的主体、通过受托经营或承租等方式形成控制权的经营实体</w:t>
      </w:r>
      <w:r>
        <w:rPr/>
      </w:r>
    </w:p>
    <w:tbl>
      <w:tblPr>
        <w:tblW w:w="0" w:type="auto"/>
        <w:jc w:val="left"/>
        <w:tblInd w:w="106" w:type="dxa"/>
        <w:tblLayout w:type="fixed"/>
        <w:tblCellMar>
          <w:top w:w="0" w:type="dxa"/>
          <w:left w:w="0" w:type="dxa"/>
          <w:bottom w:w="0" w:type="dxa"/>
          <w:right w:w="0" w:type="dxa"/>
        </w:tblCellMar>
        <w:tblLook w:val="01E0"/>
      </w:tblPr>
      <w:tblGrid>
        <w:gridCol w:w="4804"/>
        <w:gridCol w:w="4785"/>
      </w:tblGrid>
      <w:tr>
        <w:trPr>
          <w:trHeight w:val="347" w:hRule="exact"/>
        </w:trPr>
        <w:tc>
          <w:tcPr>
            <w:tcW w:w="4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4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上海舶云供应链管理有限公司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4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浙江自贸区舶云智慧物流有限公司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4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安徽光大保险代理有限责任公司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购并</w:t>
            </w:r>
          </w:p>
        </w:tc>
      </w:tr>
      <w:tr>
        <w:trPr>
          <w:trHeight w:val="347" w:hRule="exact"/>
        </w:trPr>
        <w:tc>
          <w:tcPr>
            <w:tcW w:w="4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上海亲益保网络科技有限公司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购并</w:t>
            </w:r>
          </w:p>
        </w:tc>
      </w:tr>
    </w:tbl>
    <w:p>
      <w:pPr>
        <w:spacing w:line="240" w:lineRule="auto" w:before="10"/>
        <w:rPr>
          <w:rFonts w:ascii="宋体" w:hAnsi="宋体" w:cs="宋体" w:eastAsia="宋体" w:hint="default"/>
          <w:sz w:val="19"/>
          <w:szCs w:val="19"/>
        </w:rPr>
      </w:pPr>
    </w:p>
    <w:p>
      <w:pPr>
        <w:pStyle w:val="Heading4"/>
        <w:spacing w:line="240" w:lineRule="auto" w:before="26"/>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sz w:val="18"/>
              </w:rPr>
              <w:t>56</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sz w:val="18"/>
              </w:rPr>
              <w:t>7</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吕勇军、王原</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sz w:val="18"/>
              </w:rPr>
              <w:t>3</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sz w:val="18"/>
              </w:rPr>
              <w:t>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9"/>
        <w:rPr>
          <w:rFonts w:ascii="宋体" w:hAnsi="宋体" w:cs="宋体" w:eastAsia="宋体" w:hint="default"/>
          <w:sz w:val="26"/>
          <w:szCs w:val="2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60" w:lineRule="auto" w:before="115"/>
        <w:ind w:left="112" w:right="5274"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67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6714"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本报告期公司无重大诉讼、仲裁事项。</w:t>
      </w:r>
    </w:p>
    <w:p>
      <w:pPr>
        <w:spacing w:line="240" w:lineRule="auto" w:before="4"/>
        <w:rPr>
          <w:rFonts w:ascii="宋体" w:hAnsi="宋体" w:cs="宋体" w:eastAsia="宋体" w:hint="default"/>
          <w:sz w:val="18"/>
          <w:szCs w:val="18"/>
        </w:rPr>
      </w:pPr>
    </w:p>
    <w:p>
      <w:pPr>
        <w:pStyle w:val="Heading4"/>
        <w:spacing w:line="240" w:lineRule="auto"/>
        <w:ind w:right="0"/>
        <w:jc w:val="left"/>
        <w:rPr>
          <w:b w:val="0"/>
          <w:bCs w:val="0"/>
        </w:rPr>
      </w:pPr>
      <w:r>
        <w:rPr/>
        <w:t>十三、处罚及整改情况</w:t>
      </w:r>
      <w:r>
        <w:rPr>
          <w:b w:val="0"/>
          <w:bCs w:val="0"/>
        </w:rPr>
      </w:r>
    </w:p>
    <w:p>
      <w:pPr>
        <w:spacing w:line="240" w:lineRule="auto" w:before="9"/>
        <w:rPr>
          <w:rFonts w:ascii="宋体" w:hAnsi="宋体" w:cs="宋体" w:eastAsia="宋体" w:hint="default"/>
          <w:b/>
          <w:bCs/>
          <w:sz w:val="26"/>
          <w:szCs w:val="26"/>
        </w:rPr>
      </w:pPr>
    </w:p>
    <w:p>
      <w:pPr>
        <w:spacing w:line="360" w:lineRule="auto" w:before="0"/>
        <w:ind w:left="112" w:right="68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公司报告期不存在处罚及整改情况。</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89"/>
        <w:ind w:right="0" w:firstLine="360"/>
        <w:jc w:val="left"/>
      </w:pPr>
      <w:r>
        <w:rPr/>
        <w:t>公司于2016年9月21日召开的第三届董事会第二十七次会议和2016年10月13日召开的公司2016年第一</w:t>
      </w:r>
      <w:r>
        <w:rPr>
          <w:w w:val="99"/>
        </w:rPr>
        <w:t> </w:t>
      </w:r>
      <w:r>
        <w:rPr>
          <w:w w:val="95"/>
        </w:rPr>
        <w:t>次临时股东大会审议通过了《安徽皖通科技股份有限公司第一期员工持股计划（草案）及摘要》，同意实</w:t>
      </w:r>
      <w:r>
        <w:rPr>
          <w:spacing w:val="36"/>
          <w:w w:val="95"/>
        </w:rPr>
        <w:t> </w:t>
      </w:r>
      <w:r>
        <w:rPr>
          <w:spacing w:val="36"/>
          <w:w w:val="95"/>
        </w:rPr>
      </w:r>
      <w:r>
        <w:rPr>
          <w:w w:val="95"/>
        </w:rPr>
        <w:t>施公司第一期员工持股计划。本次员工持股计划的参与人员范围为公司董事、监事、高级管理人员、公司</w:t>
      </w:r>
      <w:r>
        <w:rPr>
          <w:spacing w:val="38"/>
          <w:w w:val="95"/>
        </w:rPr>
        <w:t> </w:t>
      </w:r>
      <w:r>
        <w:rPr>
          <w:spacing w:val="38"/>
          <w:w w:val="95"/>
        </w:rPr>
      </w:r>
      <w:r>
        <w:rPr/>
        <w:t>及下属子公司核心业务骨干，参与员工总人数不超过310人；资金来源为参加对象合法薪酬、自筹资金和</w:t>
      </w:r>
      <w:r>
        <w:rPr>
          <w:w w:val="99"/>
        </w:rPr>
        <w:t> </w:t>
      </w:r>
      <w:r>
        <w:rPr/>
        <w:t>法律、行政法规允许的其他方式，筹集资金总额上限为7,500万元。</w:t>
      </w:r>
    </w:p>
    <w:p>
      <w:pPr>
        <w:pStyle w:val="BodyText"/>
        <w:spacing w:line="273" w:lineRule="auto" w:before="48"/>
        <w:ind w:right="0" w:firstLine="360"/>
        <w:jc w:val="left"/>
      </w:pPr>
      <w:r>
        <w:rPr>
          <w:w w:val="95"/>
        </w:rPr>
        <w:t>截至2016年11月11日，公司第一期员工持股计划通过东兴金海27号定向资产管理计划从二级市场共计</w:t>
      </w:r>
      <w:r>
        <w:rPr>
          <w:spacing w:val="-22"/>
          <w:w w:val="95"/>
        </w:rPr>
        <w:t> </w:t>
      </w:r>
      <w:r>
        <w:rPr>
          <w:spacing w:val="-22"/>
          <w:w w:val="95"/>
        </w:rPr>
      </w:r>
      <w:r>
        <w:rPr/>
        <w:t>买入公司股票4,616,241股，成交金额为73,268,458元，成交均价为15.87元/股，已完成本次员工持股计</w:t>
      </w:r>
      <w:r>
        <w:rPr>
          <w:w w:val="99"/>
        </w:rPr>
        <w:t> </w:t>
      </w:r>
      <w:r>
        <w:rPr/>
        <w:t>划股票购买。截至本报告期末，公司第一期员工持股计划持有公司股票4,616,241股，占公司总股本</w:t>
      </w:r>
      <w:r>
        <w:rPr>
          <w:w w:val="99"/>
        </w:rPr>
        <w:t> </w:t>
      </w:r>
      <w:r>
        <w:rPr/>
        <w:t>350,327,055股的1.32%。</w:t>
      </w:r>
    </w:p>
    <w:p>
      <w:pPr>
        <w:pStyle w:val="BodyText"/>
        <w:spacing w:line="273" w:lineRule="auto" w:before="48"/>
        <w:ind w:right="0" w:firstLine="360"/>
        <w:jc w:val="left"/>
      </w:pPr>
      <w:r>
        <w:rPr>
          <w:w w:val="95"/>
        </w:rPr>
        <w:t>截至本报告期末，本次员工持股计划购买的股票锁定期已届满，后续公司将根据员工持股计划管理委</w:t>
      </w:r>
      <w:r>
        <w:rPr>
          <w:spacing w:val="-22"/>
          <w:w w:val="95"/>
        </w:rPr>
        <w:t> </w:t>
      </w:r>
      <w:r>
        <w:rPr>
          <w:spacing w:val="-22"/>
          <w:w w:val="95"/>
        </w:rPr>
      </w:r>
      <w:r>
        <w:rPr/>
        <w:t>员会的意见及届时市场的情况决定是否卖出股票，并及时履行信息披露义务。</w:t>
      </w:r>
    </w:p>
    <w:p>
      <w:pPr>
        <w:spacing w:line="240" w:lineRule="auto" w:before="10"/>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5123"/>
        <w:gridCol w:w="1980"/>
        <w:gridCol w:w="2565"/>
      </w:tblGrid>
      <w:tr>
        <w:trPr>
          <w:trHeight w:val="345" w:hRule="exact"/>
        </w:trPr>
        <w:tc>
          <w:tcPr>
            <w:tcW w:w="51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重要事项概述</w:t>
            </w:r>
          </w:p>
        </w:tc>
        <w:tc>
          <w:tcPr>
            <w:tcW w:w="19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5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980"/>
        </w:sectPr>
      </w:pPr>
    </w:p>
    <w:p>
      <w:pPr>
        <w:spacing w:line="240" w:lineRule="auto" w:before="2"/>
        <w:rPr>
          <w:rFonts w:ascii="宋体" w:hAnsi="宋体" w:cs="宋体" w:eastAsia="宋体"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5123"/>
        <w:gridCol w:w="1980"/>
        <w:gridCol w:w="2565"/>
      </w:tblGrid>
      <w:tr>
        <w:trPr>
          <w:trHeight w:val="347"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《安徽皖通科技股份有限公司第一期员工持股计划（草案）》</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41"/>
              <w:jc w:val="right"/>
              <w:rPr>
                <w:rFonts w:ascii="宋体" w:hAnsi="宋体" w:cs="宋体" w:eastAsia="宋体" w:hint="default"/>
                <w:sz w:val="18"/>
                <w:szCs w:val="18"/>
              </w:rPr>
            </w:pPr>
            <w:r>
              <w:rPr>
                <w:rFonts w:ascii="宋体" w:hAnsi="宋体" w:cs="宋体" w:eastAsia="宋体" w:hint="default"/>
                <w:spacing w:val="-1"/>
                <w:sz w:val="18"/>
                <w:szCs w:val="18"/>
              </w:rPr>
              <w:t>2016年09月22日</w:t>
            </w:r>
          </w:p>
        </w:tc>
        <w:tc>
          <w:tcPr>
            <w:tcW w:w="2565"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21"/>
              <w:ind w:left="66" w:right="0"/>
              <w:jc w:val="center"/>
              <w:rPr>
                <w:rFonts w:ascii="宋体" w:hAnsi="宋体" w:cs="宋体" w:eastAsia="宋体" w:hint="default"/>
                <w:sz w:val="18"/>
                <w:szCs w:val="18"/>
              </w:rPr>
            </w:pPr>
            <w:r>
              <w:rPr>
                <w:rFonts w:ascii="宋体"/>
                <w:sz w:val="18"/>
              </w:rPr>
              <w:t>http:/</w:t>
            </w:r>
            <w:hyperlink r:id="rId12">
              <w:r>
                <w:rPr>
                  <w:rFonts w:ascii="宋体"/>
                  <w:sz w:val="18"/>
                </w:rPr>
                <w:t>www.cninfo.com.cn</w:t>
              </w:r>
            </w:hyperlink>
          </w:p>
        </w:tc>
      </w:tr>
      <w:tr>
        <w:trPr>
          <w:trHeight w:val="347"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《安徽皖通科技股份有限公司第一期员工持股计划方案》</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41"/>
              <w:jc w:val="right"/>
              <w:rPr>
                <w:rFonts w:ascii="宋体" w:hAnsi="宋体" w:cs="宋体" w:eastAsia="宋体" w:hint="default"/>
                <w:sz w:val="18"/>
                <w:szCs w:val="18"/>
              </w:rPr>
            </w:pPr>
            <w:r>
              <w:rPr>
                <w:rFonts w:ascii="宋体" w:hAnsi="宋体" w:cs="宋体" w:eastAsia="宋体" w:hint="default"/>
                <w:spacing w:val="-1"/>
                <w:sz w:val="18"/>
                <w:szCs w:val="18"/>
              </w:rPr>
              <w:t>2016年10月14日</w:t>
            </w:r>
          </w:p>
        </w:tc>
        <w:tc>
          <w:tcPr>
            <w:tcW w:w="2565"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22"/>
              <w:ind w:left="66" w:right="0"/>
              <w:jc w:val="center"/>
              <w:rPr>
                <w:rFonts w:ascii="宋体" w:hAnsi="宋体" w:cs="宋体" w:eastAsia="宋体" w:hint="default"/>
                <w:sz w:val="18"/>
                <w:szCs w:val="18"/>
              </w:rPr>
            </w:pPr>
            <w:r>
              <w:rPr>
                <w:rFonts w:ascii="宋体"/>
                <w:sz w:val="18"/>
              </w:rPr>
              <w:t>http:/</w:t>
            </w:r>
            <w:hyperlink r:id="rId12">
              <w:r>
                <w:rPr>
                  <w:rFonts w:ascii="宋体"/>
                  <w:sz w:val="18"/>
                </w:rPr>
                <w:t>www.cninfo.com.cn</w:t>
              </w:r>
            </w:hyperlink>
          </w:p>
        </w:tc>
      </w:tr>
      <w:tr>
        <w:trPr>
          <w:trHeight w:val="659"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64"/>
              <w:jc w:val="left"/>
              <w:rPr>
                <w:rFonts w:ascii="宋体" w:hAnsi="宋体" w:cs="宋体" w:eastAsia="宋体" w:hint="default"/>
                <w:sz w:val="18"/>
                <w:szCs w:val="18"/>
              </w:rPr>
            </w:pPr>
            <w:r>
              <w:rPr>
                <w:rFonts w:ascii="宋体" w:hAnsi="宋体" w:cs="宋体" w:eastAsia="宋体" w:hint="default"/>
                <w:sz w:val="18"/>
                <w:szCs w:val="18"/>
              </w:rPr>
              <w:t>《安徽皖通科技股份有限公司关于公司第一期员工持股计划完成 股票购买的公告》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宋体" w:hAnsi="宋体" w:cs="宋体" w:eastAsia="宋体" w:hint="default"/>
                <w:sz w:val="18"/>
                <w:szCs w:val="18"/>
              </w:rPr>
            </w:pPr>
            <w:r>
              <w:rPr>
                <w:rFonts w:ascii="宋体" w:hAnsi="宋体" w:cs="宋体" w:eastAsia="宋体" w:hint="default"/>
                <w:spacing w:val="-1"/>
                <w:sz w:val="18"/>
                <w:szCs w:val="18"/>
              </w:rPr>
              <w:t>2016年11月12日</w:t>
            </w:r>
          </w:p>
        </w:tc>
        <w:tc>
          <w:tcPr>
            <w:tcW w:w="2565" w:type="dxa"/>
            <w:tcBorders>
              <w:top w:val="single" w:sz="6" w:space="0" w:color="000000"/>
              <w:left w:val="single" w:sz="6" w:space="0" w:color="000000"/>
              <w:bottom w:val="single" w:sz="6" w:space="0" w:color="000000"/>
              <w:right w:val="single" w:sz="6" w:space="0" w:color="000000"/>
            </w:tcBorders>
            <w:shd w:val="clear" w:color="auto" w:fill="C6ECCC"/>
          </w:tcPr>
          <w:p>
            <w:pPr>
              <w:pStyle w:val="TableParagraph"/>
              <w:spacing w:line="240" w:lineRule="auto" w:before="20"/>
              <w:ind w:left="66" w:right="0"/>
              <w:jc w:val="center"/>
              <w:rPr>
                <w:rFonts w:ascii="宋体" w:hAnsi="宋体" w:cs="宋体" w:eastAsia="宋体" w:hint="default"/>
                <w:sz w:val="18"/>
                <w:szCs w:val="18"/>
              </w:rPr>
            </w:pPr>
            <w:r>
              <w:rPr>
                <w:rFonts w:ascii="宋体"/>
                <w:sz w:val="18"/>
              </w:rPr>
              <w:t>http:/</w:t>
            </w:r>
            <w:hyperlink r:id="rId12">
              <w:r>
                <w:rPr>
                  <w:rFonts w:ascii="宋体"/>
                  <w:sz w:val="18"/>
                </w:rPr>
                <w:t>www.cninfo.com.cn</w:t>
              </w:r>
            </w:hyperlink>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t>1、与日常经营相关的关联交易</w:t>
      </w:r>
      <w:r>
        <w:rPr>
          <w:b w:val="0"/>
          <w:bCs w:val="0"/>
        </w:rPr>
      </w:r>
    </w:p>
    <w:p>
      <w:pPr>
        <w:spacing w:line="240" w:lineRule="auto" w:before="7"/>
        <w:rPr>
          <w:rFonts w:ascii="宋体" w:hAnsi="宋体" w:cs="宋体" w:eastAsia="宋体" w:hint="default"/>
          <w:b/>
          <w:bCs/>
          <w:sz w:val="27"/>
          <w:szCs w:val="27"/>
        </w:rPr>
      </w:pPr>
    </w:p>
    <w:p>
      <w:pPr>
        <w:spacing w:line="360" w:lineRule="auto" w:before="0"/>
        <w:ind w:left="112" w:right="45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2、资产或股权收购、出售发生的关联交易</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545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公司报告期未发生资产或股权收购、出售的关联交易。</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t>3、共同对外投资的关联交易</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61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t>4、关联债权债务往来</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67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t>5、其他重大关联交易</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70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公司报告期无其他重大关联交易。</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t>1、托管、承包、租赁事项情况</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（1）托管情况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74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r>
        <w:rPr/>
        <w:t>（2）承包情况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37" w:top="1040" w:bottom="1120" w:left="1020" w:right="980"/>
        </w:sectPr>
      </w:pPr>
    </w:p>
    <w:p>
      <w:pPr>
        <w:spacing w:line="240" w:lineRule="auto" w:before="9"/>
        <w:rPr>
          <w:rFonts w:ascii="宋体" w:hAnsi="宋体" w:cs="宋体" w:eastAsia="宋体" w:hint="default"/>
          <w:sz w:val="26"/>
          <w:szCs w:val="2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公司报告期不存在承包情况。</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（3）租赁情况</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73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公司报告期不存在租赁情况。</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t>2、重大担保</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（1）担保情况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9"/>
        <w:gridCol w:w="925"/>
        <w:gridCol w:w="925"/>
        <w:gridCol w:w="1296"/>
        <w:gridCol w:w="1063"/>
        <w:gridCol w:w="1035"/>
        <w:gridCol w:w="1048"/>
        <w:gridCol w:w="793"/>
        <w:gridCol w:w="779"/>
      </w:tblGrid>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计（A1）</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生额合计（A2）</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合计（A3）</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额合计（A4）</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0"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54"/>
              <w:jc w:val="left"/>
              <w:rPr>
                <w:rFonts w:ascii="宋体" w:hAnsi="宋体" w:cs="宋体" w:eastAsia="宋体" w:hint="default"/>
                <w:sz w:val="18"/>
                <w:szCs w:val="18"/>
              </w:rPr>
            </w:pPr>
            <w:r>
              <w:rPr>
                <w:rFonts w:ascii="宋体" w:hAnsi="宋体" w:cs="宋体" w:eastAsia="宋体" w:hint="default"/>
                <w:sz w:val="18"/>
                <w:szCs w:val="18"/>
              </w:rPr>
              <w:t>安徽汉高信息科技有 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2,295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2,295</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安徽汉高信息科技有 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09</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1,020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54"/>
              <w:jc w:val="left"/>
              <w:rPr>
                <w:rFonts w:ascii="宋体" w:hAnsi="宋体" w:cs="宋体" w:eastAsia="宋体" w:hint="default"/>
                <w:sz w:val="18"/>
                <w:szCs w:val="18"/>
              </w:rPr>
            </w:pPr>
            <w:r>
              <w:rPr>
                <w:rFonts w:ascii="宋体" w:hAnsi="宋体" w:cs="宋体" w:eastAsia="宋体" w:hint="default"/>
                <w:sz w:val="18"/>
                <w:szCs w:val="18"/>
              </w:rPr>
              <w:t>安徽汉高信息科技有 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2,295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2,295</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安徽汉高信息科技有 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1,020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54"/>
              <w:jc w:val="left"/>
              <w:rPr>
                <w:rFonts w:ascii="宋体" w:hAnsi="宋体" w:cs="宋体" w:eastAsia="宋体" w:hint="default"/>
                <w:sz w:val="18"/>
                <w:szCs w:val="18"/>
              </w:rPr>
            </w:pPr>
            <w:r>
              <w:rPr>
                <w:rFonts w:ascii="宋体" w:hAnsi="宋体" w:cs="宋体" w:eastAsia="宋体" w:hint="default"/>
                <w:sz w:val="18"/>
                <w:szCs w:val="18"/>
              </w:rPr>
              <w:t>安徽汉高信息科技有 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2,295</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合计（B1）</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5,610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际发生额合计（B2）</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3,315</w:t>
            </w:r>
          </w:p>
        </w:tc>
      </w:tr>
      <w:tr>
        <w:trPr>
          <w:trHeight w:val="712"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额度合计（B3）</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8,925</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保余额合计（B4）</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3,315</w:t>
            </w:r>
          </w:p>
        </w:tc>
      </w:tr>
    </w:tbl>
    <w:p>
      <w:pPr>
        <w:spacing w:after="0" w:line="240" w:lineRule="auto"/>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709"/>
        <w:gridCol w:w="921"/>
        <w:gridCol w:w="912"/>
        <w:gridCol w:w="1313"/>
        <w:gridCol w:w="1044"/>
        <w:gridCol w:w="1054"/>
        <w:gridCol w:w="1045"/>
        <w:gridCol w:w="786"/>
        <w:gridCol w:w="789"/>
      </w:tblGrid>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6" w:right="6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8"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 w:right="2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合计（C1）</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际发生额合计（C2）</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额度合计（C3）</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保余额合计（C4）</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（A1+B1+C1）</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5,610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合计（A2+B2+C2）</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3,315</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（A3+B3+C3）</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8,925</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报告期末实际担保余额合 计（A4+B4+C4）</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3,315</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宋体" w:hAnsi="宋体" w:cs="宋体" w:eastAsia="宋体" w:hint="default"/>
                <w:sz w:val="18"/>
                <w:szCs w:val="18"/>
              </w:rPr>
              <w:t>A4+B4+C4）占公司净资产的比例</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2.44%</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4"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62"/>
                <w:sz w:val="18"/>
                <w:szCs w:val="18"/>
              </w:rPr>
              <w:t> </w:t>
            </w:r>
            <w:r>
              <w:rPr>
                <w:rFonts w:ascii="宋体" w:hAnsi="宋体" w:cs="宋体" w:eastAsia="宋体" w:hint="default"/>
                <w:sz w:val="18"/>
                <w:szCs w:val="18"/>
              </w:rPr>
              <w:t>70%的被担保对象提供的债务担</w:t>
            </w:r>
            <w:r>
              <w:rPr>
                <w:rFonts w:ascii="宋体" w:hAnsi="宋体" w:cs="宋体" w:eastAsia="宋体" w:hint="default"/>
                <w:sz w:val="18"/>
                <w:szCs w:val="18"/>
              </w:rPr>
              <w:t> 保余额（E）</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宋体" w:hAnsi="宋体" w:cs="宋体" w:eastAsia="宋体" w:hint="default"/>
                <w:sz w:val="18"/>
                <w:szCs w:val="18"/>
              </w:rPr>
              <w:t>50%部分的金额（F）</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上述三项担保金额合计（D+E+F）</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r>
      <w:tr>
        <w:trPr>
          <w:trHeight w:val="714"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8"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60" w:lineRule="auto" w:before="50"/>
        <w:ind w:left="112" w:right="7034"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不适用</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（2）违规对外担保情况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57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公司报告期无违规对外担保情况。</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t>3、委托他人进行现金资产管理情况</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（1）委托理财情况</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739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公司报告期不存在委托理财。</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t>（2）委托贷款情况</w:t>
      </w:r>
      <w:r>
        <w:rPr>
          <w:b w:val="0"/>
          <w:bCs w:val="0"/>
        </w:rPr>
      </w:r>
    </w:p>
    <w:p>
      <w:pPr>
        <w:spacing w:line="240" w:lineRule="auto" w:before="12"/>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9"/>
        <w:rPr>
          <w:rFonts w:ascii="宋体" w:hAnsi="宋体" w:cs="宋体" w:eastAsia="宋体" w:hint="default"/>
          <w:sz w:val="26"/>
          <w:szCs w:val="26"/>
        </w:rPr>
      </w:pPr>
    </w:p>
    <w:p>
      <w:pPr>
        <w:spacing w:before="44"/>
        <w:ind w:left="112" w:right="182" w:firstLine="0"/>
        <w:jc w:val="left"/>
        <w:rPr>
          <w:rFonts w:ascii="宋体" w:hAnsi="宋体" w:cs="宋体" w:eastAsia="宋体" w:hint="default"/>
          <w:sz w:val="18"/>
          <w:szCs w:val="18"/>
        </w:rPr>
      </w:pPr>
      <w:r>
        <w:rPr>
          <w:rFonts w:ascii="宋体" w:hAnsi="宋体" w:cs="宋体" w:eastAsia="宋体" w:hint="default"/>
          <w:sz w:val="18"/>
          <w:szCs w:val="18"/>
        </w:rPr>
        <w:t>公司报告期不存在委托贷款。</w:t>
      </w:r>
    </w:p>
    <w:p>
      <w:pPr>
        <w:spacing w:line="240" w:lineRule="auto" w:before="11"/>
        <w:rPr>
          <w:rFonts w:ascii="宋体" w:hAnsi="宋体" w:cs="宋体" w:eastAsia="宋体" w:hint="default"/>
          <w:sz w:val="26"/>
          <w:szCs w:val="26"/>
        </w:rPr>
      </w:pPr>
    </w:p>
    <w:p>
      <w:pPr>
        <w:pStyle w:val="Heading5"/>
        <w:spacing w:line="240" w:lineRule="auto"/>
        <w:ind w:right="182"/>
        <w:jc w:val="left"/>
        <w:rPr>
          <w:b w:val="0"/>
          <w:bCs w:val="0"/>
        </w:rPr>
      </w:pPr>
      <w:r>
        <w:rPr/>
        <w:t>4、其他重大合同</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711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公司报告期不存在其他重大合同。</w:t>
      </w:r>
    </w:p>
    <w:p>
      <w:pPr>
        <w:spacing w:line="240" w:lineRule="auto" w:before="2"/>
        <w:rPr>
          <w:rFonts w:ascii="宋体" w:hAnsi="宋体" w:cs="宋体" w:eastAsia="宋体" w:hint="default"/>
          <w:sz w:val="18"/>
          <w:szCs w:val="18"/>
        </w:rPr>
      </w:pPr>
    </w:p>
    <w:p>
      <w:pPr>
        <w:pStyle w:val="Heading4"/>
        <w:spacing w:line="240" w:lineRule="auto"/>
        <w:ind w:right="182"/>
        <w:jc w:val="left"/>
        <w:rPr>
          <w:b w:val="0"/>
          <w:bCs w:val="0"/>
        </w:rPr>
      </w:pP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82"/>
        <w:jc w:val="left"/>
        <w:rPr>
          <w:b w:val="0"/>
          <w:bCs w:val="0"/>
        </w:rPr>
      </w:pPr>
      <w:r>
        <w:rPr/>
        <w:t>1、履行社会责任情况</w:t>
      </w:r>
      <w:r>
        <w:rPr>
          <w:b w:val="0"/>
          <w:bCs w:val="0"/>
        </w:rPr>
      </w:r>
    </w:p>
    <w:p>
      <w:pPr>
        <w:spacing w:line="240" w:lineRule="auto" w:before="9"/>
        <w:rPr>
          <w:rFonts w:ascii="宋体" w:hAnsi="宋体" w:cs="宋体" w:eastAsia="宋体" w:hint="default"/>
          <w:b/>
          <w:bCs/>
          <w:sz w:val="27"/>
          <w:szCs w:val="27"/>
        </w:rPr>
      </w:pPr>
    </w:p>
    <w:p>
      <w:pPr>
        <w:spacing w:line="316" w:lineRule="auto" w:before="0"/>
        <w:ind w:left="112" w:right="101" w:firstLine="360"/>
        <w:jc w:val="both"/>
        <w:rPr>
          <w:rFonts w:ascii="宋体" w:hAnsi="宋体" w:cs="宋体" w:eastAsia="宋体" w:hint="default"/>
          <w:sz w:val="18"/>
          <w:szCs w:val="18"/>
        </w:rPr>
      </w:pPr>
      <w:r>
        <w:rPr>
          <w:rFonts w:ascii="宋体" w:hAnsi="宋体" w:cs="宋体" w:eastAsia="宋体" w:hint="default"/>
          <w:spacing w:val="-4"/>
          <w:sz w:val="18"/>
          <w:szCs w:val="18"/>
        </w:rPr>
        <w:t>《安徽皖通科技股份有限公司2017年度社会责任报告》刊登于2018年4月17日巨潮资讯网</w:t>
      </w:r>
      <w:hyperlink r:id="rId12">
        <w:r>
          <w:rPr>
            <w:rFonts w:ascii="宋体" w:hAnsi="宋体" w:cs="宋体" w:eastAsia="宋体" w:hint="default"/>
            <w:spacing w:val="-4"/>
            <w:sz w:val="18"/>
            <w:szCs w:val="18"/>
          </w:rPr>
          <w:t>（http://www.cninfo.com.cn</w:t>
        </w:r>
      </w:hyperlink>
      <w:r>
        <w:rPr>
          <w:rFonts w:ascii="宋体" w:hAnsi="宋体" w:cs="宋体" w:eastAsia="宋体" w:hint="default"/>
          <w:spacing w:val="-4"/>
          <w:sz w:val="18"/>
          <w:szCs w:val="18"/>
        </w:rPr>
        <w:t>），</w:t>
      </w:r>
      <w:r>
        <w:rPr>
          <w:rFonts w:ascii="宋体" w:hAnsi="宋体" w:cs="宋体" w:eastAsia="宋体" w:hint="default"/>
          <w:sz w:val="18"/>
          <w:szCs w:val="18"/>
        </w:rPr>
        <w:t> 请查阅。</w:t>
      </w:r>
    </w:p>
    <w:p>
      <w:pPr>
        <w:spacing w:line="240" w:lineRule="auto" w:before="6"/>
        <w:rPr>
          <w:rFonts w:ascii="宋体" w:hAnsi="宋体" w:cs="宋体" w:eastAsia="宋体" w:hint="default"/>
          <w:sz w:val="22"/>
          <w:szCs w:val="22"/>
        </w:rPr>
      </w:pPr>
    </w:p>
    <w:p>
      <w:pPr>
        <w:pStyle w:val="Heading5"/>
        <w:spacing w:line="240" w:lineRule="auto"/>
        <w:ind w:right="182"/>
        <w:jc w:val="left"/>
        <w:rPr>
          <w:b w:val="0"/>
          <w:bCs w:val="0"/>
        </w:rPr>
      </w:pPr>
      <w:r>
        <w:rPr/>
        <w:t>2、履行精准扶贫社会责任情况</w:t>
      </w:r>
      <w:r>
        <w:rPr>
          <w:b w:val="0"/>
          <w:bCs w:val="0"/>
        </w:rPr>
      </w:r>
    </w:p>
    <w:p>
      <w:pPr>
        <w:spacing w:line="240" w:lineRule="auto" w:before="9"/>
        <w:rPr>
          <w:rFonts w:ascii="宋体" w:hAnsi="宋体" w:cs="宋体" w:eastAsia="宋体" w:hint="default"/>
          <w:b/>
          <w:bCs/>
          <w:sz w:val="27"/>
          <w:szCs w:val="27"/>
        </w:rPr>
      </w:pPr>
    </w:p>
    <w:p>
      <w:pPr>
        <w:spacing w:before="0"/>
        <w:ind w:left="472" w:right="182"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5"/>
        <w:spacing w:line="240" w:lineRule="auto" w:before="118"/>
        <w:ind w:right="182"/>
        <w:jc w:val="left"/>
        <w:rPr>
          <w:b w:val="0"/>
          <w:bCs w:val="0"/>
        </w:rPr>
      </w:pPr>
      <w:r>
        <w:rPr/>
        <w:t>3、环境保护相关的情况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472" w:right="182" w:hanging="36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上市公司及其子公司是否属于环境保护部门公布的重点排污单位：否 </w:t>
      </w:r>
      <w:r>
        <w:rPr>
          <w:rFonts w:ascii="宋体" w:hAnsi="宋体" w:cs="宋体" w:eastAsia="宋体" w:hint="default"/>
          <w:spacing w:val="-5"/>
          <w:sz w:val="18"/>
          <w:szCs w:val="18"/>
        </w:rPr>
        <w:t>公司不属于环境保护部门公布的重点排污单位，具体详见2018年4月17日发布于巨潮资讯网（</w:t>
      </w:r>
      <w:hyperlink r:id="rId12">
        <w:r>
          <w:rPr>
            <w:rFonts w:ascii="宋体" w:hAnsi="宋体" w:cs="宋体" w:eastAsia="宋体" w:hint="default"/>
            <w:spacing w:val="-5"/>
            <w:sz w:val="18"/>
            <w:szCs w:val="18"/>
          </w:rPr>
          <w:t>www.cninfo.com.cn</w:t>
        </w:r>
      </w:hyperlink>
      <w:r>
        <w:rPr>
          <w:rFonts w:ascii="宋体" w:hAnsi="宋体" w:cs="宋体" w:eastAsia="宋体" w:hint="default"/>
          <w:spacing w:val="-5"/>
          <w:sz w:val="18"/>
          <w:szCs w:val="18"/>
        </w:rPr>
        <w:t>）的《安</w:t>
      </w:r>
    </w:p>
    <w:p>
      <w:pPr>
        <w:spacing w:line="224" w:lineRule="exact" w:before="0"/>
        <w:ind w:left="112" w:right="182" w:firstLine="0"/>
        <w:jc w:val="left"/>
        <w:rPr>
          <w:rFonts w:ascii="宋体" w:hAnsi="宋体" w:cs="宋体" w:eastAsia="宋体" w:hint="default"/>
          <w:sz w:val="18"/>
          <w:szCs w:val="18"/>
        </w:rPr>
      </w:pPr>
      <w:r>
        <w:rPr>
          <w:rFonts w:ascii="宋体" w:hAnsi="宋体" w:cs="宋体" w:eastAsia="宋体" w:hint="default"/>
          <w:sz w:val="18"/>
          <w:szCs w:val="18"/>
        </w:rPr>
        <w:t>徽皖通科技股份有限公司2017年度社会责任报告》"第六章</w:t>
      </w:r>
      <w:r>
        <w:rPr>
          <w:rFonts w:ascii="宋体" w:hAnsi="宋体" w:cs="宋体" w:eastAsia="宋体" w:hint="default"/>
          <w:spacing w:val="87"/>
          <w:sz w:val="18"/>
          <w:szCs w:val="18"/>
        </w:rPr>
        <w:t> </w:t>
      </w:r>
      <w:r>
        <w:rPr>
          <w:rFonts w:ascii="宋体" w:hAnsi="宋体" w:cs="宋体" w:eastAsia="宋体" w:hint="default"/>
          <w:sz w:val="18"/>
          <w:szCs w:val="18"/>
        </w:rPr>
        <w:t>环境保护与可持续发展"。</w:t>
      </w:r>
    </w:p>
    <w:p>
      <w:pPr>
        <w:spacing w:line="240" w:lineRule="auto" w:before="3"/>
        <w:rPr>
          <w:rFonts w:ascii="宋体" w:hAnsi="宋体" w:cs="宋体" w:eastAsia="宋体" w:hint="default"/>
          <w:sz w:val="25"/>
          <w:szCs w:val="25"/>
        </w:rPr>
      </w:pPr>
    </w:p>
    <w:p>
      <w:pPr>
        <w:pStyle w:val="Heading4"/>
        <w:spacing w:line="240" w:lineRule="auto"/>
        <w:ind w:right="182"/>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12" w:right="18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73" w:lineRule="auto" w:before="92"/>
        <w:ind w:right="190" w:firstLine="420"/>
        <w:jc w:val="both"/>
      </w:pPr>
      <w:r>
        <w:rPr>
          <w:spacing w:val="-5"/>
        </w:rPr>
        <w:t>因筹划重大事项，公司股票自2017年5月2日开市时起停牌。公司于2017年5月2日在《证券时报》、《中</w:t>
      </w:r>
      <w:r>
        <w:rPr>
          <w:w w:val="99"/>
        </w:rPr>
        <w:t> </w:t>
      </w:r>
      <w:r>
        <w:rPr>
          <w:w w:val="95"/>
        </w:rPr>
        <w:t>国证券报》和巨潮资讯网（</w:t>
      </w:r>
      <w:r>
        <w:rPr>
          <w:color w:val="0000FF"/>
          <w:w w:val="95"/>
        </w:rPr>
      </w:r>
      <w:hyperlink r:id="rId12">
        <w:r>
          <w:rPr>
            <w:color w:val="0000FF"/>
            <w:w w:val="95"/>
            <w:u w:val="single" w:color="0000FF"/>
          </w:rPr>
          <w:t>http://www.cninfo.com.cn</w:t>
        </w:r>
        <w:r>
          <w:rPr>
            <w:color w:val="0000FF"/>
            <w:w w:val="95"/>
          </w:rPr>
        </w:r>
      </w:hyperlink>
      <w:r>
        <w:rPr>
          <w:w w:val="95"/>
        </w:rPr>
        <w:t>）刊登了《安徽皖通科技股份有限公司关于筹划重</w:t>
      </w:r>
      <w:r>
        <w:rPr>
          <w:spacing w:val="40"/>
          <w:w w:val="95"/>
        </w:rPr>
        <w:t> </w:t>
      </w:r>
      <w:r>
        <w:rPr>
          <w:spacing w:val="40"/>
          <w:w w:val="95"/>
        </w:rPr>
      </w:r>
      <w:r>
        <w:rPr/>
        <w:t>大事项的停牌公告》（公告编号：2017-023）。</w:t>
      </w:r>
    </w:p>
    <w:p>
      <w:pPr>
        <w:pStyle w:val="BodyText"/>
        <w:spacing w:line="273" w:lineRule="auto"/>
        <w:ind w:right="190" w:firstLine="405"/>
        <w:jc w:val="both"/>
      </w:pPr>
      <w:r>
        <w:rPr>
          <w:w w:val="95"/>
        </w:rPr>
        <w:t>鉴于公司筹划的重大事项为发行股份购买资产，公司于2017年5月9日发布了《安徽皖通科技股份有限</w:t>
      </w:r>
      <w:r>
        <w:rPr>
          <w:spacing w:val="-71"/>
          <w:w w:val="95"/>
        </w:rPr>
        <w:t> </w:t>
      </w:r>
      <w:r>
        <w:rPr>
          <w:spacing w:val="-71"/>
          <w:w w:val="95"/>
        </w:rPr>
      </w:r>
      <w:r>
        <w:rPr>
          <w:w w:val="95"/>
        </w:rPr>
        <w:t>公司关于筹划发行股份购买资产的停牌公告》（公告编号：2017-024）。公司股票自2017年5月9日开市时</w:t>
      </w:r>
      <w:r>
        <w:rPr>
          <w:spacing w:val="43"/>
          <w:w w:val="95"/>
        </w:rPr>
        <w:t> </w:t>
      </w:r>
      <w:r>
        <w:rPr>
          <w:spacing w:val="43"/>
          <w:w w:val="95"/>
        </w:rPr>
      </w:r>
      <w:r>
        <w:rPr/>
        <w:t>起继续停牌。</w:t>
      </w:r>
    </w:p>
    <w:p>
      <w:pPr>
        <w:pStyle w:val="BodyText"/>
        <w:spacing w:line="273" w:lineRule="auto"/>
        <w:ind w:right="190" w:firstLine="405"/>
        <w:jc w:val="both"/>
      </w:pPr>
      <w:r>
        <w:rPr>
          <w:w w:val="95"/>
        </w:rPr>
        <w:t>公司分别于2017年5月16日、5月23日、6月1日发布了《安徽皖通科技股份有限公司发行股份购买资产</w:t>
      </w:r>
      <w:r>
        <w:rPr>
          <w:spacing w:val="-69"/>
          <w:w w:val="95"/>
        </w:rPr>
        <w:t> </w:t>
      </w:r>
      <w:r>
        <w:rPr>
          <w:spacing w:val="-69"/>
          <w:w w:val="95"/>
        </w:rPr>
      </w:r>
      <w:r>
        <w:rPr>
          <w:w w:val="95"/>
        </w:rPr>
        <w:t>进展公告》（公告编号：2017-025、2017-026）和《安徽皖通科技股份有限公司发行股份购买资产进展暨</w:t>
      </w:r>
      <w:r>
        <w:rPr>
          <w:spacing w:val="41"/>
          <w:w w:val="95"/>
        </w:rPr>
        <w:t> </w:t>
      </w:r>
      <w:r>
        <w:rPr>
          <w:spacing w:val="41"/>
          <w:w w:val="95"/>
        </w:rPr>
      </w:r>
      <w:r>
        <w:rPr/>
        <w:t>延期复牌公告》（公告编号：2017-027）。公司股票自2017年6月1日开市时起继续停牌。</w:t>
      </w:r>
    </w:p>
    <w:p>
      <w:pPr>
        <w:pStyle w:val="BodyText"/>
        <w:spacing w:line="273" w:lineRule="auto"/>
        <w:ind w:right="190" w:firstLine="405"/>
        <w:jc w:val="both"/>
      </w:pPr>
      <w:r>
        <w:rPr>
          <w:w w:val="95"/>
        </w:rPr>
        <w:t>公司分别于2017年6月8日、6月15日、6月22日发布了《安徽皖通科技股份有限公司发行股份购买资产</w:t>
      </w:r>
      <w:r>
        <w:rPr>
          <w:spacing w:val="-67"/>
          <w:w w:val="95"/>
        </w:rPr>
        <w:t> </w:t>
      </w:r>
      <w:r>
        <w:rPr>
          <w:spacing w:val="-67"/>
          <w:w w:val="95"/>
        </w:rPr>
      </w:r>
      <w:r>
        <w:rPr/>
        <w:t>进展公告》（公告编号：2017-028、2017-029、2017-030）。</w:t>
      </w:r>
    </w:p>
    <w:p>
      <w:pPr>
        <w:pStyle w:val="BodyText"/>
        <w:spacing w:line="273" w:lineRule="auto"/>
        <w:ind w:right="189" w:firstLine="405"/>
        <w:jc w:val="both"/>
      </w:pPr>
      <w:r>
        <w:rPr>
          <w:spacing w:val="2"/>
        </w:rPr>
        <w:t>公司于2017年6月28日召开第四届董事会第五次会议，审议通过了《关于公司筹划发行股份购买资产</w:t>
      </w:r>
      <w:r>
        <w:rPr>
          <w:w w:val="99"/>
        </w:rPr>
        <w:t> </w:t>
      </w:r>
      <w:r>
        <w:rPr>
          <w:spacing w:val="2"/>
          <w:w w:val="95"/>
        </w:rPr>
        <w:t>继续停牌的议案》，同意公司筹划发行股份购买资产继续停牌事项。公司于2017年6月29日发布了《安徽</w:t>
      </w:r>
      <w:r>
        <w:rPr>
          <w:spacing w:val="43"/>
          <w:w w:val="95"/>
        </w:rPr>
        <w:t> </w:t>
      </w:r>
      <w:r>
        <w:rPr>
          <w:spacing w:val="43"/>
          <w:w w:val="95"/>
        </w:rPr>
      </w:r>
      <w:r>
        <w:rPr>
          <w:spacing w:val="-4"/>
          <w:w w:val="99"/>
        </w:rPr>
        <w:t>皖通科技股份有限公司发行股份购买资产进展暨延期复牌公告》（公告编号：2017-034）。公司股票自2017</w:t>
      </w:r>
      <w:r>
        <w:rPr>
          <w:spacing w:val="-95"/>
          <w:w w:val="99"/>
        </w:rPr>
        <w:t> </w:t>
      </w:r>
      <w:r>
        <w:rPr>
          <w:spacing w:val="-95"/>
          <w:w w:val="99"/>
        </w:rPr>
      </w:r>
      <w:r>
        <w:rPr/>
        <w:t>年6月29日开市时起继续停牌。</w:t>
      </w:r>
    </w:p>
    <w:p>
      <w:pPr>
        <w:pStyle w:val="BodyText"/>
        <w:spacing w:line="273" w:lineRule="auto"/>
        <w:ind w:right="195" w:firstLine="405"/>
        <w:jc w:val="both"/>
      </w:pPr>
      <w:r>
        <w:rPr>
          <w:spacing w:val="2"/>
          <w:w w:val="95"/>
        </w:rPr>
        <w:t>公司分别于2017年7月6日、7月13日、7月20日、7月27日发布了《安徽皖通科技股份有限公司发行股</w:t>
      </w:r>
      <w:r>
        <w:rPr>
          <w:spacing w:val="-71"/>
          <w:w w:val="95"/>
        </w:rPr>
        <w:t> </w:t>
      </w:r>
      <w:r>
        <w:rPr>
          <w:spacing w:val="-71"/>
          <w:w w:val="95"/>
        </w:rPr>
      </w:r>
      <w:r>
        <w:rPr/>
        <w:t>份购买资产进展公告》（公告编号：2017-035、2017-036、2017-040、2017-041）。</w:t>
      </w:r>
    </w:p>
    <w:p>
      <w:pPr>
        <w:spacing w:after="0" w:line="273" w:lineRule="auto"/>
        <w:jc w:val="both"/>
        <w:sectPr>
          <w:footerReference w:type="default" r:id="rId18"/>
          <w:pgSz w:w="11910" w:h="16840"/>
          <w:pgMar w:footer="937" w:header="746" w:top="1040" w:bottom="1120" w:left="1020" w:right="940"/>
          <w:pgNumType w:start="40"/>
        </w:sectPr>
      </w:pPr>
    </w:p>
    <w:p>
      <w:pPr>
        <w:spacing w:line="240" w:lineRule="auto" w:before="6"/>
        <w:rPr>
          <w:rFonts w:ascii="宋体" w:hAnsi="宋体" w:cs="宋体" w:eastAsia="宋体" w:hint="default"/>
          <w:sz w:val="25"/>
          <w:szCs w:val="25"/>
        </w:rPr>
      </w:pPr>
    </w:p>
    <w:p>
      <w:pPr>
        <w:pStyle w:val="BodyText"/>
        <w:spacing w:line="273" w:lineRule="auto" w:before="34"/>
        <w:ind w:right="232" w:firstLine="405"/>
        <w:jc w:val="both"/>
      </w:pPr>
      <w:r>
        <w:rPr>
          <w:spacing w:val="2"/>
        </w:rPr>
        <w:t>公司于2017年7月14日召开第四届董事会第六次会议，审议通过了《关于公司筹划发行股份购买资产</w:t>
      </w:r>
      <w:r>
        <w:rPr>
          <w:w w:val="99"/>
        </w:rPr>
        <w:t> </w:t>
      </w:r>
      <w:r>
        <w:rPr>
          <w:spacing w:val="2"/>
          <w:w w:val="95"/>
        </w:rPr>
        <w:t>继续停牌的议案》，并于2017年7月31日召开2017年第一次临时股东大会审议通过了该议案。公司分别于</w:t>
      </w:r>
      <w:r>
        <w:rPr>
          <w:spacing w:val="37"/>
          <w:w w:val="95"/>
        </w:rPr>
        <w:t> </w:t>
      </w:r>
      <w:r>
        <w:rPr>
          <w:spacing w:val="37"/>
          <w:w w:val="95"/>
        </w:rPr>
      </w:r>
      <w:r>
        <w:rPr>
          <w:spacing w:val="2"/>
          <w:w w:val="95"/>
        </w:rPr>
        <w:t>2017年7月15日、8月1日发布了《安徽皖通科技股份有限公司发行股份购买资产停牌期满申请继续停牌的</w:t>
      </w:r>
      <w:r>
        <w:rPr>
          <w:spacing w:val="39"/>
          <w:w w:val="95"/>
        </w:rPr>
        <w:t> </w:t>
      </w:r>
      <w:r>
        <w:rPr>
          <w:spacing w:val="39"/>
          <w:w w:val="95"/>
        </w:rPr>
      </w:r>
      <w:r>
        <w:rPr>
          <w:w w:val="95"/>
        </w:rPr>
        <w:t>公告》（公告编号：2017-038）和《安徽皖通科技股份有限公司发行股份购买资产停牌期满继续停牌的公</w:t>
      </w:r>
      <w:r>
        <w:rPr>
          <w:spacing w:val="40"/>
          <w:w w:val="95"/>
        </w:rPr>
        <w:t> </w:t>
      </w:r>
      <w:r>
        <w:rPr>
          <w:spacing w:val="40"/>
          <w:w w:val="95"/>
        </w:rPr>
      </w:r>
      <w:r>
        <w:rPr/>
        <w:t>告》（公告编号：2017-043）。公司股票自2017年8月1日开市时起继续停牌。</w:t>
      </w:r>
    </w:p>
    <w:p>
      <w:pPr>
        <w:pStyle w:val="BodyText"/>
        <w:spacing w:line="273" w:lineRule="auto"/>
        <w:ind w:right="230" w:firstLine="405"/>
        <w:jc w:val="both"/>
      </w:pPr>
      <w:r>
        <w:rPr>
          <w:spacing w:val="2"/>
          <w:w w:val="95"/>
        </w:rPr>
        <w:t>公司于2017年8月8日、8月15日、8月22日、8月29日、9月1日发布了《安徽皖通科技股份有限公司发</w:t>
      </w:r>
      <w:r>
        <w:rPr>
          <w:spacing w:val="-73"/>
          <w:w w:val="95"/>
        </w:rPr>
        <w:t> </w:t>
      </w:r>
      <w:r>
        <w:rPr>
          <w:spacing w:val="-73"/>
          <w:w w:val="95"/>
        </w:rPr>
      </w:r>
      <w:r>
        <w:rPr>
          <w:w w:val="95"/>
        </w:rPr>
        <w:t>行股份购买资产进展公告》（公告编号：2017-044、2017-051、2017-052、2017-054）和《安徽皖通科技</w:t>
      </w:r>
      <w:r>
        <w:rPr>
          <w:spacing w:val="43"/>
          <w:w w:val="95"/>
        </w:rPr>
        <w:t> </w:t>
      </w:r>
      <w:r>
        <w:rPr>
          <w:spacing w:val="43"/>
          <w:w w:val="95"/>
        </w:rPr>
      </w:r>
      <w:r>
        <w:rPr/>
        <w:t>股份有限公司发行股份购买资产进展暨延期复牌公告》（2017-055）。</w:t>
      </w:r>
    </w:p>
    <w:p>
      <w:pPr>
        <w:pStyle w:val="BodyText"/>
        <w:spacing w:line="273" w:lineRule="auto"/>
        <w:ind w:right="230" w:firstLine="420"/>
        <w:jc w:val="both"/>
      </w:pPr>
      <w:r>
        <w:rPr>
          <w:w w:val="95"/>
        </w:rPr>
        <w:t>公司于2017年9月7日召开第四届董事会第八次会议，审议通过了《安徽皖通科技股份有限公司发行股</w:t>
      </w:r>
      <w:r>
        <w:rPr>
          <w:w w:val="99"/>
        </w:rPr>
        <w:t> </w:t>
      </w:r>
      <w:r>
        <w:rPr>
          <w:w w:val="95"/>
        </w:rPr>
        <w:t>份购买资产并募集配套资金报告书（草案）及其摘要》等相关议案，并于2017年9月8日发布《安徽皖通科</w:t>
      </w:r>
      <w:r>
        <w:rPr>
          <w:spacing w:val="41"/>
          <w:w w:val="95"/>
        </w:rPr>
        <w:t> </w:t>
      </w:r>
      <w:r>
        <w:rPr>
          <w:spacing w:val="41"/>
          <w:w w:val="95"/>
        </w:rPr>
      </w:r>
      <w:r>
        <w:rPr>
          <w:w w:val="95"/>
        </w:rPr>
        <w:t>技股份有限公司发行股份购买资产并募集配套资金报告书（草案）》等相关公告。公司股票自2017年9月8</w:t>
      </w:r>
      <w:r>
        <w:rPr>
          <w:spacing w:val="40"/>
          <w:w w:val="95"/>
        </w:rPr>
        <w:t> </w:t>
      </w:r>
      <w:r>
        <w:rPr>
          <w:spacing w:val="40"/>
          <w:w w:val="95"/>
        </w:rPr>
      </w:r>
      <w:r>
        <w:rPr/>
        <w:t>日开市时起继续停牌。</w:t>
      </w:r>
    </w:p>
    <w:p>
      <w:pPr>
        <w:pStyle w:val="BodyText"/>
        <w:spacing w:line="273" w:lineRule="auto"/>
        <w:ind w:right="235" w:firstLine="420"/>
        <w:jc w:val="both"/>
      </w:pPr>
      <w:r>
        <w:rPr>
          <w:spacing w:val="2"/>
          <w:w w:val="95"/>
        </w:rPr>
        <w:t>公司于2017年9月14日收到深圳证券交易所中小板公司管理部《关于对安徽皖通科技股份有限公司的</w:t>
      </w:r>
      <w:r>
        <w:rPr>
          <w:spacing w:val="-90"/>
          <w:w w:val="95"/>
        </w:rPr>
        <w:t> </w:t>
      </w:r>
      <w:r>
        <w:rPr>
          <w:spacing w:val="-90"/>
          <w:w w:val="95"/>
        </w:rPr>
      </w:r>
      <w:r>
        <w:rPr>
          <w:spacing w:val="2"/>
          <w:w w:val="95"/>
        </w:rPr>
        <w:t>重组问询函（中小板重组问询函（需行政许可）[2017]第47号）》，并于2017年9月15日发布了《安徽皖</w:t>
      </w:r>
      <w:r>
        <w:rPr>
          <w:spacing w:val="32"/>
          <w:w w:val="95"/>
        </w:rPr>
        <w:t> </w:t>
      </w:r>
      <w:r>
        <w:rPr>
          <w:spacing w:val="32"/>
          <w:w w:val="95"/>
        </w:rPr>
      </w:r>
      <w:r>
        <w:rPr/>
        <w:t>通科技股份有限公司发行股份购买资产进展公告》（公告编号：2017-062）。</w:t>
      </w:r>
    </w:p>
    <w:p>
      <w:pPr>
        <w:pStyle w:val="BodyText"/>
        <w:spacing w:line="273" w:lineRule="auto"/>
        <w:ind w:right="235" w:firstLine="420"/>
        <w:jc w:val="both"/>
      </w:pPr>
      <w:r>
        <w:rPr>
          <w:spacing w:val="4"/>
          <w:w w:val="95"/>
        </w:rPr>
        <w:t>公司于2017年9月21日披露了《关于深圳证券交易所&lt;关于对安徽皖通科技股份有限公司的重组问询</w:t>
      </w:r>
      <w:r>
        <w:rPr>
          <w:spacing w:val="-87"/>
          <w:w w:val="95"/>
        </w:rPr>
        <w:t> </w:t>
      </w:r>
      <w:r>
        <w:rPr>
          <w:spacing w:val="-87"/>
          <w:w w:val="95"/>
        </w:rPr>
      </w:r>
      <w:r>
        <w:rPr>
          <w:w w:val="95"/>
        </w:rPr>
        <w:t>函&gt;的回复》等相关说明材料并报送深圳证券交易所中小板公司管理部。公司股票于2017年9月21日开市时</w:t>
      </w:r>
      <w:r>
        <w:rPr>
          <w:spacing w:val="37"/>
          <w:w w:val="95"/>
        </w:rPr>
        <w:t> </w:t>
      </w:r>
      <w:r>
        <w:rPr>
          <w:spacing w:val="37"/>
          <w:w w:val="95"/>
        </w:rPr>
      </w:r>
      <w:r>
        <w:rPr/>
        <w:t>起复牌。</w:t>
      </w:r>
    </w:p>
    <w:p>
      <w:pPr>
        <w:pStyle w:val="BodyText"/>
        <w:spacing w:line="273" w:lineRule="auto"/>
        <w:ind w:right="232" w:firstLine="420"/>
        <w:jc w:val="both"/>
      </w:pPr>
      <w:r>
        <w:rPr>
          <w:spacing w:val="2"/>
          <w:w w:val="95"/>
        </w:rPr>
        <w:t>公司于2017年9月27日召开2017年第二次临时股东大会，审议通过了《安徽皖通科技股份有限公司发</w:t>
      </w:r>
      <w:r>
        <w:rPr>
          <w:spacing w:val="-92"/>
          <w:w w:val="95"/>
        </w:rPr>
        <w:t> </w:t>
      </w:r>
      <w:r>
        <w:rPr>
          <w:spacing w:val="-92"/>
          <w:w w:val="95"/>
        </w:rPr>
      </w:r>
      <w:r>
        <w:rPr>
          <w:spacing w:val="2"/>
          <w:w w:val="95"/>
        </w:rPr>
        <w:t>行股份购买资产并募集配套资金报告书（草案）及其摘要》等相关议案，并于2017年9月28日发布了《安</w:t>
      </w:r>
      <w:r>
        <w:rPr>
          <w:spacing w:val="41"/>
          <w:w w:val="95"/>
        </w:rPr>
        <w:t> </w:t>
      </w:r>
      <w:r>
        <w:rPr>
          <w:spacing w:val="41"/>
          <w:w w:val="95"/>
        </w:rPr>
      </w:r>
      <w:r>
        <w:rPr/>
        <w:t>徽皖通科技股份有限公司第二次临时股东大会决议公告》（公告编号：2017-067）。</w:t>
      </w:r>
    </w:p>
    <w:p>
      <w:pPr>
        <w:pStyle w:val="BodyText"/>
        <w:spacing w:line="273" w:lineRule="auto"/>
        <w:ind w:right="105" w:firstLine="420"/>
        <w:jc w:val="left"/>
      </w:pPr>
      <w:r>
        <w:rPr>
          <w:spacing w:val="-2"/>
          <w:w w:val="95"/>
        </w:rPr>
        <w:t>公司于2017年10月10日收到中国证监会出具的《中国证监会行政许可申请受理通知书》（172016号），</w:t>
      </w:r>
      <w:r>
        <w:rPr>
          <w:spacing w:val="-71"/>
          <w:w w:val="95"/>
        </w:rPr>
        <w:t> </w:t>
      </w:r>
      <w:r>
        <w:rPr>
          <w:spacing w:val="-71"/>
          <w:w w:val="95"/>
        </w:rPr>
      </w:r>
      <w:r>
        <w:rPr/>
        <w:t>并于2017年10月11日发布了《安徽皖通科技股份有限公司关于发行股份购买资产并募集配套资金申请获得</w:t>
      </w:r>
      <w:r>
        <w:rPr>
          <w:w w:val="99"/>
        </w:rPr>
        <w:t> </w:t>
      </w:r>
      <w:r>
        <w:rPr/>
        <w:t>中国证监会受理的公告》（公告编号：2017-069）。</w:t>
      </w:r>
    </w:p>
    <w:p>
      <w:pPr>
        <w:pStyle w:val="BodyText"/>
        <w:spacing w:line="240" w:lineRule="auto"/>
        <w:ind w:left="532" w:right="105"/>
        <w:jc w:val="left"/>
      </w:pPr>
      <w:r>
        <w:rPr/>
        <w:t>公司于2017年10月27日收到中国证监会出具的《中国证监会行政许可项目审查一次反馈意见通知书》</w:t>
      </w:r>
    </w:p>
    <w:p>
      <w:pPr>
        <w:pStyle w:val="BodyText"/>
        <w:spacing w:line="273" w:lineRule="auto" w:before="37"/>
        <w:ind w:right="316"/>
        <w:jc w:val="left"/>
      </w:pPr>
      <w:r>
        <w:rPr>
          <w:w w:val="95"/>
        </w:rPr>
        <w:t>（172016号），并于2017年10月28日发布了《安徽皖通科技股份有限公司关于收到&lt;中国证监会行政许可</w:t>
      </w:r>
      <w:r>
        <w:rPr>
          <w:spacing w:val="56"/>
          <w:w w:val="95"/>
        </w:rPr>
        <w:t> </w:t>
      </w:r>
      <w:r>
        <w:rPr>
          <w:spacing w:val="56"/>
          <w:w w:val="95"/>
        </w:rPr>
      </w:r>
      <w:r>
        <w:rPr/>
        <w:t>项目审查一次反馈意见通知书&gt;的公告》（公告编号：2017-073）。</w:t>
      </w:r>
    </w:p>
    <w:p>
      <w:pPr>
        <w:pStyle w:val="BodyText"/>
        <w:spacing w:line="273" w:lineRule="auto" w:before="8"/>
        <w:ind w:right="316" w:firstLine="420"/>
        <w:jc w:val="both"/>
      </w:pPr>
      <w:r>
        <w:rPr>
          <w:w w:val="95"/>
        </w:rPr>
        <w:t>公司于2017年11月30日披露了《安徽皖通科技股份有限公司关于&lt;中国证监会行政许可项目审查一次</w:t>
      </w:r>
      <w:r>
        <w:rPr>
          <w:spacing w:val="-85"/>
          <w:w w:val="95"/>
        </w:rPr>
        <w:t> </w:t>
      </w:r>
      <w:r>
        <w:rPr>
          <w:spacing w:val="-85"/>
          <w:w w:val="95"/>
        </w:rPr>
      </w:r>
      <w:r>
        <w:rPr>
          <w:w w:val="95"/>
        </w:rPr>
        <w:t>反馈意见通知书&gt;之反馈意见回复的公告》（公告编号：2017-078），并向中国证监会报送反馈意见回复</w:t>
      </w:r>
      <w:r>
        <w:rPr>
          <w:spacing w:val="56"/>
          <w:w w:val="95"/>
        </w:rPr>
        <w:t> </w:t>
      </w:r>
      <w:r>
        <w:rPr>
          <w:spacing w:val="56"/>
          <w:w w:val="95"/>
        </w:rPr>
      </w:r>
      <w:r>
        <w:rPr/>
        <w:t>及相关材料。</w:t>
      </w:r>
    </w:p>
    <w:p>
      <w:pPr>
        <w:pStyle w:val="BodyText"/>
        <w:spacing w:line="273" w:lineRule="auto"/>
        <w:ind w:right="229" w:firstLine="420"/>
        <w:jc w:val="both"/>
      </w:pPr>
      <w:r>
        <w:rPr>
          <w:w w:val="95"/>
        </w:rPr>
        <w:t>公司于2017年12月14日披露了《安徽皖通科技股份有限公司关于中国证监会上市公司并购重组委员会</w:t>
      </w:r>
      <w:r>
        <w:rPr>
          <w:w w:val="99"/>
        </w:rPr>
        <w:t> </w:t>
      </w:r>
      <w:r>
        <w:rPr>
          <w:w w:val="95"/>
        </w:rPr>
        <w:t>审核公司发行股份购买资产并募集配套资金事项的停牌公告》（公告编号：2017-083），公司股票于2017</w:t>
      </w:r>
      <w:r>
        <w:rPr>
          <w:spacing w:val="44"/>
          <w:w w:val="95"/>
        </w:rPr>
        <w:t> </w:t>
      </w:r>
      <w:r>
        <w:rPr>
          <w:spacing w:val="44"/>
          <w:w w:val="95"/>
        </w:rPr>
      </w:r>
      <w:r>
        <w:rPr/>
        <w:t>年12月14日开市时起停牌。</w:t>
      </w:r>
    </w:p>
    <w:p>
      <w:pPr>
        <w:pStyle w:val="BodyText"/>
        <w:spacing w:line="273" w:lineRule="auto" w:before="8"/>
        <w:ind w:right="229" w:firstLine="420"/>
        <w:jc w:val="both"/>
      </w:pPr>
      <w:r>
        <w:rPr>
          <w:w w:val="95"/>
        </w:rPr>
        <w:t>公司于2017年12月20日收到中国证监会通知：本次发行股份购买资产并募集配套资金事项中国证监会</w:t>
      </w:r>
      <w:r>
        <w:rPr>
          <w:w w:val="99"/>
        </w:rPr>
        <w:t> </w:t>
      </w:r>
      <w:r>
        <w:rPr>
          <w:w w:val="95"/>
        </w:rPr>
        <w:t>上市公司并购重组审核委员会召开的2017年第73次并购重组委工作会议上获得无条件通过，并于2017年12</w:t>
      </w:r>
      <w:r>
        <w:rPr>
          <w:spacing w:val="41"/>
          <w:w w:val="95"/>
        </w:rPr>
        <w:t> </w:t>
      </w:r>
      <w:r>
        <w:rPr>
          <w:spacing w:val="41"/>
          <w:w w:val="95"/>
        </w:rPr>
      </w:r>
      <w:r>
        <w:rPr>
          <w:w w:val="95"/>
        </w:rPr>
        <w:t>月21日披露了《安徽皖通科技股份有限公司关于发行股份购买资产并募集配套资金事项获得中国证监会上</w:t>
      </w:r>
      <w:r>
        <w:rPr>
          <w:spacing w:val="39"/>
          <w:w w:val="95"/>
        </w:rPr>
        <w:t> </w:t>
      </w:r>
      <w:r>
        <w:rPr>
          <w:spacing w:val="39"/>
          <w:w w:val="95"/>
        </w:rPr>
      </w:r>
      <w:r>
        <w:rPr>
          <w:w w:val="95"/>
        </w:rPr>
        <w:t>市公司并购重组委员会审核通过暨公司股票复牌的公告》（公告编号：2017-085），公司股票于2017年12</w:t>
      </w:r>
      <w:r>
        <w:rPr>
          <w:spacing w:val="44"/>
          <w:w w:val="95"/>
        </w:rPr>
        <w:t> </w:t>
      </w:r>
      <w:r>
        <w:rPr>
          <w:spacing w:val="44"/>
          <w:w w:val="95"/>
        </w:rPr>
      </w:r>
      <w:r>
        <w:rPr/>
        <w:t>月21日开市时起复牌。</w:t>
      </w:r>
    </w:p>
    <w:p>
      <w:pPr>
        <w:pStyle w:val="BodyText"/>
        <w:spacing w:line="273" w:lineRule="auto" w:before="8"/>
        <w:ind w:right="268" w:firstLine="420"/>
        <w:jc w:val="both"/>
      </w:pPr>
      <w:r>
        <w:rPr>
          <w:spacing w:val="-1"/>
          <w:w w:val="95"/>
        </w:rPr>
        <w:t>公司于2018年1月5日收到中国证监会印发的《关于核准安徽皖通科技股份有限公司向易增辉等发行股</w:t>
      </w:r>
      <w:r>
        <w:rPr>
          <w:spacing w:val="-90"/>
          <w:w w:val="95"/>
        </w:rPr>
        <w:t> </w:t>
      </w:r>
      <w:r>
        <w:rPr>
          <w:spacing w:val="-90"/>
          <w:w w:val="95"/>
        </w:rPr>
      </w:r>
      <w:r>
        <w:rPr>
          <w:spacing w:val="-1"/>
          <w:w w:val="95"/>
        </w:rPr>
        <w:t>份购买资产并募集配套资金的批复》（证监许可[2017]2457号），并于2018年1月6日披露了《安徽皖通科</w:t>
      </w:r>
      <w:r>
        <w:rPr>
          <w:spacing w:val="58"/>
          <w:w w:val="95"/>
        </w:rPr>
        <w:t> </w:t>
      </w:r>
      <w:r>
        <w:rPr>
          <w:spacing w:val="58"/>
          <w:w w:val="95"/>
        </w:rPr>
      </w:r>
      <w:r>
        <w:rPr>
          <w:spacing w:val="-1"/>
          <w:w w:val="95"/>
        </w:rPr>
        <w:t>技股份有限公司关于公司发行股份购买资产并募集配套资金事项获得中国证监会核准批复的公告》（公告</w:t>
      </w:r>
      <w:r>
        <w:rPr>
          <w:spacing w:val="49"/>
          <w:w w:val="95"/>
        </w:rPr>
        <w:t> </w:t>
      </w:r>
      <w:r>
        <w:rPr>
          <w:spacing w:val="49"/>
          <w:w w:val="95"/>
        </w:rPr>
      </w:r>
      <w:r>
        <w:rPr/>
        <w:t>编号：2018-001）。</w:t>
      </w:r>
    </w:p>
    <w:p>
      <w:pPr>
        <w:pStyle w:val="BodyText"/>
        <w:spacing w:line="273" w:lineRule="auto"/>
        <w:ind w:right="316" w:firstLine="420"/>
        <w:jc w:val="both"/>
      </w:pPr>
      <w:r>
        <w:rPr>
          <w:w w:val="95"/>
        </w:rPr>
        <w:t>公司于2018年1月25日披露了《安徽皖通科技股份有限公司关于公司发行股份购买资产并募集配套资</w:t>
      </w:r>
      <w:r>
        <w:rPr>
          <w:spacing w:val="-85"/>
          <w:w w:val="95"/>
        </w:rPr>
        <w:t> </w:t>
      </w:r>
      <w:r>
        <w:rPr>
          <w:spacing w:val="-85"/>
          <w:w w:val="95"/>
        </w:rPr>
      </w:r>
      <w:r>
        <w:rPr/>
        <w:t>金之标的资产过户完成的公告》（公告编号：2018-005）。</w:t>
      </w:r>
    </w:p>
    <w:p>
      <w:pPr>
        <w:spacing w:after="0" w:line="273" w:lineRule="auto"/>
        <w:jc w:val="both"/>
        <w:sectPr>
          <w:pgSz w:w="11910" w:h="16840"/>
          <w:pgMar w:header="746" w:footer="937" w:top="1040" w:bottom="1120" w:left="1020" w:right="900"/>
        </w:sectPr>
      </w:pPr>
    </w:p>
    <w:p>
      <w:pPr>
        <w:spacing w:line="240" w:lineRule="auto" w:before="6"/>
        <w:rPr>
          <w:rFonts w:ascii="宋体" w:hAnsi="宋体" w:cs="宋体" w:eastAsia="宋体" w:hint="default"/>
          <w:sz w:val="25"/>
          <w:szCs w:val="25"/>
        </w:rPr>
      </w:pPr>
    </w:p>
    <w:p>
      <w:pPr>
        <w:pStyle w:val="BodyText"/>
        <w:spacing w:line="273" w:lineRule="auto" w:before="34"/>
        <w:ind w:right="112" w:firstLine="420"/>
        <w:jc w:val="both"/>
      </w:pPr>
      <w:r>
        <w:rPr>
          <w:spacing w:val="2"/>
          <w:w w:val="95"/>
        </w:rPr>
        <w:t>公司于2018年2月13日披露了《安徽皖通科技股份有限公司发行股份购买资产并募集配套资金实施情</w:t>
      </w:r>
      <w:r>
        <w:rPr>
          <w:spacing w:val="-90"/>
          <w:w w:val="95"/>
        </w:rPr>
        <w:t> </w:t>
      </w:r>
      <w:r>
        <w:rPr>
          <w:spacing w:val="-90"/>
          <w:w w:val="95"/>
        </w:rPr>
      </w:r>
      <w:r>
        <w:rPr>
          <w:spacing w:val="2"/>
          <w:w w:val="95"/>
        </w:rPr>
        <w:t>况暨新增股份上市报告书》,本次发行股份购买资产的发行对象易增辉、林木顺、张荷花、吴常念、汪学</w:t>
      </w:r>
      <w:r>
        <w:rPr>
          <w:spacing w:val="49"/>
          <w:w w:val="95"/>
        </w:rPr>
        <w:t> </w:t>
      </w:r>
      <w:r>
        <w:rPr>
          <w:spacing w:val="49"/>
          <w:w w:val="95"/>
        </w:rPr>
      </w:r>
      <w:r>
        <w:rPr>
          <w:spacing w:val="2"/>
          <w:w w:val="95"/>
        </w:rPr>
        <w:t>刚、吴义华、林洪钢、唐世容、姚宗诚、陈乐桥、邹林、周云等12名自然人持有的公司股份于2018年2月</w:t>
      </w:r>
      <w:r>
        <w:rPr>
          <w:spacing w:val="43"/>
          <w:w w:val="95"/>
        </w:rPr>
        <w:t> </w:t>
      </w:r>
      <w:r>
        <w:rPr>
          <w:spacing w:val="43"/>
          <w:w w:val="95"/>
        </w:rPr>
      </w:r>
      <w:r>
        <w:rPr/>
        <w:t>14日在深交所中小板上市。</w:t>
      </w:r>
    </w:p>
    <w:tbl>
      <w:tblPr>
        <w:tblW w:w="0" w:type="auto"/>
        <w:jc w:val="left"/>
        <w:tblInd w:w="106" w:type="dxa"/>
        <w:tblLayout w:type="fixed"/>
        <w:tblCellMar>
          <w:top w:w="0" w:type="dxa"/>
          <w:left w:w="0" w:type="dxa"/>
          <w:bottom w:w="0" w:type="dxa"/>
          <w:right w:w="0" w:type="dxa"/>
        </w:tblCellMar>
        <w:tblLook w:val="01E0"/>
      </w:tblPr>
      <w:tblGrid>
        <w:gridCol w:w="4834"/>
        <w:gridCol w:w="2055"/>
        <w:gridCol w:w="2680"/>
      </w:tblGrid>
      <w:tr>
        <w:trPr>
          <w:trHeight w:val="347" w:hRule="exact"/>
        </w:trPr>
        <w:tc>
          <w:tcPr>
            <w:tcW w:w="4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重要事项概述</w:t>
            </w:r>
          </w:p>
        </w:tc>
        <w:tc>
          <w:tcPr>
            <w:tcW w:w="20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26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1" w:lineRule="exact"/>
              <w:ind w:left="72" w:right="0"/>
              <w:jc w:val="left"/>
              <w:rPr>
                <w:rFonts w:ascii="宋体" w:hAnsi="宋体" w:cs="宋体" w:eastAsia="宋体" w:hint="default"/>
                <w:sz w:val="21"/>
                <w:szCs w:val="21"/>
              </w:rPr>
            </w:pPr>
            <w:r>
              <w:rPr>
                <w:rFonts w:ascii="宋体" w:hAnsi="宋体" w:cs="宋体" w:eastAsia="宋体" w:hint="default"/>
                <w:sz w:val="21"/>
                <w:szCs w:val="21"/>
              </w:rPr>
              <w:t>临时报告披露网站查询索引</w:t>
            </w:r>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《安徽皖通科技股份有限公司关于筹划重大事项的</w:t>
            </w:r>
            <w:r>
              <w:rPr>
                <w:rFonts w:ascii="宋体" w:hAnsi="宋体" w:cs="宋体" w:eastAsia="宋体" w:hint="default"/>
                <w:w w:val="99"/>
                <w:sz w:val="21"/>
                <w:szCs w:val="21"/>
              </w:rPr>
              <w:t> </w:t>
            </w:r>
            <w:r>
              <w:rPr>
                <w:rFonts w:ascii="宋体" w:hAnsi="宋体" w:cs="宋体" w:eastAsia="宋体" w:hint="default"/>
                <w:sz w:val="21"/>
                <w:szCs w:val="21"/>
              </w:rPr>
              <w:t>停牌公告》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2017年05月02日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《安徽皖通科技股份有限公司关于筹划发行股份购</w:t>
            </w:r>
            <w:r>
              <w:rPr>
                <w:rFonts w:ascii="宋体" w:hAnsi="宋体" w:cs="宋体" w:eastAsia="宋体" w:hint="default"/>
                <w:w w:val="99"/>
                <w:sz w:val="21"/>
                <w:szCs w:val="21"/>
              </w:rPr>
              <w:t> </w:t>
            </w:r>
            <w:r>
              <w:rPr>
                <w:rFonts w:ascii="宋体" w:hAnsi="宋体" w:cs="宋体" w:eastAsia="宋体" w:hint="default"/>
                <w:sz w:val="21"/>
                <w:szCs w:val="21"/>
              </w:rPr>
              <w:t>买资产的停牌公告》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2017年05月09日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r>
              <w:rPr>
                <w:rFonts w:ascii="宋体" w:hAnsi="宋体" w:cs="宋体" w:eastAsia="宋体" w:hint="default"/>
                <w:w w:val="99"/>
                <w:sz w:val="21"/>
                <w:szCs w:val="21"/>
              </w:rPr>
              <w:t> </w:t>
            </w:r>
            <w:r>
              <w:rPr>
                <w:rFonts w:ascii="宋体" w:hAnsi="宋体" w:cs="宋体" w:eastAsia="宋体" w:hint="default"/>
                <w:sz w:val="21"/>
                <w:szCs w:val="21"/>
              </w:rPr>
              <w:t>展公告》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2017年05月16日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r>
              <w:rPr>
                <w:rFonts w:ascii="宋体" w:hAnsi="宋体" w:cs="宋体" w:eastAsia="宋体" w:hint="default"/>
                <w:w w:val="99"/>
                <w:sz w:val="21"/>
                <w:szCs w:val="21"/>
              </w:rPr>
              <w:t> </w:t>
            </w:r>
            <w:r>
              <w:rPr>
                <w:rFonts w:ascii="宋体" w:hAnsi="宋体" w:cs="宋体" w:eastAsia="宋体" w:hint="default"/>
                <w:sz w:val="21"/>
                <w:szCs w:val="21"/>
              </w:rPr>
              <w:t>展公告》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2017年05月23日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r>
              <w:rPr>
                <w:rFonts w:ascii="宋体" w:hAnsi="宋体" w:cs="宋体" w:eastAsia="宋体" w:hint="default"/>
                <w:w w:val="99"/>
                <w:sz w:val="21"/>
                <w:szCs w:val="21"/>
              </w:rPr>
              <w:t> </w:t>
            </w:r>
            <w:r>
              <w:rPr>
                <w:rFonts w:ascii="宋体" w:hAnsi="宋体" w:cs="宋体" w:eastAsia="宋体" w:hint="default"/>
                <w:sz w:val="21"/>
                <w:szCs w:val="21"/>
              </w:rPr>
              <w:t>展暨延期复牌公告》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2017年06月01日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r>
              <w:rPr>
                <w:rFonts w:ascii="宋体" w:hAnsi="宋体" w:cs="宋体" w:eastAsia="宋体" w:hint="default"/>
                <w:w w:val="99"/>
                <w:sz w:val="21"/>
                <w:szCs w:val="21"/>
              </w:rPr>
              <w:t> </w:t>
            </w:r>
            <w:r>
              <w:rPr>
                <w:rFonts w:ascii="宋体" w:hAnsi="宋体" w:cs="宋体" w:eastAsia="宋体" w:hint="default"/>
                <w:sz w:val="21"/>
                <w:szCs w:val="21"/>
              </w:rPr>
              <w:t>展公告》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2017年06月08日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r>
              <w:rPr>
                <w:rFonts w:ascii="宋体" w:hAnsi="宋体" w:cs="宋体" w:eastAsia="宋体" w:hint="default"/>
                <w:w w:val="99"/>
                <w:sz w:val="21"/>
                <w:szCs w:val="21"/>
              </w:rPr>
              <w:t> </w:t>
            </w:r>
            <w:r>
              <w:rPr>
                <w:rFonts w:ascii="宋体" w:hAnsi="宋体" w:cs="宋体" w:eastAsia="宋体" w:hint="default"/>
                <w:sz w:val="21"/>
                <w:szCs w:val="21"/>
              </w:rPr>
              <w:t>展公告》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2017年06月15日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r>
              <w:rPr>
                <w:rFonts w:ascii="宋体" w:hAnsi="宋体" w:cs="宋体" w:eastAsia="宋体" w:hint="default"/>
                <w:w w:val="99"/>
                <w:sz w:val="21"/>
                <w:szCs w:val="21"/>
              </w:rPr>
              <w:t> </w:t>
            </w:r>
            <w:r>
              <w:rPr>
                <w:rFonts w:ascii="宋体" w:hAnsi="宋体" w:cs="宋体" w:eastAsia="宋体" w:hint="default"/>
                <w:sz w:val="21"/>
                <w:szCs w:val="21"/>
              </w:rPr>
              <w:t>展公告》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2017年06月22日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r>
              <w:rPr>
                <w:rFonts w:ascii="宋体" w:hAnsi="宋体" w:cs="宋体" w:eastAsia="宋体" w:hint="default"/>
                <w:w w:val="99"/>
                <w:sz w:val="21"/>
                <w:szCs w:val="21"/>
              </w:rPr>
              <w:t> </w:t>
            </w:r>
            <w:r>
              <w:rPr>
                <w:rFonts w:ascii="宋体" w:hAnsi="宋体" w:cs="宋体" w:eastAsia="宋体" w:hint="default"/>
                <w:sz w:val="21"/>
                <w:szCs w:val="21"/>
              </w:rPr>
              <w:t>展暨延期复牌公告》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2017年06月29日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r>
              <w:rPr>
                <w:rFonts w:ascii="宋体" w:hAnsi="宋体" w:cs="宋体" w:eastAsia="宋体" w:hint="default"/>
                <w:w w:val="99"/>
                <w:sz w:val="21"/>
                <w:szCs w:val="21"/>
              </w:rPr>
              <w:t> </w:t>
            </w:r>
            <w:r>
              <w:rPr>
                <w:rFonts w:ascii="宋体" w:hAnsi="宋体" w:cs="宋体" w:eastAsia="宋体" w:hint="default"/>
                <w:sz w:val="21"/>
                <w:szCs w:val="21"/>
              </w:rPr>
              <w:t>展公告》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2017年07月06日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r>
              <w:rPr>
                <w:rFonts w:ascii="宋体" w:hAnsi="宋体" w:cs="宋体" w:eastAsia="宋体" w:hint="default"/>
                <w:w w:val="99"/>
                <w:sz w:val="21"/>
                <w:szCs w:val="21"/>
              </w:rPr>
              <w:t> </w:t>
            </w:r>
            <w:r>
              <w:rPr>
                <w:rFonts w:ascii="宋体" w:hAnsi="宋体" w:cs="宋体" w:eastAsia="宋体" w:hint="default"/>
                <w:sz w:val="21"/>
                <w:szCs w:val="21"/>
              </w:rPr>
              <w:t>展公告》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2017年07月13日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《安徽皖通科技股份有限公司发行股份购买资产停</w:t>
            </w:r>
            <w:r>
              <w:rPr>
                <w:rFonts w:ascii="宋体" w:hAnsi="宋体" w:cs="宋体" w:eastAsia="宋体" w:hint="default"/>
                <w:w w:val="99"/>
                <w:sz w:val="21"/>
                <w:szCs w:val="21"/>
              </w:rPr>
              <w:t> </w:t>
            </w:r>
            <w:r>
              <w:rPr>
                <w:rFonts w:ascii="宋体" w:hAnsi="宋体" w:cs="宋体" w:eastAsia="宋体" w:hint="default"/>
                <w:sz w:val="21"/>
                <w:szCs w:val="21"/>
              </w:rPr>
              <w:t>牌期满申请继续停牌的公告》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2017年07月15日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r>
              <w:rPr>
                <w:rFonts w:ascii="宋体" w:hAnsi="宋体" w:cs="宋体" w:eastAsia="宋体" w:hint="default"/>
                <w:w w:val="99"/>
                <w:sz w:val="21"/>
                <w:szCs w:val="21"/>
              </w:rPr>
              <w:t> </w:t>
            </w:r>
            <w:r>
              <w:rPr>
                <w:rFonts w:ascii="宋体" w:hAnsi="宋体" w:cs="宋体" w:eastAsia="宋体" w:hint="default"/>
                <w:sz w:val="21"/>
                <w:szCs w:val="21"/>
              </w:rPr>
              <w:t>展公告》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2017年07月20日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r>
              <w:rPr>
                <w:rFonts w:ascii="宋体" w:hAnsi="宋体" w:cs="宋体" w:eastAsia="宋体" w:hint="default"/>
                <w:w w:val="99"/>
                <w:sz w:val="21"/>
                <w:szCs w:val="21"/>
              </w:rPr>
              <w:t> </w:t>
            </w:r>
            <w:r>
              <w:rPr>
                <w:rFonts w:ascii="宋体" w:hAnsi="宋体" w:cs="宋体" w:eastAsia="宋体" w:hint="default"/>
                <w:sz w:val="21"/>
                <w:szCs w:val="21"/>
              </w:rPr>
              <w:t>展公告》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2017年07月27日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《安徽皖通科技股份有限公司发行股份购买资产停</w:t>
            </w:r>
            <w:r>
              <w:rPr>
                <w:rFonts w:ascii="宋体" w:hAnsi="宋体" w:cs="宋体" w:eastAsia="宋体" w:hint="default"/>
                <w:w w:val="99"/>
                <w:sz w:val="21"/>
                <w:szCs w:val="21"/>
              </w:rPr>
              <w:t> </w:t>
            </w:r>
            <w:r>
              <w:rPr>
                <w:rFonts w:ascii="宋体" w:hAnsi="宋体" w:cs="宋体" w:eastAsia="宋体" w:hint="default"/>
                <w:sz w:val="21"/>
                <w:szCs w:val="21"/>
              </w:rPr>
              <w:t>牌期满继续停牌的公告》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2017年08月01日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r>
              <w:rPr>
                <w:rFonts w:ascii="宋体" w:hAnsi="宋体" w:cs="宋体" w:eastAsia="宋体" w:hint="default"/>
                <w:w w:val="99"/>
                <w:sz w:val="21"/>
                <w:szCs w:val="21"/>
              </w:rPr>
              <w:t> </w:t>
            </w:r>
            <w:r>
              <w:rPr>
                <w:rFonts w:ascii="宋体" w:hAnsi="宋体" w:cs="宋体" w:eastAsia="宋体" w:hint="default"/>
                <w:sz w:val="21"/>
                <w:szCs w:val="21"/>
              </w:rPr>
              <w:t>展公告》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2017年08月08日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r>
              <w:rPr>
                <w:rFonts w:ascii="宋体" w:hAnsi="宋体" w:cs="宋体" w:eastAsia="宋体" w:hint="default"/>
                <w:w w:val="99"/>
                <w:sz w:val="21"/>
                <w:szCs w:val="21"/>
              </w:rPr>
              <w:t> </w:t>
            </w:r>
            <w:r>
              <w:rPr>
                <w:rFonts w:ascii="宋体" w:hAnsi="宋体" w:cs="宋体" w:eastAsia="宋体" w:hint="default"/>
                <w:sz w:val="21"/>
                <w:szCs w:val="21"/>
              </w:rPr>
              <w:t>展公告》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2017年08月15日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r>
              <w:rPr>
                <w:rFonts w:ascii="宋体" w:hAnsi="宋体" w:cs="宋体" w:eastAsia="宋体" w:hint="default"/>
                <w:w w:val="99"/>
                <w:sz w:val="21"/>
                <w:szCs w:val="21"/>
              </w:rPr>
              <w:t> </w:t>
            </w:r>
            <w:r>
              <w:rPr>
                <w:rFonts w:ascii="宋体" w:hAnsi="宋体" w:cs="宋体" w:eastAsia="宋体" w:hint="default"/>
                <w:sz w:val="21"/>
                <w:szCs w:val="21"/>
              </w:rPr>
              <w:t>展公告》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2017年08月22日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345"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2017年08月29日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hyperlink r:id="rId12">
              <w:r>
                <w:rPr>
                  <w:rFonts w:ascii="宋体"/>
                  <w:sz w:val="21"/>
                </w:rPr>
                <w:t>http://www.cninfo.com.cn</w:t>
              </w:r>
            </w:hyperlink>
          </w:p>
        </w:tc>
      </w:tr>
    </w:tbl>
    <w:p>
      <w:pPr>
        <w:spacing w:after="0" w:line="270" w:lineRule="exact"/>
        <w:jc w:val="left"/>
        <w:rPr>
          <w:rFonts w:ascii="宋体" w:hAnsi="宋体" w:cs="宋体" w:eastAsia="宋体" w:hint="default"/>
          <w:sz w:val="21"/>
          <w:szCs w:val="21"/>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4834"/>
        <w:gridCol w:w="2055"/>
        <w:gridCol w:w="2680"/>
      </w:tblGrid>
      <w:tr>
        <w:trPr>
          <w:trHeight w:val="347"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展公告》</w:t>
            </w:r>
          </w:p>
        </w:tc>
        <w:tc>
          <w:tcPr>
            <w:tcW w:w="2055" w:type="dxa"/>
            <w:tcBorders>
              <w:top w:val="single" w:sz="6" w:space="0" w:color="000000"/>
              <w:left w:val="single" w:sz="6" w:space="0" w:color="000000"/>
              <w:bottom w:val="single" w:sz="6" w:space="0" w:color="000000"/>
              <w:right w:val="single" w:sz="6" w:space="0" w:color="000000"/>
            </w:tcBorders>
          </w:tcPr>
          <w:p>
            <w:pPr/>
          </w:p>
        </w:tc>
        <w:tc>
          <w:tcPr>
            <w:tcW w:w="268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r>
              <w:rPr>
                <w:rFonts w:ascii="宋体" w:hAnsi="宋体" w:cs="宋体" w:eastAsia="宋体" w:hint="default"/>
                <w:w w:val="99"/>
                <w:sz w:val="21"/>
                <w:szCs w:val="21"/>
              </w:rPr>
              <w:t> </w:t>
            </w:r>
            <w:r>
              <w:rPr>
                <w:rFonts w:ascii="宋体" w:hAnsi="宋体" w:cs="宋体" w:eastAsia="宋体" w:hint="default"/>
                <w:sz w:val="21"/>
                <w:szCs w:val="21"/>
              </w:rPr>
              <w:t>展暨延期复牌公告》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2017年09月01日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《安徽皖通科技股份有限公司发行股份购买资产并</w:t>
            </w:r>
            <w:r>
              <w:rPr>
                <w:rFonts w:ascii="宋体" w:hAnsi="宋体" w:cs="宋体" w:eastAsia="宋体" w:hint="default"/>
                <w:w w:val="99"/>
                <w:sz w:val="21"/>
                <w:szCs w:val="21"/>
              </w:rPr>
              <w:t> </w:t>
            </w:r>
            <w:r>
              <w:rPr>
                <w:rFonts w:ascii="宋体" w:hAnsi="宋体" w:cs="宋体" w:eastAsia="宋体" w:hint="default"/>
                <w:sz w:val="21"/>
                <w:szCs w:val="21"/>
              </w:rPr>
              <w:t>募集配套资金报告书（草案）》</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2017年09月08日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《安徽皖通科技股份有限公司发行股份购买资产进</w:t>
            </w:r>
            <w:r>
              <w:rPr>
                <w:rFonts w:ascii="宋体" w:hAnsi="宋体" w:cs="宋体" w:eastAsia="宋体" w:hint="default"/>
                <w:w w:val="99"/>
                <w:sz w:val="21"/>
                <w:szCs w:val="21"/>
              </w:rPr>
              <w:t> </w:t>
            </w:r>
            <w:r>
              <w:rPr>
                <w:rFonts w:ascii="宋体" w:hAnsi="宋体" w:cs="宋体" w:eastAsia="宋体" w:hint="default"/>
                <w:sz w:val="21"/>
                <w:szCs w:val="21"/>
              </w:rPr>
              <w:t>展公告》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2017年09月15日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971"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89"/>
              <w:jc w:val="both"/>
              <w:rPr>
                <w:rFonts w:ascii="宋体" w:hAnsi="宋体" w:cs="宋体" w:eastAsia="宋体" w:hint="default"/>
                <w:sz w:val="21"/>
                <w:szCs w:val="21"/>
              </w:rPr>
            </w:pPr>
            <w:r>
              <w:rPr>
                <w:rFonts w:ascii="宋体" w:hAnsi="宋体" w:cs="宋体" w:eastAsia="宋体" w:hint="default"/>
                <w:sz w:val="21"/>
                <w:szCs w:val="21"/>
              </w:rPr>
              <w:t>《安徽皖通科技股份有限公司关于深圳证券交易所&lt;</w:t>
            </w:r>
            <w:r>
              <w:rPr>
                <w:rFonts w:ascii="宋体" w:hAnsi="宋体" w:cs="宋体" w:eastAsia="宋体" w:hint="default"/>
                <w:w w:val="99"/>
                <w:sz w:val="21"/>
                <w:szCs w:val="21"/>
              </w:rPr>
              <w:t> </w:t>
            </w:r>
            <w:r>
              <w:rPr>
                <w:rFonts w:ascii="宋体" w:hAnsi="宋体" w:cs="宋体" w:eastAsia="宋体" w:hint="default"/>
                <w:sz w:val="21"/>
                <w:szCs w:val="21"/>
              </w:rPr>
              <w:t>关于对安徽皖通科技股份有限公司的重组问询函&gt;的</w:t>
            </w:r>
            <w:r>
              <w:rPr>
                <w:rFonts w:ascii="宋体" w:hAnsi="宋体" w:cs="宋体" w:eastAsia="宋体" w:hint="default"/>
                <w:w w:val="99"/>
                <w:sz w:val="21"/>
                <w:szCs w:val="21"/>
              </w:rPr>
              <w:t> </w:t>
            </w:r>
            <w:r>
              <w:rPr>
                <w:rFonts w:ascii="宋体" w:hAnsi="宋体" w:cs="宋体" w:eastAsia="宋体" w:hint="default"/>
                <w:sz w:val="21"/>
                <w:szCs w:val="21"/>
              </w:rPr>
              <w:t>回复》</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2017年09月21日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《安徽皖通科技股份有限公司发行股份购买资产并</w:t>
            </w:r>
            <w:r>
              <w:rPr>
                <w:rFonts w:ascii="宋体" w:hAnsi="宋体" w:cs="宋体" w:eastAsia="宋体" w:hint="default"/>
                <w:w w:val="99"/>
                <w:sz w:val="21"/>
                <w:szCs w:val="21"/>
              </w:rPr>
              <w:t> </w:t>
            </w:r>
            <w:r>
              <w:rPr>
                <w:rFonts w:ascii="宋体" w:hAnsi="宋体" w:cs="宋体" w:eastAsia="宋体" w:hint="default"/>
                <w:sz w:val="21"/>
                <w:szCs w:val="21"/>
              </w:rPr>
              <w:t>募集配套资金报告书（修订稿）》</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2017年09月21日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《安徽皖通科技股份有限公司第二次临时股东大会</w:t>
            </w:r>
            <w:r>
              <w:rPr>
                <w:rFonts w:ascii="宋体" w:hAnsi="宋体" w:cs="宋体" w:eastAsia="宋体" w:hint="default"/>
                <w:w w:val="99"/>
                <w:sz w:val="21"/>
                <w:szCs w:val="21"/>
              </w:rPr>
              <w:t> </w:t>
            </w:r>
            <w:r>
              <w:rPr>
                <w:rFonts w:ascii="宋体" w:hAnsi="宋体" w:cs="宋体" w:eastAsia="宋体" w:hint="default"/>
                <w:sz w:val="21"/>
                <w:szCs w:val="21"/>
              </w:rPr>
              <w:t>决议公告》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2017年09月28日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4"/>
              <w:jc w:val="left"/>
              <w:rPr>
                <w:rFonts w:ascii="宋体" w:hAnsi="宋体" w:cs="宋体" w:eastAsia="宋体" w:hint="default"/>
                <w:sz w:val="21"/>
                <w:szCs w:val="21"/>
              </w:rPr>
            </w:pPr>
            <w:r>
              <w:rPr>
                <w:rFonts w:ascii="宋体" w:hAnsi="宋体" w:cs="宋体" w:eastAsia="宋体" w:hint="default"/>
                <w:sz w:val="21"/>
                <w:szCs w:val="21"/>
              </w:rPr>
              <w:t>《安徽皖通科技股份有限公司关于发行股份购买资</w:t>
            </w:r>
            <w:r>
              <w:rPr>
                <w:rFonts w:ascii="宋体" w:hAnsi="宋体" w:cs="宋体" w:eastAsia="宋体" w:hint="default"/>
                <w:w w:val="99"/>
                <w:sz w:val="21"/>
                <w:szCs w:val="21"/>
              </w:rPr>
              <w:t> </w:t>
            </w:r>
            <w:r>
              <w:rPr>
                <w:rFonts w:ascii="宋体" w:hAnsi="宋体" w:cs="宋体" w:eastAsia="宋体" w:hint="default"/>
                <w:sz w:val="21"/>
                <w:szCs w:val="21"/>
              </w:rPr>
              <w:t>产并募集配套资金申请获得中国证监会受理的公告》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2017年10月11日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90"/>
              <w:jc w:val="left"/>
              <w:rPr>
                <w:rFonts w:ascii="宋体" w:hAnsi="宋体" w:cs="宋体" w:eastAsia="宋体" w:hint="default"/>
                <w:sz w:val="21"/>
                <w:szCs w:val="21"/>
              </w:rPr>
            </w:pPr>
            <w:r>
              <w:rPr>
                <w:rFonts w:ascii="宋体" w:hAnsi="宋体" w:cs="宋体" w:eastAsia="宋体" w:hint="default"/>
                <w:sz w:val="21"/>
                <w:szCs w:val="21"/>
              </w:rPr>
              <w:t>《安徽皖通科技股份有限公司关于收到&lt;中国证监会</w:t>
            </w:r>
            <w:r>
              <w:rPr>
                <w:rFonts w:ascii="宋体" w:hAnsi="宋体" w:cs="宋体" w:eastAsia="宋体" w:hint="default"/>
                <w:w w:val="99"/>
                <w:sz w:val="21"/>
                <w:szCs w:val="21"/>
              </w:rPr>
              <w:t> </w:t>
            </w:r>
            <w:r>
              <w:rPr>
                <w:rFonts w:ascii="宋体" w:hAnsi="宋体" w:cs="宋体" w:eastAsia="宋体" w:hint="default"/>
                <w:sz w:val="21"/>
                <w:szCs w:val="21"/>
              </w:rPr>
              <w:t>行政许可项目审查一次反馈意见通知书&gt;的公告》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2017年10月28日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971"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90"/>
              <w:jc w:val="both"/>
              <w:rPr>
                <w:rFonts w:ascii="宋体" w:hAnsi="宋体" w:cs="宋体" w:eastAsia="宋体" w:hint="default"/>
                <w:sz w:val="21"/>
                <w:szCs w:val="21"/>
              </w:rPr>
            </w:pPr>
            <w:r>
              <w:rPr>
                <w:rFonts w:ascii="宋体" w:hAnsi="宋体" w:cs="宋体" w:eastAsia="宋体" w:hint="default"/>
                <w:sz w:val="21"/>
                <w:szCs w:val="21"/>
              </w:rPr>
              <w:t>《安徽皖通科技股份有限公司关于&lt;中国证监会行政</w:t>
            </w:r>
            <w:r>
              <w:rPr>
                <w:rFonts w:ascii="宋体" w:hAnsi="宋体" w:cs="宋体" w:eastAsia="宋体" w:hint="default"/>
                <w:w w:val="99"/>
                <w:sz w:val="21"/>
                <w:szCs w:val="21"/>
              </w:rPr>
              <w:t> </w:t>
            </w:r>
            <w:r>
              <w:rPr>
                <w:rFonts w:ascii="宋体" w:hAnsi="宋体" w:cs="宋体" w:eastAsia="宋体" w:hint="default"/>
                <w:sz w:val="21"/>
                <w:szCs w:val="21"/>
              </w:rPr>
              <w:t>许可项目审查一次反馈意见通知书&gt;之反馈意见回复</w:t>
            </w:r>
            <w:r>
              <w:rPr>
                <w:rFonts w:ascii="宋体" w:hAnsi="宋体" w:cs="宋体" w:eastAsia="宋体" w:hint="default"/>
                <w:w w:val="99"/>
                <w:sz w:val="21"/>
                <w:szCs w:val="21"/>
              </w:rPr>
              <w:t> </w:t>
            </w:r>
            <w:r>
              <w:rPr>
                <w:rFonts w:ascii="宋体" w:hAnsi="宋体" w:cs="宋体" w:eastAsia="宋体" w:hint="default"/>
                <w:sz w:val="21"/>
                <w:szCs w:val="21"/>
              </w:rPr>
              <w:t>的公告》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2017年11月30日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971"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both"/>
              <w:rPr>
                <w:rFonts w:ascii="宋体" w:hAnsi="宋体" w:cs="宋体" w:eastAsia="宋体" w:hint="default"/>
                <w:sz w:val="21"/>
                <w:szCs w:val="21"/>
              </w:rPr>
            </w:pPr>
            <w:r>
              <w:rPr>
                <w:rFonts w:ascii="宋体" w:hAnsi="宋体" w:cs="宋体" w:eastAsia="宋体" w:hint="default"/>
                <w:sz w:val="21"/>
                <w:szCs w:val="21"/>
              </w:rPr>
              <w:t>《安徽皖通科技股份有限公司关于中国证监会上市</w:t>
            </w:r>
            <w:r>
              <w:rPr>
                <w:rFonts w:ascii="宋体" w:hAnsi="宋体" w:cs="宋体" w:eastAsia="宋体" w:hint="default"/>
                <w:w w:val="99"/>
                <w:sz w:val="21"/>
                <w:szCs w:val="21"/>
              </w:rPr>
              <w:t> </w:t>
            </w:r>
            <w:r>
              <w:rPr>
                <w:rFonts w:ascii="宋体" w:hAnsi="宋体" w:cs="宋体" w:eastAsia="宋体" w:hint="default"/>
                <w:sz w:val="21"/>
                <w:szCs w:val="21"/>
              </w:rPr>
              <w:t>公司并购重组委员会审核公司发行股份购买资产并</w:t>
            </w:r>
            <w:r>
              <w:rPr>
                <w:rFonts w:ascii="宋体" w:hAnsi="宋体" w:cs="宋体" w:eastAsia="宋体" w:hint="default"/>
                <w:w w:val="99"/>
                <w:sz w:val="21"/>
                <w:szCs w:val="21"/>
              </w:rPr>
              <w:t> </w:t>
            </w:r>
            <w:r>
              <w:rPr>
                <w:rFonts w:ascii="宋体" w:hAnsi="宋体" w:cs="宋体" w:eastAsia="宋体" w:hint="default"/>
                <w:sz w:val="21"/>
                <w:szCs w:val="21"/>
              </w:rPr>
              <w:t>募集配套资金事项的停牌公告》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2017年12月14日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971"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both"/>
              <w:rPr>
                <w:rFonts w:ascii="宋体" w:hAnsi="宋体" w:cs="宋体" w:eastAsia="宋体" w:hint="default"/>
                <w:sz w:val="21"/>
                <w:szCs w:val="21"/>
              </w:rPr>
            </w:pPr>
            <w:r>
              <w:rPr>
                <w:rFonts w:ascii="宋体" w:hAnsi="宋体" w:cs="宋体" w:eastAsia="宋体" w:hint="default"/>
                <w:sz w:val="21"/>
                <w:szCs w:val="21"/>
              </w:rPr>
              <w:t>《安徽皖通科技股份有限公司关于发行股份购买资</w:t>
            </w:r>
            <w:r>
              <w:rPr>
                <w:rFonts w:ascii="宋体" w:hAnsi="宋体" w:cs="宋体" w:eastAsia="宋体" w:hint="default"/>
                <w:w w:val="99"/>
                <w:sz w:val="21"/>
                <w:szCs w:val="21"/>
              </w:rPr>
              <w:t> </w:t>
            </w:r>
            <w:r>
              <w:rPr>
                <w:rFonts w:ascii="宋体" w:hAnsi="宋体" w:cs="宋体" w:eastAsia="宋体" w:hint="default"/>
                <w:sz w:val="21"/>
                <w:szCs w:val="21"/>
              </w:rPr>
              <w:t>产并募集配套资金事项获得中国证监会上市公司并</w:t>
            </w:r>
            <w:r>
              <w:rPr>
                <w:rFonts w:ascii="宋体" w:hAnsi="宋体" w:cs="宋体" w:eastAsia="宋体" w:hint="default"/>
                <w:w w:val="99"/>
                <w:sz w:val="21"/>
                <w:szCs w:val="21"/>
              </w:rPr>
              <w:t> </w:t>
            </w:r>
            <w:r>
              <w:rPr>
                <w:rFonts w:ascii="宋体" w:hAnsi="宋体" w:cs="宋体" w:eastAsia="宋体" w:hint="default"/>
                <w:sz w:val="21"/>
                <w:szCs w:val="21"/>
              </w:rPr>
              <w:t>购重组委员会审核通过暨公司股票复牌的公告》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2017年12月21日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971"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both"/>
              <w:rPr>
                <w:rFonts w:ascii="宋体" w:hAnsi="宋体" w:cs="宋体" w:eastAsia="宋体" w:hint="default"/>
                <w:sz w:val="21"/>
                <w:szCs w:val="21"/>
              </w:rPr>
            </w:pPr>
            <w:r>
              <w:rPr>
                <w:rFonts w:ascii="宋体" w:hAnsi="宋体" w:cs="宋体" w:eastAsia="宋体" w:hint="default"/>
                <w:sz w:val="21"/>
                <w:szCs w:val="21"/>
              </w:rPr>
              <w:t>《安徽皖通科技股份有限公司关于公司发行股份购</w:t>
            </w:r>
            <w:r>
              <w:rPr>
                <w:rFonts w:ascii="宋体" w:hAnsi="宋体" w:cs="宋体" w:eastAsia="宋体" w:hint="default"/>
                <w:w w:val="99"/>
                <w:sz w:val="21"/>
                <w:szCs w:val="21"/>
              </w:rPr>
              <w:t> </w:t>
            </w:r>
            <w:r>
              <w:rPr>
                <w:rFonts w:ascii="宋体" w:hAnsi="宋体" w:cs="宋体" w:eastAsia="宋体" w:hint="default"/>
                <w:sz w:val="21"/>
                <w:szCs w:val="21"/>
              </w:rPr>
              <w:t>买资产并募集配套资金事项获得中国证监会核准批</w:t>
            </w:r>
            <w:r>
              <w:rPr>
                <w:rFonts w:ascii="宋体" w:hAnsi="宋体" w:cs="宋体" w:eastAsia="宋体" w:hint="default"/>
                <w:w w:val="99"/>
                <w:sz w:val="21"/>
                <w:szCs w:val="21"/>
              </w:rPr>
              <w:t> </w:t>
            </w:r>
            <w:r>
              <w:rPr>
                <w:rFonts w:ascii="宋体" w:hAnsi="宋体" w:cs="宋体" w:eastAsia="宋体" w:hint="default"/>
                <w:sz w:val="21"/>
                <w:szCs w:val="21"/>
              </w:rPr>
              <w:t>复的公告》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2018年1月6日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4"/>
              <w:jc w:val="left"/>
              <w:rPr>
                <w:rFonts w:ascii="宋体" w:hAnsi="宋体" w:cs="宋体" w:eastAsia="宋体" w:hint="default"/>
                <w:sz w:val="21"/>
                <w:szCs w:val="21"/>
              </w:rPr>
            </w:pPr>
            <w:r>
              <w:rPr>
                <w:rFonts w:ascii="宋体" w:hAnsi="宋体" w:cs="宋体" w:eastAsia="宋体" w:hint="default"/>
                <w:sz w:val="21"/>
                <w:szCs w:val="21"/>
              </w:rPr>
              <w:t>《安徽皖通科技股份有限公司关于公司发行股份购</w:t>
            </w:r>
            <w:r>
              <w:rPr>
                <w:rFonts w:ascii="宋体" w:hAnsi="宋体" w:cs="宋体" w:eastAsia="宋体" w:hint="default"/>
                <w:w w:val="99"/>
                <w:sz w:val="21"/>
                <w:szCs w:val="21"/>
              </w:rPr>
              <w:t> </w:t>
            </w:r>
            <w:r>
              <w:rPr>
                <w:rFonts w:ascii="宋体" w:hAnsi="宋体" w:cs="宋体" w:eastAsia="宋体" w:hint="default"/>
                <w:sz w:val="21"/>
                <w:szCs w:val="21"/>
              </w:rPr>
              <w:t>买资产并募集配套资金之标的资产过户完成的公告》</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2018年1月25日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hyperlink r:id="rId12">
              <w:r>
                <w:rPr>
                  <w:rFonts w:ascii="宋体"/>
                  <w:sz w:val="21"/>
                </w:rPr>
                <w:t>http://www.cninfo.com.cn</w:t>
              </w:r>
            </w:hyperlink>
          </w:p>
        </w:tc>
      </w:tr>
      <w:tr>
        <w:trPr>
          <w:trHeight w:val="659" w:hRule="exact"/>
        </w:trPr>
        <w:tc>
          <w:tcPr>
            <w:tcW w:w="48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6"/>
              <w:jc w:val="left"/>
              <w:rPr>
                <w:rFonts w:ascii="宋体" w:hAnsi="宋体" w:cs="宋体" w:eastAsia="宋体" w:hint="default"/>
                <w:sz w:val="21"/>
                <w:szCs w:val="21"/>
              </w:rPr>
            </w:pPr>
            <w:r>
              <w:rPr>
                <w:rFonts w:ascii="宋体" w:hAnsi="宋体" w:cs="宋体" w:eastAsia="宋体" w:hint="default"/>
                <w:sz w:val="21"/>
                <w:szCs w:val="21"/>
              </w:rPr>
              <w:t>《安徽皖通科技股份有限公司发行股份购买资产并</w:t>
            </w:r>
            <w:r>
              <w:rPr>
                <w:rFonts w:ascii="宋体" w:hAnsi="宋体" w:cs="宋体" w:eastAsia="宋体" w:hint="default"/>
                <w:w w:val="99"/>
                <w:sz w:val="21"/>
                <w:szCs w:val="21"/>
              </w:rPr>
              <w:t> </w:t>
            </w:r>
            <w:r>
              <w:rPr>
                <w:rFonts w:ascii="宋体" w:hAnsi="宋体" w:cs="宋体" w:eastAsia="宋体" w:hint="default"/>
                <w:sz w:val="21"/>
                <w:szCs w:val="21"/>
              </w:rPr>
              <w:t>募集配套资金实施情况暨新增股份上市报告书》</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2018年2月13日</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hyperlink r:id="rId12">
              <w:r>
                <w:rPr>
                  <w:rFonts w:ascii="宋体"/>
                  <w:sz w:val="21"/>
                </w:rPr>
                <w:t>http://www.cninfo.com.cn</w:t>
              </w:r>
            </w:hyperlink>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2928" w:right="0"/>
        <w:jc w:val="left"/>
        <w:rPr>
          <w:b w:val="0"/>
          <w:bCs w:val="0"/>
        </w:rPr>
      </w:pPr>
      <w:bookmarkStart w:name="_bookmark5" w:id="6"/>
      <w:bookmarkEnd w:id="6"/>
      <w:r>
        <w:rPr>
          <w:b w:val="0"/>
          <w:bCs w:val="0"/>
        </w:rPr>
      </w:r>
      <w:r>
        <w:rPr/>
        <w:t>第六节</w:t>
      </w:r>
      <w:r>
        <w:rPr>
          <w:spacing w:val="-11"/>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t>1、股份变动情况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23"/>
        <w:gridCol w:w="823"/>
        <w:gridCol w:w="823"/>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5" w:right="44"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71,326,0</w:t>
            </w:r>
          </w:p>
          <w:p>
            <w:pPr>
              <w:pStyle w:val="TableParagraph"/>
              <w:spacing w:line="240" w:lineRule="auto" w:before="76"/>
              <w:ind w:right="19"/>
              <w:jc w:val="right"/>
              <w:rPr>
                <w:rFonts w:ascii="宋体" w:hAnsi="宋体" w:cs="宋体" w:eastAsia="宋体" w:hint="default"/>
                <w:sz w:val="18"/>
                <w:szCs w:val="18"/>
              </w:rPr>
            </w:pPr>
            <w:r>
              <w:rPr>
                <w:rFonts w:ascii="宋体"/>
                <w:sz w:val="18"/>
              </w:rPr>
              <w:t>58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20.36%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-13,008,</w:t>
            </w:r>
          </w:p>
          <w:p>
            <w:pPr>
              <w:pStyle w:val="TableParagraph"/>
              <w:spacing w:line="240" w:lineRule="auto" w:before="76"/>
              <w:ind w:left="517" w:right="0"/>
              <w:jc w:val="left"/>
              <w:rPr>
                <w:rFonts w:ascii="宋体" w:hAnsi="宋体" w:cs="宋体" w:eastAsia="宋体" w:hint="default"/>
                <w:sz w:val="18"/>
                <w:szCs w:val="18"/>
              </w:rPr>
            </w:pPr>
            <w:r>
              <w:rPr>
                <w:rFonts w:ascii="宋体"/>
                <w:sz w:val="18"/>
              </w:rPr>
              <w:t>975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 w:right="0"/>
              <w:jc w:val="left"/>
              <w:rPr>
                <w:rFonts w:ascii="宋体" w:hAnsi="宋体" w:cs="宋体" w:eastAsia="宋体" w:hint="default"/>
                <w:sz w:val="18"/>
                <w:szCs w:val="18"/>
              </w:rPr>
            </w:pPr>
            <w:r>
              <w:rPr>
                <w:rFonts w:ascii="宋体"/>
                <w:sz w:val="18"/>
              </w:rPr>
              <w:t>-13,008,</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975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58,317,0</w:t>
            </w:r>
          </w:p>
          <w:p>
            <w:pPr>
              <w:pStyle w:val="TableParagraph"/>
              <w:spacing w:line="240" w:lineRule="auto" w:before="76"/>
              <w:ind w:right="20"/>
              <w:jc w:val="right"/>
              <w:rPr>
                <w:rFonts w:ascii="宋体" w:hAnsi="宋体" w:cs="宋体" w:eastAsia="宋体" w:hint="default"/>
                <w:sz w:val="18"/>
                <w:szCs w:val="18"/>
              </w:rPr>
            </w:pPr>
            <w:r>
              <w:rPr>
                <w:rFonts w:ascii="宋体"/>
                <w:sz w:val="18"/>
              </w:rPr>
              <w:t>83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16.65%</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71,326,0</w:t>
            </w:r>
          </w:p>
          <w:p>
            <w:pPr>
              <w:pStyle w:val="TableParagraph"/>
              <w:spacing w:line="240" w:lineRule="auto" w:before="76"/>
              <w:ind w:right="19"/>
              <w:jc w:val="right"/>
              <w:rPr>
                <w:rFonts w:ascii="宋体" w:hAnsi="宋体" w:cs="宋体" w:eastAsia="宋体" w:hint="default"/>
                <w:sz w:val="18"/>
                <w:szCs w:val="18"/>
              </w:rPr>
            </w:pPr>
            <w:r>
              <w:rPr>
                <w:rFonts w:ascii="宋体"/>
                <w:sz w:val="18"/>
              </w:rPr>
              <w:t>58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20.36%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9" w:right="0"/>
              <w:jc w:val="left"/>
              <w:rPr>
                <w:rFonts w:ascii="宋体" w:hAnsi="宋体" w:cs="宋体" w:eastAsia="宋体" w:hint="default"/>
                <w:sz w:val="18"/>
                <w:szCs w:val="18"/>
              </w:rPr>
            </w:pPr>
            <w:r>
              <w:rPr>
                <w:rFonts w:ascii="宋体"/>
                <w:sz w:val="18"/>
              </w:rPr>
              <w:t>-13,008,</w:t>
            </w:r>
          </w:p>
          <w:p>
            <w:pPr>
              <w:pStyle w:val="TableParagraph"/>
              <w:spacing w:line="240" w:lineRule="auto" w:before="76"/>
              <w:ind w:left="517" w:right="0"/>
              <w:jc w:val="left"/>
              <w:rPr>
                <w:rFonts w:ascii="宋体" w:hAnsi="宋体" w:cs="宋体" w:eastAsia="宋体" w:hint="default"/>
                <w:sz w:val="18"/>
                <w:szCs w:val="18"/>
              </w:rPr>
            </w:pPr>
            <w:r>
              <w:rPr>
                <w:rFonts w:ascii="宋体"/>
                <w:sz w:val="18"/>
              </w:rPr>
              <w:t>975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sz w:val="18"/>
              </w:rPr>
              <w:t>-13,008,</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975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58,317,0</w:t>
            </w:r>
          </w:p>
          <w:p>
            <w:pPr>
              <w:pStyle w:val="TableParagraph"/>
              <w:spacing w:line="240" w:lineRule="auto" w:before="76"/>
              <w:ind w:right="20"/>
              <w:jc w:val="right"/>
              <w:rPr>
                <w:rFonts w:ascii="宋体" w:hAnsi="宋体" w:cs="宋体" w:eastAsia="宋体" w:hint="default"/>
                <w:sz w:val="18"/>
                <w:szCs w:val="18"/>
              </w:rPr>
            </w:pPr>
            <w:r>
              <w:rPr>
                <w:rFonts w:ascii="宋体"/>
                <w:sz w:val="18"/>
              </w:rPr>
              <w:t>83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16.65%</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71,326,0</w:t>
            </w:r>
          </w:p>
          <w:p>
            <w:pPr>
              <w:pStyle w:val="TableParagraph"/>
              <w:spacing w:line="240" w:lineRule="auto" w:before="76"/>
              <w:ind w:right="19"/>
              <w:jc w:val="right"/>
              <w:rPr>
                <w:rFonts w:ascii="宋体" w:hAnsi="宋体" w:cs="宋体" w:eastAsia="宋体" w:hint="default"/>
                <w:sz w:val="18"/>
                <w:szCs w:val="18"/>
              </w:rPr>
            </w:pPr>
            <w:r>
              <w:rPr>
                <w:rFonts w:ascii="宋体"/>
                <w:sz w:val="18"/>
              </w:rPr>
              <w:t>58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20.36%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9" w:right="0"/>
              <w:jc w:val="left"/>
              <w:rPr>
                <w:rFonts w:ascii="宋体" w:hAnsi="宋体" w:cs="宋体" w:eastAsia="宋体" w:hint="default"/>
                <w:sz w:val="18"/>
                <w:szCs w:val="18"/>
              </w:rPr>
            </w:pPr>
            <w:r>
              <w:rPr>
                <w:rFonts w:ascii="宋体"/>
                <w:sz w:val="18"/>
              </w:rPr>
              <w:t>-13,008,</w:t>
            </w:r>
          </w:p>
          <w:p>
            <w:pPr>
              <w:pStyle w:val="TableParagraph"/>
              <w:spacing w:line="240" w:lineRule="auto" w:before="76"/>
              <w:ind w:left="517" w:right="0"/>
              <w:jc w:val="left"/>
              <w:rPr>
                <w:rFonts w:ascii="宋体" w:hAnsi="宋体" w:cs="宋体" w:eastAsia="宋体" w:hint="default"/>
                <w:sz w:val="18"/>
                <w:szCs w:val="18"/>
              </w:rPr>
            </w:pPr>
            <w:r>
              <w:rPr>
                <w:rFonts w:ascii="宋体"/>
                <w:sz w:val="18"/>
              </w:rPr>
              <w:t>975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sz w:val="18"/>
              </w:rPr>
              <w:t>-13,008,</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975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58,317,0</w:t>
            </w:r>
          </w:p>
          <w:p>
            <w:pPr>
              <w:pStyle w:val="TableParagraph"/>
              <w:spacing w:line="240" w:lineRule="auto" w:before="76"/>
              <w:ind w:right="20"/>
              <w:jc w:val="right"/>
              <w:rPr>
                <w:rFonts w:ascii="宋体" w:hAnsi="宋体" w:cs="宋体" w:eastAsia="宋体" w:hint="default"/>
                <w:sz w:val="18"/>
                <w:szCs w:val="18"/>
              </w:rPr>
            </w:pPr>
            <w:r>
              <w:rPr>
                <w:rFonts w:ascii="宋体"/>
                <w:sz w:val="18"/>
              </w:rPr>
              <w:t>83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16.65%</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0" w:right="0"/>
              <w:jc w:val="left"/>
              <w:rPr>
                <w:rFonts w:ascii="宋体" w:hAnsi="宋体" w:cs="宋体" w:eastAsia="宋体" w:hint="default"/>
                <w:sz w:val="18"/>
                <w:szCs w:val="18"/>
              </w:rPr>
            </w:pPr>
            <w:r>
              <w:rPr>
                <w:rFonts w:ascii="宋体"/>
                <w:sz w:val="18"/>
              </w:rPr>
              <w:t>279,000,</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997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79.64%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13,008,9</w:t>
            </w:r>
          </w:p>
          <w:p>
            <w:pPr>
              <w:pStyle w:val="TableParagraph"/>
              <w:spacing w:line="240" w:lineRule="auto" w:before="76"/>
              <w:ind w:right="20"/>
              <w:jc w:val="right"/>
              <w:rPr>
                <w:rFonts w:ascii="宋体" w:hAnsi="宋体" w:cs="宋体" w:eastAsia="宋体" w:hint="default"/>
                <w:sz w:val="18"/>
                <w:szCs w:val="18"/>
              </w:rPr>
            </w:pPr>
            <w:r>
              <w:rPr>
                <w:rFonts w:ascii="宋体"/>
                <w:sz w:val="18"/>
              </w:rPr>
              <w:t>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13,008,9</w:t>
            </w:r>
          </w:p>
          <w:p>
            <w:pPr>
              <w:pStyle w:val="TableParagraph"/>
              <w:spacing w:line="240" w:lineRule="auto" w:before="76"/>
              <w:ind w:right="21"/>
              <w:jc w:val="right"/>
              <w:rPr>
                <w:rFonts w:ascii="宋体" w:hAnsi="宋体" w:cs="宋体" w:eastAsia="宋体" w:hint="default"/>
                <w:sz w:val="18"/>
                <w:szCs w:val="18"/>
              </w:rPr>
            </w:pPr>
            <w:r>
              <w:rPr>
                <w:rFonts w:ascii="宋体"/>
                <w:sz w:val="18"/>
              </w:rPr>
              <w:t>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 w:right="0"/>
              <w:jc w:val="left"/>
              <w:rPr>
                <w:rFonts w:ascii="宋体" w:hAnsi="宋体" w:cs="宋体" w:eastAsia="宋体" w:hint="default"/>
                <w:sz w:val="18"/>
                <w:szCs w:val="18"/>
              </w:rPr>
            </w:pPr>
            <w:r>
              <w:rPr>
                <w:rFonts w:ascii="宋体"/>
                <w:sz w:val="18"/>
              </w:rPr>
              <w:t>292,009,</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972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83.35%</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sz w:val="18"/>
              </w:rPr>
              <w:t>279,000,</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997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79.64%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13,008,9</w:t>
            </w:r>
          </w:p>
          <w:p>
            <w:pPr>
              <w:pStyle w:val="TableParagraph"/>
              <w:spacing w:line="240" w:lineRule="auto" w:before="76"/>
              <w:ind w:right="20"/>
              <w:jc w:val="right"/>
              <w:rPr>
                <w:rFonts w:ascii="宋体" w:hAnsi="宋体" w:cs="宋体" w:eastAsia="宋体" w:hint="default"/>
                <w:sz w:val="18"/>
                <w:szCs w:val="18"/>
              </w:rPr>
            </w:pPr>
            <w:r>
              <w:rPr>
                <w:rFonts w:ascii="宋体"/>
                <w:sz w:val="18"/>
              </w:rPr>
              <w:t>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13,008,9</w:t>
            </w:r>
          </w:p>
          <w:p>
            <w:pPr>
              <w:pStyle w:val="TableParagraph"/>
              <w:spacing w:line="240" w:lineRule="auto" w:before="76"/>
              <w:ind w:right="21"/>
              <w:jc w:val="right"/>
              <w:rPr>
                <w:rFonts w:ascii="宋体" w:hAnsi="宋体" w:cs="宋体" w:eastAsia="宋体" w:hint="default"/>
                <w:sz w:val="18"/>
                <w:szCs w:val="18"/>
              </w:rPr>
            </w:pPr>
            <w:r>
              <w:rPr>
                <w:rFonts w:ascii="宋体"/>
                <w:sz w:val="18"/>
              </w:rPr>
              <w:t>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sz w:val="18"/>
              </w:rPr>
              <w:t>292,009,</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972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83.35%</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0.00%</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 w:right="0"/>
              <w:jc w:val="left"/>
              <w:rPr>
                <w:rFonts w:ascii="宋体" w:hAnsi="宋体" w:cs="宋体" w:eastAsia="宋体" w:hint="default"/>
                <w:sz w:val="18"/>
                <w:szCs w:val="18"/>
              </w:rPr>
            </w:pPr>
            <w:r>
              <w:rPr>
                <w:rFonts w:ascii="宋体"/>
                <w:sz w:val="18"/>
              </w:rPr>
              <w:t>350,327,</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055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sz w:val="18"/>
              </w:rPr>
              <w:t>350,327,</w:t>
            </w:r>
          </w:p>
          <w:p>
            <w:pPr>
              <w:pStyle w:val="TableParagraph"/>
              <w:spacing w:line="240" w:lineRule="auto" w:before="76"/>
              <w:ind w:left="491" w:right="0"/>
              <w:jc w:val="left"/>
              <w:rPr>
                <w:rFonts w:ascii="宋体" w:hAnsi="宋体" w:cs="宋体" w:eastAsia="宋体" w:hint="default"/>
                <w:sz w:val="18"/>
                <w:szCs w:val="18"/>
              </w:rPr>
            </w:pPr>
            <w:r>
              <w:rPr>
                <w:rFonts w:ascii="宋体"/>
                <w:sz w:val="18"/>
              </w:rPr>
              <w:t>055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38" w:lineRule="auto" w:before="117"/>
        <w:ind w:left="112" w:right="104"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每年的第一个交易日，中国结算深圳分公司以公司董事、监事和高级管理人员在上年最后一个交易日登记在其名下的本公司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股份为基数，按25%计算其本年度可转让股份法定额度；同时，对该人员所持的在本年度可转让股份额度内的无限售条件的</w:t>
      </w:r>
    </w:p>
    <w:p>
      <w:pPr>
        <w:spacing w:before="2"/>
        <w:ind w:left="112" w:right="0" w:firstLine="0"/>
        <w:jc w:val="left"/>
        <w:rPr>
          <w:rFonts w:ascii="宋体" w:hAnsi="宋体" w:cs="宋体" w:eastAsia="宋体" w:hint="default"/>
          <w:sz w:val="18"/>
          <w:szCs w:val="18"/>
        </w:rPr>
      </w:pPr>
      <w:r>
        <w:rPr>
          <w:rFonts w:ascii="宋体" w:hAnsi="宋体" w:cs="宋体" w:eastAsia="宋体" w:hint="default"/>
          <w:sz w:val="18"/>
          <w:szCs w:val="18"/>
        </w:rPr>
        <w:t>流通股进行解锁。</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9"/>
        <w:rPr>
          <w:rFonts w:ascii="宋体" w:hAnsi="宋体" w:cs="宋体" w:eastAsia="宋体" w:hint="default"/>
          <w:sz w:val="26"/>
          <w:szCs w:val="2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60" w:lineRule="auto" w:before="115"/>
        <w:ind w:left="112" w:right="8114"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股份变动的过户情况</w:t>
      </w:r>
    </w:p>
    <w:p>
      <w:pPr>
        <w:spacing w:line="357" w:lineRule="auto" w:before="27"/>
        <w:ind w:left="112" w:right="374"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股份变动对最近一年和最近一期基本每股收益和稀释每股收益、归属于公司普通股股东的每股净资产等财务指标的影响</w:t>
      </w:r>
    </w:p>
    <w:p>
      <w:pPr>
        <w:spacing w:line="360" w:lineRule="auto" w:before="29"/>
        <w:ind w:left="112" w:right="5774" w:firstLine="0"/>
        <w:jc w:val="left"/>
        <w:rPr>
          <w:rFonts w:ascii="宋体" w:hAnsi="宋体" w:cs="宋体" w:eastAsia="宋体" w:hint="default"/>
          <w:sz w:val="18"/>
          <w:szCs w:val="18"/>
        </w:rPr>
      </w:pPr>
      <w:r>
        <w:rPr>
          <w:rFonts w:ascii="宋体" w:hAnsi="宋体" w:cs="宋体" w:eastAsia="宋体" w:hint="default"/>
          <w:sz w:val="18"/>
          <w:szCs w:val="18"/>
        </w:rPr>
        <w:t>□ 适用 √ 不适用 公司认为必要或证券监管机构要求披露的其他内容</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2、限售股份变动情况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t>1、报告期内证券发行（不含优先股）情况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2、公司股份总数及股东结构的变动、公司资产和负债结构的变动情况说明</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3、现存的内部职工股情况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t>1、公司股东数量及持股情况</w:t>
      </w:r>
      <w:r>
        <w:rPr>
          <w:b w:val="0"/>
          <w:bCs w:val="0"/>
        </w:rPr>
      </w:r>
    </w:p>
    <w:p>
      <w:pPr>
        <w:spacing w:line="240" w:lineRule="auto" w:before="9"/>
        <w:rPr>
          <w:rFonts w:ascii="宋体" w:hAnsi="宋体" w:cs="宋体" w:eastAsia="宋体" w:hint="default"/>
          <w:b/>
          <w:bCs/>
          <w:sz w:val="27"/>
          <w:szCs w:val="27"/>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274"/>
        <w:gridCol w:w="922"/>
        <w:gridCol w:w="490"/>
        <w:gridCol w:w="748"/>
        <w:gridCol w:w="826"/>
        <w:gridCol w:w="328"/>
        <w:gridCol w:w="461"/>
        <w:gridCol w:w="761"/>
        <w:gridCol w:w="866"/>
        <w:gridCol w:w="305"/>
        <w:gridCol w:w="1044"/>
        <w:gridCol w:w="152"/>
        <w:gridCol w:w="1196"/>
      </w:tblGrid>
      <w:tr>
        <w:trPr>
          <w:trHeight w:val="196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3" w:right="0"/>
              <w:jc w:val="left"/>
              <w:rPr>
                <w:rFonts w:ascii="宋体" w:hAnsi="宋体" w:cs="宋体" w:eastAsia="宋体" w:hint="default"/>
                <w:sz w:val="18"/>
                <w:szCs w:val="18"/>
              </w:rPr>
            </w:pPr>
            <w:r>
              <w:rPr>
                <w:rFonts w:ascii="宋体"/>
                <w:sz w:val="18"/>
              </w:rPr>
              <w:t>43,576</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3"/>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2" w:right="0"/>
              <w:jc w:val="left"/>
              <w:rPr>
                <w:rFonts w:ascii="宋体" w:hAnsi="宋体" w:cs="宋体" w:eastAsia="宋体" w:hint="default"/>
                <w:sz w:val="18"/>
                <w:szCs w:val="18"/>
              </w:rPr>
            </w:pPr>
            <w:r>
              <w:rPr>
                <w:rFonts w:ascii="宋体"/>
                <w:sz w:val="18"/>
              </w:rPr>
              <w:t>41,620</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7"/>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22" w:right="47"/>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8）</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z w:val="18"/>
              </w:rPr>
              <w:t>0</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7"/>
                <w:sz w:val="18"/>
                <w:szCs w:val="18"/>
              </w:rPr>
              <w:t> </w:t>
            </w:r>
            <w:r>
              <w:rPr>
                <w:rFonts w:ascii="宋体" w:hAnsi="宋体" w:cs="宋体" w:eastAsia="宋体" w:hint="default"/>
                <w:sz w:val="18"/>
                <w:szCs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w:t>
            </w:r>
          </w:p>
        </w:tc>
      </w:tr>
      <w:tr>
        <w:trPr>
          <w:trHeight w:val="402"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9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宋体" w:hAnsi="宋体" w:cs="宋体" w:eastAsia="宋体" w:hint="default"/>
                <w:sz w:val="18"/>
                <w:szCs w:val="18"/>
              </w:rPr>
              <w:t>5%以上的股东或前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12"/>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2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7" w:right="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0"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2"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40" w:lineRule="auto"/>
        <w:jc w:val="center"/>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469"/>
        <w:gridCol w:w="1412"/>
        <w:gridCol w:w="788"/>
        <w:gridCol w:w="786"/>
        <w:gridCol w:w="789"/>
        <w:gridCol w:w="787"/>
        <w:gridCol w:w="840"/>
        <w:gridCol w:w="1349"/>
        <w:gridCol w:w="1348"/>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21,246,4</w:t>
            </w:r>
          </w:p>
          <w:p>
            <w:pPr>
              <w:pStyle w:val="TableParagraph"/>
              <w:spacing w:line="240" w:lineRule="auto" w:before="76"/>
              <w:ind w:right="20"/>
              <w:jc w:val="right"/>
              <w:rPr>
                <w:rFonts w:ascii="宋体" w:hAnsi="宋体" w:cs="宋体" w:eastAsia="宋体" w:hint="default"/>
                <w:sz w:val="18"/>
                <w:szCs w:val="18"/>
              </w:rPr>
            </w:pPr>
            <w:r>
              <w:rPr>
                <w:rFonts w:ascii="宋体"/>
                <w:sz w:val="18"/>
              </w:rPr>
              <w:t>08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sz w:val="18"/>
              </w:rPr>
              <w:t>-5,500,0</w:t>
            </w:r>
          </w:p>
          <w:p>
            <w:pPr>
              <w:pStyle w:val="TableParagraph"/>
              <w:spacing w:line="240" w:lineRule="auto" w:before="76"/>
              <w:ind w:left="22" w:right="0"/>
              <w:jc w:val="left"/>
              <w:rPr>
                <w:rFonts w:ascii="宋体" w:hAnsi="宋体" w:cs="宋体" w:eastAsia="宋体" w:hint="default"/>
                <w:sz w:val="18"/>
                <w:szCs w:val="18"/>
              </w:rPr>
            </w:pPr>
            <w:r>
              <w:rPr>
                <w:rFonts w:ascii="宋体"/>
                <w:sz w:val="18"/>
              </w:rPr>
              <w:t>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20,059,8</w:t>
            </w:r>
          </w:p>
          <w:p>
            <w:pPr>
              <w:pStyle w:val="TableParagraph"/>
              <w:spacing w:line="240" w:lineRule="auto" w:before="76"/>
              <w:ind w:right="19"/>
              <w:jc w:val="right"/>
              <w:rPr>
                <w:rFonts w:ascii="宋体" w:hAnsi="宋体" w:cs="宋体" w:eastAsia="宋体" w:hint="default"/>
                <w:sz w:val="18"/>
                <w:szCs w:val="18"/>
              </w:rPr>
            </w:pPr>
            <w:r>
              <w:rPr>
                <w:rFonts w:ascii="宋体"/>
                <w:sz w:val="18"/>
              </w:rPr>
              <w:t>06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1,186,60</w:t>
            </w:r>
          </w:p>
          <w:p>
            <w:pPr>
              <w:pStyle w:val="TableParagraph"/>
              <w:spacing w:line="240" w:lineRule="auto" w:before="76"/>
              <w:ind w:right="21"/>
              <w:jc w:val="right"/>
              <w:rPr>
                <w:rFonts w:ascii="宋体" w:hAnsi="宋体" w:cs="宋体" w:eastAsia="宋体" w:hint="default"/>
                <w:sz w:val="18"/>
                <w:szCs w:val="18"/>
              </w:rPr>
            </w:pPr>
            <w:r>
              <w:rPr>
                <w:rFonts w:ascii="宋体"/>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5.70%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19,982,9</w:t>
            </w:r>
          </w:p>
          <w:p>
            <w:pPr>
              <w:pStyle w:val="TableParagraph"/>
              <w:spacing w:line="240" w:lineRule="auto" w:before="76"/>
              <w:ind w:right="20"/>
              <w:jc w:val="right"/>
              <w:rPr>
                <w:rFonts w:ascii="宋体" w:hAnsi="宋体" w:cs="宋体" w:eastAsia="宋体" w:hint="default"/>
                <w:sz w:val="18"/>
                <w:szCs w:val="18"/>
              </w:rPr>
            </w:pPr>
            <w:r>
              <w:rPr>
                <w:rFonts w:ascii="宋体"/>
                <w:sz w:val="18"/>
              </w:rPr>
              <w:t>57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-5,491,0</w:t>
            </w:r>
          </w:p>
          <w:p>
            <w:pPr>
              <w:pStyle w:val="TableParagraph"/>
              <w:spacing w:line="240" w:lineRule="auto" w:before="76"/>
              <w:ind w:left="22" w:right="0"/>
              <w:jc w:val="left"/>
              <w:rPr>
                <w:rFonts w:ascii="宋体" w:hAnsi="宋体" w:cs="宋体" w:eastAsia="宋体" w:hint="default"/>
                <w:sz w:val="18"/>
                <w:szCs w:val="18"/>
              </w:rPr>
            </w:pPr>
            <w:r>
              <w:rPr>
                <w:rFonts w:ascii="宋体"/>
                <w:sz w:val="18"/>
              </w:rPr>
              <w:t>52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19,105,5</w:t>
            </w:r>
          </w:p>
          <w:p>
            <w:pPr>
              <w:pStyle w:val="TableParagraph"/>
              <w:spacing w:line="240" w:lineRule="auto" w:before="76"/>
              <w:ind w:right="19"/>
              <w:jc w:val="right"/>
              <w:rPr>
                <w:rFonts w:ascii="宋体" w:hAnsi="宋体" w:cs="宋体" w:eastAsia="宋体" w:hint="default"/>
                <w:sz w:val="18"/>
                <w:szCs w:val="18"/>
              </w:rPr>
            </w:pPr>
            <w:r>
              <w:rPr>
                <w:rFonts w:ascii="宋体"/>
                <w:sz w:val="18"/>
              </w:rPr>
              <w:t>07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877,450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13,516,2</w:t>
            </w:r>
          </w:p>
          <w:p>
            <w:pPr>
              <w:pStyle w:val="TableParagraph"/>
              <w:spacing w:line="240" w:lineRule="auto" w:before="76"/>
              <w:ind w:right="20"/>
              <w:jc w:val="right"/>
              <w:rPr>
                <w:rFonts w:ascii="宋体" w:hAnsi="宋体" w:cs="宋体" w:eastAsia="宋体" w:hint="default"/>
                <w:sz w:val="18"/>
                <w:szCs w:val="18"/>
              </w:rPr>
            </w:pPr>
            <w:r>
              <w:rPr>
                <w:rFonts w:ascii="宋体"/>
                <w:sz w:val="18"/>
              </w:rPr>
              <w:t>87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sz w:val="18"/>
              </w:rPr>
              <w:t>-4,000,0</w:t>
            </w:r>
          </w:p>
          <w:p>
            <w:pPr>
              <w:pStyle w:val="TableParagraph"/>
              <w:spacing w:line="240" w:lineRule="auto" w:before="76"/>
              <w:ind w:left="22" w:right="0"/>
              <w:jc w:val="left"/>
              <w:rPr>
                <w:rFonts w:ascii="宋体" w:hAnsi="宋体" w:cs="宋体" w:eastAsia="宋体" w:hint="default"/>
                <w:sz w:val="18"/>
                <w:szCs w:val="18"/>
              </w:rPr>
            </w:pPr>
            <w:r>
              <w:rPr>
                <w:rFonts w:ascii="宋体"/>
                <w:sz w:val="18"/>
              </w:rPr>
              <w:t>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13,137,2</w:t>
            </w:r>
          </w:p>
          <w:p>
            <w:pPr>
              <w:pStyle w:val="TableParagraph"/>
              <w:spacing w:line="240" w:lineRule="auto" w:before="76"/>
              <w:ind w:right="19"/>
              <w:jc w:val="right"/>
              <w:rPr>
                <w:rFonts w:ascii="宋体" w:hAnsi="宋体" w:cs="宋体" w:eastAsia="宋体" w:hint="default"/>
                <w:sz w:val="18"/>
                <w:szCs w:val="18"/>
              </w:rPr>
            </w:pPr>
            <w:r>
              <w:rPr>
                <w:rFonts w:ascii="宋体"/>
                <w:sz w:val="18"/>
              </w:rPr>
              <w:t>15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379,072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梁山</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12,001,0</w:t>
            </w:r>
          </w:p>
          <w:p>
            <w:pPr>
              <w:pStyle w:val="TableParagraph"/>
              <w:spacing w:line="240" w:lineRule="auto" w:before="76"/>
              <w:ind w:right="20"/>
              <w:jc w:val="right"/>
              <w:rPr>
                <w:rFonts w:ascii="宋体" w:hAnsi="宋体" w:cs="宋体" w:eastAsia="宋体" w:hint="default"/>
                <w:sz w:val="18"/>
                <w:szCs w:val="18"/>
              </w:rPr>
            </w:pPr>
            <w:r>
              <w:rPr>
                <w:rFonts w:ascii="宋体"/>
                <w:sz w:val="18"/>
              </w:rPr>
              <w:t>52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3,701,05</w:t>
            </w:r>
          </w:p>
          <w:p>
            <w:pPr>
              <w:pStyle w:val="TableParagraph"/>
              <w:spacing w:line="240" w:lineRule="auto" w:before="76"/>
              <w:ind w:left="22" w:right="0"/>
              <w:jc w:val="left"/>
              <w:rPr>
                <w:rFonts w:ascii="宋体" w:hAnsi="宋体" w:cs="宋体" w:eastAsia="宋体" w:hint="default"/>
                <w:sz w:val="18"/>
                <w:szCs w:val="18"/>
              </w:rPr>
            </w:pPr>
            <w:r>
              <w:rPr>
                <w:rFonts w:ascii="宋体"/>
                <w:sz w:val="18"/>
              </w:rPr>
              <w:t>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12,001,0</w:t>
            </w:r>
          </w:p>
          <w:p>
            <w:pPr>
              <w:pStyle w:val="TableParagraph"/>
              <w:spacing w:line="240" w:lineRule="auto" w:before="76"/>
              <w:ind w:right="19"/>
              <w:jc w:val="right"/>
              <w:rPr>
                <w:rFonts w:ascii="宋体" w:hAnsi="宋体" w:cs="宋体" w:eastAsia="宋体" w:hint="default"/>
                <w:sz w:val="18"/>
                <w:szCs w:val="18"/>
              </w:rPr>
            </w:pPr>
            <w:r>
              <w:rPr>
                <w:rFonts w:ascii="宋体"/>
                <w:sz w:val="18"/>
              </w:rPr>
              <w:t>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12,000,000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7,899,40</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5,924,55</w:t>
            </w:r>
          </w:p>
          <w:p>
            <w:pPr>
              <w:pStyle w:val="TableParagraph"/>
              <w:spacing w:line="240" w:lineRule="auto" w:before="76"/>
              <w:ind w:right="21"/>
              <w:jc w:val="right"/>
              <w:rPr>
                <w:rFonts w:ascii="宋体" w:hAnsi="宋体" w:cs="宋体" w:eastAsia="宋体" w:hint="default"/>
                <w:sz w:val="18"/>
                <w:szCs w:val="18"/>
              </w:rPr>
            </w:pPr>
            <w:r>
              <w:rPr>
                <w:rFonts w:ascii="宋体"/>
                <w:sz w:val="18"/>
              </w:rPr>
              <w:t>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1,974,85</w:t>
            </w:r>
          </w:p>
          <w:p>
            <w:pPr>
              <w:pStyle w:val="TableParagraph"/>
              <w:spacing w:line="240" w:lineRule="auto" w:before="76"/>
              <w:ind w:right="21"/>
              <w:jc w:val="right"/>
              <w:rPr>
                <w:rFonts w:ascii="宋体" w:hAnsi="宋体" w:cs="宋体" w:eastAsia="宋体" w:hint="default"/>
                <w:sz w:val="18"/>
                <w:szCs w:val="18"/>
              </w:rPr>
            </w:pPr>
            <w:r>
              <w:rPr>
                <w:rFonts w:ascii="宋体"/>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安徽皖通科技股 份有限公司－第 一期员工持股计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宋体" w:hAnsi="宋体" w:cs="宋体" w:eastAsia="宋体" w:hint="default"/>
                <w:sz w:val="18"/>
                <w:szCs w:val="18"/>
              </w:rPr>
            </w:pPr>
            <w:r>
              <w:rPr>
                <w:rFonts w:ascii="宋体"/>
                <w:spacing w:val="-1"/>
                <w:sz w:val="18"/>
              </w:rPr>
              <w:t>1.32%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pacing w:val="-1"/>
                <w:sz w:val="18"/>
              </w:rPr>
              <w:t>4,616,24</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4,616,24</w:t>
            </w:r>
          </w:p>
          <w:p>
            <w:pPr>
              <w:pStyle w:val="TableParagraph"/>
              <w:spacing w:line="240" w:lineRule="auto" w:before="76"/>
              <w:ind w:right="21"/>
              <w:jc w:val="right"/>
              <w:rPr>
                <w:rFonts w:ascii="宋体" w:hAnsi="宋体" w:cs="宋体" w:eastAsia="宋体" w:hint="default"/>
                <w:sz w:val="18"/>
                <w:szCs w:val="18"/>
              </w:rPr>
            </w:pPr>
            <w:r>
              <w:rPr>
                <w:rFonts w:ascii="宋体"/>
                <w:sz w:val="18"/>
              </w:rPr>
              <w:t>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朱艳秋</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4,300,00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4,300,00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阮大铭</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0.90%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3,158,40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3,158,40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李明海</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0.86%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sz w:val="18"/>
              </w:rPr>
              <w:t>3,000,00</w:t>
            </w:r>
          </w:p>
          <w:p>
            <w:pPr>
              <w:pStyle w:val="TableParagraph"/>
              <w:spacing w:line="240" w:lineRule="auto" w:before="76"/>
              <w:ind w:left="22" w:right="0"/>
              <w:jc w:val="left"/>
              <w:rPr>
                <w:rFonts w:ascii="宋体" w:hAnsi="宋体" w:cs="宋体" w:eastAsia="宋体" w:hint="default"/>
                <w:sz w:val="18"/>
                <w:szCs w:val="18"/>
              </w:rPr>
            </w:pPr>
            <w:r>
              <w:rPr>
                <w:rFonts w:ascii="宋体"/>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3,000,00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0.64%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2,230,74</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2,230,74</w:t>
            </w:r>
          </w:p>
          <w:p>
            <w:pPr>
              <w:pStyle w:val="TableParagraph"/>
              <w:spacing w:line="240" w:lineRule="auto" w:before="76"/>
              <w:ind w:left="22" w:right="0"/>
              <w:jc w:val="left"/>
              <w:rPr>
                <w:rFonts w:ascii="宋体" w:hAnsi="宋体" w:cs="宋体" w:eastAsia="宋体" w:hint="default"/>
                <w:sz w:val="18"/>
                <w:szCs w:val="18"/>
              </w:rPr>
            </w:pPr>
            <w:r>
              <w:rPr>
                <w:rFonts w:ascii="宋体"/>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2,230,74</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宋体" w:hAnsi="宋体" w:cs="宋体" w:eastAsia="宋体" w:hint="default"/>
                <w:sz w:val="18"/>
                <w:szCs w:val="18"/>
              </w:rPr>
              <w:t>10</w:t>
            </w:r>
            <w:r>
              <w:rPr>
                <w:rFonts w:ascii="宋体" w:hAnsi="宋体" w:cs="宋体" w:eastAsia="宋体" w:hint="default"/>
                <w:spacing w:val="-4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7"/>
                <w:sz w:val="18"/>
                <w:szCs w:val="18"/>
              </w:rPr>
              <w:t> </w:t>
            </w:r>
            <w:r>
              <w:rPr>
                <w:rFonts w:ascii="宋体" w:hAnsi="宋体" w:cs="宋体" w:eastAsia="宋体" w:hint="default"/>
                <w:sz w:val="18"/>
                <w:szCs w:val="18"/>
              </w:rPr>
              <w:t>3）</w:t>
            </w:r>
          </w:p>
        </w:tc>
        <w:tc>
          <w:tcPr>
            <w:tcW w:w="6687" w:type="dxa"/>
            <w:gridSpan w:val="7"/>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王中胜、杨世宁、杨新子为一致行动人，为公司实际控制人。</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402" w:hRule="exact"/>
        </w:trPr>
        <w:tc>
          <w:tcPr>
            <w:tcW w:w="28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1" w:type="dxa"/>
            <w:gridSpan w:val="2"/>
            <w:vMerge/>
            <w:tcBorders>
              <w:left w:val="single" w:sz="4" w:space="0" w:color="000000"/>
              <w:bottom w:val="single" w:sz="4" w:space="0" w:color="000000"/>
              <w:right w:val="single" w:sz="4" w:space="0" w:color="000000"/>
            </w:tcBorders>
            <w:shd w:val="clear" w:color="auto" w:fill="D2D2D2"/>
          </w:tcPr>
          <w:p>
            <w:pPr/>
          </w:p>
        </w:tc>
        <w:tc>
          <w:tcPr>
            <w:tcW w:w="3990"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梁山</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12,001,052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12,001,052</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6"/>
              <w:jc w:val="left"/>
              <w:rPr>
                <w:rFonts w:ascii="宋体" w:hAnsi="宋体" w:cs="宋体" w:eastAsia="宋体" w:hint="default"/>
                <w:sz w:val="18"/>
                <w:szCs w:val="18"/>
              </w:rPr>
            </w:pPr>
            <w:r>
              <w:rPr>
                <w:rFonts w:ascii="宋体" w:hAnsi="宋体" w:cs="宋体" w:eastAsia="宋体" w:hint="default"/>
                <w:sz w:val="18"/>
                <w:szCs w:val="18"/>
              </w:rPr>
              <w:t>安徽皖通科技股份有限公司－第一 期员工持股计划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4,616,241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4,616,241</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朱艳秋</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4,300,000</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阮大铭</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3,158,400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3,158,400</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李明海</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3,000,000</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2,230,740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2,230,740</w:t>
            </w:r>
          </w:p>
        </w:tc>
      </w:tr>
      <w:tr>
        <w:trPr>
          <w:trHeight w:val="400"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李宁</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2,200,000</w:t>
            </w:r>
          </w:p>
        </w:tc>
      </w:tr>
    </w:tbl>
    <w:p>
      <w:pPr>
        <w:spacing w:after="0" w:line="240" w:lineRule="auto"/>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881"/>
        <w:gridCol w:w="3990"/>
        <w:gridCol w:w="1349"/>
        <w:gridCol w:w="1348"/>
      </w:tblGrid>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李立群</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2,079,920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2,079,920</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1,974,852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1,974,852</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李臻</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1,887,285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1,887,285</w:t>
            </w:r>
          </w:p>
        </w:tc>
      </w:tr>
      <w:tr>
        <w:trPr>
          <w:trHeight w:val="358" w:hRule="exact"/>
        </w:trPr>
        <w:tc>
          <w:tcPr>
            <w:tcW w:w="288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名无限售流通股股东之间，以</w:t>
            </w:r>
          </w:p>
        </w:tc>
        <w:tc>
          <w:tcPr>
            <w:tcW w:w="6687" w:type="dxa"/>
            <w:gridSpan w:val="3"/>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28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宋体" w:hAnsi="宋体" w:cs="宋体" w:eastAsia="宋体" w:hint="default"/>
                <w:sz w:val="18"/>
                <w:szCs w:val="18"/>
              </w:rPr>
              <w:t>10</w:t>
            </w:r>
          </w:p>
        </w:tc>
        <w:tc>
          <w:tcPr>
            <w:tcW w:w="6687" w:type="dxa"/>
            <w:gridSpan w:val="3"/>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
                <w:sz w:val="18"/>
                <w:szCs w:val="18"/>
              </w:rPr>
              <w:t>公司前十名股东和前十名无限售条件股东中，王中胜、杨世宁、杨新子和陈新为公司</w:t>
            </w:r>
          </w:p>
        </w:tc>
      </w:tr>
      <w:tr>
        <w:trPr>
          <w:trHeight w:val="312" w:hRule="exact"/>
        </w:trPr>
        <w:tc>
          <w:tcPr>
            <w:tcW w:w="28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w:t>
            </w:r>
          </w:p>
        </w:tc>
        <w:tc>
          <w:tcPr>
            <w:tcW w:w="6687" w:type="dxa"/>
            <w:gridSpan w:val="3"/>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发起人股东，四名发起人股东与其他股东之间不存在关联关系。</w:t>
            </w:r>
          </w:p>
        </w:tc>
      </w:tr>
      <w:tr>
        <w:trPr>
          <w:trHeight w:val="356" w:hRule="exact"/>
        </w:trPr>
        <w:tc>
          <w:tcPr>
            <w:tcW w:w="288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687" w:type="dxa"/>
            <w:gridSpan w:val="3"/>
            <w:tcBorders>
              <w:top w:val="nil" w:sz="6" w:space="0" w:color="auto"/>
              <w:left w:val="single" w:sz="4" w:space="0" w:color="000000"/>
              <w:bottom w:val="single" w:sz="4" w:space="0" w:color="000000"/>
              <w:right w:val="single" w:sz="4" w:space="0" w:color="000000"/>
            </w:tcBorders>
            <w:shd w:val="clear" w:color="auto" w:fill="C6ECCC"/>
          </w:tcPr>
          <w:p>
            <w:pPr/>
          </w:p>
        </w:tc>
      </w:tr>
      <w:tr>
        <w:trPr>
          <w:trHeight w:val="1026"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名普通股股东参与融资融券业</w:t>
            </w:r>
            <w:r>
              <w:rPr>
                <w:rFonts w:ascii="宋体" w:hAnsi="宋体" w:cs="宋体" w:eastAsia="宋体" w:hint="default"/>
                <w:sz w:val="18"/>
                <w:szCs w:val="18"/>
              </w:rPr>
              <w:t> </w:t>
            </w:r>
            <w:r>
              <w:rPr>
                <w:rFonts w:ascii="宋体" w:hAnsi="宋体" w:cs="宋体" w:eastAsia="宋体" w:hint="default"/>
                <w:spacing w:val="-7"/>
                <w:sz w:val="18"/>
                <w:szCs w:val="18"/>
              </w:rPr>
              <w:t>务情况说明（如有）（参见注</w:t>
            </w:r>
            <w:r>
              <w:rPr>
                <w:rFonts w:ascii="宋体" w:hAnsi="宋体" w:cs="宋体" w:eastAsia="宋体" w:hint="default"/>
                <w:spacing w:val="-44"/>
                <w:sz w:val="18"/>
                <w:szCs w:val="18"/>
              </w:rPr>
              <w:t> </w:t>
            </w:r>
            <w:r>
              <w:rPr>
                <w:rFonts w:ascii="宋体" w:hAnsi="宋体" w:cs="宋体" w:eastAsia="宋体" w:hint="default"/>
                <w:sz w:val="18"/>
                <w:szCs w:val="18"/>
              </w:rPr>
              <w:t>4）</w:t>
            </w:r>
          </w:p>
        </w:tc>
        <w:tc>
          <w:tcPr>
            <w:tcW w:w="6687"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22"/>
              <w:jc w:val="left"/>
              <w:rPr>
                <w:rFonts w:ascii="宋体" w:hAnsi="宋体" w:cs="宋体" w:eastAsia="宋体" w:hint="default"/>
                <w:sz w:val="18"/>
                <w:szCs w:val="18"/>
              </w:rPr>
            </w:pPr>
            <w:r>
              <w:rPr>
                <w:rFonts w:ascii="宋体" w:hAnsi="宋体" w:cs="宋体" w:eastAsia="宋体" w:hint="default"/>
                <w:spacing w:val="-1"/>
                <w:sz w:val="18"/>
                <w:szCs w:val="18"/>
              </w:rPr>
              <w:t>公司前十名普通股股东中，阮大铭通过上海证券有限责任公司客户信用交易担保证券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账户持有公司</w:t>
            </w:r>
            <w:r>
              <w:rPr>
                <w:rFonts w:ascii="宋体" w:hAnsi="宋体" w:cs="宋体" w:eastAsia="宋体" w:hint="default"/>
                <w:spacing w:val="-65"/>
                <w:sz w:val="18"/>
                <w:szCs w:val="18"/>
              </w:rPr>
              <w:t> </w:t>
            </w:r>
            <w:r>
              <w:rPr>
                <w:rFonts w:ascii="宋体" w:hAnsi="宋体" w:cs="宋体" w:eastAsia="宋体" w:hint="default"/>
                <w:sz w:val="18"/>
                <w:szCs w:val="18"/>
              </w:rPr>
              <w:t>3,158,400</w:t>
            </w:r>
            <w:r>
              <w:rPr>
                <w:rFonts w:ascii="宋体" w:hAnsi="宋体" w:cs="宋体" w:eastAsia="宋体" w:hint="default"/>
                <w:spacing w:val="-63"/>
                <w:sz w:val="18"/>
                <w:szCs w:val="18"/>
              </w:rPr>
              <w:t> </w:t>
            </w:r>
            <w:r>
              <w:rPr>
                <w:rFonts w:ascii="宋体" w:hAnsi="宋体" w:cs="宋体" w:eastAsia="宋体" w:hint="default"/>
                <w:sz w:val="18"/>
                <w:szCs w:val="18"/>
              </w:rPr>
              <w:t>股股份，吴缙通过海通证券股份有限公司客户信用交易担保</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证券账户持有公司</w:t>
            </w:r>
            <w:r>
              <w:rPr>
                <w:rFonts w:ascii="宋体" w:hAnsi="宋体" w:cs="宋体" w:eastAsia="宋体" w:hint="default"/>
                <w:spacing w:val="-49"/>
                <w:sz w:val="18"/>
                <w:szCs w:val="18"/>
              </w:rPr>
              <w:t> </w:t>
            </w:r>
            <w:r>
              <w:rPr>
                <w:rFonts w:ascii="宋体" w:hAnsi="宋体" w:cs="宋体" w:eastAsia="宋体" w:hint="default"/>
                <w:sz w:val="18"/>
                <w:szCs w:val="18"/>
              </w:rPr>
              <w:t>2,230,740</w:t>
            </w:r>
            <w:r>
              <w:rPr>
                <w:rFonts w:ascii="宋体" w:hAnsi="宋体" w:cs="宋体" w:eastAsia="宋体" w:hint="default"/>
                <w:spacing w:val="-47"/>
                <w:sz w:val="18"/>
                <w:szCs w:val="18"/>
              </w:rPr>
              <w:t> </w:t>
            </w:r>
            <w:r>
              <w:rPr>
                <w:rFonts w:ascii="宋体" w:hAnsi="宋体" w:cs="宋体" w:eastAsia="宋体" w:hint="default"/>
                <w:sz w:val="18"/>
                <w:szCs w:val="18"/>
              </w:rPr>
              <w:t>股股份。</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名无限售条件普通股股东在报告期内是否进行约定购回交易</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2、公司控股股东情况</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757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44"/>
        <w:ind w:left="0" w:right="121" w:firstLine="0"/>
        <w:jc w:val="right"/>
        <w:rPr>
          <w:rFonts w:ascii="宋体" w:hAnsi="宋体" w:cs="宋体" w:eastAsia="宋体" w:hint="default"/>
          <w:sz w:val="18"/>
          <w:szCs w:val="18"/>
        </w:rPr>
      </w:pPr>
      <w:r>
        <w:rPr/>
        <w:pict>
          <v:shape style="position:absolute;margin-left:56.459999pt;margin-top:-161.288284pt;width:479.15pt;height:281.1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302"/>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23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23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23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3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6150" w:type="dxa"/>
                        <w:gridSpan w:val="2"/>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王中胜先生：1963</w:t>
                        </w:r>
                        <w:r>
                          <w:rPr>
                            <w:rFonts w:ascii="宋体" w:hAnsi="宋体" w:cs="宋体" w:eastAsia="宋体" w:hint="default"/>
                            <w:spacing w:val="-43"/>
                            <w:sz w:val="18"/>
                            <w:szCs w:val="18"/>
                          </w:rPr>
                          <w:t> </w:t>
                        </w:r>
                        <w:r>
                          <w:rPr>
                            <w:rFonts w:ascii="宋体" w:hAnsi="宋体" w:cs="宋体" w:eastAsia="宋体" w:hint="default"/>
                            <w:spacing w:val="-3"/>
                            <w:sz w:val="18"/>
                            <w:szCs w:val="18"/>
                          </w:rPr>
                          <w:t>年生，中国国籍，无境外永久居留权，工学硕士。现任本公</w:t>
                        </w:r>
                      </w:p>
                    </w:tc>
                  </w:tr>
                  <w:tr>
                    <w:trPr>
                      <w:trHeight w:val="312" w:hRule="exact"/>
                    </w:trPr>
                    <w:tc>
                      <w:tcPr>
                        <w:tcW w:w="3418" w:type="dxa"/>
                        <w:tcBorders>
                          <w:top w:val="nil" w:sz="6" w:space="0" w:color="auto"/>
                          <w:left w:val="single" w:sz="4" w:space="0" w:color="000000"/>
                          <w:bottom w:val="nil" w:sz="6" w:space="0" w:color="auto"/>
                          <w:right w:val="single" w:sz="4" w:space="0" w:color="000000"/>
                        </w:tcBorders>
                        <w:shd w:val="clear" w:color="auto" w:fill="D2D2D2"/>
                      </w:tcPr>
                      <w:p>
                        <w:pPr/>
                      </w:p>
                    </w:tc>
                    <w:tc>
                      <w:tcPr>
                        <w:tcW w:w="6150" w:type="dxa"/>
                        <w:gridSpan w:val="2"/>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司董事长、子公司天津市天安怡和信息技术有限公司董事、安徽汉高信息科技</w:t>
                        </w:r>
                      </w:p>
                    </w:tc>
                  </w:tr>
                  <w:tr>
                    <w:trPr>
                      <w:trHeight w:val="312" w:hRule="exact"/>
                    </w:trPr>
                    <w:tc>
                      <w:tcPr>
                        <w:tcW w:w="3418" w:type="dxa"/>
                        <w:tcBorders>
                          <w:top w:val="nil" w:sz="6" w:space="0" w:color="auto"/>
                          <w:left w:val="single" w:sz="4" w:space="0" w:color="000000"/>
                          <w:bottom w:val="nil" w:sz="6" w:space="0" w:color="auto"/>
                          <w:right w:val="single" w:sz="4" w:space="0" w:color="000000"/>
                        </w:tcBorders>
                        <w:shd w:val="clear" w:color="auto" w:fill="D2D2D2"/>
                      </w:tcPr>
                      <w:p>
                        <w:pPr/>
                      </w:p>
                    </w:tc>
                    <w:tc>
                      <w:tcPr>
                        <w:tcW w:w="6150" w:type="dxa"/>
                        <w:gridSpan w:val="2"/>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有限公司董事、安徽行云天下科技有限公司董事长、参股公司武汉宏途科技有</w:t>
                        </w:r>
                      </w:p>
                    </w:tc>
                  </w:tr>
                  <w:tr>
                    <w:trPr>
                      <w:trHeight w:val="332" w:hRule="exact"/>
                    </w:trPr>
                    <w:tc>
                      <w:tcPr>
                        <w:tcW w:w="3418" w:type="dxa"/>
                        <w:tcBorders>
                          <w:top w:val="nil" w:sz="6" w:space="0" w:color="auto"/>
                          <w:left w:val="single" w:sz="4" w:space="0" w:color="000000"/>
                          <w:bottom w:val="nil" w:sz="6" w:space="0" w:color="auto"/>
                          <w:right w:val="single" w:sz="4" w:space="0" w:color="000000"/>
                        </w:tcBorders>
                        <w:shd w:val="clear" w:color="auto" w:fill="D2D2D2"/>
                      </w:tcPr>
                      <w:p>
                        <w:pPr/>
                      </w:p>
                    </w:tc>
                    <w:tc>
                      <w:tcPr>
                        <w:tcW w:w="6150" w:type="dxa"/>
                        <w:gridSpan w:val="2"/>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限公司董事。</w:t>
                        </w:r>
                      </w:p>
                    </w:tc>
                  </w:tr>
                  <w:tr>
                    <w:trPr>
                      <w:trHeight w:val="644" w:hRule="exact"/>
                    </w:trPr>
                    <w:tc>
                      <w:tcPr>
                        <w:tcW w:w="3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31"/>
                          <w:ind w:left="22" w:right="22"/>
                          <w:jc w:val="left"/>
                          <w:rPr>
                            <w:rFonts w:ascii="宋体" w:hAnsi="宋体" w:cs="宋体" w:eastAsia="宋体" w:hint="default"/>
                            <w:sz w:val="18"/>
                            <w:szCs w:val="18"/>
                          </w:rPr>
                        </w:pPr>
                        <w:r>
                          <w:rPr>
                            <w:rFonts w:ascii="宋体" w:hAnsi="宋体" w:cs="宋体" w:eastAsia="宋体" w:hint="default"/>
                            <w:sz w:val="18"/>
                            <w:szCs w:val="18"/>
                          </w:rPr>
                          <w:t>杨世宁先生：1964</w:t>
                        </w:r>
                        <w:r>
                          <w:rPr>
                            <w:rFonts w:ascii="宋体" w:hAnsi="宋体" w:cs="宋体" w:eastAsia="宋体" w:hint="default"/>
                            <w:spacing w:val="-44"/>
                            <w:sz w:val="18"/>
                            <w:szCs w:val="18"/>
                          </w:rPr>
                          <w:t> </w:t>
                        </w:r>
                        <w:r>
                          <w:rPr>
                            <w:rFonts w:ascii="宋体" w:hAnsi="宋体" w:cs="宋体" w:eastAsia="宋体" w:hint="default"/>
                            <w:spacing w:val="-3"/>
                            <w:sz w:val="18"/>
                            <w:szCs w:val="18"/>
                          </w:rPr>
                          <w:t>年生，中国国籍，无境外永久居留权，工学硕士。现任本公</w:t>
                        </w:r>
                        <w:r>
                          <w:rPr>
                            <w:rFonts w:ascii="宋体" w:hAnsi="宋体" w:cs="宋体" w:eastAsia="宋体" w:hint="default"/>
                            <w:sz w:val="18"/>
                            <w:szCs w:val="18"/>
                          </w:rPr>
                          <w:t> </w:t>
                        </w:r>
                        <w:r>
                          <w:rPr>
                            <w:rFonts w:ascii="宋体" w:hAnsi="宋体" w:cs="宋体" w:eastAsia="宋体" w:hint="default"/>
                            <w:spacing w:val="-4"/>
                            <w:sz w:val="18"/>
                            <w:szCs w:val="18"/>
                          </w:rPr>
                          <w:t>司董事、副董事长、总经理、子公司天津市天安怡和信息技术有限公司董事长</w:t>
                        </w:r>
                      </w:p>
                    </w:tc>
                  </w:tr>
                  <w:tr>
                    <w:trPr>
                      <w:trHeight w:val="331" w:hRule="exact"/>
                    </w:trPr>
                    <w:tc>
                      <w:tcPr>
                        <w:tcW w:w="3418" w:type="dxa"/>
                        <w:tcBorders>
                          <w:top w:val="nil" w:sz="6" w:space="0" w:color="auto"/>
                          <w:left w:val="single" w:sz="4" w:space="0" w:color="000000"/>
                          <w:bottom w:val="nil" w:sz="6" w:space="0" w:color="auto"/>
                          <w:right w:val="single" w:sz="4" w:space="0" w:color="000000"/>
                        </w:tcBorders>
                        <w:shd w:val="clear" w:color="auto" w:fill="D2D2D2"/>
                      </w:tcPr>
                      <w:p>
                        <w:pPr/>
                      </w:p>
                    </w:tc>
                    <w:tc>
                      <w:tcPr>
                        <w:tcW w:w="6150" w:type="dxa"/>
                        <w:gridSpan w:val="2"/>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天津信息港甲子科技有限公司董事长。</w:t>
                        </w:r>
                      </w:p>
                    </w:tc>
                  </w:tr>
                  <w:tr>
                    <w:trPr>
                      <w:trHeight w:val="331" w:hRule="exact"/>
                    </w:trPr>
                    <w:tc>
                      <w:tcPr>
                        <w:tcW w:w="3418" w:type="dxa"/>
                        <w:tcBorders>
                          <w:top w:val="nil" w:sz="6" w:space="0" w:color="auto"/>
                          <w:left w:val="single" w:sz="4" w:space="0" w:color="000000"/>
                          <w:bottom w:val="nil" w:sz="6" w:space="0" w:color="auto"/>
                          <w:right w:val="single" w:sz="4" w:space="0" w:color="000000"/>
                        </w:tcBorders>
                        <w:shd w:val="clear" w:color="auto" w:fill="D2D2D2"/>
                      </w:tcPr>
                      <w:p>
                        <w:pPr/>
                      </w:p>
                    </w:tc>
                    <w:tc>
                      <w:tcPr>
                        <w:tcW w:w="6150" w:type="dxa"/>
                        <w:gridSpan w:val="2"/>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杨新子先生：1969</w:t>
                        </w:r>
                        <w:r>
                          <w:rPr>
                            <w:rFonts w:ascii="宋体" w:hAnsi="宋体" w:cs="宋体" w:eastAsia="宋体" w:hint="default"/>
                            <w:spacing w:val="-43"/>
                            <w:sz w:val="18"/>
                            <w:szCs w:val="18"/>
                          </w:rPr>
                          <w:t> </w:t>
                        </w:r>
                        <w:r>
                          <w:rPr>
                            <w:rFonts w:ascii="宋体" w:hAnsi="宋体" w:cs="宋体" w:eastAsia="宋体" w:hint="default"/>
                            <w:spacing w:val="-3"/>
                            <w:sz w:val="18"/>
                            <w:szCs w:val="18"/>
                          </w:rPr>
                          <w:t>年生，中国国籍，无境外永久居留权，管理学博士。现任本</w:t>
                        </w:r>
                      </w:p>
                    </w:tc>
                  </w:tr>
                  <w:tr>
                    <w:trPr>
                      <w:trHeight w:val="312" w:hRule="exact"/>
                    </w:trPr>
                    <w:tc>
                      <w:tcPr>
                        <w:tcW w:w="3418" w:type="dxa"/>
                        <w:tcBorders>
                          <w:top w:val="nil" w:sz="6" w:space="0" w:color="auto"/>
                          <w:left w:val="single" w:sz="4" w:space="0" w:color="000000"/>
                          <w:bottom w:val="nil" w:sz="6" w:space="0" w:color="auto"/>
                          <w:right w:val="single" w:sz="4" w:space="0" w:color="000000"/>
                        </w:tcBorders>
                        <w:shd w:val="clear" w:color="auto" w:fill="D2D2D2"/>
                      </w:tcPr>
                      <w:p>
                        <w:pPr/>
                      </w:p>
                    </w:tc>
                    <w:tc>
                      <w:tcPr>
                        <w:tcW w:w="6150" w:type="dxa"/>
                        <w:gridSpan w:val="2"/>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公司董事、副总经理、子公司天津市天安怡和信息技术有限公司董事、总经理</w:t>
                        </w:r>
                      </w:p>
                    </w:tc>
                  </w:tr>
                  <w:tr>
                    <w:trPr>
                      <w:trHeight w:val="357" w:hRule="exact"/>
                    </w:trPr>
                    <w:tc>
                      <w:tcPr>
                        <w:tcW w:w="3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6150" w:type="dxa"/>
                        <w:gridSpan w:val="2"/>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烟台华东电子软件技术有限公司董事。</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12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60" w:lineRule="auto" w:before="117"/>
        <w:ind w:left="112" w:right="703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after="0" w:line="36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3、公司实际控制人情况</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739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3418"/>
        <w:gridCol w:w="2302"/>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23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23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23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请参阅“公司控股股东情况”描述</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1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7" w:lineRule="auto" w:before="117"/>
        <w:ind w:left="112" w:right="5774"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公司与实际控制人之间的产权及控制关系的方框图</w:t>
      </w:r>
    </w:p>
    <w:p>
      <w:pPr>
        <w:spacing w:line="240" w:lineRule="auto" w:before="4"/>
        <w:rPr>
          <w:rFonts w:ascii="宋体" w:hAnsi="宋体" w:cs="宋体" w:eastAsia="宋体" w:hint="default"/>
          <w:sz w:val="15"/>
          <w:szCs w:val="15"/>
        </w:rPr>
      </w:pPr>
    </w:p>
    <w:p>
      <w:pPr>
        <w:spacing w:line="1515" w:lineRule="exact"/>
        <w:ind w:left="1315" w:right="0" w:firstLine="0"/>
        <w:rPr>
          <w:rFonts w:ascii="宋体" w:hAnsi="宋体" w:cs="宋体" w:eastAsia="宋体" w:hint="default"/>
          <w:sz w:val="20"/>
          <w:szCs w:val="20"/>
        </w:rPr>
      </w:pPr>
      <w:r>
        <w:rPr>
          <w:rFonts w:ascii="宋体" w:hAnsi="宋体" w:cs="宋体" w:eastAsia="宋体" w:hint="default"/>
          <w:position w:val="-29"/>
          <w:sz w:val="20"/>
          <w:szCs w:val="20"/>
        </w:rPr>
        <w:drawing>
          <wp:inline distT="0" distB="0" distL="0" distR="0">
            <wp:extent cx="4587885" cy="9620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9" cstate="print"/>
                    <a:stretch>
                      <a:fillRect/>
                    </a:stretch>
                  </pic:blipFill>
                  <pic:spPr>
                    <a:xfrm>
                      <a:off x="0" y="0"/>
                      <a:ext cx="4587885" cy="962025"/>
                    </a:xfrm>
                    <a:prstGeom prst="rect">
                      <a:avLst/>
                    </a:prstGeom>
                  </pic:spPr>
                </pic:pic>
              </a:graphicData>
            </a:graphic>
          </wp:inline>
        </w:drawing>
      </w:r>
      <w:r>
        <w:rPr>
          <w:rFonts w:ascii="宋体" w:hAnsi="宋体" w:cs="宋体" w:eastAsia="宋体" w:hint="default"/>
          <w:position w:val="-29"/>
          <w:sz w:val="20"/>
          <w:szCs w:val="20"/>
        </w:rPr>
      </w:r>
    </w:p>
    <w:p>
      <w:pPr>
        <w:spacing w:line="240" w:lineRule="auto" w:before="2"/>
        <w:rPr>
          <w:rFonts w:ascii="宋体" w:hAnsi="宋体" w:cs="宋体" w:eastAsia="宋体" w:hint="default"/>
          <w:sz w:val="14"/>
          <w:szCs w:val="14"/>
        </w:rPr>
      </w:pPr>
    </w:p>
    <w:p>
      <w:pPr>
        <w:spacing w:before="0"/>
        <w:ind w:left="11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4、其他持股在</w:t>
      </w:r>
      <w:r>
        <w:rPr>
          <w:spacing w:val="-62"/>
        </w:rPr>
        <w:t> </w:t>
      </w:r>
      <w:r>
        <w:rPr/>
        <w:t>10%以上的法人股东</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5、控股股东、实际控制人、重组方及其他承诺主体股份限制减持情况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3247" w:right="0"/>
        <w:jc w:val="left"/>
        <w:rPr>
          <w:b w:val="0"/>
          <w:bCs w:val="0"/>
        </w:rPr>
      </w:pPr>
      <w:bookmarkStart w:name="_bookmark6" w:id="7"/>
      <w:bookmarkEnd w:id="7"/>
      <w:r>
        <w:rPr>
          <w:b w:val="0"/>
          <w:bCs w:val="0"/>
        </w:rPr>
      </w:r>
      <w:r>
        <w:rPr/>
        <w:t>第七节</w:t>
      </w:r>
      <w:r>
        <w:rPr>
          <w:spacing w:val="-7"/>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60" w:lineRule="auto" w:before="44"/>
        <w:ind w:left="112" w:right="7574"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6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1643" w:right="0"/>
        <w:jc w:val="left"/>
        <w:rPr>
          <w:b w:val="0"/>
          <w:bCs w:val="0"/>
        </w:rPr>
      </w:pPr>
      <w:bookmarkStart w:name="_bookmark7" w:id="8"/>
      <w:bookmarkEnd w:id="8"/>
      <w:r>
        <w:rPr>
          <w:b w:val="0"/>
          <w:bCs w:val="0"/>
        </w:rPr>
      </w:r>
      <w:r>
        <w:rPr/>
        <w:t>第八节</w:t>
      </w:r>
      <w:r>
        <w:rPr>
          <w:spacing w:val="-15"/>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0"/>
        <w:jc w:val="left"/>
        <w:rPr>
          <w:b w:val="0"/>
          <w:bCs w:val="0"/>
        </w:rPr>
      </w:pPr>
      <w:r>
        <w:rPr/>
        <w:pict>
          <v:shape style="position:absolute;margin-left:489.480011pt;margin-top:32.945606pt;width:45.75pt;height:50.9pt;mso-position-horizontal-relative:page;mso-position-vertical-relative:paragraph;z-index:-87616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 w:right="32" w:firstLine="12"/>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董事、董 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26,746,4</w:t>
            </w:r>
          </w:p>
          <w:p>
            <w:pPr>
              <w:pStyle w:val="TableParagraph"/>
              <w:spacing w:line="240" w:lineRule="auto" w:before="76"/>
              <w:ind w:right="20"/>
              <w:jc w:val="right"/>
              <w:rPr>
                <w:rFonts w:ascii="宋体" w:hAnsi="宋体" w:cs="宋体" w:eastAsia="宋体" w:hint="default"/>
                <w:sz w:val="18"/>
                <w:szCs w:val="18"/>
              </w:rPr>
            </w:pPr>
            <w:r>
              <w:rPr>
                <w:rFonts w:ascii="宋体"/>
                <w:sz w:val="18"/>
              </w:rPr>
              <w:t>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5,500,00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21,246,4</w:t>
            </w:r>
          </w:p>
          <w:p>
            <w:pPr>
              <w:pStyle w:val="TableParagraph"/>
              <w:spacing w:line="240" w:lineRule="auto" w:before="76"/>
              <w:ind w:right="20"/>
              <w:jc w:val="right"/>
              <w:rPr>
                <w:rFonts w:ascii="宋体" w:hAnsi="宋体" w:cs="宋体" w:eastAsia="宋体" w:hint="default"/>
                <w:sz w:val="18"/>
                <w:szCs w:val="18"/>
              </w:rPr>
            </w:pPr>
            <w:r>
              <w:rPr>
                <w:rFonts w:ascii="宋体"/>
                <w:sz w:val="18"/>
              </w:rPr>
              <w:t>08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董事、副 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25,474,0</w:t>
            </w:r>
          </w:p>
          <w:p>
            <w:pPr>
              <w:pStyle w:val="TableParagraph"/>
              <w:spacing w:line="240" w:lineRule="auto" w:before="76"/>
              <w:ind w:right="20"/>
              <w:jc w:val="right"/>
              <w:rPr>
                <w:rFonts w:ascii="宋体" w:hAnsi="宋体" w:cs="宋体" w:eastAsia="宋体" w:hint="default"/>
                <w:sz w:val="18"/>
                <w:szCs w:val="18"/>
              </w:rPr>
            </w:pPr>
            <w:r>
              <w:rPr>
                <w:rFonts w:ascii="宋体"/>
                <w:sz w:val="18"/>
              </w:rPr>
              <w:t>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5,491,05</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19,982,9</w:t>
            </w:r>
          </w:p>
          <w:p>
            <w:pPr>
              <w:pStyle w:val="TableParagraph"/>
              <w:spacing w:line="240" w:lineRule="auto" w:before="76"/>
              <w:ind w:right="20"/>
              <w:jc w:val="right"/>
              <w:rPr>
                <w:rFonts w:ascii="宋体" w:hAnsi="宋体" w:cs="宋体" w:eastAsia="宋体" w:hint="default"/>
                <w:sz w:val="18"/>
                <w:szCs w:val="18"/>
              </w:rPr>
            </w:pPr>
            <w:r>
              <w:rPr>
                <w:rFonts w:ascii="宋体"/>
                <w:sz w:val="18"/>
              </w:rPr>
              <w:t>57</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41"/>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7,899,40</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7,899,40</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17,516,2</w:t>
            </w:r>
          </w:p>
          <w:p>
            <w:pPr>
              <w:pStyle w:val="TableParagraph"/>
              <w:spacing w:line="240" w:lineRule="auto" w:before="76"/>
              <w:ind w:right="20"/>
              <w:jc w:val="right"/>
              <w:rPr>
                <w:rFonts w:ascii="宋体" w:hAnsi="宋体" w:cs="宋体" w:eastAsia="宋体" w:hint="default"/>
                <w:sz w:val="18"/>
                <w:szCs w:val="18"/>
              </w:rPr>
            </w:pPr>
            <w:r>
              <w:rPr>
                <w:rFonts w:ascii="宋体"/>
                <w:sz w:val="18"/>
              </w:rPr>
              <w:t>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13,516,2</w:t>
            </w:r>
          </w:p>
          <w:p>
            <w:pPr>
              <w:pStyle w:val="TableParagraph"/>
              <w:spacing w:line="240" w:lineRule="auto" w:before="76"/>
              <w:ind w:right="20"/>
              <w:jc w:val="right"/>
              <w:rPr>
                <w:rFonts w:ascii="宋体" w:hAnsi="宋体" w:cs="宋体" w:eastAsia="宋体" w:hint="default"/>
                <w:sz w:val="18"/>
                <w:szCs w:val="18"/>
              </w:rPr>
            </w:pPr>
            <w:r>
              <w:rPr>
                <w:rFonts w:ascii="宋体"/>
                <w:sz w:val="18"/>
              </w:rPr>
              <w:t>87</w:t>
            </w:r>
          </w:p>
        </w:tc>
      </w:tr>
      <w:tr>
        <w:trPr>
          <w:trHeight w:val="357" w:hRule="exact"/>
        </w:trPr>
        <w:tc>
          <w:tcPr>
            <w:tcW w:w="798" w:type="dxa"/>
            <w:tcBorders>
              <w:top w:val="single" w:sz="4" w:space="0" w:color="000000"/>
              <w:left w:val="single" w:sz="4" w:space="0" w:color="000000"/>
              <w:bottom w:val="nil" w:sz="6" w:space="0" w:color="auto"/>
              <w:right w:val="single" w:sz="4" w:space="0" w:color="000000"/>
            </w:tcBorders>
            <w:shd w:val="clear" w:color="auto" w:fill="C6ECCC"/>
          </w:tcPr>
          <w:p>
            <w:pPr/>
          </w:p>
        </w:tc>
        <w:tc>
          <w:tcPr>
            <w:tcW w:w="797" w:type="dxa"/>
            <w:tcBorders>
              <w:top w:val="single" w:sz="4" w:space="0" w:color="000000"/>
              <w:left w:val="single" w:sz="4" w:space="0" w:color="000000"/>
              <w:bottom w:val="nil" w:sz="6" w:space="0" w:color="auto"/>
              <w:right w:val="single" w:sz="4" w:space="0" w:color="000000"/>
            </w:tcBorders>
            <w:shd w:val="clear" w:color="auto" w:fill="C6ECCC"/>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79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357" w:hRule="exact"/>
        </w:trPr>
        <w:tc>
          <w:tcPr>
            <w:tcW w:w="798" w:type="dxa"/>
            <w:tcBorders>
              <w:top w:val="nil" w:sz="6" w:space="0" w:color="auto"/>
              <w:left w:val="single" w:sz="4" w:space="0" w:color="000000"/>
              <w:bottom w:val="single" w:sz="4" w:space="0" w:color="000000"/>
              <w:right w:val="single" w:sz="4" w:space="0" w:color="000000"/>
            </w:tcBorders>
            <w:shd w:val="clear" w:color="auto" w:fill="C6ECCC"/>
          </w:tcPr>
          <w:p>
            <w:pPr/>
          </w:p>
        </w:tc>
        <w:tc>
          <w:tcPr>
            <w:tcW w:w="797" w:type="dxa"/>
            <w:tcBorders>
              <w:top w:val="nil" w:sz="6" w:space="0" w:color="auto"/>
              <w:left w:val="single" w:sz="4" w:space="0" w:color="000000"/>
              <w:bottom w:val="single" w:sz="4" w:space="0" w:color="000000"/>
              <w:right w:val="single" w:sz="4" w:space="0" w:color="000000"/>
            </w:tcBorders>
            <w:shd w:val="clear" w:color="auto" w:fill="C6ECCC"/>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798" w:type="dxa"/>
            <w:tcBorders>
              <w:top w:val="single" w:sz="4" w:space="0" w:color="000000"/>
              <w:left w:val="single" w:sz="4" w:space="0" w:color="000000"/>
              <w:bottom w:val="nil" w:sz="6" w:space="0" w:color="auto"/>
              <w:right w:val="single" w:sz="4" w:space="0" w:color="000000"/>
            </w:tcBorders>
            <w:shd w:val="clear" w:color="auto" w:fill="C6ECCC"/>
          </w:tcPr>
          <w:p>
            <w:pPr/>
          </w:p>
        </w:tc>
        <w:tc>
          <w:tcPr>
            <w:tcW w:w="797" w:type="dxa"/>
            <w:tcBorders>
              <w:top w:val="single" w:sz="4" w:space="0" w:color="000000"/>
              <w:left w:val="single" w:sz="4" w:space="0" w:color="000000"/>
              <w:bottom w:val="nil" w:sz="6" w:space="0" w:color="auto"/>
              <w:right w:val="single" w:sz="4" w:space="0" w:color="000000"/>
            </w:tcBorders>
            <w:shd w:val="clear" w:color="auto" w:fill="C6ECCC"/>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李洪峰</w:t>
            </w:r>
          </w:p>
        </w:tc>
        <w:tc>
          <w:tcPr>
            <w:tcW w:w="79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358" w:hRule="exact"/>
        </w:trPr>
        <w:tc>
          <w:tcPr>
            <w:tcW w:w="798" w:type="dxa"/>
            <w:tcBorders>
              <w:top w:val="nil" w:sz="6" w:space="0" w:color="auto"/>
              <w:left w:val="single" w:sz="4" w:space="0" w:color="000000"/>
              <w:bottom w:val="single" w:sz="4" w:space="0" w:color="000000"/>
              <w:right w:val="single" w:sz="4" w:space="0" w:color="000000"/>
            </w:tcBorders>
            <w:shd w:val="clear" w:color="auto" w:fill="C6ECCC"/>
          </w:tcPr>
          <w:p>
            <w:pPr/>
          </w:p>
        </w:tc>
        <w:tc>
          <w:tcPr>
            <w:tcW w:w="797" w:type="dxa"/>
            <w:tcBorders>
              <w:top w:val="nil" w:sz="6" w:space="0" w:color="auto"/>
              <w:left w:val="single" w:sz="4" w:space="0" w:color="000000"/>
              <w:bottom w:val="single" w:sz="4" w:space="0" w:color="000000"/>
              <w:right w:val="single" w:sz="4" w:space="0" w:color="000000"/>
            </w:tcBorders>
            <w:shd w:val="clear" w:color="auto" w:fill="C6ECCC"/>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98" w:type="dxa"/>
            <w:tcBorders>
              <w:top w:val="single" w:sz="4" w:space="0" w:color="000000"/>
              <w:left w:val="single" w:sz="4" w:space="0" w:color="000000"/>
              <w:bottom w:val="nil" w:sz="6" w:space="0" w:color="auto"/>
              <w:right w:val="single" w:sz="4" w:space="0" w:color="000000"/>
            </w:tcBorders>
            <w:shd w:val="clear" w:color="auto" w:fill="C6ECCC"/>
          </w:tcPr>
          <w:p>
            <w:pPr/>
          </w:p>
        </w:tc>
        <w:tc>
          <w:tcPr>
            <w:tcW w:w="797" w:type="dxa"/>
            <w:tcBorders>
              <w:top w:val="single" w:sz="4" w:space="0" w:color="000000"/>
              <w:left w:val="single" w:sz="4" w:space="0" w:color="000000"/>
              <w:bottom w:val="nil" w:sz="6" w:space="0" w:color="auto"/>
              <w:right w:val="single" w:sz="4" w:space="0" w:color="000000"/>
            </w:tcBorders>
            <w:shd w:val="clear" w:color="auto" w:fill="C6ECCC"/>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张瑞稳</w:t>
            </w:r>
          </w:p>
        </w:tc>
        <w:tc>
          <w:tcPr>
            <w:tcW w:w="79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357" w:hRule="exact"/>
        </w:trPr>
        <w:tc>
          <w:tcPr>
            <w:tcW w:w="798" w:type="dxa"/>
            <w:tcBorders>
              <w:top w:val="nil" w:sz="6" w:space="0" w:color="auto"/>
              <w:left w:val="single" w:sz="4" w:space="0" w:color="000000"/>
              <w:bottom w:val="single" w:sz="4" w:space="0" w:color="000000"/>
              <w:right w:val="single" w:sz="4" w:space="0" w:color="000000"/>
            </w:tcBorders>
            <w:shd w:val="clear" w:color="auto" w:fill="C6ECCC"/>
          </w:tcPr>
          <w:p>
            <w:pPr/>
          </w:p>
        </w:tc>
        <w:tc>
          <w:tcPr>
            <w:tcW w:w="797" w:type="dxa"/>
            <w:tcBorders>
              <w:top w:val="nil" w:sz="6" w:space="0" w:color="auto"/>
              <w:left w:val="single" w:sz="4" w:space="0" w:color="000000"/>
              <w:bottom w:val="single" w:sz="4" w:space="0" w:color="000000"/>
              <w:right w:val="single" w:sz="4" w:space="0" w:color="000000"/>
            </w:tcBorders>
            <w:shd w:val="clear" w:color="auto" w:fill="C6ECCC"/>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孙胜</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r>
      <w:tr>
        <w:trPr>
          <w:trHeight w:val="357" w:hRule="exact"/>
        </w:trPr>
        <w:tc>
          <w:tcPr>
            <w:tcW w:w="798" w:type="dxa"/>
            <w:tcBorders>
              <w:top w:val="single" w:sz="4" w:space="0" w:color="000000"/>
              <w:left w:val="single" w:sz="4" w:space="0" w:color="000000"/>
              <w:bottom w:val="nil" w:sz="6" w:space="0" w:color="auto"/>
              <w:right w:val="single" w:sz="4" w:space="0" w:color="000000"/>
            </w:tcBorders>
            <w:shd w:val="clear" w:color="auto" w:fill="C6ECCC"/>
          </w:tcPr>
          <w:p>
            <w:pPr/>
          </w:p>
        </w:tc>
        <w:tc>
          <w:tcPr>
            <w:tcW w:w="797" w:type="dxa"/>
            <w:tcBorders>
              <w:top w:val="single" w:sz="4" w:space="0" w:color="000000"/>
              <w:left w:val="single" w:sz="4" w:space="0" w:color="000000"/>
              <w:bottom w:val="nil" w:sz="6" w:space="0" w:color="auto"/>
              <w:right w:val="single" w:sz="4" w:space="0" w:color="000000"/>
            </w:tcBorders>
            <w:shd w:val="clear" w:color="auto" w:fill="C6ECCC"/>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79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120,000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120,000</w:t>
            </w:r>
          </w:p>
        </w:tc>
      </w:tr>
      <w:tr>
        <w:trPr>
          <w:trHeight w:val="357" w:hRule="exact"/>
        </w:trPr>
        <w:tc>
          <w:tcPr>
            <w:tcW w:w="798" w:type="dxa"/>
            <w:tcBorders>
              <w:top w:val="nil" w:sz="6" w:space="0" w:color="auto"/>
              <w:left w:val="single" w:sz="4" w:space="0" w:color="000000"/>
              <w:bottom w:val="single" w:sz="4" w:space="0" w:color="000000"/>
              <w:right w:val="single" w:sz="4" w:space="0" w:color="000000"/>
            </w:tcBorders>
            <w:shd w:val="clear" w:color="auto" w:fill="C6ECCC"/>
          </w:tcPr>
          <w:p>
            <w:pPr/>
          </w:p>
        </w:tc>
        <w:tc>
          <w:tcPr>
            <w:tcW w:w="797" w:type="dxa"/>
            <w:tcBorders>
              <w:top w:val="nil" w:sz="6" w:space="0" w:color="auto"/>
              <w:left w:val="single" w:sz="4" w:space="0" w:color="000000"/>
              <w:bottom w:val="single" w:sz="4" w:space="0" w:color="000000"/>
              <w:right w:val="single" w:sz="4" w:space="0" w:color="000000"/>
            </w:tcBorders>
            <w:shd w:val="clear" w:color="auto" w:fill="C6ECCC"/>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024"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李天华</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监事、监 事会主席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footerReference w:type="default" r:id="rId20"/>
          <w:pgSz w:w="11910" w:h="16840"/>
          <w:pgMar w:footer="937" w:header="746" w:top="1040" w:bottom="1120" w:left="1020" w:right="1020"/>
          <w:pgNumType w:start="50"/>
        </w:sectPr>
      </w:pPr>
    </w:p>
    <w:p>
      <w:pPr>
        <w:spacing w:line="240" w:lineRule="auto" w:before="2"/>
        <w:rPr>
          <w:rFonts w:ascii="宋体" w:hAnsi="宋体" w:cs="宋体" w:eastAsia="宋体" w:hint="default"/>
          <w:b/>
          <w:bCs/>
          <w:sz w:val="29"/>
          <w:szCs w:val="29"/>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陈延风</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竺进</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孔梅</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卢玉平</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77,756,1</w:t>
            </w:r>
          </w:p>
          <w:p>
            <w:pPr>
              <w:pStyle w:val="TableParagraph"/>
              <w:spacing w:line="240" w:lineRule="auto" w:before="76"/>
              <w:ind w:right="20"/>
              <w:jc w:val="right"/>
              <w:rPr>
                <w:rFonts w:ascii="宋体" w:hAnsi="宋体" w:cs="宋体" w:eastAsia="宋体" w:hint="default"/>
                <w:sz w:val="18"/>
                <w:szCs w:val="18"/>
              </w:rPr>
            </w:pPr>
            <w:r>
              <w:rPr>
                <w:rFonts w:ascii="宋体"/>
                <w:sz w:val="18"/>
              </w:rPr>
              <w:t>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14,991,0</w:t>
            </w:r>
          </w:p>
          <w:p>
            <w:pPr>
              <w:pStyle w:val="TableParagraph"/>
              <w:spacing w:line="240" w:lineRule="auto" w:before="76"/>
              <w:ind w:right="20"/>
              <w:jc w:val="right"/>
              <w:rPr>
                <w:rFonts w:ascii="宋体" w:hAnsi="宋体" w:cs="宋体" w:eastAsia="宋体" w:hint="default"/>
                <w:sz w:val="18"/>
                <w:szCs w:val="18"/>
              </w:rPr>
            </w:pPr>
            <w:r>
              <w:rPr>
                <w:rFonts w:ascii="宋体"/>
                <w:sz w:val="18"/>
              </w:rPr>
              <w:t>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62,765,0</w:t>
            </w:r>
          </w:p>
          <w:p>
            <w:pPr>
              <w:pStyle w:val="TableParagraph"/>
              <w:spacing w:line="240" w:lineRule="auto" w:before="76"/>
              <w:ind w:right="20"/>
              <w:jc w:val="right"/>
              <w:rPr>
                <w:rFonts w:ascii="宋体" w:hAnsi="宋体" w:cs="宋体" w:eastAsia="宋体" w:hint="default"/>
                <w:sz w:val="18"/>
                <w:szCs w:val="18"/>
              </w:rPr>
            </w:pPr>
            <w:r>
              <w:rPr>
                <w:rFonts w:ascii="宋体"/>
                <w:sz w:val="18"/>
              </w:rPr>
              <w:t>59</w:t>
            </w:r>
          </w:p>
        </w:tc>
      </w:tr>
    </w:tbl>
    <w:p>
      <w:pPr>
        <w:spacing w:line="240" w:lineRule="auto" w:before="0"/>
        <w:rPr>
          <w:rFonts w:ascii="宋体" w:hAnsi="宋体" w:cs="宋体" w:eastAsia="宋体" w:hint="default"/>
          <w:b/>
          <w:bCs/>
          <w:sz w:val="18"/>
          <w:szCs w:val="18"/>
        </w:rPr>
      </w:pPr>
    </w:p>
    <w:p>
      <w:pPr>
        <w:pStyle w:val="Heading4"/>
        <w:spacing w:line="240" w:lineRule="auto" w:before="26"/>
        <w:ind w:right="94"/>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spacing w:before="0"/>
        <w:ind w:left="112" w:right="9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0"/>
        <w:gridCol w:w="2374"/>
        <w:gridCol w:w="3203"/>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李洪峰</w:t>
            </w:r>
          </w:p>
        </w:tc>
        <w:tc>
          <w:tcPr>
            <w:tcW w:w="133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32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因工作原因辞职</w:t>
            </w:r>
          </w:p>
        </w:tc>
      </w:tr>
    </w:tbl>
    <w:p>
      <w:pPr>
        <w:spacing w:line="240" w:lineRule="auto" w:before="2"/>
        <w:rPr>
          <w:rFonts w:ascii="宋体" w:hAnsi="宋体" w:cs="宋体" w:eastAsia="宋体" w:hint="default"/>
          <w:sz w:val="18"/>
          <w:szCs w:val="18"/>
        </w:rPr>
      </w:pPr>
    </w:p>
    <w:p>
      <w:pPr>
        <w:pStyle w:val="Heading4"/>
        <w:spacing w:line="240" w:lineRule="auto" w:before="26"/>
        <w:ind w:right="94"/>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12" w:right="94"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73" w:lineRule="auto" w:before="91"/>
        <w:ind w:left="532" w:right="4794" w:hanging="420"/>
        <w:jc w:val="left"/>
      </w:pPr>
      <w:r>
        <w:rPr>
          <w:rFonts w:ascii="宋体" w:hAnsi="宋体" w:cs="宋体" w:eastAsia="宋体" w:hint="default"/>
          <w:b/>
          <w:bCs/>
        </w:rPr>
        <w:t>（一）董事会成员</w:t>
      </w:r>
      <w:r>
        <w:rPr>
          <w:rFonts w:ascii="宋体" w:hAnsi="宋体" w:cs="宋体" w:eastAsia="宋体" w:hint="default"/>
          <w:b/>
          <w:bCs/>
          <w:w w:val="99"/>
        </w:rPr>
        <w:t> </w:t>
      </w:r>
      <w:r>
        <w:rPr/>
        <w:t>王中胜先生：请参阅“公司控股股东情况”描述。</w:t>
      </w:r>
      <w:r>
        <w:rPr>
          <w:w w:val="99"/>
        </w:rPr>
        <w:t> </w:t>
      </w:r>
      <w:r>
        <w:rPr/>
        <w:t>杨世宁先生：请参阅“公司控股股东情况”描述。</w:t>
      </w:r>
    </w:p>
    <w:p>
      <w:pPr>
        <w:pStyle w:val="BodyText"/>
        <w:spacing w:line="273" w:lineRule="auto"/>
        <w:ind w:right="210" w:firstLine="420"/>
        <w:jc w:val="both"/>
      </w:pPr>
      <w:r>
        <w:rPr>
          <w:w w:val="95"/>
        </w:rPr>
        <w:t>陈新先生：1969年生，中国国籍，无境外永久居留权，理学学士，高级工程师。曾任安徽皖通科技发</w:t>
      </w:r>
      <w:r>
        <w:rPr>
          <w:w w:val="99"/>
        </w:rPr>
        <w:t> </w:t>
      </w:r>
      <w:r>
        <w:rPr>
          <w:w w:val="95"/>
        </w:rPr>
        <w:t>展有限公司北京办事处主任。现任本公司董事、副总经理、董事会秘书、子公司烟台华东电子软件技术有</w:t>
      </w:r>
      <w:r>
        <w:rPr>
          <w:spacing w:val="43"/>
          <w:w w:val="95"/>
        </w:rPr>
        <w:t> </w:t>
      </w:r>
      <w:r>
        <w:rPr>
          <w:spacing w:val="43"/>
          <w:w w:val="95"/>
        </w:rPr>
      </w:r>
      <w:r>
        <w:rPr>
          <w:w w:val="95"/>
        </w:rPr>
        <w:t>限公司董事、安徽汉高信息科技有限公司董事、安徽皖通城市智能交通科技有限公司、安徽行云天下科技</w:t>
      </w:r>
      <w:r>
        <w:rPr>
          <w:spacing w:val="43"/>
          <w:w w:val="95"/>
        </w:rPr>
        <w:t> </w:t>
      </w:r>
      <w:r>
        <w:rPr>
          <w:spacing w:val="43"/>
          <w:w w:val="95"/>
        </w:rPr>
      </w:r>
      <w:r>
        <w:rPr/>
        <w:t>有限公司董事。</w:t>
      </w:r>
    </w:p>
    <w:p>
      <w:pPr>
        <w:pStyle w:val="BodyText"/>
        <w:spacing w:line="273" w:lineRule="auto" w:before="8"/>
        <w:ind w:left="532" w:right="94"/>
        <w:jc w:val="left"/>
      </w:pPr>
      <w:r>
        <w:rPr/>
        <w:t>杨新子先生：请参阅“公司控股股东情况”描述。</w:t>
      </w:r>
      <w:r>
        <w:rPr>
          <w:w w:val="99"/>
        </w:rPr>
        <w:t> </w:t>
      </w:r>
      <w:r>
        <w:rPr>
          <w:spacing w:val="-3"/>
        </w:rPr>
        <w:t>孙胜先生：1971年生，中国国籍，无境外永久居留权，本科学历，工程师。曾任本公司职工代表监事，</w:t>
      </w:r>
    </w:p>
    <w:p>
      <w:pPr>
        <w:pStyle w:val="BodyText"/>
        <w:spacing w:line="273" w:lineRule="auto"/>
        <w:ind w:left="532" w:right="94" w:hanging="420"/>
        <w:jc w:val="left"/>
      </w:pPr>
      <w:r>
        <w:rPr/>
        <w:t>现任本公司董事、副总经理、安徽汉高信息科技有限公司执行监事。</w:t>
      </w:r>
      <w:r>
        <w:rPr>
          <w:w w:val="99"/>
        </w:rPr>
        <w:t> </w:t>
      </w:r>
      <w:r>
        <w:rPr>
          <w:w w:val="95"/>
        </w:rPr>
        <w:t>王夕众先生：1968年生，中国国籍，无境外永久居留权，本科学历，高级工程师。现任本公司董事、</w:t>
      </w:r>
      <w:r>
        <w:rPr/>
      </w:r>
    </w:p>
    <w:p>
      <w:pPr>
        <w:pStyle w:val="BodyText"/>
        <w:spacing w:line="273" w:lineRule="auto"/>
        <w:ind w:right="94"/>
        <w:jc w:val="left"/>
      </w:pPr>
      <w:r>
        <w:rPr>
          <w:w w:val="95"/>
        </w:rPr>
        <w:t>子公司烟台华东电子软件技术有限公司董事、副总经理、烟台华东电子科技有限公司董事长、烟台华东数</w:t>
      </w:r>
      <w:r>
        <w:rPr>
          <w:spacing w:val="40"/>
          <w:w w:val="95"/>
        </w:rPr>
        <w:t> </w:t>
      </w:r>
      <w:r>
        <w:rPr>
          <w:spacing w:val="40"/>
          <w:w w:val="95"/>
        </w:rPr>
      </w:r>
      <w:r>
        <w:rPr/>
        <w:t>据科技有限公司董事长、上海舶云供应链管理有限公司董事长。</w:t>
      </w:r>
    </w:p>
    <w:p>
      <w:pPr>
        <w:pStyle w:val="BodyText"/>
        <w:spacing w:line="273" w:lineRule="auto"/>
        <w:ind w:right="210" w:firstLine="420"/>
        <w:jc w:val="both"/>
      </w:pPr>
      <w:r>
        <w:rPr>
          <w:w w:val="95"/>
        </w:rPr>
        <w:t>陈结淼先生：1966年生，中国国籍，无境外永久居留权，工学学士、法学硕士。现任安徽大学法学教</w:t>
      </w:r>
      <w:r>
        <w:rPr>
          <w:w w:val="99"/>
        </w:rPr>
        <w:t> </w:t>
      </w:r>
      <w:r>
        <w:rPr>
          <w:w w:val="95"/>
        </w:rPr>
        <w:t>授、硕士生导师、安徽华茂纺织股份有限公司独立董事、合肥百货大楼集团股份有限公司独立董事、黄山</w:t>
      </w:r>
      <w:r>
        <w:rPr>
          <w:spacing w:val="44"/>
          <w:w w:val="95"/>
        </w:rPr>
        <w:t> </w:t>
      </w:r>
      <w:r>
        <w:rPr>
          <w:spacing w:val="44"/>
          <w:w w:val="95"/>
        </w:rPr>
      </w:r>
      <w:r>
        <w:rPr/>
        <w:t>永新股份有限公司独立董事和本公司独立董事。</w:t>
      </w:r>
    </w:p>
    <w:p>
      <w:pPr>
        <w:pStyle w:val="BodyText"/>
        <w:spacing w:line="273" w:lineRule="auto"/>
        <w:ind w:right="210" w:firstLine="420"/>
        <w:jc w:val="both"/>
      </w:pPr>
      <w:r>
        <w:rPr>
          <w:w w:val="95"/>
        </w:rPr>
        <w:t>李洪峰先生：1954年生，中国国籍，无境外永久居留权，本科学历，副教授。现任中国科技大学管理</w:t>
      </w:r>
      <w:r>
        <w:rPr>
          <w:spacing w:val="-97"/>
          <w:w w:val="95"/>
        </w:rPr>
        <w:t> </w:t>
      </w:r>
      <w:r>
        <w:rPr>
          <w:spacing w:val="-97"/>
          <w:w w:val="95"/>
        </w:rPr>
      </w:r>
      <w:r>
        <w:rPr>
          <w:w w:val="95"/>
        </w:rPr>
        <w:t>学院副教授、华帝股份有限公司独立董事、安徽马鞍山农村商业银行股份有限公司独立董事、安徽安凯汽</w:t>
      </w:r>
      <w:r>
        <w:rPr/>
      </w:r>
    </w:p>
    <w:p>
      <w:pPr>
        <w:spacing w:after="0" w:line="273" w:lineRule="auto"/>
        <w:jc w:val="both"/>
        <w:sectPr>
          <w:pgSz w:w="11910" w:h="16840"/>
          <w:pgMar w:header="746" w:footer="937" w:top="1040" w:bottom="1120" w:left="1020" w:right="920"/>
        </w:sectPr>
      </w:pPr>
    </w:p>
    <w:p>
      <w:pPr>
        <w:spacing w:line="240" w:lineRule="auto" w:before="6"/>
        <w:rPr>
          <w:rFonts w:ascii="宋体" w:hAnsi="宋体" w:cs="宋体" w:eastAsia="宋体" w:hint="default"/>
          <w:sz w:val="25"/>
          <w:szCs w:val="25"/>
        </w:rPr>
      </w:pPr>
    </w:p>
    <w:p>
      <w:pPr>
        <w:pStyle w:val="BodyText"/>
        <w:spacing w:line="273" w:lineRule="auto" w:before="34"/>
        <w:ind w:left="532" w:right="0" w:hanging="420"/>
        <w:jc w:val="left"/>
      </w:pPr>
      <w:r>
        <w:rPr/>
        <w:t>车股份有限公司独立董事、安徽省天然气开发股份有限公司独立董事和本公司独立董事。</w:t>
      </w:r>
      <w:r>
        <w:rPr>
          <w:w w:val="99"/>
        </w:rPr>
        <w:t> </w:t>
      </w:r>
      <w:r>
        <w:rPr>
          <w:w w:val="95"/>
        </w:rPr>
        <w:t>张瑞稳先生：1964年生，中国国籍，无境外永久居留权，博士研究生学位，注册会计师。现任中国科</w:t>
      </w:r>
      <w:r>
        <w:rPr/>
      </w:r>
    </w:p>
    <w:p>
      <w:pPr>
        <w:pStyle w:val="BodyText"/>
        <w:spacing w:line="273" w:lineRule="auto"/>
        <w:ind w:right="0"/>
        <w:jc w:val="left"/>
      </w:pPr>
      <w:r>
        <w:rPr>
          <w:w w:val="95"/>
        </w:rPr>
        <w:t>技大学管理学院副教授、安徽丰原药业股份有限公司独立董事、平光制药股份有限公司独立董事和欧普康</w:t>
      </w:r>
      <w:r>
        <w:rPr>
          <w:spacing w:val="37"/>
          <w:w w:val="95"/>
        </w:rPr>
        <w:t> </w:t>
      </w:r>
      <w:r>
        <w:rPr>
          <w:spacing w:val="37"/>
          <w:w w:val="95"/>
        </w:rPr>
      </w:r>
      <w:r>
        <w:rPr/>
        <w:t>视科技股份有限公司独立董事。</w:t>
      </w:r>
    </w:p>
    <w:p>
      <w:pPr>
        <w:spacing w:line="240" w:lineRule="auto" w:before="6"/>
        <w:rPr>
          <w:rFonts w:ascii="宋体" w:hAnsi="宋体" w:cs="宋体" w:eastAsia="宋体" w:hint="default"/>
          <w:sz w:val="24"/>
          <w:szCs w:val="24"/>
        </w:rPr>
      </w:pPr>
    </w:p>
    <w:p>
      <w:pPr>
        <w:pStyle w:val="BodyText"/>
        <w:spacing w:line="273" w:lineRule="auto" w:before="0"/>
        <w:ind w:left="532" w:right="0"/>
        <w:jc w:val="left"/>
      </w:pPr>
      <w:r>
        <w:rPr>
          <w:rFonts w:ascii="宋体" w:hAnsi="宋体" w:cs="宋体" w:eastAsia="宋体" w:hint="default"/>
          <w:b/>
          <w:bCs/>
        </w:rPr>
        <w:t>（二）监事会成员</w:t>
      </w:r>
      <w:r>
        <w:rPr>
          <w:rFonts w:ascii="宋体" w:hAnsi="宋体" w:cs="宋体" w:eastAsia="宋体" w:hint="default"/>
          <w:b/>
          <w:bCs/>
          <w:w w:val="99"/>
        </w:rPr>
        <w:t> </w:t>
      </w:r>
      <w:r>
        <w:rPr>
          <w:w w:val="95"/>
        </w:rPr>
        <w:t>李天华先生：1971年生，中国国籍，无境外永久居留权，本科学历，高级经济师。曾任安徽皖通科技</w:t>
      </w:r>
      <w:r>
        <w:rPr/>
      </w:r>
    </w:p>
    <w:p>
      <w:pPr>
        <w:pStyle w:val="BodyText"/>
        <w:spacing w:line="273" w:lineRule="auto"/>
        <w:ind w:right="0"/>
        <w:jc w:val="left"/>
      </w:pPr>
      <w:r>
        <w:rPr>
          <w:w w:val="95"/>
        </w:rPr>
        <w:t>发展有限公司财务部信息主管、本公司内部审计部负责人，现任本公司监事会主席、子公司天津市天安怡</w:t>
      </w:r>
      <w:r>
        <w:rPr>
          <w:spacing w:val="40"/>
          <w:w w:val="95"/>
        </w:rPr>
        <w:t> </w:t>
      </w:r>
      <w:r>
        <w:rPr>
          <w:spacing w:val="40"/>
          <w:w w:val="95"/>
        </w:rPr>
      </w:r>
      <w:r>
        <w:rPr/>
        <w:t>和信息技术有限公司董事、天津信息港甲子科技有限公司董事。</w:t>
      </w:r>
    </w:p>
    <w:p>
      <w:pPr>
        <w:pStyle w:val="BodyText"/>
        <w:spacing w:line="273" w:lineRule="auto"/>
        <w:ind w:right="110" w:firstLine="420"/>
        <w:jc w:val="both"/>
      </w:pPr>
      <w:r>
        <w:rPr>
          <w:w w:val="95"/>
        </w:rPr>
        <w:t>陈延风先生：1964年生，中国国籍，无境外永久居留权，本科学历，高级经济师。曾任本公司董事会</w:t>
      </w:r>
      <w:r>
        <w:rPr>
          <w:spacing w:val="-97"/>
          <w:w w:val="95"/>
        </w:rPr>
        <w:t> </w:t>
      </w:r>
      <w:r>
        <w:rPr>
          <w:spacing w:val="-97"/>
          <w:w w:val="95"/>
        </w:rPr>
      </w:r>
      <w:r>
        <w:rPr/>
        <w:t>办公室主任、证券事务代表，现任本公司监事、综合管理部经理。</w:t>
      </w:r>
    </w:p>
    <w:p>
      <w:pPr>
        <w:pStyle w:val="BodyText"/>
        <w:spacing w:line="273" w:lineRule="auto"/>
        <w:ind w:right="112" w:firstLine="420"/>
        <w:jc w:val="both"/>
      </w:pPr>
      <w:r>
        <w:rPr>
          <w:w w:val="95"/>
        </w:rPr>
        <w:t>竺进先生：1959年生，中国国籍，无境外永久居留权，大专学历。曾任合肥安曼制版有限公司生产调</w:t>
      </w:r>
      <w:r>
        <w:rPr>
          <w:w w:val="99"/>
        </w:rPr>
        <w:t> </w:t>
      </w:r>
      <w:r>
        <w:rPr/>
        <w:t>度。现任本公司职工代表监事、总经理办公室副主任。</w:t>
      </w:r>
    </w:p>
    <w:p>
      <w:pPr>
        <w:spacing w:line="240" w:lineRule="auto" w:before="6"/>
        <w:rPr>
          <w:rFonts w:ascii="宋体" w:hAnsi="宋体" w:cs="宋体" w:eastAsia="宋体" w:hint="default"/>
          <w:sz w:val="24"/>
          <w:szCs w:val="24"/>
        </w:rPr>
      </w:pPr>
    </w:p>
    <w:p>
      <w:pPr>
        <w:pStyle w:val="BodyText"/>
        <w:tabs>
          <w:tab w:pos="952" w:val="left" w:leader="none"/>
        </w:tabs>
        <w:spacing w:line="273" w:lineRule="auto" w:before="0"/>
        <w:ind w:left="532" w:right="5234"/>
        <w:jc w:val="left"/>
      </w:pPr>
      <w:r>
        <w:rPr>
          <w:rFonts w:ascii="宋体" w:hAnsi="宋体" w:cs="宋体" w:eastAsia="宋体" w:hint="default"/>
          <w:b/>
          <w:bCs/>
        </w:rPr>
        <w:t>（三）高级管理人员</w:t>
      </w:r>
      <w:r>
        <w:rPr>
          <w:rFonts w:ascii="宋体" w:hAnsi="宋体" w:cs="宋体" w:eastAsia="宋体" w:hint="default"/>
          <w:b/>
          <w:bCs/>
          <w:w w:val="99"/>
        </w:rPr>
        <w:t> </w:t>
      </w:r>
      <w:r>
        <w:rPr/>
        <w:t>杨世宁先生：总经理，见董事会成员简历。</w:t>
      </w:r>
      <w:r>
        <w:rPr>
          <w:w w:val="99"/>
        </w:rPr>
        <w:t> </w:t>
      </w:r>
      <w:r>
        <w:rPr>
          <w:w w:val="95"/>
        </w:rPr>
        <w:t>陈</w:t>
        <w:tab/>
        <w:t>新先生：副总经理，见董事会成员简历。</w:t>
      </w:r>
      <w:r>
        <w:rPr>
          <w:spacing w:val="78"/>
          <w:w w:val="95"/>
        </w:rPr>
        <w:t> </w:t>
      </w:r>
      <w:r>
        <w:rPr>
          <w:spacing w:val="78"/>
          <w:w w:val="95"/>
        </w:rPr>
      </w:r>
      <w:r>
        <w:rPr>
          <w:w w:val="95"/>
        </w:rPr>
        <w:t>杨新子先生：副总经理，见董事会成员简历。</w:t>
      </w:r>
      <w:r>
        <w:rPr>
          <w:spacing w:val="98"/>
          <w:w w:val="95"/>
        </w:rPr>
        <w:t> </w:t>
      </w:r>
      <w:r>
        <w:rPr>
          <w:spacing w:val="98"/>
          <w:w w:val="95"/>
        </w:rPr>
      </w:r>
      <w:r>
        <w:rPr>
          <w:w w:val="95"/>
        </w:rPr>
        <w:t>孙</w:t>
        <w:tab/>
        <w:t>胜先生：副总经理，见董事会成员简历。</w:t>
      </w:r>
      <w:r>
        <w:rPr/>
      </w:r>
    </w:p>
    <w:p>
      <w:pPr>
        <w:pStyle w:val="BodyText"/>
        <w:spacing w:line="273" w:lineRule="auto"/>
        <w:ind w:right="110" w:firstLine="420"/>
        <w:jc w:val="both"/>
      </w:pPr>
      <w:r>
        <w:rPr/>
        <w:t>孔</w:t>
      </w:r>
      <w:r>
        <w:rPr>
          <w:spacing w:val="71"/>
        </w:rPr>
        <w:t> </w:t>
      </w:r>
      <w:r>
        <w:rPr/>
        <w:t>梅女士：1969年生，中国国籍，无境外永久居留权，大专学历。曾任安徽皖通科技发展有限公司</w:t>
      </w:r>
      <w:r>
        <w:rPr>
          <w:w w:val="99"/>
        </w:rPr>
        <w:t> </w:t>
      </w:r>
      <w:r>
        <w:rPr/>
        <w:t>总经理助理，现任本公司副总经理、子公司安徽皖通城市智能交通科技有限公司董事长。</w:t>
      </w:r>
    </w:p>
    <w:p>
      <w:pPr>
        <w:pStyle w:val="BodyText"/>
        <w:spacing w:line="273" w:lineRule="auto"/>
        <w:ind w:right="110" w:firstLine="420"/>
        <w:jc w:val="both"/>
      </w:pPr>
      <w:r>
        <w:rPr>
          <w:w w:val="95"/>
        </w:rPr>
        <w:t>卢玉平先生：1985年生，中国国籍，无境外永久居留权，本科学历，中国注册会计师协会会员（非执</w:t>
      </w:r>
      <w:r>
        <w:rPr>
          <w:w w:val="99"/>
        </w:rPr>
        <w:t> </w:t>
      </w:r>
      <w:r>
        <w:rPr>
          <w:w w:val="95"/>
        </w:rPr>
        <w:t>业）。曾任华普天健会计师事务所（特殊普通合伙）审计职务，本公司财务部经理，现任本公司财务负责</w:t>
      </w:r>
      <w:r>
        <w:rPr>
          <w:spacing w:val="40"/>
          <w:w w:val="95"/>
        </w:rPr>
        <w:t> </w:t>
      </w:r>
      <w:r>
        <w:rPr>
          <w:spacing w:val="40"/>
          <w:w w:val="95"/>
        </w:rPr>
      </w:r>
      <w:r>
        <w:rPr/>
        <w:t>人、子公司重庆皖通科技有限责任公司董事、安徽行云天下科技有限公司监事。</w:t>
      </w:r>
    </w:p>
    <w:p>
      <w:pPr>
        <w:spacing w:before="71"/>
        <w:ind w:left="11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60" w:lineRule="auto" w:before="117"/>
        <w:ind w:left="112" w:right="8114" w:firstLine="0"/>
        <w:jc w:val="left"/>
        <w:rPr>
          <w:rFonts w:ascii="宋体" w:hAnsi="宋体" w:cs="宋体" w:eastAsia="宋体" w:hint="default"/>
          <w:sz w:val="18"/>
          <w:szCs w:val="18"/>
        </w:rPr>
      </w:pPr>
      <w:r>
        <w:rPr>
          <w:rFonts w:ascii="宋体" w:hAnsi="宋体" w:cs="宋体" w:eastAsia="宋体" w:hint="default"/>
          <w:sz w:val="18"/>
          <w:szCs w:val="18"/>
        </w:rPr>
        <w:t>□ 适用 √ 不适用 在其他单位任职情况</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229"/>
        <w:gridCol w:w="1360"/>
        <w:gridCol w:w="1376"/>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88"/>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0"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02</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10</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07</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武汉宏途科技有限公司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05</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07</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02</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02</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03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229"/>
        <w:gridCol w:w="1360"/>
        <w:gridCol w:w="1376"/>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10</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10</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04</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11</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10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02</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10</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安徽大学法学院</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1993</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07</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安徽华贸纺织股份有限公司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12</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合肥百货大楼集团股份有限公司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08</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黄山永新股份有限公司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01</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李洪峰</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中国科技大学管理学院</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07</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李洪峰</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华帝股份有限公司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05</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李洪峰</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安徽马鞍山农村商业银行股份有限公司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07</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李洪峰</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安徽安凯汽车股份有限公司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01</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李洪峰</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安徽省天然气开发股份有限公司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12</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张瑞稳</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中国科技大学管理学院</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1991</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01</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张瑞稳</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安徽丰原药业股份有限公司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04</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18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张瑞稳</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平光制药股份有限公司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09</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2"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张瑞稳</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欧普康视科技股份有限公司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05</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229"/>
        <w:gridCol w:w="1360"/>
        <w:gridCol w:w="1376"/>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孙胜</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10</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董事、副总经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10</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烟台华东电子科技有限公司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11</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烟台华东数据科技有限公司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08</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上海舶云供应链管理有限公司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05</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李天华</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02</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李天华</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02</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03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孔梅</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08</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卢玉平</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重庆皖通科技有限责任公司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09</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07</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卢玉平</w:t>
            </w:r>
          </w:p>
        </w:tc>
        <w:tc>
          <w:tcPr>
            <w:tcW w:w="3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8"/>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11</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10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2"/>
        <w:rPr>
          <w:rFonts w:ascii="宋体" w:hAnsi="宋体" w:cs="宋体" w:eastAsia="宋体" w:hint="default"/>
          <w:sz w:val="12"/>
          <w:szCs w:val="12"/>
        </w:rPr>
      </w:pPr>
    </w:p>
    <w:p>
      <w:pPr>
        <w:pStyle w:val="BodyText"/>
        <w:spacing w:line="408" w:lineRule="auto" w:before="0"/>
        <w:ind w:right="112" w:firstLine="360"/>
        <w:jc w:val="both"/>
      </w:pPr>
      <w:r>
        <w:rPr/>
        <w:t>公司董事会薪酬与考核委员会负责对高级管理人员的工作能力、履职情况、责任目标完成情况等进行</w:t>
      </w:r>
      <w:r>
        <w:rPr>
          <w:w w:val="99"/>
        </w:rPr>
        <w:t> </w:t>
      </w:r>
      <w:r>
        <w:rPr>
          <w:w w:val="95"/>
        </w:rPr>
        <w:t>综合考评，制定薪酬计划或方案报董事会审批，独立董事每年对董事、监事及高级管理人员的薪酬情况进</w:t>
      </w:r>
      <w:r>
        <w:rPr>
          <w:spacing w:val="40"/>
          <w:w w:val="95"/>
        </w:rPr>
        <w:t> </w:t>
      </w:r>
      <w:r>
        <w:rPr>
          <w:spacing w:val="40"/>
          <w:w w:val="95"/>
        </w:rPr>
      </w:r>
      <w:r>
        <w:rPr>
          <w:w w:val="95"/>
        </w:rPr>
        <w:t>行核查，并发表独立意见。公司建立了完善的董事、监事及高级管理人员绩效考评体系和薪酬制度，根据</w:t>
      </w:r>
      <w:r>
        <w:rPr>
          <w:spacing w:val="38"/>
          <w:w w:val="95"/>
        </w:rPr>
        <w:t> </w:t>
      </w:r>
      <w:r>
        <w:rPr>
          <w:spacing w:val="38"/>
          <w:w w:val="95"/>
        </w:rPr>
      </w:r>
      <w:r>
        <w:rPr>
          <w:w w:val="95"/>
        </w:rPr>
        <w:t>经营业绩、管理绩效等指标考核情况，确定相关人员薪酬，通过持续强化激励措施和考核管理，调动相关</w:t>
      </w:r>
      <w:r>
        <w:rPr>
          <w:spacing w:val="39"/>
          <w:w w:val="95"/>
        </w:rPr>
        <w:t> </w:t>
      </w:r>
      <w:r>
        <w:rPr>
          <w:spacing w:val="39"/>
          <w:w w:val="95"/>
        </w:rPr>
      </w:r>
      <w:r>
        <w:rPr/>
        <w:t>人员的工作积极性，提升企业管理水平和经济效益。</w:t>
      </w:r>
    </w:p>
    <w:p>
      <w:pPr>
        <w:spacing w:before="33"/>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8"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bl>
    <w:p>
      <w:pPr>
        <w:spacing w:after="0" w:line="316"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r>
        <w:rPr/>
        <w:pict>
          <v:shape style="position:absolute;margin-left:187.559006pt;margin-top:112.600021pt;width:74.2pt;height:35.3pt;mso-position-horizontal-relative:page;mso-position-vertical-relative:page;z-index:-87613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93.649994pt;margin-top:112.600021pt;width:68.1pt;height:35.450pt;mso-position-horizontal-relative:page;mso-position-vertical-relative:page;z-index:-876112" coordorigin="3873,2252" coordsize="1362,709">
            <v:shape style="position:absolute;left:3873;top:2252;width:1362;height:709" coordorigin="3873,2252" coordsize="1362,709" path="m3873,2252l5235,2252,5235,2961,3873,2961,3873,2252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112"/>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z w:val="18"/>
                <w:szCs w:val="18"/>
              </w:rPr>
              <w:t> 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陈结淼</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李洪峰</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张瑞稳</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孙胜</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李天华</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监事、监事会主 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陈延风</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竺进</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孔梅</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卢玉平</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331.31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t>1、员工数量、专业构成及教育程度</w:t>
      </w:r>
      <w:r>
        <w:rPr>
          <w:b w:val="0"/>
          <w:bCs w:val="0"/>
        </w:rPr>
      </w:r>
    </w:p>
    <w:p>
      <w:pPr>
        <w:spacing w:line="240" w:lineRule="auto" w:before="11"/>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685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1,165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1,165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919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29</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147</w:t>
            </w:r>
          </w:p>
        </w:tc>
      </w:tr>
    </w:tbl>
    <w:p>
      <w:pPr>
        <w:spacing w:after="0" w:line="240" w:lineRule="auto"/>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b/>
          <w:bCs/>
          <w:sz w:val="29"/>
          <w:szCs w:val="29"/>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1,165</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699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1,165</w:t>
            </w:r>
          </w:p>
        </w:tc>
      </w:tr>
    </w:tbl>
    <w:p>
      <w:pPr>
        <w:spacing w:line="240" w:lineRule="auto" w:before="3"/>
        <w:rPr>
          <w:rFonts w:ascii="宋体" w:hAnsi="宋体" w:cs="宋体" w:eastAsia="宋体" w:hint="default"/>
          <w:b/>
          <w:bCs/>
          <w:sz w:val="19"/>
          <w:szCs w:val="19"/>
        </w:rPr>
      </w:pPr>
    </w:p>
    <w:p>
      <w:pPr>
        <w:pStyle w:val="Heading5"/>
        <w:spacing w:line="240" w:lineRule="auto" w:before="34"/>
        <w:ind w:right="94"/>
        <w:jc w:val="left"/>
        <w:rPr>
          <w:b w:val="0"/>
          <w:bCs w:val="0"/>
        </w:rPr>
      </w:pPr>
      <w:r>
        <w:rPr/>
        <w:t>2、薪酬政策</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4"/>
        <w:ind w:right="192" w:firstLine="420"/>
        <w:jc w:val="both"/>
      </w:pPr>
      <w:r>
        <w:rPr>
          <w:w w:val="95"/>
        </w:rPr>
        <w:t>公司根据经营战略和发展规划，按照《劳动法》、《劳动合同法》等相关法律法规和《公司章程》的</w:t>
      </w:r>
      <w:r>
        <w:rPr>
          <w:w w:val="99"/>
        </w:rPr>
        <w:t> </w:t>
      </w:r>
      <w:r>
        <w:rPr>
          <w:w w:val="95"/>
        </w:rPr>
        <w:t>规定，参考行业和区域平均薪资情况，制定了《安徽皖通科技股份有限公司薪资管理制度》，全面规定公</w:t>
      </w:r>
      <w:r>
        <w:rPr>
          <w:spacing w:val="43"/>
          <w:w w:val="95"/>
        </w:rPr>
        <w:t> </w:t>
      </w:r>
      <w:r>
        <w:rPr>
          <w:spacing w:val="43"/>
          <w:w w:val="95"/>
        </w:rPr>
      </w:r>
      <w:r>
        <w:rPr>
          <w:w w:val="95"/>
        </w:rPr>
        <w:t>司薪酬政策、薪酬水平和薪酬结构。按照工作职能，公司岗位分为五个系列：管理系列、管理附注系列、</w:t>
      </w:r>
      <w:r>
        <w:rPr>
          <w:spacing w:val="61"/>
          <w:w w:val="95"/>
        </w:rPr>
        <w:t> </w:t>
      </w:r>
      <w:r>
        <w:rPr>
          <w:spacing w:val="61"/>
          <w:w w:val="95"/>
        </w:rPr>
      </w:r>
      <w:r>
        <w:rPr>
          <w:w w:val="95"/>
        </w:rPr>
        <w:t>市场销售系列、软件设计系列和项目管理系列；每个系列设定为初级、中级、高级等多个级别，对应不同</w:t>
      </w:r>
      <w:r>
        <w:rPr>
          <w:spacing w:val="44"/>
          <w:w w:val="95"/>
        </w:rPr>
        <w:t> </w:t>
      </w:r>
      <w:r>
        <w:rPr>
          <w:spacing w:val="44"/>
          <w:w w:val="95"/>
        </w:rPr>
      </w:r>
      <w:r>
        <w:rPr/>
        <w:t>的薪资档位。通过对员工学历层次、工作经验、职称等级等指标的评估，确定员工薪酬。</w:t>
      </w:r>
    </w:p>
    <w:p>
      <w:pPr>
        <w:pStyle w:val="BodyText"/>
        <w:spacing w:line="408" w:lineRule="auto" w:before="46"/>
        <w:ind w:right="212" w:firstLine="420"/>
        <w:jc w:val="both"/>
      </w:pPr>
      <w:r>
        <w:rPr>
          <w:w w:val="95"/>
        </w:rPr>
        <w:t>公司实行动态的薪酬调整和管理制度，通过综合考量员工个人绩效和团队整体绩效，以定期、不定期</w:t>
      </w:r>
      <w:r>
        <w:rPr>
          <w:w w:val="99"/>
        </w:rPr>
        <w:t> </w:t>
      </w:r>
      <w:r>
        <w:rPr/>
        <w:t>相结合的灵活薪资调整机制，基本实现个人能力与薪酬水平相匹配。</w:t>
      </w:r>
    </w:p>
    <w:p>
      <w:pPr>
        <w:spacing w:line="240" w:lineRule="auto" w:before="8"/>
        <w:rPr>
          <w:rFonts w:ascii="宋体" w:hAnsi="宋体" w:cs="宋体" w:eastAsia="宋体" w:hint="default"/>
          <w:sz w:val="20"/>
          <w:szCs w:val="20"/>
        </w:rPr>
      </w:pPr>
    </w:p>
    <w:p>
      <w:pPr>
        <w:pStyle w:val="Heading5"/>
        <w:spacing w:line="240" w:lineRule="auto"/>
        <w:ind w:right="94"/>
        <w:jc w:val="left"/>
        <w:rPr>
          <w:b w:val="0"/>
          <w:bCs w:val="0"/>
        </w:rPr>
      </w:pPr>
      <w:r>
        <w:rPr/>
        <w:t>3、培训计划</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2"/>
        <w:ind w:right="99" w:firstLine="420"/>
        <w:jc w:val="left"/>
      </w:pPr>
      <w:r>
        <w:rPr>
          <w:spacing w:val="-3"/>
        </w:rPr>
        <w:t>公司持续健全完善企业培训体系，推进员工职业生涯规划工作，畅通各类人才的职业发展和晋升通道，</w:t>
      </w:r>
      <w:r>
        <w:rPr>
          <w:w w:val="99"/>
        </w:rPr>
        <w:t> </w:t>
      </w:r>
      <w:r>
        <w:rPr>
          <w:spacing w:val="-3"/>
        </w:rPr>
        <w:t>开展以集中培训、个人自学等多种形式、多种渠道、多种载体的岗位培训，提升员工专业技能和职业资格。</w:t>
      </w:r>
    </w:p>
    <w:p>
      <w:pPr>
        <w:pStyle w:val="BodyText"/>
        <w:spacing w:line="408" w:lineRule="auto" w:before="46"/>
        <w:ind w:right="210" w:firstLine="420"/>
        <w:jc w:val="both"/>
      </w:pPr>
      <w:r>
        <w:rPr>
          <w:w w:val="95"/>
        </w:rPr>
        <w:t>公司针对不同对象制定个性化、多元化的专项培训计划：新员工入职培训、岗位技能培训、继续教育</w:t>
      </w:r>
      <w:r>
        <w:rPr>
          <w:spacing w:val="-97"/>
          <w:w w:val="95"/>
        </w:rPr>
        <w:t> </w:t>
      </w:r>
      <w:r>
        <w:rPr>
          <w:spacing w:val="-97"/>
          <w:w w:val="95"/>
        </w:rPr>
      </w:r>
      <w:r>
        <w:rPr/>
        <w:t>培训、管理能力培训等，全面拓展员工视野，提升员工综合素质，为企业发展提供坚实的人才保障。</w:t>
      </w:r>
    </w:p>
    <w:p>
      <w:pPr>
        <w:spacing w:line="240" w:lineRule="auto" w:before="8"/>
        <w:rPr>
          <w:rFonts w:ascii="宋体" w:hAnsi="宋体" w:cs="宋体" w:eastAsia="宋体" w:hint="default"/>
          <w:sz w:val="20"/>
          <w:szCs w:val="20"/>
        </w:rPr>
      </w:pPr>
    </w:p>
    <w:p>
      <w:pPr>
        <w:pStyle w:val="Heading5"/>
        <w:spacing w:line="240" w:lineRule="auto"/>
        <w:ind w:right="94"/>
        <w:jc w:val="left"/>
        <w:rPr>
          <w:b w:val="0"/>
          <w:bCs w:val="0"/>
        </w:rPr>
      </w:pPr>
      <w:r>
        <w:rPr/>
        <w:t>4、劳务外包情况</w:t>
      </w:r>
      <w:r>
        <w:rPr>
          <w:b w:val="0"/>
          <w:bCs w:val="0"/>
        </w:rPr>
      </w:r>
    </w:p>
    <w:p>
      <w:pPr>
        <w:spacing w:line="240" w:lineRule="auto" w:before="9"/>
        <w:rPr>
          <w:rFonts w:ascii="宋体" w:hAnsi="宋体" w:cs="宋体" w:eastAsia="宋体" w:hint="default"/>
          <w:b/>
          <w:bCs/>
          <w:sz w:val="27"/>
          <w:szCs w:val="27"/>
        </w:rPr>
      </w:pPr>
    </w:p>
    <w:p>
      <w:pPr>
        <w:spacing w:before="0"/>
        <w:ind w:left="112" w:right="9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37" w:top="1040" w:bottom="112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3813" w:right="3830"/>
        <w:jc w:val="center"/>
        <w:rPr>
          <w:b w:val="0"/>
          <w:bCs w:val="0"/>
        </w:rPr>
      </w:pPr>
      <w:bookmarkStart w:name="_bookmark8" w:id="9"/>
      <w:bookmarkEnd w:id="9"/>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left="212" w:right="222"/>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212" w:right="230" w:firstLine="480"/>
        <w:jc w:val="both"/>
      </w:pPr>
      <w:r>
        <w:rPr>
          <w:spacing w:val="-2"/>
        </w:rPr>
        <w:t>报告期内，公司严格按照《公司法》、《证券法》、《上市公司治理准则》、《深圳证券交易所股票</w:t>
      </w:r>
      <w:r>
        <w:rPr>
          <w:w w:val="99"/>
        </w:rPr>
        <w:t> </w:t>
      </w:r>
      <w:r>
        <w:rPr>
          <w:w w:val="95"/>
        </w:rPr>
        <w:t>上市规则》、《深圳证券交易所中小企业板上市公司规范运作指引》等法律法规和规范性文件要求，不断</w:t>
      </w:r>
      <w:r>
        <w:rPr>
          <w:spacing w:val="43"/>
          <w:w w:val="95"/>
        </w:rPr>
        <w:t> </w:t>
      </w:r>
      <w:r>
        <w:rPr>
          <w:spacing w:val="43"/>
          <w:w w:val="95"/>
        </w:rPr>
      </w:r>
      <w:r>
        <w:rPr>
          <w:w w:val="95"/>
        </w:rPr>
        <w:t>完善公司法人治理结构，建立健全内部管理和控制制度，进一步提高公司治理水平。目前，公司整体运作</w:t>
      </w:r>
      <w:r>
        <w:rPr>
          <w:spacing w:val="43"/>
          <w:w w:val="95"/>
        </w:rPr>
        <w:t> </w:t>
      </w:r>
      <w:r>
        <w:rPr>
          <w:spacing w:val="43"/>
          <w:w w:val="95"/>
        </w:rPr>
      </w:r>
      <w:r>
        <w:rPr/>
        <w:t>规范，信息披露规范，实际情况与中国证监会发布的有关上市公司治理规范性文件的要求基本符合。</w:t>
      </w:r>
    </w:p>
    <w:p>
      <w:pPr>
        <w:pStyle w:val="BodyText"/>
        <w:spacing w:line="240" w:lineRule="auto" w:before="87"/>
        <w:ind w:left="632" w:right="222"/>
        <w:jc w:val="left"/>
      </w:pPr>
      <w:r>
        <w:rPr/>
        <w:t>报告期内，公司建立和修订的治理制度：</w:t>
      </w:r>
    </w:p>
    <w:p>
      <w:pPr>
        <w:spacing w:line="240" w:lineRule="auto" w:before="13"/>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82"/>
        <w:gridCol w:w="6720"/>
        <w:gridCol w:w="1552"/>
      </w:tblGrid>
      <w:tr>
        <w:trPr>
          <w:trHeight w:val="55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6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披露载体</w:t>
            </w:r>
          </w:p>
        </w:tc>
      </w:tr>
      <w:tr>
        <w:trPr>
          <w:trHeight w:val="55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sz w:val="21"/>
              </w:rPr>
              <w:t>2017-02-28</w:t>
            </w:r>
          </w:p>
        </w:tc>
        <w:tc>
          <w:tcPr>
            <w:tcW w:w="6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安徽皖通科技股份有限公司未来三年（2017-2019年）股东回报规划</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2017-09-08</w:t>
            </w:r>
          </w:p>
        </w:tc>
        <w:tc>
          <w:tcPr>
            <w:tcW w:w="6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安徽皖通科技股份有限公司募集资金使用管理办法（2017年修订版）</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pStyle w:val="BodyText"/>
        <w:spacing w:line="408" w:lineRule="auto" w:before="62"/>
        <w:ind w:left="692" w:right="222"/>
        <w:jc w:val="left"/>
      </w:pPr>
      <w:r>
        <w:rPr/>
        <w:t>（一）关于股东与股东大会</w:t>
      </w:r>
      <w:r>
        <w:rPr>
          <w:w w:val="99"/>
        </w:rPr>
        <w:t> </w:t>
      </w:r>
      <w:r>
        <w:rPr>
          <w:spacing w:val="-4"/>
          <w:w w:val="95"/>
        </w:rPr>
        <w:t>报告期内，公司严格按照《公司法》、《证券法》、《深圳证券交易所股票上市规则》、《公司章程》</w:t>
      </w:r>
      <w:r>
        <w:rPr>
          <w:spacing w:val="-4"/>
        </w:rPr>
      </w:r>
    </w:p>
    <w:p>
      <w:pPr>
        <w:pStyle w:val="BodyText"/>
        <w:spacing w:line="408" w:lineRule="auto" w:before="46"/>
        <w:ind w:left="212" w:right="222"/>
        <w:jc w:val="left"/>
      </w:pPr>
      <w:r>
        <w:rPr>
          <w:w w:val="95"/>
        </w:rPr>
        <w:t>和《股东大会议事规则》等相关法律法规要求召集并召开股东大会，并聘请律师出席见证。公司能够确保</w:t>
      </w:r>
      <w:r>
        <w:rPr>
          <w:spacing w:val="43"/>
          <w:w w:val="95"/>
        </w:rPr>
        <w:t> </w:t>
      </w:r>
      <w:r>
        <w:rPr>
          <w:spacing w:val="43"/>
          <w:w w:val="95"/>
        </w:rPr>
      </w:r>
      <w:r>
        <w:rPr/>
        <w:t>所有股东、特别是中小股东享有平等地位，以保证股东能够充分行使自己的权利。</w:t>
      </w:r>
    </w:p>
    <w:p>
      <w:pPr>
        <w:pStyle w:val="BodyText"/>
        <w:spacing w:line="441" w:lineRule="auto" w:before="87"/>
        <w:ind w:left="692" w:right="222" w:hanging="60"/>
        <w:jc w:val="left"/>
      </w:pPr>
      <w:r>
        <w:rPr/>
        <w:t>(二)关于实际控制人与公司</w:t>
      </w:r>
      <w:r>
        <w:rPr>
          <w:w w:val="99"/>
        </w:rPr>
        <w:t> </w:t>
      </w:r>
      <w:r>
        <w:rPr>
          <w:spacing w:val="-2"/>
        </w:rPr>
        <w:t>公司实际控制人能严格规范自己的行为，通过股东大会依法行使出资人的权利，没有超越股东大会直</w:t>
      </w:r>
    </w:p>
    <w:p>
      <w:pPr>
        <w:pStyle w:val="BodyText"/>
        <w:spacing w:line="408" w:lineRule="auto" w:before="16"/>
        <w:ind w:left="212" w:right="222"/>
        <w:jc w:val="left"/>
      </w:pPr>
      <w:r>
        <w:rPr>
          <w:w w:val="95"/>
        </w:rPr>
        <w:t>接或间接干预公司的决策和经营活动，公司未与控股股东进行关联交易，公司董事会、监事会和内部经营</w:t>
      </w:r>
      <w:r>
        <w:rPr>
          <w:spacing w:val="43"/>
          <w:w w:val="95"/>
        </w:rPr>
        <w:t> </w:t>
      </w:r>
      <w:r>
        <w:rPr>
          <w:spacing w:val="43"/>
          <w:w w:val="95"/>
        </w:rPr>
      </w:r>
      <w:r>
        <w:rPr/>
        <w:t>管理机构根据各议事规则及公司制度独立运行。</w:t>
      </w:r>
    </w:p>
    <w:p>
      <w:pPr>
        <w:pStyle w:val="BodyText"/>
        <w:spacing w:line="444" w:lineRule="auto" w:before="87"/>
        <w:ind w:left="632" w:right="222" w:hanging="104"/>
        <w:jc w:val="left"/>
      </w:pPr>
      <w:r>
        <w:rPr/>
        <w:t>（三）关于董事与董事会</w:t>
      </w:r>
      <w:r>
        <w:rPr>
          <w:w w:val="99"/>
        </w:rPr>
        <w:t> </w:t>
      </w:r>
      <w:r>
        <w:rPr>
          <w:w w:val="95"/>
        </w:rPr>
        <w:t>报告期末公司董事会由九名董事组成，其中独立董事三名，独立董事均由在金融、法律等方面的专业</w:t>
      </w:r>
      <w:r>
        <w:rPr/>
      </w:r>
    </w:p>
    <w:p>
      <w:pPr>
        <w:pStyle w:val="BodyText"/>
        <w:spacing w:line="408" w:lineRule="auto" w:before="14"/>
        <w:ind w:left="212" w:right="222"/>
        <w:jc w:val="left"/>
      </w:pPr>
      <w:r>
        <w:rPr>
          <w:w w:val="95"/>
        </w:rPr>
        <w:t>人士担任，保证了董事会决策的质量和水平。公司董事会下设四个专业委员会：战略发展委员会、审计委</w:t>
      </w:r>
      <w:r>
        <w:rPr>
          <w:spacing w:val="41"/>
          <w:w w:val="95"/>
        </w:rPr>
        <w:t> </w:t>
      </w:r>
      <w:r>
        <w:rPr>
          <w:spacing w:val="41"/>
          <w:w w:val="95"/>
        </w:rPr>
      </w:r>
      <w:r>
        <w:rPr/>
        <w:t>员会、提名委员会和薪酬与考核委员会，公司全体董事均能认真履行董事职责，诚实守信、勤勉尽责。</w:t>
      </w:r>
    </w:p>
    <w:p>
      <w:pPr>
        <w:pStyle w:val="BodyText"/>
        <w:spacing w:line="408" w:lineRule="auto" w:before="46"/>
        <w:ind w:left="632" w:right="222" w:hanging="104"/>
        <w:jc w:val="left"/>
      </w:pPr>
      <w:r>
        <w:rPr/>
        <w:t>（四）关于监事与监事会</w:t>
      </w:r>
      <w:r>
        <w:rPr>
          <w:w w:val="99"/>
        </w:rPr>
        <w:t> </w:t>
      </w:r>
      <w:r>
        <w:rPr>
          <w:w w:val="95"/>
        </w:rPr>
        <w:t>报告期内公司监事会由三名监事组成，其中职工监事一名，监事会人员构成符合法律、法规的要求。</w:t>
      </w:r>
      <w:r>
        <w:rPr/>
      </w:r>
    </w:p>
    <w:p>
      <w:pPr>
        <w:pStyle w:val="BodyText"/>
        <w:spacing w:line="408" w:lineRule="auto" w:before="46"/>
        <w:ind w:left="212" w:right="125"/>
        <w:jc w:val="left"/>
      </w:pPr>
      <w:r>
        <w:rPr>
          <w:spacing w:val="-3"/>
        </w:rPr>
        <w:t>公司监事能够认真履行职责，本着对股东负责的精神，勤勉尽责的履行监督职责，对公司财务状况、董事、</w:t>
      </w:r>
      <w:r>
        <w:rPr>
          <w:w w:val="99"/>
        </w:rPr>
        <w:t> </w:t>
      </w:r>
      <w:r>
        <w:rPr/>
        <w:t>高级管理人员履职的合法性、合规性进行有效的监督，维护了公司及股东的合法权益。</w:t>
      </w:r>
    </w:p>
    <w:p>
      <w:pPr>
        <w:spacing w:after="0" w:line="408" w:lineRule="auto"/>
        <w:jc w:val="left"/>
        <w:sectPr>
          <w:pgSz w:w="11910" w:h="16840"/>
          <w:pgMar w:header="746" w:footer="937" w:top="1040" w:bottom="1120" w:left="920" w:right="9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444" w:lineRule="auto" w:before="0"/>
        <w:ind w:left="592" w:right="202" w:hanging="180"/>
        <w:jc w:val="left"/>
      </w:pPr>
      <w:r>
        <w:rPr/>
        <w:t>（五）关于信息披露与透明度</w:t>
      </w:r>
      <w:r>
        <w:rPr>
          <w:w w:val="99"/>
        </w:rPr>
        <w:t> </w:t>
      </w:r>
      <w:r>
        <w:rPr>
          <w:spacing w:val="-2"/>
        </w:rPr>
        <w:t>公司董事会秘书为公司信息披露与投资者关系管理的主要负责人。报告期内，公司严格按照《深圳证</w:t>
      </w:r>
    </w:p>
    <w:p>
      <w:pPr>
        <w:pStyle w:val="BodyText"/>
        <w:spacing w:line="408" w:lineRule="auto" w:before="14"/>
        <w:ind w:right="94"/>
        <w:jc w:val="left"/>
      </w:pPr>
      <w:r>
        <w:rPr>
          <w:w w:val="95"/>
        </w:rPr>
        <w:t>券交易所股票上市规则》、《深圳证券交易所中小企业板上市公司规范运行指引》等有关规定，及时、公</w:t>
      </w:r>
      <w:r>
        <w:rPr>
          <w:spacing w:val="43"/>
          <w:w w:val="95"/>
        </w:rPr>
        <w:t> </w:t>
      </w:r>
      <w:r>
        <w:rPr>
          <w:spacing w:val="43"/>
          <w:w w:val="95"/>
        </w:rPr>
      </w:r>
      <w:r>
        <w:rPr/>
        <w:t>平、真实、准确、完整地向股东披露</w:t>
      </w:r>
      <w:r>
        <w:rPr>
          <w:spacing w:val="-25"/>
        </w:rPr>
        <w:t> </w:t>
      </w:r>
      <w:r>
        <w:rPr/>
        <w:t>相关信息，提高公司运行的透明度，保障全体股东的合法权益。</w:t>
      </w:r>
    </w:p>
    <w:p>
      <w:pPr>
        <w:pStyle w:val="BodyText"/>
        <w:spacing w:line="441" w:lineRule="auto" w:before="87"/>
        <w:ind w:left="592" w:right="202" w:hanging="180"/>
        <w:jc w:val="left"/>
      </w:pPr>
      <w:r>
        <w:rPr/>
        <w:t>（六）关于绩效评价和激励约束机制</w:t>
      </w:r>
      <w:r>
        <w:rPr>
          <w:w w:val="99"/>
        </w:rPr>
        <w:t> </w:t>
      </w:r>
      <w:r>
        <w:rPr>
          <w:spacing w:val="-2"/>
        </w:rPr>
        <w:t>公司已经建立了公正、透明的绩效考核评价标准和激励约束机制，有效提高了公司全体员工的工作积</w:t>
      </w:r>
    </w:p>
    <w:p>
      <w:pPr>
        <w:pStyle w:val="BodyText"/>
        <w:spacing w:line="240" w:lineRule="auto" w:before="16"/>
        <w:ind w:right="94"/>
        <w:jc w:val="left"/>
      </w:pPr>
      <w:r>
        <w:rPr/>
        <w:t>极性与责任感，实现了员工个人利益与公司利益的统一，且符合相关法律、法规和公司内部规章制度。</w:t>
      </w:r>
    </w:p>
    <w:p>
      <w:pPr>
        <w:spacing w:line="240" w:lineRule="auto" w:before="10"/>
        <w:rPr>
          <w:rFonts w:ascii="宋体" w:hAnsi="宋体" w:cs="宋体" w:eastAsia="宋体" w:hint="default"/>
          <w:sz w:val="14"/>
          <w:szCs w:val="14"/>
        </w:rPr>
      </w:pPr>
    </w:p>
    <w:p>
      <w:pPr>
        <w:pStyle w:val="BodyText"/>
        <w:spacing w:line="408" w:lineRule="auto" w:before="0"/>
        <w:ind w:left="532" w:right="99" w:hanging="104"/>
        <w:jc w:val="left"/>
      </w:pPr>
      <w:r>
        <w:rPr/>
        <w:t>（七）关于相关利益者</w:t>
      </w:r>
      <w:r>
        <w:rPr>
          <w:w w:val="99"/>
        </w:rPr>
        <w:t> </w:t>
      </w:r>
      <w:r>
        <w:rPr>
          <w:spacing w:val="-3"/>
        </w:rPr>
        <w:t>公司能够充分尊重和维护相关利益者的合法权益，加强与各方的沟通、交流和合作，实现股东、员工、</w:t>
      </w:r>
    </w:p>
    <w:p>
      <w:pPr>
        <w:pStyle w:val="BodyText"/>
        <w:spacing w:line="240" w:lineRule="auto" w:before="46"/>
        <w:ind w:right="94"/>
        <w:jc w:val="left"/>
      </w:pPr>
      <w:r>
        <w:rPr/>
        <w:t>社会等各方利益的协调平衡，共同推动公司持续、稳定、健康地发展。</w:t>
      </w:r>
    </w:p>
    <w:p>
      <w:pPr>
        <w:spacing w:line="240" w:lineRule="auto" w:before="10"/>
        <w:rPr>
          <w:rFonts w:ascii="宋体" w:hAnsi="宋体" w:cs="宋体" w:eastAsia="宋体" w:hint="default"/>
          <w:sz w:val="13"/>
          <w:szCs w:val="13"/>
        </w:rPr>
      </w:pPr>
    </w:p>
    <w:p>
      <w:pPr>
        <w:spacing w:before="0"/>
        <w:ind w:left="112" w:right="94"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60" w:lineRule="auto" w:before="117"/>
        <w:ind w:left="112" w:right="2634" w:firstLine="0"/>
        <w:jc w:val="left"/>
        <w:rPr>
          <w:rFonts w:ascii="宋体" w:hAnsi="宋体" w:cs="宋体" w:eastAsia="宋体" w:hint="default"/>
          <w:sz w:val="18"/>
          <w:szCs w:val="18"/>
        </w:rPr>
      </w:pPr>
      <w:r>
        <w:rPr>
          <w:rFonts w:ascii="宋体" w:hAnsi="宋体" w:cs="宋体" w:eastAsia="宋体" w:hint="default"/>
          <w:sz w:val="18"/>
          <w:szCs w:val="18"/>
        </w:rPr>
        <w:t>□ 是 √ 否 公司治理的实际状况与中国证监会发布的有关上市公司治理的规范性文件不存在重大差异。</w:t>
      </w:r>
    </w:p>
    <w:p>
      <w:pPr>
        <w:spacing w:line="240" w:lineRule="auto" w:before="2"/>
        <w:rPr>
          <w:rFonts w:ascii="宋体" w:hAnsi="宋体" w:cs="宋体" w:eastAsia="宋体" w:hint="default"/>
          <w:sz w:val="18"/>
          <w:szCs w:val="18"/>
        </w:rPr>
      </w:pPr>
    </w:p>
    <w:p>
      <w:pPr>
        <w:pStyle w:val="Heading4"/>
        <w:spacing w:line="240" w:lineRule="auto"/>
        <w:ind w:right="94"/>
        <w:jc w:val="left"/>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202" w:firstLine="480"/>
        <w:jc w:val="left"/>
      </w:pPr>
      <w:r>
        <w:rPr>
          <w:spacing w:val="-2"/>
        </w:rPr>
        <w:t>公司在业务、资产、人员、财务、机构等方面完全独立，具有完整的业务体系及面向市场的独立经营</w:t>
      </w:r>
      <w:r>
        <w:rPr>
          <w:w w:val="99"/>
        </w:rPr>
        <w:t> </w:t>
      </w:r>
      <w:r>
        <w:rPr/>
        <w:t>能力，具备完整的供应、生产、销售系统。</w:t>
      </w:r>
    </w:p>
    <w:p>
      <w:pPr>
        <w:pStyle w:val="BodyText"/>
        <w:spacing w:line="408" w:lineRule="auto" w:before="46"/>
        <w:ind w:left="592" w:right="94" w:hanging="58"/>
        <w:jc w:val="left"/>
      </w:pPr>
      <w:r>
        <w:rPr>
          <w:rFonts w:ascii="宋体" w:hAnsi="宋体" w:cs="宋体" w:eastAsia="宋体" w:hint="default"/>
          <w:b/>
          <w:bCs/>
        </w:rPr>
        <w:t>（一）业务独立情况</w:t>
      </w:r>
      <w:r>
        <w:rPr>
          <w:rFonts w:ascii="宋体" w:hAnsi="宋体" w:cs="宋体" w:eastAsia="宋体" w:hint="default"/>
          <w:b/>
          <w:bCs/>
          <w:w w:val="99"/>
        </w:rPr>
        <w:t> </w:t>
      </w:r>
      <w:r>
        <w:rPr>
          <w:spacing w:val="-2"/>
          <w:w w:val="95"/>
        </w:rPr>
        <w:t>公司拥有独立的采购、生产、销售和技术服务系统，独立开展业务，具有面向市场独立开展业务的能</w:t>
      </w:r>
      <w:r>
        <w:rPr>
          <w:spacing w:val="-2"/>
        </w:rPr>
      </w:r>
    </w:p>
    <w:p>
      <w:pPr>
        <w:pStyle w:val="BodyText"/>
        <w:spacing w:line="240" w:lineRule="auto" w:before="46"/>
        <w:ind w:right="94"/>
        <w:jc w:val="left"/>
      </w:pPr>
      <w:r>
        <w:rPr/>
        <w:t>力，与实际控制人不存在同业竞争或业务上的依赖关系。</w:t>
      </w:r>
    </w:p>
    <w:p>
      <w:pPr>
        <w:spacing w:line="240" w:lineRule="auto" w:before="10"/>
        <w:rPr>
          <w:rFonts w:ascii="宋体" w:hAnsi="宋体" w:cs="宋体" w:eastAsia="宋体" w:hint="default"/>
          <w:sz w:val="14"/>
          <w:szCs w:val="14"/>
        </w:rPr>
      </w:pPr>
    </w:p>
    <w:p>
      <w:pPr>
        <w:pStyle w:val="BodyText"/>
        <w:spacing w:line="408" w:lineRule="auto" w:before="0"/>
        <w:ind w:left="592" w:right="202" w:hanging="58"/>
        <w:jc w:val="left"/>
      </w:pPr>
      <w:r>
        <w:rPr>
          <w:rFonts w:ascii="宋体" w:hAnsi="宋体" w:cs="宋体" w:eastAsia="宋体" w:hint="default"/>
          <w:b/>
          <w:bCs/>
        </w:rPr>
        <w:t>（二）人员独立情况</w:t>
      </w:r>
      <w:r>
        <w:rPr>
          <w:rFonts w:ascii="宋体" w:hAnsi="宋体" w:cs="宋体" w:eastAsia="宋体" w:hint="default"/>
          <w:b/>
          <w:bCs/>
          <w:w w:val="99"/>
        </w:rPr>
        <w:t> </w:t>
      </w:r>
      <w:r>
        <w:rPr>
          <w:spacing w:val="-2"/>
        </w:rPr>
        <w:t>公司在劳动、人事及工资等管理体系方面完全独立，公司与全体员工实行全员聘用考核制，公司总经</w:t>
      </w:r>
    </w:p>
    <w:p>
      <w:pPr>
        <w:pStyle w:val="BodyText"/>
        <w:spacing w:line="240" w:lineRule="auto" w:before="46"/>
        <w:ind w:right="94"/>
        <w:jc w:val="left"/>
      </w:pPr>
      <w:r>
        <w:rPr/>
        <w:t>理及其他高级管理人员均在公司领取报酬。</w:t>
      </w:r>
    </w:p>
    <w:p>
      <w:pPr>
        <w:spacing w:line="240" w:lineRule="auto" w:before="10"/>
        <w:rPr>
          <w:rFonts w:ascii="宋体" w:hAnsi="宋体" w:cs="宋体" w:eastAsia="宋体" w:hint="default"/>
          <w:sz w:val="14"/>
          <w:szCs w:val="14"/>
        </w:rPr>
      </w:pPr>
    </w:p>
    <w:p>
      <w:pPr>
        <w:pStyle w:val="BodyText"/>
        <w:spacing w:line="408" w:lineRule="auto" w:before="0"/>
        <w:ind w:left="592" w:right="94" w:hanging="58"/>
        <w:jc w:val="left"/>
      </w:pPr>
      <w:r>
        <w:rPr>
          <w:rFonts w:ascii="宋体" w:hAnsi="宋体" w:cs="宋体" w:eastAsia="宋体" w:hint="default"/>
          <w:b/>
          <w:bCs/>
        </w:rPr>
        <w:t>（三）机构独立情况</w:t>
      </w:r>
      <w:r>
        <w:rPr>
          <w:rFonts w:ascii="宋体" w:hAnsi="宋体" w:cs="宋体" w:eastAsia="宋体" w:hint="default"/>
          <w:b/>
          <w:bCs/>
          <w:w w:val="99"/>
        </w:rPr>
        <w:t> </w:t>
      </w:r>
      <w:r>
        <w:rPr>
          <w:w w:val="95"/>
        </w:rPr>
        <w:t>公司法人治理结构完善，股东大会、董事会、监事会严格按照《公司法》、《公司章程》规范运作。</w:t>
      </w:r>
      <w:r>
        <w:rPr/>
      </w:r>
    </w:p>
    <w:p>
      <w:pPr>
        <w:pStyle w:val="BodyText"/>
        <w:spacing w:line="240" w:lineRule="auto" w:before="46"/>
        <w:ind w:right="94"/>
        <w:jc w:val="left"/>
      </w:pPr>
      <w:r>
        <w:rPr/>
        <w:t>公司组织结构健全，拥有独立决策机构、完整的组织机构并独立运作，不存在合署办公的情况。</w:t>
      </w:r>
    </w:p>
    <w:p>
      <w:pPr>
        <w:spacing w:line="240" w:lineRule="auto" w:before="10"/>
        <w:rPr>
          <w:rFonts w:ascii="宋体" w:hAnsi="宋体" w:cs="宋体" w:eastAsia="宋体" w:hint="default"/>
          <w:sz w:val="14"/>
          <w:szCs w:val="14"/>
        </w:rPr>
      </w:pPr>
    </w:p>
    <w:p>
      <w:pPr>
        <w:pStyle w:val="BodyText"/>
        <w:spacing w:line="408" w:lineRule="auto" w:before="0"/>
        <w:ind w:left="592" w:right="94" w:hanging="58"/>
        <w:jc w:val="left"/>
      </w:pPr>
      <w:r>
        <w:rPr>
          <w:rFonts w:ascii="宋体" w:hAnsi="宋体" w:cs="宋体" w:eastAsia="宋体" w:hint="default"/>
          <w:b/>
          <w:bCs/>
        </w:rPr>
        <w:t>（四）资产独立情况</w:t>
      </w:r>
      <w:r>
        <w:rPr>
          <w:rFonts w:ascii="宋体" w:hAnsi="宋体" w:cs="宋体" w:eastAsia="宋体" w:hint="default"/>
          <w:b/>
          <w:bCs/>
          <w:w w:val="99"/>
        </w:rPr>
        <w:t> </w:t>
      </w:r>
      <w:r>
        <w:rPr>
          <w:spacing w:val="-4"/>
          <w:w w:val="95"/>
        </w:rPr>
        <w:t>公司资产独立完整，具有完整的产品开发、采购、生产、销售及客户服务部门，拥有独立的生产系统、</w:t>
      </w:r>
      <w:r>
        <w:rPr>
          <w:spacing w:val="-4"/>
        </w:rPr>
      </w:r>
    </w:p>
    <w:p>
      <w:pPr>
        <w:pStyle w:val="BodyText"/>
        <w:spacing w:line="240" w:lineRule="auto" w:before="46"/>
        <w:ind w:right="94"/>
        <w:jc w:val="left"/>
      </w:pPr>
      <w:r>
        <w:rPr/>
        <w:t>辅助生产系统和配套设施、房屋所有权、专利所有权、计算机软件著作权、非专利技术等资产。</w:t>
      </w:r>
    </w:p>
    <w:p>
      <w:pPr>
        <w:spacing w:line="240" w:lineRule="auto" w:before="10"/>
        <w:rPr>
          <w:rFonts w:ascii="宋体" w:hAnsi="宋体" w:cs="宋体" w:eastAsia="宋体" w:hint="default"/>
          <w:sz w:val="14"/>
          <w:szCs w:val="14"/>
        </w:rPr>
      </w:pPr>
    </w:p>
    <w:p>
      <w:pPr>
        <w:pStyle w:val="Heading5"/>
        <w:spacing w:line="240" w:lineRule="auto"/>
        <w:ind w:left="535" w:right="94"/>
        <w:jc w:val="left"/>
        <w:rPr>
          <w:b w:val="0"/>
          <w:bCs w:val="0"/>
        </w:rPr>
      </w:pPr>
      <w:r>
        <w:rPr/>
        <w:t>（五）财务独立情况</w:t>
      </w:r>
      <w:r>
        <w:rPr>
          <w:b w:val="0"/>
          <w:bCs w:val="0"/>
        </w:rPr>
      </w:r>
    </w:p>
    <w:p>
      <w:pPr>
        <w:spacing w:after="0" w:line="240" w:lineRule="auto"/>
        <w:jc w:val="left"/>
        <w:sectPr>
          <w:pgSz w:w="11910" w:h="16840"/>
          <w:pgMar w:header="746" w:footer="937" w:top="1040" w:bottom="1120" w:left="1020" w:right="92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BodyText"/>
        <w:spacing w:line="408" w:lineRule="auto" w:before="0"/>
        <w:ind w:right="0" w:firstLine="480"/>
        <w:jc w:val="left"/>
      </w:pPr>
      <w:r>
        <w:rPr>
          <w:w w:val="95"/>
        </w:rPr>
        <w:t>公司设立了独立的财务部门作为公司的财务管理机构，建立了独立的会计核算体系和财务管理制度，</w:t>
      </w:r>
      <w:r>
        <w:rPr>
          <w:w w:val="99"/>
        </w:rPr>
        <w:t> </w:t>
      </w:r>
      <w:r>
        <w:rPr/>
        <w:t>并根据上市公司有关会计制度的要求，独立进行财务决策；公司在银行设立了独立账号，依法独立纳税。</w:t>
      </w:r>
    </w:p>
    <w:p>
      <w:pPr>
        <w:spacing w:line="240" w:lineRule="auto" w:before="11"/>
        <w:rPr>
          <w:rFonts w:ascii="宋体" w:hAnsi="宋体" w:cs="宋体" w:eastAsia="宋体" w:hint="default"/>
          <w:sz w:val="18"/>
          <w:szCs w:val="18"/>
        </w:rPr>
      </w:pPr>
    </w:p>
    <w:p>
      <w:pPr>
        <w:pStyle w:val="Heading4"/>
        <w:spacing w:line="240" w:lineRule="auto"/>
        <w:ind w:right="182"/>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12" w:right="18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182"/>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82"/>
        <w:jc w:val="left"/>
        <w:rPr>
          <w:b w:val="0"/>
          <w:bCs w:val="0"/>
        </w:rPr>
      </w:pPr>
      <w:r>
        <w:rPr/>
        <w:t>1、本报告期股东大会情况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2254"/>
        <w:gridCol w:w="1185"/>
        <w:gridCol w:w="1035"/>
        <w:gridCol w:w="1904"/>
        <w:gridCol w:w="1171"/>
        <w:gridCol w:w="2017"/>
      </w:tblGrid>
      <w:tr>
        <w:trPr>
          <w:trHeight w:val="714"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2" w:right="62" w:hanging="272"/>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年年度股东大会</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17.98%</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20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《中国证券</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《巨潮资讯网》</w:t>
            </w:r>
          </w:p>
        </w:tc>
      </w:tr>
      <w:tr>
        <w:trPr>
          <w:trHeight w:val="714" w:hRule="exact"/>
        </w:trPr>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年第一次临时股东大会</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17.94%</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20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2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《中国证券</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《巨潮资讯网》</w:t>
            </w:r>
          </w:p>
        </w:tc>
      </w:tr>
      <w:tr>
        <w:trPr>
          <w:trHeight w:val="714" w:hRule="exact"/>
        </w:trPr>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年第二次临时股东大会</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17.93%</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20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《中国证券</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《巨潮资讯网》</w:t>
            </w:r>
          </w:p>
        </w:tc>
      </w:tr>
    </w:tbl>
    <w:p>
      <w:pPr>
        <w:spacing w:line="240" w:lineRule="auto" w:before="4"/>
        <w:rPr>
          <w:rFonts w:ascii="宋体" w:hAnsi="宋体" w:cs="宋体" w:eastAsia="宋体" w:hint="default"/>
          <w:b/>
          <w:bCs/>
          <w:sz w:val="19"/>
          <w:szCs w:val="19"/>
        </w:rPr>
      </w:pPr>
    </w:p>
    <w:p>
      <w:pPr>
        <w:pStyle w:val="Heading5"/>
        <w:spacing w:line="240" w:lineRule="auto" w:before="34"/>
        <w:ind w:right="182"/>
        <w:jc w:val="left"/>
        <w:rPr>
          <w:b w:val="0"/>
          <w:bCs w:val="0"/>
        </w:rPr>
      </w:pPr>
      <w:r>
        <w:rPr/>
        <w:t>2、表决权恢复的优先股股东请求召开临时股东大会</w:t>
      </w:r>
      <w:r>
        <w:rPr>
          <w:b w:val="0"/>
          <w:bCs w:val="0"/>
        </w:rPr>
      </w:r>
    </w:p>
    <w:p>
      <w:pPr>
        <w:spacing w:line="240" w:lineRule="auto" w:before="9"/>
        <w:rPr>
          <w:rFonts w:ascii="宋体" w:hAnsi="宋体" w:cs="宋体" w:eastAsia="宋体" w:hint="default"/>
          <w:b/>
          <w:bCs/>
          <w:sz w:val="27"/>
          <w:szCs w:val="27"/>
        </w:rPr>
      </w:pPr>
    </w:p>
    <w:p>
      <w:pPr>
        <w:spacing w:before="0"/>
        <w:ind w:left="112" w:right="18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4"/>
        <w:spacing w:line="240" w:lineRule="auto"/>
        <w:ind w:right="182"/>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82"/>
        <w:jc w:val="left"/>
        <w:rPr>
          <w:b w:val="0"/>
          <w:bCs w:val="0"/>
        </w:rPr>
      </w:pPr>
      <w:r>
        <w:rPr/>
        <w:t>1、独立董事出席董事会及股东大会的情况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868"/>
        <w:gridCol w:w="1695"/>
        <w:gridCol w:w="926"/>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6" w:right="34"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5" w:right="34" w:hanging="269"/>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0" w:right="67" w:hanging="92"/>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11" w:right="32" w:hanging="180"/>
              <w:jc w:val="left"/>
              <w:rPr>
                <w:rFonts w:ascii="宋体" w:hAnsi="宋体" w:cs="宋体" w:eastAsia="宋体" w:hint="default"/>
                <w:sz w:val="18"/>
                <w:szCs w:val="18"/>
              </w:rPr>
            </w:pPr>
            <w:r>
              <w:rPr>
                <w:rFonts w:ascii="宋体" w:hAnsi="宋体" w:cs="宋体" w:eastAsia="宋体" w:hint="default"/>
                <w:sz w:val="18"/>
                <w:szCs w:val="18"/>
              </w:rPr>
              <w:t>是否连续两次未亲自 参加董事会会议</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陈结淼</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张瑞稳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李洪峰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r>
    </w:tbl>
    <w:p>
      <w:pPr>
        <w:spacing w:line="360" w:lineRule="auto" w:before="50"/>
        <w:ind w:left="112" w:right="711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2"/>
        <w:rPr>
          <w:rFonts w:ascii="宋体" w:hAnsi="宋体" w:cs="宋体" w:eastAsia="宋体" w:hint="default"/>
          <w:sz w:val="19"/>
          <w:szCs w:val="19"/>
        </w:rPr>
      </w:pPr>
    </w:p>
    <w:p>
      <w:pPr>
        <w:pStyle w:val="Heading5"/>
        <w:spacing w:line="240" w:lineRule="auto"/>
        <w:ind w:right="182"/>
        <w:jc w:val="left"/>
        <w:rPr>
          <w:b w:val="0"/>
          <w:bCs w:val="0"/>
        </w:rPr>
      </w:pPr>
      <w:r>
        <w:rPr/>
        <w:t>2、独立董事对公司有关事项提出异议的情况</w:t>
      </w:r>
      <w:r>
        <w:rPr>
          <w:b w:val="0"/>
          <w:bCs w:val="0"/>
        </w:rPr>
      </w:r>
    </w:p>
    <w:p>
      <w:pPr>
        <w:spacing w:line="240" w:lineRule="auto" w:before="12"/>
        <w:rPr>
          <w:rFonts w:ascii="宋体" w:hAnsi="宋体" w:cs="宋体" w:eastAsia="宋体" w:hint="default"/>
          <w:b/>
          <w:bCs/>
          <w:sz w:val="27"/>
          <w:szCs w:val="27"/>
        </w:rPr>
      </w:pPr>
    </w:p>
    <w:p>
      <w:pPr>
        <w:spacing w:before="0"/>
        <w:ind w:left="112" w:right="182"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5"/>
        <w:ind w:left="112" w:right="182"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746" w:footer="937" w:top="1040" w:bottom="1120" w:left="1020" w:right="940"/>
        </w:sectPr>
      </w:pPr>
    </w:p>
    <w:p>
      <w:pPr>
        <w:spacing w:line="240" w:lineRule="auto" w:before="9"/>
        <w:rPr>
          <w:rFonts w:ascii="宋体" w:hAnsi="宋体" w:cs="宋体" w:eastAsia="宋体" w:hint="default"/>
          <w:sz w:val="26"/>
          <w:szCs w:val="26"/>
        </w:rPr>
      </w:pPr>
    </w:p>
    <w:p>
      <w:pPr>
        <w:spacing w:before="44"/>
        <w:ind w:left="112" w:right="0" w:firstLine="0"/>
        <w:jc w:val="both"/>
        <w:rPr>
          <w:rFonts w:ascii="宋体" w:hAnsi="宋体" w:cs="宋体" w:eastAsia="宋体" w:hint="default"/>
          <w:sz w:val="18"/>
          <w:szCs w:val="18"/>
        </w:rPr>
      </w:pPr>
      <w:r>
        <w:rPr>
          <w:rFonts w:ascii="宋体" w:hAnsi="宋体" w:cs="宋体" w:eastAsia="宋体" w:hint="default"/>
          <w:sz w:val="18"/>
          <w:szCs w:val="18"/>
        </w:rPr>
        <w:t>报告期内独立董事对公司有关事项未提出异议。</w:t>
      </w:r>
    </w:p>
    <w:p>
      <w:pPr>
        <w:spacing w:line="240" w:lineRule="auto" w:before="11"/>
        <w:rPr>
          <w:rFonts w:ascii="宋体" w:hAnsi="宋体" w:cs="宋体" w:eastAsia="宋体" w:hint="default"/>
          <w:sz w:val="26"/>
          <w:szCs w:val="26"/>
        </w:rPr>
      </w:pPr>
    </w:p>
    <w:p>
      <w:pPr>
        <w:pStyle w:val="Heading5"/>
        <w:spacing w:line="240" w:lineRule="auto"/>
        <w:ind w:right="0"/>
        <w:jc w:val="both"/>
        <w:rPr>
          <w:b w:val="0"/>
          <w:bCs w:val="0"/>
        </w:rPr>
      </w:pPr>
      <w:r>
        <w:rPr/>
        <w:t>3、独立董事履行职责的其他说明</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57" w:lineRule="auto" w:before="117"/>
        <w:ind w:left="112" w:right="5874"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p>
      <w:pPr>
        <w:pStyle w:val="BodyText"/>
        <w:spacing w:line="408" w:lineRule="auto" w:before="83"/>
        <w:ind w:right="192" w:firstLine="420"/>
        <w:jc w:val="both"/>
      </w:pPr>
      <w:r>
        <w:rPr>
          <w:w w:val="95"/>
        </w:rPr>
        <w:t>报告期内，公司独立董事认真独立履行职责，密切关注公司的经营情况，充分利用自身专业知识，为</w:t>
      </w:r>
      <w:r>
        <w:rPr>
          <w:w w:val="99"/>
        </w:rPr>
        <w:t> </w:t>
      </w:r>
      <w:r>
        <w:rPr>
          <w:w w:val="95"/>
        </w:rPr>
        <w:t>公司规范运作、经营发展提出建设性意见和建议。独立董事提出公司应适时利用资本市场开展并购重组、</w:t>
      </w:r>
      <w:r>
        <w:rPr>
          <w:spacing w:val="61"/>
          <w:w w:val="95"/>
        </w:rPr>
        <w:t> </w:t>
      </w:r>
      <w:r>
        <w:rPr>
          <w:spacing w:val="61"/>
          <w:w w:val="95"/>
        </w:rPr>
      </w:r>
      <w:r>
        <w:rPr>
          <w:w w:val="95"/>
        </w:rPr>
        <w:t>促进公司各业务版块协同发展、加强内部管理提升治理水平等建议，为完善公司监督机制，维护全体股东</w:t>
      </w:r>
      <w:r>
        <w:rPr>
          <w:spacing w:val="37"/>
          <w:w w:val="95"/>
        </w:rPr>
        <w:t> </w:t>
      </w:r>
      <w:r>
        <w:rPr>
          <w:spacing w:val="37"/>
          <w:w w:val="95"/>
        </w:rPr>
      </w:r>
      <w:r>
        <w:rPr/>
        <w:t>合法权益发挥了重要作用，上述建议均得到了公司的重视与采纳。</w:t>
      </w:r>
    </w:p>
    <w:p>
      <w:pPr>
        <w:spacing w:line="240" w:lineRule="auto" w:before="8"/>
        <w:rPr>
          <w:rFonts w:ascii="宋体" w:hAnsi="宋体" w:cs="宋体" w:eastAsia="宋体" w:hint="default"/>
          <w:sz w:val="18"/>
          <w:szCs w:val="18"/>
        </w:rPr>
      </w:pPr>
    </w:p>
    <w:p>
      <w:pPr>
        <w:pStyle w:val="Heading4"/>
        <w:spacing w:line="240" w:lineRule="auto"/>
        <w:ind w:right="0"/>
        <w:jc w:val="both"/>
        <w:rPr>
          <w:b w:val="0"/>
          <w:bCs w:val="0"/>
        </w:rPr>
      </w:pP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8" w:firstLine="480"/>
        <w:jc w:val="both"/>
      </w:pPr>
      <w:r>
        <w:rPr>
          <w:spacing w:val="-4"/>
          <w:w w:val="95"/>
        </w:rPr>
        <w:t>公司董事会下设四个专门委员会，分别为战略委员会、提名委员会、薪酬与考核委员会、审计委员会。</w:t>
      </w:r>
      <w:r>
        <w:rPr>
          <w:w w:val="99"/>
        </w:rPr>
        <w:t> </w:t>
      </w:r>
      <w:r>
        <w:rPr>
          <w:spacing w:val="-3"/>
        </w:rPr>
        <w:t>2017年，公司董事会各专门委员会恪尽职守、勤勉尽责，切实履行相关职责，推动公司持续健康稳定发展。</w:t>
      </w:r>
      <w:r>
        <w:rPr>
          <w:w w:val="99"/>
        </w:rPr>
        <w:t> </w:t>
      </w:r>
      <w:r>
        <w:rPr/>
        <w:t>报告期内，各专门委员会履职情况如下：</w:t>
      </w:r>
    </w:p>
    <w:p>
      <w:pPr>
        <w:pStyle w:val="BodyText"/>
        <w:spacing w:line="408" w:lineRule="auto" w:before="46"/>
        <w:ind w:left="592" w:right="202" w:hanging="164"/>
        <w:jc w:val="left"/>
      </w:pPr>
      <w:r>
        <w:rPr/>
        <w:t>（一）董事会战略委员会履职情况</w:t>
      </w:r>
      <w:r>
        <w:rPr>
          <w:w w:val="99"/>
        </w:rPr>
        <w:t> </w:t>
      </w:r>
      <w:r>
        <w:rPr>
          <w:spacing w:val="-2"/>
        </w:rPr>
        <w:t>报告期内，董事会战略委员会就公司经营发展、战略布局以及所面临的市场环境与公司董事、高管进</w:t>
      </w:r>
    </w:p>
    <w:p>
      <w:pPr>
        <w:pStyle w:val="BodyText"/>
        <w:spacing w:line="408" w:lineRule="auto" w:before="46"/>
        <w:ind w:right="94"/>
        <w:jc w:val="left"/>
      </w:pPr>
      <w:r>
        <w:rPr>
          <w:w w:val="95"/>
        </w:rPr>
        <w:t>行深入研究，讨论了公司2017年发行股份购买资产并募集配套资金事项，并对公司战略执行情况进行实时</w:t>
      </w:r>
      <w:r>
        <w:rPr>
          <w:spacing w:val="37"/>
          <w:w w:val="95"/>
        </w:rPr>
        <w:t> </w:t>
      </w:r>
      <w:r>
        <w:rPr>
          <w:spacing w:val="37"/>
          <w:w w:val="95"/>
        </w:rPr>
      </w:r>
      <w:r>
        <w:rPr/>
        <w:t>监督和检查。</w:t>
      </w:r>
    </w:p>
    <w:p>
      <w:pPr>
        <w:pStyle w:val="BodyText"/>
        <w:spacing w:line="408" w:lineRule="auto" w:before="46"/>
        <w:ind w:left="592" w:right="202" w:hanging="269"/>
        <w:jc w:val="left"/>
      </w:pPr>
      <w:r>
        <w:rPr/>
        <w:t>（二）董事会提名委员会履职情况</w:t>
      </w:r>
      <w:r>
        <w:rPr>
          <w:w w:val="99"/>
        </w:rPr>
        <w:t> </w:t>
      </w:r>
      <w:r>
        <w:rPr>
          <w:spacing w:val="-2"/>
        </w:rPr>
        <w:t>报告期内，董事会提名委员会对公司拟聘的董事和高级管理人员的任职资格进行严格筛选，经过充分</w:t>
      </w:r>
    </w:p>
    <w:p>
      <w:pPr>
        <w:pStyle w:val="BodyText"/>
        <w:spacing w:line="240" w:lineRule="auto" w:before="46"/>
        <w:ind w:right="0"/>
        <w:jc w:val="both"/>
      </w:pPr>
      <w:r>
        <w:rPr/>
        <w:t>讨论、综合评估和资格审查，提名罗守生先生为第四届董事会独立董事。</w:t>
      </w:r>
    </w:p>
    <w:p>
      <w:pPr>
        <w:spacing w:line="240" w:lineRule="auto" w:before="10"/>
        <w:rPr>
          <w:rFonts w:ascii="宋体" w:hAnsi="宋体" w:cs="宋体" w:eastAsia="宋体" w:hint="default"/>
          <w:sz w:val="14"/>
          <w:szCs w:val="14"/>
        </w:rPr>
      </w:pPr>
    </w:p>
    <w:p>
      <w:pPr>
        <w:pStyle w:val="BodyText"/>
        <w:spacing w:line="408" w:lineRule="auto" w:before="0"/>
        <w:ind w:left="592" w:right="206" w:hanging="164"/>
        <w:jc w:val="left"/>
      </w:pPr>
      <w:r>
        <w:rPr/>
        <w:t>（三）董事会薪酬与考核委员会履职情况</w:t>
      </w:r>
      <w:r>
        <w:rPr>
          <w:w w:val="99"/>
        </w:rPr>
        <w:t> </w:t>
      </w:r>
      <w:r>
        <w:rPr>
          <w:spacing w:val="-2"/>
        </w:rPr>
        <w:t>报告期内，薪酬与考核委员会对公司现行的董事、监事及高级管理人员2017年度薪酬发放情况进行了</w:t>
      </w:r>
    </w:p>
    <w:p>
      <w:pPr>
        <w:pStyle w:val="BodyText"/>
        <w:spacing w:line="408" w:lineRule="auto" w:before="46"/>
        <w:ind w:right="94"/>
        <w:jc w:val="left"/>
      </w:pPr>
      <w:r>
        <w:rPr>
          <w:w w:val="95"/>
        </w:rPr>
        <w:t>审核，认为其薪酬标准和年度薪酬总额的确定、发放与各自的岗位履职情况相结合，符合公司的薪酬管理  </w:t>
      </w:r>
      <w:r>
        <w:rPr>
          <w:spacing w:val="40"/>
          <w:w w:val="95"/>
        </w:rPr>
        <w:t> </w:t>
      </w:r>
      <w:r>
        <w:rPr>
          <w:spacing w:val="40"/>
          <w:w w:val="95"/>
        </w:rPr>
      </w:r>
      <w:r>
        <w:rPr/>
        <w:t>规定。</w:t>
      </w:r>
    </w:p>
    <w:p>
      <w:pPr>
        <w:pStyle w:val="BodyText"/>
        <w:spacing w:line="408" w:lineRule="auto" w:before="46"/>
        <w:ind w:left="532" w:right="94" w:hanging="104"/>
        <w:jc w:val="left"/>
      </w:pPr>
      <w:r>
        <w:rPr/>
        <w:t>（四）董事会审计委员会履职情况</w:t>
      </w:r>
      <w:r>
        <w:rPr>
          <w:w w:val="99"/>
        </w:rPr>
        <w:t> </w:t>
      </w:r>
      <w:r>
        <w:rPr>
          <w:w w:val="95"/>
        </w:rPr>
        <w:t>报告期内，董事会审计委员会根据《董事会审计委员会工作细则》、《董事会审计委员会年报工作制</w:t>
      </w:r>
      <w:r>
        <w:rPr/>
      </w:r>
    </w:p>
    <w:p>
      <w:pPr>
        <w:pStyle w:val="BodyText"/>
        <w:spacing w:line="408" w:lineRule="auto" w:before="46"/>
        <w:ind w:right="210"/>
        <w:jc w:val="both"/>
      </w:pPr>
      <w:r>
        <w:rPr>
          <w:w w:val="95"/>
        </w:rPr>
        <w:t>度》及其他相关规定认真履行工作职责，对募集资金管理、定期财务报告、续聘会计师事务所、内部控制</w:t>
      </w:r>
      <w:r>
        <w:rPr>
          <w:spacing w:val="45"/>
          <w:w w:val="95"/>
        </w:rPr>
        <w:t> </w:t>
      </w:r>
      <w:r>
        <w:rPr>
          <w:spacing w:val="45"/>
          <w:w w:val="95"/>
        </w:rPr>
      </w:r>
      <w:r>
        <w:rPr>
          <w:w w:val="95"/>
        </w:rPr>
        <w:t>相关情况等事项进行了审议。报告期内，审计委员会对公司续聘会计事务所事项发表意见，认为公司董事</w:t>
      </w:r>
      <w:r>
        <w:rPr>
          <w:spacing w:val="43"/>
          <w:w w:val="95"/>
        </w:rPr>
        <w:t> </w:t>
      </w:r>
      <w:r>
        <w:rPr>
          <w:spacing w:val="43"/>
          <w:w w:val="95"/>
        </w:rPr>
      </w:r>
      <w:r>
        <w:rPr>
          <w:w w:val="95"/>
        </w:rPr>
        <w:t>会聘请会计师事务所的程序合法有效；该事务所的任职资格符合法律法规及公司章程的要求，该事务所与</w:t>
      </w:r>
      <w:r>
        <w:rPr/>
      </w:r>
    </w:p>
    <w:p>
      <w:pPr>
        <w:spacing w:after="0" w:line="408" w:lineRule="auto"/>
        <w:jc w:val="both"/>
        <w:sectPr>
          <w:footerReference w:type="default" r:id="rId21"/>
          <w:pgSz w:w="11910" w:h="16840"/>
          <w:pgMar w:footer="937" w:header="746" w:top="1040" w:bottom="1120" w:left="1020" w:right="920"/>
          <w:pgNumType w:start="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408" w:lineRule="auto" w:before="0"/>
        <w:ind w:right="0"/>
        <w:jc w:val="left"/>
      </w:pPr>
      <w:r>
        <w:rPr>
          <w:w w:val="95"/>
        </w:rPr>
        <w:t>公司不存在关联关系。审计委员会高度关注公司内部控制检查监督部门的执行情况，审阅了内审部门提交</w:t>
      </w:r>
      <w:r>
        <w:rPr>
          <w:spacing w:val="40"/>
          <w:w w:val="95"/>
        </w:rPr>
        <w:t> </w:t>
      </w:r>
      <w:r>
        <w:rPr>
          <w:spacing w:val="40"/>
          <w:w w:val="95"/>
        </w:rPr>
      </w:r>
      <w:r>
        <w:rPr>
          <w:w w:val="95"/>
        </w:rPr>
        <w:t>的内部控制评价工作报告，内部控制工作总结、工作计划等，要求公司进一步优化、完善内部控制制度。</w:t>
      </w:r>
      <w:r>
        <w:rPr/>
      </w:r>
    </w:p>
    <w:p>
      <w:pPr>
        <w:spacing w:line="240" w:lineRule="auto" w:before="11"/>
        <w:rPr>
          <w:rFonts w:ascii="宋体" w:hAnsi="宋体" w:cs="宋体" w:eastAsia="宋体" w:hint="default"/>
          <w:sz w:val="18"/>
          <w:szCs w:val="18"/>
        </w:rPr>
      </w:pPr>
    </w:p>
    <w:p>
      <w:pPr>
        <w:pStyle w:val="Heading4"/>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57" w:lineRule="auto" w:before="117"/>
        <w:ind w:left="112" w:right="6694"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line="240" w:lineRule="auto" w:before="7"/>
        <w:rPr>
          <w:rFonts w:ascii="宋体" w:hAnsi="宋体" w:cs="宋体" w:eastAsia="宋体" w:hint="default"/>
          <w:sz w:val="18"/>
          <w:szCs w:val="18"/>
        </w:rPr>
      </w:pPr>
    </w:p>
    <w:p>
      <w:pPr>
        <w:pStyle w:val="Heading4"/>
        <w:spacing w:line="240" w:lineRule="auto"/>
        <w:ind w:right="0"/>
        <w:jc w:val="left"/>
        <w:rPr>
          <w:b w:val="0"/>
          <w:bCs w:val="0"/>
        </w:rPr>
      </w:pPr>
      <w:r>
        <w:rPr/>
        <w:t>八、高级管理人员的考评及激励情况</w:t>
      </w:r>
      <w:r>
        <w:rPr>
          <w:b w:val="0"/>
          <w:bCs w:val="0"/>
        </w:rPr>
      </w:r>
    </w:p>
    <w:p>
      <w:pPr>
        <w:spacing w:line="240" w:lineRule="auto" w:before="5"/>
        <w:rPr>
          <w:rFonts w:ascii="宋体" w:hAnsi="宋体" w:cs="宋体" w:eastAsia="宋体" w:hint="default"/>
          <w:b/>
          <w:bCs/>
          <w:sz w:val="30"/>
          <w:szCs w:val="30"/>
        </w:rPr>
      </w:pPr>
    </w:p>
    <w:p>
      <w:pPr>
        <w:pStyle w:val="BodyText"/>
        <w:spacing w:line="408" w:lineRule="auto" w:before="0"/>
        <w:ind w:right="0" w:firstLine="420"/>
        <w:jc w:val="left"/>
      </w:pPr>
      <w:r>
        <w:rPr>
          <w:w w:val="95"/>
        </w:rPr>
        <w:t>公司根据年度财务预算、生产经营指标、管理目标的完成情况，对高级管理人员的绩效和履职情况进</w:t>
      </w:r>
      <w:r>
        <w:rPr>
          <w:w w:val="99"/>
        </w:rPr>
        <w:t> </w:t>
      </w:r>
      <w:r>
        <w:rPr>
          <w:w w:val="95"/>
        </w:rPr>
        <w:t>行全面综合考核，将经营业绩与个人收入挂钩。报告期内，公司高级管理人员能够严格按照《公司法》、</w:t>
      </w:r>
      <w:r>
        <w:rPr/>
      </w:r>
    </w:p>
    <w:p>
      <w:pPr>
        <w:pStyle w:val="BodyText"/>
        <w:spacing w:line="408" w:lineRule="auto" w:before="46"/>
        <w:ind w:right="0"/>
        <w:jc w:val="left"/>
      </w:pPr>
      <w:r>
        <w:rPr>
          <w:w w:val="95"/>
        </w:rPr>
        <w:t>《公司章程》及国家有关法律法规认真履行工作职责，积极落实公司股东大会和董事会相关决议，不断加</w:t>
      </w:r>
      <w:r>
        <w:rPr>
          <w:spacing w:val="40"/>
          <w:w w:val="95"/>
        </w:rPr>
        <w:t> </w:t>
      </w:r>
      <w:r>
        <w:rPr>
          <w:spacing w:val="40"/>
          <w:w w:val="95"/>
        </w:rPr>
      </w:r>
      <w:r>
        <w:rPr/>
        <w:t>强公司内部管理，较好地完成本年度制定的各项工作目标。</w:t>
      </w:r>
    </w:p>
    <w:p>
      <w:pPr>
        <w:spacing w:line="240" w:lineRule="auto" w:before="11"/>
        <w:rPr>
          <w:rFonts w:ascii="宋体" w:hAnsi="宋体" w:cs="宋体" w:eastAsia="宋体" w:hint="default"/>
          <w:sz w:val="18"/>
          <w:szCs w:val="18"/>
        </w:rPr>
      </w:pPr>
    </w:p>
    <w:p>
      <w:pPr>
        <w:pStyle w:val="Heading4"/>
        <w:spacing w:line="240" w:lineRule="auto"/>
        <w:ind w:right="0"/>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t>1、报告期内发现的内部控制重大缺陷的具体情况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2、内控自我评价报告</w:t>
      </w:r>
      <w:r>
        <w:rPr>
          <w:b w:val="0"/>
          <w:bCs w:val="0"/>
        </w:rPr>
      </w:r>
    </w:p>
    <w:p>
      <w:pPr>
        <w:spacing w:line="240" w:lineRule="auto" w:before="11"/>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日巨潮资讯</w:t>
            </w:r>
            <w:r>
              <w:rPr>
                <w:rFonts w:ascii="宋体" w:hAnsi="宋体" w:cs="宋体" w:eastAsia="宋体" w:hint="default"/>
                <w:spacing w:val="-12"/>
                <w:sz w:val="18"/>
                <w:szCs w:val="18"/>
              </w:rPr>
              <w:t>网</w:t>
            </w:r>
            <w:r>
              <w:rPr>
                <w:rFonts w:ascii="宋体" w:hAnsi="宋体" w:cs="宋体" w:eastAsia="宋体" w:hint="default"/>
                <w:spacing w:val="-3"/>
                <w:sz w:val="18"/>
                <w:szCs w:val="18"/>
              </w:rPr>
              <w:t>（</w:t>
            </w:r>
            <w:hyperlink r:id="rId12">
              <w:r>
                <w:rPr>
                  <w:rFonts w:ascii="宋体" w:hAnsi="宋体" w:cs="宋体" w:eastAsia="宋体" w:hint="default"/>
                  <w:spacing w:val="1"/>
                  <w:sz w:val="18"/>
                  <w:szCs w:val="18"/>
                </w:rPr>
                <w:t>h</w:t>
              </w:r>
              <w:r>
                <w:rPr>
                  <w:rFonts w:ascii="宋体" w:hAnsi="宋体" w:cs="宋体" w:eastAsia="宋体" w:hint="default"/>
                  <w:spacing w:val="-2"/>
                  <w:sz w:val="18"/>
                  <w:szCs w:val="18"/>
                </w:rPr>
                <w:t>t</w:t>
              </w:r>
              <w:r>
                <w:rPr>
                  <w:rFonts w:ascii="宋体" w:hAnsi="宋体" w:cs="宋体" w:eastAsia="宋体" w:hint="default"/>
                  <w:spacing w:val="1"/>
                  <w:sz w:val="18"/>
                  <w:szCs w:val="18"/>
                </w:rPr>
                <w:t>t</w:t>
              </w:r>
              <w:r>
                <w:rPr>
                  <w:rFonts w:ascii="宋体" w:hAnsi="宋体" w:cs="宋体" w:eastAsia="宋体" w:hint="default"/>
                  <w:spacing w:val="-2"/>
                  <w:sz w:val="18"/>
                  <w:szCs w:val="18"/>
                </w:rPr>
                <w:t>p</w:t>
              </w:r>
              <w:r>
                <w:rPr>
                  <w:rFonts w:ascii="宋体" w:hAnsi="宋体" w:cs="宋体" w:eastAsia="宋体" w:hint="default"/>
                  <w:spacing w:val="1"/>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w:t>
              </w:r>
              <w:r>
                <w:rPr>
                  <w:rFonts w:ascii="宋体" w:hAnsi="宋体" w:cs="宋体" w:eastAsia="宋体" w:hint="default"/>
                  <w:spacing w:val="-2"/>
                  <w:sz w:val="18"/>
                  <w:szCs w:val="18"/>
                </w:rPr>
                <w:t>w</w:t>
              </w:r>
              <w:r>
                <w:rPr>
                  <w:rFonts w:ascii="宋体" w:hAnsi="宋体" w:cs="宋体" w:eastAsia="宋体" w:hint="default"/>
                  <w:spacing w:val="1"/>
                  <w:sz w:val="18"/>
                  <w:szCs w:val="18"/>
                </w:rPr>
                <w:t>w</w:t>
              </w:r>
              <w:r>
                <w:rPr>
                  <w:rFonts w:ascii="宋体" w:hAnsi="宋体" w:cs="宋体" w:eastAsia="宋体" w:hint="default"/>
                  <w:spacing w:val="-2"/>
                  <w:sz w:val="18"/>
                  <w:szCs w:val="18"/>
                </w:rPr>
                <w:t>w</w:t>
              </w:r>
              <w:r>
                <w:rPr>
                  <w:rFonts w:ascii="宋体" w:hAnsi="宋体" w:cs="宋体" w:eastAsia="宋体" w:hint="default"/>
                  <w:spacing w:val="1"/>
                  <w:sz w:val="18"/>
                  <w:szCs w:val="18"/>
                </w:rPr>
                <w:t>.</w:t>
              </w:r>
              <w:r>
                <w:rPr>
                  <w:rFonts w:ascii="宋体" w:hAnsi="宋体" w:cs="宋体" w:eastAsia="宋体" w:hint="default"/>
                  <w:spacing w:val="-2"/>
                  <w:sz w:val="18"/>
                  <w:szCs w:val="18"/>
                </w:rPr>
                <w:t>c</w:t>
              </w:r>
              <w:r>
                <w:rPr>
                  <w:rFonts w:ascii="宋体" w:hAnsi="宋体" w:cs="宋体" w:eastAsia="宋体" w:hint="default"/>
                  <w:spacing w:val="1"/>
                  <w:sz w:val="18"/>
                  <w:szCs w:val="18"/>
                </w:rPr>
                <w:t>n</w:t>
              </w:r>
              <w:r>
                <w:rPr>
                  <w:rFonts w:ascii="宋体" w:hAnsi="宋体" w:cs="宋体" w:eastAsia="宋体" w:hint="default"/>
                  <w:spacing w:val="-2"/>
                  <w:sz w:val="18"/>
                  <w:szCs w:val="18"/>
                </w:rPr>
                <w:t>i</w:t>
              </w:r>
              <w:r>
                <w:rPr>
                  <w:rFonts w:ascii="宋体" w:hAnsi="宋体" w:cs="宋体" w:eastAsia="宋体" w:hint="default"/>
                  <w:spacing w:val="1"/>
                  <w:sz w:val="18"/>
                  <w:szCs w:val="18"/>
                </w:rPr>
                <w:t>n</w:t>
              </w:r>
              <w:r>
                <w:rPr>
                  <w:rFonts w:ascii="宋体" w:hAnsi="宋体" w:cs="宋体" w:eastAsia="宋体" w:hint="default"/>
                  <w:spacing w:val="-2"/>
                  <w:sz w:val="18"/>
                  <w:szCs w:val="18"/>
                </w:rPr>
                <w:t>f</w:t>
              </w:r>
              <w:r>
                <w:rPr>
                  <w:rFonts w:ascii="宋体" w:hAnsi="宋体" w:cs="宋体" w:eastAsia="宋体" w:hint="default"/>
                  <w:spacing w:val="1"/>
                  <w:sz w:val="18"/>
                  <w:szCs w:val="18"/>
                </w:rPr>
                <w:t>o</w:t>
              </w:r>
              <w:r>
                <w:rPr>
                  <w:rFonts w:ascii="宋体" w:hAnsi="宋体" w:cs="宋体" w:eastAsia="宋体" w:hint="default"/>
                  <w:spacing w:val="-2"/>
                  <w:sz w:val="18"/>
                  <w:szCs w:val="18"/>
                </w:rPr>
                <w:t>.</w:t>
              </w:r>
              <w:r>
                <w:rPr>
                  <w:rFonts w:ascii="宋体" w:hAnsi="宋体" w:cs="宋体" w:eastAsia="宋体" w:hint="default"/>
                  <w:spacing w:val="1"/>
                  <w:sz w:val="18"/>
                  <w:szCs w:val="18"/>
                </w:rPr>
                <w:t>c</w:t>
              </w:r>
              <w:r>
                <w:rPr>
                  <w:rFonts w:ascii="宋体" w:hAnsi="宋体" w:cs="宋体" w:eastAsia="宋体" w:hint="default"/>
                  <w:spacing w:val="-2"/>
                  <w:sz w:val="18"/>
                  <w:szCs w:val="18"/>
                </w:rPr>
                <w:t>o</w:t>
              </w:r>
              <w:r>
                <w:rPr>
                  <w:rFonts w:ascii="宋体" w:hAnsi="宋体" w:cs="宋体" w:eastAsia="宋体" w:hint="default"/>
                  <w:spacing w:val="1"/>
                  <w:sz w:val="18"/>
                  <w:szCs w:val="18"/>
                </w:rPr>
                <w:t>m</w:t>
              </w:r>
              <w:r>
                <w:rPr>
                  <w:rFonts w:ascii="宋体" w:hAnsi="宋体" w:cs="宋体" w:eastAsia="宋体" w:hint="default"/>
                  <w:spacing w:val="-2"/>
                  <w:sz w:val="18"/>
                  <w:szCs w:val="18"/>
                </w:rPr>
                <w:t>.</w:t>
              </w:r>
              <w:r>
                <w:rPr>
                  <w:rFonts w:ascii="宋体" w:hAnsi="宋体" w:cs="宋体" w:eastAsia="宋体" w:hint="default"/>
                  <w:spacing w:val="1"/>
                  <w:sz w:val="18"/>
                  <w:szCs w:val="18"/>
                </w:rPr>
                <w:t>c</w:t>
              </w:r>
              <w:r>
                <w:rPr>
                  <w:rFonts w:ascii="宋体" w:hAnsi="宋体" w:cs="宋体" w:eastAsia="宋体" w:hint="default"/>
                  <w:spacing w:val="-2"/>
                  <w:sz w:val="18"/>
                  <w:szCs w:val="18"/>
                </w:rPr>
                <w:t>n</w:t>
              </w:r>
            </w:hyperlink>
            <w:r>
              <w:rPr>
                <w:rFonts w:ascii="宋体" w:hAnsi="宋体" w:cs="宋体" w:eastAsia="宋体" w:hint="default"/>
                <w:spacing w:val="-104"/>
                <w:sz w:val="18"/>
                <w:szCs w:val="18"/>
              </w:rPr>
              <w:t>）</w:t>
            </w:r>
            <w:r>
              <w:rPr>
                <w:rFonts w:ascii="宋体" w:hAnsi="宋体" w:cs="宋体" w:eastAsia="宋体" w:hint="default"/>
                <w:sz w:val="18"/>
                <w:szCs w:val="18"/>
              </w:rPr>
              <w:t>《安徽皖通科技股份</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年度内部控制评价报告》</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6"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A、可认定重大缺陷的迹象：a.公司董事</w:t>
            </w:r>
          </w:p>
        </w:tc>
        <w:tc>
          <w:tcPr>
            <w:tcW w:w="3051"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49"/>
              <w:ind w:left="-15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248"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3" w:right="48"/>
              <w:jc w:val="both"/>
              <w:rPr>
                <w:rFonts w:ascii="宋体" w:hAnsi="宋体" w:cs="宋体" w:eastAsia="宋体" w:hint="default"/>
                <w:sz w:val="18"/>
                <w:szCs w:val="18"/>
              </w:rPr>
            </w:pPr>
            <w:r>
              <w:rPr>
                <w:rFonts w:ascii="宋体" w:hAnsi="宋体" w:cs="宋体" w:eastAsia="宋体" w:hint="default"/>
                <w:sz w:val="18"/>
                <w:szCs w:val="18"/>
              </w:rPr>
              <w:t>监事和高级管理人员的舞弊行为；b.公司 更正已公布的财务报告；c.注册会计师发 现的却未被公司内部控制识别的当期财务 报告中的重大错报；d.审计委员会和内部</w:t>
            </w:r>
          </w:p>
        </w:tc>
        <w:tc>
          <w:tcPr>
            <w:tcW w:w="305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47"/>
              <w:ind w:left="24" w:right="22"/>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z w:val="18"/>
                <w:szCs w:val="18"/>
              </w:rPr>
              <w:t> 性作判定。</w:t>
            </w:r>
          </w:p>
        </w:tc>
      </w:tr>
      <w:tr>
        <w:trPr>
          <w:trHeight w:val="316"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审计部门对公司的对外财务报告和财务报</w:t>
            </w:r>
          </w:p>
        </w:tc>
        <w:tc>
          <w:tcPr>
            <w:tcW w:w="3051" w:type="dxa"/>
            <w:tcBorders>
              <w:top w:val="nil" w:sz="6" w:space="0" w:color="auto"/>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6" w:footer="937" w:top="1040" w:bottom="1120" w:left="1020" w:right="1000"/>
        </w:sectPr>
      </w:pPr>
    </w:p>
    <w:p>
      <w:pPr>
        <w:spacing w:line="240" w:lineRule="auto" w:before="2"/>
        <w:rPr>
          <w:rFonts w:ascii="宋体" w:hAnsi="宋体" w:cs="宋体" w:eastAsia="宋体" w:hint="default"/>
          <w:b/>
          <w:bCs/>
          <w:sz w:val="29"/>
          <w:szCs w:val="29"/>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318"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告内部控制监督无效。B、可认定重要缺陷</w:t>
            </w:r>
          </w:p>
        </w:tc>
        <w:tc>
          <w:tcPr>
            <w:tcW w:w="3051"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的迹象：a.未依照公认会计准则选择和应</w:t>
            </w:r>
          </w:p>
        </w:tc>
        <w:tc>
          <w:tcPr>
            <w:tcW w:w="3051" w:type="dxa"/>
            <w:vMerge/>
            <w:tcBorders>
              <w:left w:val="single" w:sz="4" w:space="0" w:color="000000"/>
              <w:right w:val="single" w:sz="4" w:space="0" w:color="000000"/>
            </w:tcBorders>
            <w:shd w:val="clear" w:color="auto" w:fill="C6ECCC"/>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用会计政策；b.未建立反舞弊程序和控制</w:t>
            </w:r>
          </w:p>
        </w:tc>
        <w:tc>
          <w:tcPr>
            <w:tcW w:w="3051" w:type="dxa"/>
            <w:vMerge/>
            <w:tcBorders>
              <w:left w:val="single" w:sz="4" w:space="0" w:color="000000"/>
              <w:right w:val="single" w:sz="4" w:space="0" w:color="000000"/>
            </w:tcBorders>
            <w:shd w:val="clear" w:color="auto" w:fill="C6ECCC"/>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措施；c.对于非常规或特殊交易的账务处</w:t>
            </w:r>
          </w:p>
        </w:tc>
        <w:tc>
          <w:tcPr>
            <w:tcW w:w="3051" w:type="dxa"/>
            <w:vMerge/>
            <w:tcBorders>
              <w:left w:val="single" w:sz="4" w:space="0" w:color="000000"/>
              <w:right w:val="single" w:sz="4" w:space="0" w:color="000000"/>
            </w:tcBorders>
            <w:shd w:val="clear" w:color="auto" w:fill="C6ECCC"/>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理没有建立相应的控制机制或没有实施且</w:t>
            </w:r>
          </w:p>
        </w:tc>
        <w:tc>
          <w:tcPr>
            <w:tcW w:w="3051" w:type="dxa"/>
            <w:vMerge/>
            <w:tcBorders>
              <w:left w:val="single" w:sz="4" w:space="0" w:color="000000"/>
              <w:right w:val="single" w:sz="4" w:space="0" w:color="000000"/>
            </w:tcBorders>
            <w:shd w:val="clear" w:color="auto" w:fill="C6ECCC"/>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没有相应的补偿性控制；d.对于期末财务</w:t>
            </w:r>
          </w:p>
        </w:tc>
        <w:tc>
          <w:tcPr>
            <w:tcW w:w="3051" w:type="dxa"/>
            <w:vMerge/>
            <w:tcBorders>
              <w:left w:val="single" w:sz="4" w:space="0" w:color="000000"/>
              <w:right w:val="single" w:sz="4" w:space="0" w:color="000000"/>
            </w:tcBorders>
            <w:shd w:val="clear" w:color="auto" w:fill="C6ECCC"/>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报告过程的控制存在一项或多项缺陷且不</w:t>
            </w:r>
          </w:p>
        </w:tc>
        <w:tc>
          <w:tcPr>
            <w:tcW w:w="3051" w:type="dxa"/>
            <w:vMerge/>
            <w:tcBorders>
              <w:left w:val="single" w:sz="4" w:space="0" w:color="000000"/>
              <w:right w:val="single" w:sz="4" w:space="0" w:color="000000"/>
            </w:tcBorders>
            <w:shd w:val="clear" w:color="auto" w:fill="C6ECCC"/>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能合理保证编制的财务报表达到真实、完</w:t>
            </w:r>
          </w:p>
        </w:tc>
        <w:tc>
          <w:tcPr>
            <w:tcW w:w="3051" w:type="dxa"/>
            <w:vMerge/>
            <w:tcBorders>
              <w:left w:val="single" w:sz="4" w:space="0" w:color="000000"/>
              <w:right w:val="single" w:sz="4" w:space="0" w:color="000000"/>
            </w:tcBorders>
            <w:shd w:val="clear" w:color="auto" w:fill="C6ECCC"/>
          </w:tcPr>
          <w:p>
            <w:pPr/>
          </w:p>
        </w:tc>
      </w:tr>
      <w:tr>
        <w:trPr>
          <w:trHeight w:val="356"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整的目标。</w:t>
            </w:r>
          </w:p>
        </w:tc>
        <w:tc>
          <w:tcPr>
            <w:tcW w:w="3051" w:type="dxa"/>
            <w:vMerge/>
            <w:tcBorders>
              <w:left w:val="single" w:sz="4" w:space="0" w:color="000000"/>
              <w:bottom w:val="single" w:sz="4" w:space="0" w:color="000000"/>
              <w:right w:val="single" w:sz="4" w:space="0" w:color="000000"/>
            </w:tcBorders>
            <w:shd w:val="clear" w:color="auto" w:fill="C6ECCC"/>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48"/>
              <w:jc w:val="left"/>
              <w:rPr>
                <w:rFonts w:ascii="宋体" w:hAnsi="宋体" w:cs="宋体" w:eastAsia="宋体" w:hint="default"/>
                <w:sz w:val="18"/>
                <w:szCs w:val="18"/>
              </w:rPr>
            </w:pPr>
            <w:r>
              <w:rPr>
                <w:rFonts w:ascii="宋体" w:hAnsi="宋体" w:cs="宋体" w:eastAsia="宋体" w:hint="default"/>
                <w:sz w:val="18"/>
                <w:szCs w:val="18"/>
              </w:rPr>
              <w:t>以财务报告营业收入、资产总额作为衡量 指标。</w:t>
            </w:r>
          </w:p>
        </w:tc>
        <w:tc>
          <w:tcPr>
            <w:tcW w:w="30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4" w:right="22"/>
              <w:jc w:val="left"/>
              <w:rPr>
                <w:rFonts w:ascii="宋体" w:hAnsi="宋体" w:cs="宋体" w:eastAsia="宋体" w:hint="default"/>
                <w:sz w:val="18"/>
                <w:szCs w:val="18"/>
              </w:rPr>
            </w:pPr>
            <w:r>
              <w:rPr>
                <w:rFonts w:ascii="宋体" w:hAnsi="宋体" w:cs="宋体" w:eastAsia="宋体" w:hint="default"/>
                <w:spacing w:val="-4"/>
                <w:sz w:val="18"/>
                <w:szCs w:val="18"/>
              </w:rPr>
              <w:t>以财务报告营业收入、资产总额作为衡</w:t>
            </w:r>
            <w:r>
              <w:rPr>
                <w:rFonts w:ascii="宋体" w:hAnsi="宋体" w:cs="宋体" w:eastAsia="宋体" w:hint="default"/>
                <w:sz w:val="18"/>
                <w:szCs w:val="18"/>
              </w:rPr>
              <w:t> 量指标。</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0</w:t>
            </w:r>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十、内部控制审计报告或鉴证报告</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3086" w:right="0"/>
        <w:jc w:val="left"/>
        <w:rPr>
          <w:b w:val="0"/>
          <w:bCs w:val="0"/>
        </w:rPr>
      </w:pPr>
      <w:bookmarkStart w:name="_bookmark9" w:id="10"/>
      <w:bookmarkEnd w:id="10"/>
      <w:r>
        <w:rPr>
          <w:b w:val="0"/>
          <w:bCs w:val="0"/>
        </w:rPr>
      </w:r>
      <w:r>
        <w:rPr/>
        <w:t>第十节</w:t>
      </w:r>
      <w:r>
        <w:rPr>
          <w:spacing w:val="-7"/>
        </w:rPr>
        <w:t> </w:t>
      </w:r>
      <w:r>
        <w:rPr/>
        <w:t>公司债券相关情况</w:t>
      </w:r>
      <w:r>
        <w:rPr>
          <w:b w:val="0"/>
          <w:bCs w:val="0"/>
        </w:rPr>
      </w:r>
    </w:p>
    <w:p>
      <w:pPr>
        <w:spacing w:line="240" w:lineRule="auto" w:before="6"/>
        <w:rPr>
          <w:rFonts w:ascii="宋体" w:hAnsi="宋体" w:cs="宋体" w:eastAsia="宋体" w:hint="default"/>
          <w:b/>
          <w:bCs/>
          <w:sz w:val="42"/>
          <w:szCs w:val="42"/>
        </w:rPr>
      </w:pPr>
    </w:p>
    <w:p>
      <w:pPr>
        <w:spacing w:line="360" w:lineRule="auto" w:before="0"/>
        <w:ind w:left="112" w:right="109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1"/>
        <w:spacing w:line="240" w:lineRule="auto"/>
        <w:ind w:left="3552" w:right="3689"/>
        <w:jc w:val="center"/>
        <w:rPr>
          <w:b w:val="0"/>
          <w:bCs w:val="0"/>
        </w:rPr>
      </w:pPr>
      <w:bookmarkStart w:name="_bookmark10" w:id="11"/>
      <w:bookmarkEnd w:id="11"/>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大华审字[2018]006026</w:t>
            </w:r>
            <w:r>
              <w:rPr>
                <w:rFonts w:ascii="宋体" w:hAnsi="宋体" w:cs="宋体" w:eastAsia="宋体" w:hint="default"/>
                <w:spacing w:val="-50"/>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吕勇军、王原</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880"/>
        </w:sectPr>
      </w:pPr>
    </w:p>
    <w:p>
      <w:pPr>
        <w:spacing w:before="52"/>
        <w:ind w:left="4291" w:right="0" w:firstLine="0"/>
        <w:jc w:val="left"/>
        <w:rPr>
          <w:rFonts w:ascii="宋体" w:hAnsi="宋体" w:cs="宋体" w:eastAsia="宋体" w:hint="default"/>
          <w:sz w:val="32"/>
          <w:szCs w:val="32"/>
        </w:rPr>
      </w:pPr>
      <w:r>
        <w:rPr>
          <w:rFonts w:ascii="宋体" w:hAnsi="宋体" w:cs="宋体" w:eastAsia="宋体" w:hint="default"/>
          <w:b/>
          <w:bCs/>
          <w:w w:val="95"/>
          <w:sz w:val="32"/>
          <w:szCs w:val="32"/>
        </w:rPr>
        <w:t>审计报告</w:t>
      </w:r>
      <w:r>
        <w:rPr>
          <w:rFonts w:ascii="宋体" w:hAnsi="宋体" w:cs="宋体" w:eastAsia="宋体" w:hint="default"/>
          <w:sz w:val="32"/>
          <w:szCs w:val="32"/>
        </w:rPr>
      </w:r>
    </w:p>
    <w:p>
      <w:pPr>
        <w:spacing w:line="240" w:lineRule="auto" w:before="13"/>
        <w:rPr>
          <w:rFonts w:ascii="宋体" w:hAnsi="宋体" w:cs="宋体" w:eastAsia="宋体" w:hint="default"/>
          <w:b/>
          <w:bCs/>
          <w:sz w:val="41"/>
          <w:szCs w:val="41"/>
        </w:rPr>
      </w:pPr>
    </w:p>
    <w:p>
      <w:pPr>
        <w:pStyle w:val="Heading2"/>
        <w:spacing w:line="427" w:lineRule="auto"/>
        <w:ind w:right="381" w:hanging="562"/>
        <w:jc w:val="left"/>
        <w:rPr>
          <w:b w:val="0"/>
          <w:bCs w:val="0"/>
        </w:rPr>
      </w:pPr>
      <w:r>
        <w:rPr>
          <w:w w:val="95"/>
        </w:rPr>
        <w:t>安徽皖通科技股份有限公司全体股东：</w:t>
      </w:r>
      <w:r>
        <w:rPr>
          <w:spacing w:val="93"/>
          <w:w w:val="95"/>
        </w:rPr>
        <w:t> </w:t>
      </w:r>
      <w:r>
        <w:rPr>
          <w:spacing w:val="93"/>
          <w:w w:val="95"/>
        </w:rPr>
      </w:r>
      <w:r>
        <w:rPr/>
        <w:t>一、</w:t>
      </w:r>
      <w:r>
        <w:rPr>
          <w:spacing w:val="-7"/>
        </w:rPr>
        <w:t> </w:t>
      </w:r>
      <w:r>
        <w:rPr/>
        <w:t>审计意见</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6"/>
        <w:rPr>
          <w:rFonts w:ascii="宋体" w:hAnsi="宋体" w:cs="宋体" w:eastAsia="宋体" w:hint="default"/>
          <w:b/>
          <w:bCs/>
          <w:sz w:val="26"/>
          <w:szCs w:val="26"/>
        </w:rPr>
      </w:pPr>
    </w:p>
    <w:p>
      <w:pPr>
        <w:pStyle w:val="Heading5"/>
        <w:spacing w:line="240" w:lineRule="auto"/>
        <w:ind w:right="0"/>
        <w:jc w:val="left"/>
        <w:rPr>
          <w:b w:val="0"/>
          <w:bCs w:val="0"/>
        </w:rPr>
      </w:pPr>
      <w:r>
        <w:rPr/>
        <w:t>大华审字[2018]006026号</w:t>
      </w:r>
      <w:r>
        <w:rPr>
          <w:b w:val="0"/>
          <w:bCs w:val="0"/>
        </w:rPr>
      </w:r>
    </w:p>
    <w:p>
      <w:pPr>
        <w:spacing w:after="0" w:line="240" w:lineRule="auto"/>
        <w:jc w:val="left"/>
        <w:sectPr>
          <w:type w:val="continuous"/>
          <w:pgSz w:w="11910" w:h="16840"/>
          <w:pgMar w:top="1040" w:bottom="1120" w:left="1020" w:right="880"/>
          <w:cols w:num="2" w:equalWidth="0">
            <w:col w:w="5575" w:space="1754"/>
            <w:col w:w="2681"/>
          </w:cols>
        </w:sectPr>
      </w:pPr>
    </w:p>
    <w:p>
      <w:pPr>
        <w:spacing w:line="240" w:lineRule="auto" w:before="10"/>
        <w:rPr>
          <w:rFonts w:ascii="宋体" w:hAnsi="宋体" w:cs="宋体" w:eastAsia="宋体" w:hint="default"/>
          <w:b/>
          <w:bCs/>
          <w:sz w:val="7"/>
          <w:szCs w:val="7"/>
        </w:rPr>
      </w:pPr>
    </w:p>
    <w:p>
      <w:pPr>
        <w:pStyle w:val="Heading3"/>
        <w:spacing w:line="357" w:lineRule="auto" w:before="14"/>
        <w:ind w:right="250"/>
        <w:jc w:val="both"/>
      </w:pPr>
      <w:r>
        <w:rPr>
          <w:spacing w:val="2"/>
        </w:rPr>
        <w:t>我们审计了安徽皖通科技股份有限公司(以下简称皖通科技)财务报表，包</w:t>
      </w:r>
      <w:r>
        <w:rPr>
          <w:w w:val="100"/>
        </w:rPr>
        <w:t> </w:t>
      </w:r>
      <w:r>
        <w:rPr/>
        <w:t>括</w:t>
      </w:r>
      <w:r>
        <w:rPr>
          <w:spacing w:val="-68"/>
        </w:rPr>
        <w:t> </w:t>
      </w:r>
      <w:r>
        <w:rPr/>
        <w:t>2017</w:t>
      </w:r>
      <w:r>
        <w:rPr>
          <w:spacing w:val="-67"/>
        </w:rPr>
        <w:t> </w:t>
      </w:r>
      <w:r>
        <w:rPr/>
        <w:t>年</w:t>
      </w:r>
      <w:r>
        <w:rPr>
          <w:spacing w:val="-68"/>
        </w:rPr>
        <w:t> </w:t>
      </w:r>
      <w:r>
        <w:rPr/>
        <w:t>12</w:t>
      </w:r>
      <w:r>
        <w:rPr>
          <w:spacing w:val="-70"/>
        </w:rPr>
        <w:t> </w:t>
      </w:r>
      <w:r>
        <w:rPr/>
        <w:t>月</w:t>
      </w:r>
      <w:r>
        <w:rPr>
          <w:spacing w:val="-68"/>
        </w:rPr>
        <w:t> </w:t>
      </w:r>
      <w:r>
        <w:rPr/>
        <w:t>31</w:t>
      </w:r>
      <w:r>
        <w:rPr>
          <w:spacing w:val="-70"/>
        </w:rPr>
        <w:t> </w:t>
      </w:r>
      <w:r>
        <w:rPr>
          <w:spacing w:val="-7"/>
        </w:rPr>
        <w:t>日的合并及母公司资产负债表，2017</w:t>
      </w:r>
      <w:r>
        <w:rPr>
          <w:spacing w:val="-67"/>
        </w:rPr>
        <w:t> </w:t>
      </w:r>
      <w:r>
        <w:rPr/>
        <w:t>年度的合并及母公司利</w:t>
      </w:r>
      <w:r>
        <w:rPr>
          <w:w w:val="100"/>
        </w:rPr>
        <w:t> </w:t>
      </w:r>
      <w:r>
        <w:rPr>
          <w:spacing w:val="2"/>
        </w:rPr>
        <w:t>润表、合并及母公司现金流量表、合并及母公司股东权益变动表以及相关财务</w:t>
      </w:r>
      <w:r>
        <w:rPr>
          <w:spacing w:val="-99"/>
        </w:rPr>
        <w:t> </w:t>
      </w:r>
      <w:r>
        <w:rPr>
          <w:spacing w:val="-99"/>
        </w:rPr>
      </w:r>
      <w:r>
        <w:rPr/>
        <w:t>报表附注。</w:t>
      </w:r>
    </w:p>
    <w:p>
      <w:pPr>
        <w:pStyle w:val="Heading3"/>
        <w:spacing w:line="355" w:lineRule="auto"/>
        <w:ind w:right="0"/>
        <w:jc w:val="left"/>
      </w:pPr>
      <w:r>
        <w:rPr>
          <w:spacing w:val="-3"/>
        </w:rPr>
        <w:t>我们认为，后附的财务报表在所有重大方面按照企业会计准则的规定编制，</w:t>
      </w:r>
      <w:r>
        <w:rPr>
          <w:w w:val="100"/>
        </w:rPr>
        <w:t> </w:t>
      </w:r>
      <w:r>
        <w:rPr>
          <w:spacing w:val="2"/>
        </w:rPr>
        <w:t>公允反映了皖通科技</w:t>
      </w:r>
      <w:r>
        <w:rPr>
          <w:spacing w:val="-62"/>
        </w:rPr>
        <w:t> </w:t>
      </w:r>
      <w:r>
        <w:rPr/>
        <w:t>2017</w:t>
      </w:r>
      <w:r>
        <w:rPr>
          <w:spacing w:val="-63"/>
        </w:rPr>
        <w:t> </w:t>
      </w:r>
      <w:r>
        <w:rPr/>
        <w:t>年</w:t>
      </w:r>
      <w:r>
        <w:rPr>
          <w:spacing w:val="-65"/>
        </w:rPr>
        <w:t> </w:t>
      </w:r>
      <w:r>
        <w:rPr/>
        <w:t>12</w:t>
      </w:r>
      <w:r>
        <w:rPr>
          <w:spacing w:val="-63"/>
        </w:rPr>
        <w:t> </w:t>
      </w:r>
      <w:r>
        <w:rPr/>
        <w:t>月</w:t>
      </w:r>
      <w:r>
        <w:rPr>
          <w:spacing w:val="-65"/>
        </w:rPr>
        <w:t> </w:t>
      </w:r>
      <w:r>
        <w:rPr/>
        <w:t>31</w:t>
      </w:r>
      <w:r>
        <w:rPr>
          <w:spacing w:val="-63"/>
        </w:rPr>
        <w:t> </w:t>
      </w:r>
      <w:r>
        <w:rPr>
          <w:spacing w:val="2"/>
        </w:rPr>
        <w:t>日的合并及母公司财务状况以及</w:t>
      </w:r>
      <w:r>
        <w:rPr>
          <w:spacing w:val="-65"/>
        </w:rPr>
        <w:t> </w:t>
      </w:r>
      <w:r>
        <w:rPr/>
        <w:t>2017</w:t>
      </w:r>
      <w:r>
        <w:rPr>
          <w:spacing w:val="-63"/>
        </w:rPr>
        <w:t> </w:t>
      </w:r>
      <w:r>
        <w:rPr/>
        <w:t>年</w:t>
      </w:r>
      <w:r>
        <w:rPr>
          <w:spacing w:val="-131"/>
        </w:rPr>
        <w:t> </w:t>
      </w:r>
      <w:r>
        <w:rPr>
          <w:spacing w:val="-131"/>
        </w:rPr>
      </w:r>
      <w:r>
        <w:rPr/>
        <w:t>度的合并及母公司经营成果和现金流量。</w:t>
      </w:r>
    </w:p>
    <w:p>
      <w:pPr>
        <w:pStyle w:val="Heading2"/>
        <w:spacing w:line="240" w:lineRule="auto" w:before="200"/>
        <w:ind w:right="0"/>
        <w:jc w:val="left"/>
        <w:rPr>
          <w:b w:val="0"/>
          <w:bCs w:val="0"/>
        </w:rPr>
      </w:pPr>
      <w:r>
        <w:rPr/>
        <w:t>二、</w:t>
      </w:r>
      <w:r>
        <w:rPr>
          <w:spacing w:val="-10"/>
        </w:rPr>
        <w:t> </w:t>
      </w:r>
      <w:r>
        <w:rPr/>
        <w:t>形成审计意见的基础</w:t>
      </w:r>
      <w:r>
        <w:rPr>
          <w:b w:val="0"/>
          <w:bCs w:val="0"/>
        </w:rPr>
      </w:r>
    </w:p>
    <w:p>
      <w:pPr>
        <w:spacing w:line="240" w:lineRule="auto" w:before="7"/>
        <w:rPr>
          <w:rFonts w:ascii="宋体" w:hAnsi="宋体" w:cs="宋体" w:eastAsia="宋体" w:hint="default"/>
          <w:b/>
          <w:bCs/>
          <w:sz w:val="25"/>
          <w:szCs w:val="25"/>
        </w:rPr>
      </w:pPr>
    </w:p>
    <w:p>
      <w:pPr>
        <w:pStyle w:val="Heading3"/>
        <w:spacing w:line="357" w:lineRule="auto" w:before="0"/>
        <w:ind w:right="250"/>
        <w:jc w:val="both"/>
      </w:pPr>
      <w:r>
        <w:rPr>
          <w:spacing w:val="10"/>
        </w:rPr>
        <w:t>我们按照中国注册会计师审计准则的规定执行了审计工作。审计报告的</w:t>
      </w:r>
      <w:r>
        <w:rPr>
          <w:w w:val="100"/>
        </w:rPr>
        <w:t> </w:t>
      </w:r>
      <w:r>
        <w:rPr>
          <w:spacing w:val="2"/>
        </w:rPr>
        <w:t>“注册会计师对财务报表审计的责任”部分进一步阐述了我们在这些准则下的</w:t>
      </w:r>
      <w:r>
        <w:rPr>
          <w:spacing w:val="-97"/>
        </w:rPr>
        <w:t> </w:t>
      </w:r>
      <w:r>
        <w:rPr>
          <w:spacing w:val="-97"/>
        </w:rPr>
      </w:r>
      <w:r>
        <w:rPr>
          <w:spacing w:val="2"/>
        </w:rPr>
        <w:t>责任。按照中国注册会计师职业道德守则，我们独立于皖通科技，并履行了职</w:t>
      </w:r>
      <w:r>
        <w:rPr>
          <w:spacing w:val="-97"/>
        </w:rPr>
        <w:t> </w:t>
      </w:r>
      <w:r>
        <w:rPr>
          <w:spacing w:val="-97"/>
        </w:rPr>
      </w:r>
      <w:r>
        <w:rPr>
          <w:spacing w:val="2"/>
        </w:rPr>
        <w:t>业道德方面的其他责任。我们相信，我们获取的审计证据是充分、适当的，为</w:t>
      </w:r>
      <w:r>
        <w:rPr>
          <w:spacing w:val="-99"/>
        </w:rPr>
        <w:t> </w:t>
      </w:r>
      <w:r>
        <w:rPr>
          <w:spacing w:val="-99"/>
        </w:rPr>
      </w:r>
      <w:r>
        <w:rPr/>
        <w:t>发表审计意见提供了基础。</w:t>
      </w:r>
    </w:p>
    <w:p>
      <w:pPr>
        <w:spacing w:after="0" w:line="357" w:lineRule="auto"/>
        <w:jc w:val="both"/>
        <w:sectPr>
          <w:type w:val="continuous"/>
          <w:pgSz w:w="11910" w:h="16840"/>
          <w:pgMar w:top="1040" w:bottom="1120" w:left="1020" w:right="880"/>
        </w:sectPr>
      </w:pPr>
    </w:p>
    <w:p>
      <w:pPr>
        <w:spacing w:line="240" w:lineRule="auto" w:before="8"/>
        <w:rPr>
          <w:rFonts w:ascii="宋体" w:hAnsi="宋体" w:cs="宋体" w:eastAsia="宋体" w:hint="default"/>
          <w:sz w:val="24"/>
          <w:szCs w:val="24"/>
        </w:rPr>
      </w:pPr>
    </w:p>
    <w:p>
      <w:pPr>
        <w:pStyle w:val="Heading2"/>
        <w:spacing w:line="240" w:lineRule="auto" w:before="14"/>
        <w:ind w:right="0"/>
        <w:jc w:val="left"/>
        <w:rPr>
          <w:b w:val="0"/>
          <w:bCs w:val="0"/>
        </w:rPr>
      </w:pPr>
      <w:r>
        <w:rPr/>
        <w:t>三、</w:t>
      </w:r>
      <w:r>
        <w:rPr>
          <w:spacing w:val="-9"/>
        </w:rPr>
        <w:t> </w:t>
      </w:r>
      <w:r>
        <w:rPr/>
        <w:t>关键审计事项</w:t>
      </w:r>
      <w:r>
        <w:rPr>
          <w:b w:val="0"/>
          <w:bCs w:val="0"/>
        </w:rPr>
      </w:r>
    </w:p>
    <w:p>
      <w:pPr>
        <w:spacing w:line="240" w:lineRule="auto" w:before="7"/>
        <w:rPr>
          <w:rFonts w:ascii="宋体" w:hAnsi="宋体" w:cs="宋体" w:eastAsia="宋体" w:hint="default"/>
          <w:b/>
          <w:bCs/>
          <w:sz w:val="25"/>
          <w:szCs w:val="25"/>
        </w:rPr>
      </w:pPr>
    </w:p>
    <w:p>
      <w:pPr>
        <w:pStyle w:val="Heading3"/>
        <w:spacing w:line="357" w:lineRule="auto" w:before="0"/>
        <w:ind w:right="250"/>
        <w:jc w:val="both"/>
      </w:pPr>
      <w:r>
        <w:rPr>
          <w:spacing w:val="2"/>
        </w:rPr>
        <w:t>关键审计事项是我们根据职业判断，认为对本期财务报表审计最为重要的</w:t>
      </w:r>
      <w:r>
        <w:rPr>
          <w:w w:val="100"/>
        </w:rPr>
        <w:t> </w:t>
      </w:r>
      <w:r>
        <w:rPr>
          <w:spacing w:val="2"/>
        </w:rPr>
        <w:t>事项。这些事项的应对以对财务报表整体进行审计并形成审计意见为背景，我</w:t>
      </w:r>
      <w:r>
        <w:rPr>
          <w:spacing w:val="-99"/>
        </w:rPr>
        <w:t> </w:t>
      </w:r>
      <w:r>
        <w:rPr>
          <w:spacing w:val="-99"/>
        </w:rPr>
      </w:r>
      <w:r>
        <w:rPr/>
        <w:t>们不对这些事项单独发表意见。</w:t>
      </w:r>
    </w:p>
    <w:p>
      <w:pPr>
        <w:pStyle w:val="Heading3"/>
        <w:spacing w:line="381" w:lineRule="auto"/>
        <w:ind w:left="674" w:right="166" w:firstLine="0"/>
        <w:jc w:val="left"/>
      </w:pPr>
      <w:r>
        <w:rPr>
          <w:spacing w:val="-2"/>
        </w:rPr>
        <w:t>我们确定下列事项是需要在审计报告中沟通的关键审计事项。</w:t>
      </w:r>
      <w:r>
        <w:rPr>
          <w:spacing w:val="-103"/>
        </w:rPr>
        <w:t> </w:t>
      </w:r>
      <w:r>
        <w:rPr>
          <w:spacing w:val="-103"/>
        </w:rPr>
      </w:r>
      <w:r>
        <w:rPr/>
        <w:t>1.收入确认；</w:t>
      </w:r>
    </w:p>
    <w:p>
      <w:pPr>
        <w:pStyle w:val="Heading3"/>
        <w:spacing w:line="240" w:lineRule="auto" w:before="54"/>
        <w:ind w:left="674" w:right="0" w:firstLine="0"/>
        <w:jc w:val="left"/>
      </w:pPr>
      <w:r>
        <w:rPr/>
        <w:t>2.</w:t>
      </w:r>
      <w:r>
        <w:rPr>
          <w:spacing w:val="-4"/>
        </w:rPr>
        <w:t> </w:t>
      </w:r>
      <w:r>
        <w:rPr/>
        <w:t>应收账款减值。</w:t>
      </w:r>
    </w:p>
    <w:p>
      <w:pPr>
        <w:pStyle w:val="Heading3"/>
        <w:tabs>
          <w:tab w:pos="1792" w:val="left" w:leader="none"/>
        </w:tabs>
        <w:spacing w:line="384" w:lineRule="auto" w:before="216"/>
        <w:ind w:left="674" w:right="7090" w:firstLine="0"/>
        <w:jc w:val="left"/>
      </w:pPr>
      <w:r>
        <w:rPr>
          <w:spacing w:val="-2"/>
        </w:rPr>
        <w:t>（一）</w:t>
        <w:tab/>
        <w:t>收入确认</w:t>
      </w:r>
      <w:r>
        <w:rPr>
          <w:spacing w:val="-133"/>
        </w:rPr>
        <w:t> </w:t>
      </w:r>
      <w:r>
        <w:rPr>
          <w:spacing w:val="-133"/>
        </w:rPr>
      </w:r>
      <w:r>
        <w:rPr/>
        <w:t>1.事项描述</w:t>
      </w:r>
    </w:p>
    <w:p>
      <w:pPr>
        <w:pStyle w:val="Heading3"/>
        <w:spacing w:line="369" w:lineRule="auto" w:before="185"/>
        <w:ind w:right="0"/>
        <w:jc w:val="left"/>
      </w:pPr>
      <w:r>
        <w:rPr>
          <w:spacing w:val="-11"/>
          <w:w w:val="100"/>
        </w:rPr>
        <w:t>皖通科技从事软件和信息技术服务行业，如财务报表附注四（二十五收入）、</w:t>
      </w:r>
      <w:r>
        <w:rPr>
          <w:w w:val="100"/>
        </w:rPr>
        <w:t> </w:t>
      </w:r>
      <w:r>
        <w:rPr>
          <w:spacing w:val="-2"/>
          <w:w w:val="100"/>
        </w:rPr>
        <w:t>附注六注释</w:t>
      </w:r>
      <w:r>
        <w:rPr>
          <w:spacing w:val="-88"/>
          <w:w w:val="100"/>
        </w:rPr>
        <w:t> </w:t>
      </w:r>
      <w:r>
        <w:rPr>
          <w:w w:val="100"/>
        </w:rPr>
        <w:t>32</w:t>
      </w:r>
      <w:r>
        <w:rPr>
          <w:spacing w:val="-89"/>
          <w:w w:val="100"/>
        </w:rPr>
        <w:t> </w:t>
      </w:r>
      <w:r>
        <w:rPr>
          <w:spacing w:val="-16"/>
          <w:w w:val="100"/>
        </w:rPr>
        <w:t>所示，皖通科技收入于</w:t>
      </w:r>
      <w:r>
        <w:rPr>
          <w:spacing w:val="-86"/>
          <w:w w:val="100"/>
        </w:rPr>
        <w:t> </w:t>
      </w:r>
      <w:r>
        <w:rPr>
          <w:spacing w:val="-1"/>
          <w:w w:val="100"/>
        </w:rPr>
        <w:t>2017</w:t>
      </w:r>
      <w:r>
        <w:rPr>
          <w:spacing w:val="-87"/>
          <w:w w:val="100"/>
        </w:rPr>
        <w:t> </w:t>
      </w:r>
      <w:r>
        <w:rPr>
          <w:spacing w:val="-2"/>
          <w:w w:val="100"/>
        </w:rPr>
        <w:t>年度实现了营业收入</w:t>
      </w:r>
      <w:r>
        <w:rPr>
          <w:spacing w:val="-92"/>
          <w:w w:val="100"/>
        </w:rPr>
        <w:t> </w:t>
      </w:r>
      <w:r>
        <w:rPr>
          <w:spacing w:val="-1"/>
          <w:w w:val="100"/>
        </w:rPr>
        <w:t>995,817,238.17</w:t>
      </w:r>
      <w:r>
        <w:rPr>
          <w:spacing w:val="-132"/>
          <w:w w:val="100"/>
        </w:rPr>
        <w:t> </w:t>
      </w:r>
      <w:r>
        <w:rPr>
          <w:spacing w:val="-132"/>
          <w:w w:val="100"/>
        </w:rPr>
      </w:r>
      <w:r>
        <w:rPr>
          <w:spacing w:val="2"/>
        </w:rPr>
        <w:t>元，由于收入主要来源于系统集成收入及技术服务收入，营业收入确认是否恰</w:t>
      </w:r>
      <w:r>
        <w:rPr>
          <w:spacing w:val="-99"/>
        </w:rPr>
        <w:t> </w:t>
      </w:r>
      <w:r>
        <w:rPr>
          <w:spacing w:val="-99"/>
        </w:rPr>
      </w:r>
      <w:r>
        <w:rPr>
          <w:spacing w:val="2"/>
        </w:rPr>
        <w:t>当对皖通科技经营成果产生很大影响，我们关注系统集成收入及技术服务收入</w:t>
      </w:r>
      <w:r>
        <w:rPr>
          <w:spacing w:val="-99"/>
        </w:rPr>
        <w:t> </w:t>
      </w:r>
      <w:r>
        <w:rPr>
          <w:spacing w:val="-99"/>
        </w:rPr>
      </w:r>
      <w:r>
        <w:rPr/>
        <w:t>的确认。</w:t>
      </w:r>
    </w:p>
    <w:p>
      <w:pPr>
        <w:pStyle w:val="Heading3"/>
        <w:spacing w:line="369" w:lineRule="auto" w:before="200"/>
        <w:ind w:right="252"/>
        <w:jc w:val="both"/>
      </w:pPr>
      <w:r>
        <w:rPr>
          <w:spacing w:val="2"/>
        </w:rPr>
        <w:t>对系统集成收入确认的关注，主要由于高速公路信息化领域、港口航运信</w:t>
      </w:r>
      <w:r>
        <w:rPr>
          <w:w w:val="100"/>
        </w:rPr>
        <w:t> </w:t>
      </w:r>
      <w:r>
        <w:rPr>
          <w:spacing w:val="2"/>
        </w:rPr>
        <w:t>息化领域、城市智能交通领域、智能安防领域等项目的承揽、施工、维护提供</w:t>
      </w:r>
      <w:r>
        <w:rPr>
          <w:spacing w:val="-99"/>
        </w:rPr>
        <w:t> </w:t>
      </w:r>
      <w:r>
        <w:rPr>
          <w:spacing w:val="-99"/>
        </w:rPr>
      </w:r>
      <w:r>
        <w:rPr>
          <w:spacing w:val="2"/>
        </w:rPr>
        <w:t>的系统集成数量巨大并需经验收，其收入是否在恰当的财务报表期间确认并计</w:t>
      </w:r>
      <w:r>
        <w:rPr>
          <w:spacing w:val="-99"/>
        </w:rPr>
        <w:t> </w:t>
      </w:r>
      <w:r>
        <w:rPr>
          <w:spacing w:val="-99"/>
        </w:rPr>
      </w:r>
      <w:r>
        <w:rPr/>
        <w:t>量入账可能存在潜在的错报。</w:t>
      </w:r>
    </w:p>
    <w:p>
      <w:pPr>
        <w:pStyle w:val="Heading3"/>
        <w:spacing w:line="367" w:lineRule="auto" w:before="84"/>
        <w:ind w:right="252"/>
        <w:jc w:val="both"/>
      </w:pPr>
      <w:r>
        <w:rPr>
          <w:spacing w:val="2"/>
        </w:rPr>
        <w:t>计算系统集成合同预估总成本涉及重大的会计估计和判断，其中包括存在</w:t>
      </w:r>
      <w:r>
        <w:rPr>
          <w:w w:val="100"/>
        </w:rPr>
        <w:t> </w:t>
      </w:r>
      <w:r>
        <w:rPr/>
        <w:t>或可能在完工交接前发生的不可预见费用。</w:t>
      </w:r>
    </w:p>
    <w:p>
      <w:pPr>
        <w:pStyle w:val="Heading3"/>
        <w:spacing w:line="369" w:lineRule="auto" w:before="90"/>
        <w:ind w:right="252"/>
        <w:jc w:val="both"/>
      </w:pPr>
      <w:r>
        <w:rPr>
          <w:spacing w:val="2"/>
        </w:rPr>
        <w:t>对技术服务收入确认的关注主要涉及到为各类系统集成项目提供后续的维</w:t>
      </w:r>
      <w:r>
        <w:rPr>
          <w:w w:val="100"/>
        </w:rPr>
        <w:t> </w:t>
      </w:r>
      <w:r>
        <w:rPr>
          <w:spacing w:val="2"/>
        </w:rPr>
        <w:t>护、改造及支持服务是否提供并经验收，其收入是否在恰当的财务报表期间确</w:t>
      </w:r>
      <w:r>
        <w:rPr>
          <w:spacing w:val="-99"/>
        </w:rPr>
        <w:t> </w:t>
      </w:r>
      <w:r>
        <w:rPr>
          <w:spacing w:val="-99"/>
        </w:rPr>
      </w:r>
      <w:r>
        <w:rPr/>
        <w:t>认并计量入账可能存在潜在的错报。</w:t>
      </w:r>
    </w:p>
    <w:p>
      <w:pPr>
        <w:pStyle w:val="Heading3"/>
        <w:spacing w:line="240" w:lineRule="auto" w:before="85"/>
        <w:ind w:left="674" w:right="0" w:firstLine="0"/>
        <w:jc w:val="left"/>
      </w:pPr>
      <w:r>
        <w:rPr/>
        <w:t>2.审计应对</w:t>
      </w:r>
    </w:p>
    <w:p>
      <w:pPr>
        <w:spacing w:after="0" w:line="240" w:lineRule="auto"/>
        <w:jc w:val="left"/>
        <w:sectPr>
          <w:pgSz w:w="11910" w:h="16840"/>
          <w:pgMar w:header="746" w:footer="937" w:top="1040" w:bottom="1120" w:left="1020" w:right="880"/>
        </w:sectPr>
      </w:pPr>
    </w:p>
    <w:p>
      <w:pPr>
        <w:spacing w:line="240" w:lineRule="auto" w:before="8"/>
        <w:rPr>
          <w:rFonts w:ascii="宋体" w:hAnsi="宋体" w:cs="宋体" w:eastAsia="宋体" w:hint="default"/>
          <w:sz w:val="24"/>
          <w:szCs w:val="24"/>
        </w:rPr>
      </w:pPr>
    </w:p>
    <w:p>
      <w:pPr>
        <w:pStyle w:val="Heading3"/>
        <w:spacing w:line="369" w:lineRule="auto" w:before="14"/>
        <w:ind w:right="110"/>
        <w:jc w:val="both"/>
      </w:pPr>
      <w:r>
        <w:rPr>
          <w:spacing w:val="-3"/>
        </w:rPr>
        <w:t>（1）对于系统集成收入，我们了解、评估了管理层对皖通科技自合同订单</w:t>
      </w:r>
      <w:r>
        <w:rPr>
          <w:w w:val="100"/>
        </w:rPr>
        <w:t> </w:t>
      </w:r>
      <w:r>
        <w:rPr>
          <w:spacing w:val="2"/>
        </w:rPr>
        <w:t>审批至系统集成收入入账的销售流程中的内部控制的设计，并测试了关键控制</w:t>
      </w:r>
      <w:r>
        <w:rPr>
          <w:spacing w:val="-99"/>
        </w:rPr>
        <w:t> </w:t>
      </w:r>
      <w:r>
        <w:rPr>
          <w:spacing w:val="-99"/>
        </w:rPr>
      </w:r>
      <w:r>
        <w:rPr/>
        <w:t>执行的有效性。</w:t>
      </w:r>
    </w:p>
    <w:p>
      <w:pPr>
        <w:pStyle w:val="Heading3"/>
        <w:spacing w:line="369" w:lineRule="auto" w:before="84"/>
        <w:ind w:right="112"/>
        <w:jc w:val="both"/>
      </w:pPr>
      <w:r>
        <w:rPr>
          <w:spacing w:val="2"/>
        </w:rPr>
        <w:t>检查与收入确认相关的支持性文件，包括销售合同、订单、接受服务方验</w:t>
      </w:r>
      <w:r>
        <w:rPr>
          <w:w w:val="100"/>
        </w:rPr>
        <w:t> </w:t>
      </w:r>
      <w:r>
        <w:rPr>
          <w:spacing w:val="2"/>
        </w:rPr>
        <w:t>收合格单据或接受服务方并工程监理第三方根据工程进度检验情况确认工程结</w:t>
      </w:r>
      <w:r>
        <w:rPr>
          <w:spacing w:val="-99"/>
        </w:rPr>
        <w:t> </w:t>
      </w:r>
      <w:r>
        <w:rPr>
          <w:spacing w:val="-99"/>
        </w:rPr>
      </w:r>
      <w:r>
        <w:rPr>
          <w:spacing w:val="-7"/>
          <w:w w:val="100"/>
        </w:rPr>
        <w:t>算报告（即项目验收结算或中期支付证书）、销售发票等。</w:t>
      </w:r>
    </w:p>
    <w:p>
      <w:pPr>
        <w:pStyle w:val="Heading3"/>
        <w:spacing w:line="369" w:lineRule="auto" w:before="84"/>
        <w:ind w:right="112"/>
        <w:jc w:val="both"/>
      </w:pPr>
      <w:r>
        <w:rPr>
          <w:spacing w:val="2"/>
        </w:rPr>
        <w:t>针对资产负债表日前后确认的系统集成收入，核对至接受服务方验收合格</w:t>
      </w:r>
      <w:r>
        <w:rPr>
          <w:w w:val="100"/>
        </w:rPr>
        <w:t> </w:t>
      </w:r>
      <w:r>
        <w:rPr>
          <w:spacing w:val="2"/>
        </w:rPr>
        <w:t>单据或接受服务方并工程监理第三方根据工程进度检验情况确认工程结算报告</w:t>
      </w:r>
      <w:r>
        <w:rPr>
          <w:spacing w:val="-99"/>
        </w:rPr>
        <w:t> </w:t>
      </w:r>
      <w:r>
        <w:rPr>
          <w:spacing w:val="-99"/>
        </w:rPr>
      </w:r>
      <w:r>
        <w:rPr/>
        <w:t>等支持性文件的最终签署日期，以评估系统集成收入是否在恰当的期间确认。</w:t>
      </w:r>
    </w:p>
    <w:p>
      <w:pPr>
        <w:pStyle w:val="Heading3"/>
        <w:spacing w:line="369" w:lineRule="auto" w:before="84"/>
        <w:ind w:right="110"/>
        <w:jc w:val="both"/>
      </w:pPr>
      <w:r>
        <w:rPr>
          <w:spacing w:val="-3"/>
        </w:rPr>
        <w:t>（2）我们采用抽样方式，将已完工项目实际发生的总成本与项目完工前管</w:t>
      </w:r>
      <w:r>
        <w:rPr>
          <w:w w:val="100"/>
        </w:rPr>
        <w:t> </w:t>
      </w:r>
      <w:r>
        <w:rPr>
          <w:spacing w:val="2"/>
        </w:rPr>
        <w:t>理层预算的合同总成本进行对比分析，评估管理层做出此项会计估计的经验和</w:t>
      </w:r>
      <w:r>
        <w:rPr>
          <w:spacing w:val="-99"/>
        </w:rPr>
        <w:t> </w:t>
      </w:r>
      <w:r>
        <w:rPr>
          <w:spacing w:val="-99"/>
        </w:rPr>
      </w:r>
      <w:r>
        <w:rPr/>
        <w:t>能力。</w:t>
      </w:r>
    </w:p>
    <w:p>
      <w:pPr>
        <w:pStyle w:val="Heading3"/>
        <w:spacing w:line="369" w:lineRule="auto" w:before="84"/>
        <w:ind w:right="112"/>
        <w:jc w:val="both"/>
      </w:pPr>
      <w:r>
        <w:rPr>
          <w:spacing w:val="2"/>
        </w:rPr>
        <w:t>检查实际发生成本的合同、发票、设备签收单、接受服务方验收合格单据</w:t>
      </w:r>
      <w:r>
        <w:rPr>
          <w:w w:val="100"/>
        </w:rPr>
        <w:t> </w:t>
      </w:r>
      <w:r>
        <w:rPr>
          <w:spacing w:val="2"/>
        </w:rPr>
        <w:t>或接受服务方并工程监理第三方根据工程进度检验情况确认工程结算报告等支</w:t>
      </w:r>
      <w:r>
        <w:rPr>
          <w:spacing w:val="-99"/>
        </w:rPr>
        <w:t> </w:t>
      </w:r>
      <w:r>
        <w:rPr>
          <w:spacing w:val="-99"/>
        </w:rPr>
      </w:r>
      <w:r>
        <w:rPr/>
        <w:t>持性文件；</w:t>
      </w:r>
    </w:p>
    <w:p>
      <w:pPr>
        <w:pStyle w:val="Heading3"/>
        <w:spacing w:line="369" w:lineRule="auto" w:before="84"/>
        <w:ind w:right="112"/>
        <w:jc w:val="both"/>
      </w:pPr>
      <w:r>
        <w:rPr>
          <w:spacing w:val="2"/>
        </w:rPr>
        <w:t>针对资产负债表日前后确认的、实际发生的系统集成成本，核对至设备签</w:t>
      </w:r>
      <w:r>
        <w:rPr>
          <w:w w:val="100"/>
        </w:rPr>
        <w:t> </w:t>
      </w:r>
      <w:r>
        <w:rPr>
          <w:spacing w:val="2"/>
        </w:rPr>
        <w:t>收单、接受服务方验收合格单据或接受服务方并工程监理第三方根据工程进度</w:t>
      </w:r>
      <w:r>
        <w:rPr>
          <w:spacing w:val="-99"/>
        </w:rPr>
        <w:t> </w:t>
      </w:r>
      <w:r>
        <w:rPr>
          <w:spacing w:val="-99"/>
        </w:rPr>
      </w:r>
      <w:r>
        <w:rPr>
          <w:spacing w:val="2"/>
        </w:rPr>
        <w:t>检验情况确认工程结算报告等支持性文件的最终签署日期，以评估系统集成成</w:t>
      </w:r>
      <w:r>
        <w:rPr>
          <w:spacing w:val="-99"/>
        </w:rPr>
        <w:t> </w:t>
      </w:r>
      <w:r>
        <w:rPr>
          <w:spacing w:val="-99"/>
        </w:rPr>
      </w:r>
      <w:r>
        <w:rPr/>
        <w:t>本是否在恰当的期间确认。</w:t>
      </w:r>
    </w:p>
    <w:p>
      <w:pPr>
        <w:pStyle w:val="Heading3"/>
        <w:spacing w:line="369" w:lineRule="auto" w:before="84"/>
        <w:ind w:right="110"/>
        <w:jc w:val="both"/>
      </w:pPr>
      <w:r>
        <w:rPr>
          <w:spacing w:val="-3"/>
        </w:rPr>
        <w:t>（3）对于技术服务收入，我们了解、评估了管理层对皖通科技自合同订单</w:t>
      </w:r>
      <w:r>
        <w:rPr>
          <w:w w:val="100"/>
        </w:rPr>
        <w:t> </w:t>
      </w:r>
      <w:r>
        <w:rPr>
          <w:spacing w:val="2"/>
        </w:rPr>
        <w:t>审批至技术服务收入入账流程中的内部控制的设计，并测试了关键控制执行的</w:t>
      </w:r>
      <w:r>
        <w:rPr>
          <w:spacing w:val="-99"/>
        </w:rPr>
        <w:t> </w:t>
      </w:r>
      <w:r>
        <w:rPr>
          <w:spacing w:val="-99"/>
        </w:rPr>
      </w:r>
      <w:r>
        <w:rPr/>
        <w:t>有效性。</w:t>
      </w:r>
    </w:p>
    <w:p>
      <w:pPr>
        <w:pStyle w:val="Heading3"/>
        <w:spacing w:line="369" w:lineRule="auto" w:before="84"/>
        <w:ind w:right="112"/>
        <w:jc w:val="both"/>
      </w:pPr>
      <w:r>
        <w:rPr>
          <w:spacing w:val="2"/>
        </w:rPr>
        <w:t>我们通过抽样检查技术服务合同，接受服务方确认的维护项目服务确认书</w:t>
      </w:r>
      <w:r>
        <w:rPr>
          <w:w w:val="100"/>
        </w:rPr>
        <w:t> </w:t>
      </w:r>
      <w:r>
        <w:rPr>
          <w:spacing w:val="2"/>
        </w:rPr>
        <w:t>或结算书及与管理层的访谈，对与技术服务收入确认有关的重大风险及报酬转</w:t>
      </w:r>
    </w:p>
    <w:p>
      <w:pPr>
        <w:spacing w:after="0" w:line="369" w:lineRule="auto"/>
        <w:jc w:val="both"/>
        <w:sectPr>
          <w:pgSz w:w="11910" w:h="16840"/>
          <w:pgMar w:header="746" w:footer="937" w:top="1040" w:bottom="1120" w:left="1020" w:right="1020"/>
        </w:sectPr>
      </w:pPr>
    </w:p>
    <w:p>
      <w:pPr>
        <w:spacing w:line="240" w:lineRule="auto" w:before="8"/>
        <w:rPr>
          <w:rFonts w:ascii="宋体" w:hAnsi="宋体" w:cs="宋体" w:eastAsia="宋体" w:hint="default"/>
          <w:sz w:val="24"/>
          <w:szCs w:val="24"/>
        </w:rPr>
      </w:pPr>
    </w:p>
    <w:p>
      <w:pPr>
        <w:pStyle w:val="Heading3"/>
        <w:spacing w:line="393" w:lineRule="auto" w:before="14"/>
        <w:ind w:left="674" w:right="0" w:hanging="562"/>
        <w:jc w:val="left"/>
      </w:pPr>
      <w:r>
        <w:rPr/>
        <w:t>移时点进行了分析评估，进而评估皖通科技技术服务收入的确认政策。</w:t>
      </w:r>
      <w:r>
        <w:rPr>
          <w:w w:val="100"/>
        </w:rPr>
        <w:t> </w:t>
      </w:r>
      <w:r>
        <w:rPr>
          <w:spacing w:val="2"/>
        </w:rPr>
        <w:t>检查与收入确认相关的支持性文件，包括技术服务合同、接受服务方项目</w:t>
      </w:r>
    </w:p>
    <w:p>
      <w:pPr>
        <w:pStyle w:val="Heading3"/>
        <w:spacing w:line="393" w:lineRule="auto" w:before="18"/>
        <w:ind w:left="674" w:right="0" w:hanging="562"/>
        <w:jc w:val="left"/>
      </w:pPr>
      <w:r>
        <w:rPr/>
        <w:t>完工确认书或维护项目确认书或结算书、发票；</w:t>
      </w:r>
      <w:r>
        <w:rPr>
          <w:w w:val="100"/>
        </w:rPr>
        <w:t> </w:t>
      </w:r>
      <w:r>
        <w:rPr>
          <w:spacing w:val="2"/>
        </w:rPr>
        <w:t>针对资产负债表日前后确认的技术服务收入，核对至接受服务方完工确认</w:t>
      </w:r>
    </w:p>
    <w:p>
      <w:pPr>
        <w:pStyle w:val="Heading3"/>
        <w:spacing w:line="367" w:lineRule="auto" w:before="18"/>
        <w:ind w:right="0" w:firstLine="0"/>
        <w:jc w:val="left"/>
      </w:pPr>
      <w:r>
        <w:rPr>
          <w:spacing w:val="2"/>
        </w:rPr>
        <w:t>书或维护项目确认书或结算书等支持性文件的最终签署日期，以评估系统集成</w:t>
      </w:r>
      <w:r>
        <w:rPr>
          <w:spacing w:val="-99"/>
        </w:rPr>
        <w:t> </w:t>
      </w:r>
      <w:r>
        <w:rPr>
          <w:spacing w:val="-99"/>
        </w:rPr>
      </w:r>
      <w:r>
        <w:rPr/>
        <w:t>收入是否在恰当的期间确认。</w:t>
      </w:r>
    </w:p>
    <w:p>
      <w:pPr>
        <w:pStyle w:val="Heading3"/>
        <w:spacing w:line="367" w:lineRule="auto" w:before="90"/>
        <w:ind w:right="0"/>
        <w:jc w:val="left"/>
      </w:pPr>
      <w:r>
        <w:rPr>
          <w:spacing w:val="2"/>
        </w:rPr>
        <w:t>根据已执行的程序，我们认为皖通科技系统集成收入及技术服务收入符合</w:t>
      </w:r>
      <w:r>
        <w:rPr>
          <w:w w:val="100"/>
        </w:rPr>
        <w:t> </w:t>
      </w:r>
      <w:r>
        <w:rPr/>
        <w:t>其收入确认的会计政策。</w:t>
      </w:r>
    </w:p>
    <w:p>
      <w:pPr>
        <w:pStyle w:val="Heading3"/>
        <w:spacing w:line="384" w:lineRule="auto" w:before="87"/>
        <w:ind w:left="674" w:right="5774" w:firstLine="0"/>
        <w:jc w:val="left"/>
      </w:pPr>
      <w:r>
        <w:rPr>
          <w:spacing w:val="-2"/>
        </w:rPr>
        <w:t>（二）应收账款减值</w:t>
      </w:r>
      <w:r>
        <w:rPr>
          <w:spacing w:val="-127"/>
        </w:rPr>
        <w:t> </w:t>
      </w:r>
      <w:r>
        <w:rPr>
          <w:spacing w:val="-127"/>
        </w:rPr>
      </w:r>
      <w:r>
        <w:rPr/>
        <w:t>1.事项描述</w:t>
      </w:r>
    </w:p>
    <w:p>
      <w:pPr>
        <w:pStyle w:val="Heading3"/>
        <w:spacing w:line="357" w:lineRule="auto" w:before="48"/>
        <w:ind w:right="0"/>
        <w:jc w:val="left"/>
      </w:pPr>
      <w:r>
        <w:rPr>
          <w:spacing w:val="-5"/>
          <w:w w:val="100"/>
        </w:rPr>
        <w:t>参见财务报表附注三（十）（应收款项）与财务报表附注六、注释</w:t>
      </w:r>
      <w:r>
        <w:rPr>
          <w:spacing w:val="-68"/>
          <w:w w:val="100"/>
        </w:rPr>
        <w:t> </w:t>
      </w:r>
      <w:r>
        <w:rPr>
          <w:spacing w:val="-1"/>
          <w:w w:val="100"/>
        </w:rPr>
        <w:t>3（应收</w:t>
      </w:r>
      <w:r>
        <w:rPr>
          <w:w w:val="100"/>
        </w:rPr>
        <w:t> </w:t>
      </w:r>
      <w:r>
        <w:rPr>
          <w:spacing w:val="-6"/>
        </w:rPr>
        <w:t>账款）之相关财务信息所示。截至</w:t>
      </w:r>
      <w:r>
        <w:rPr>
          <w:spacing w:val="7"/>
        </w:rPr>
        <w:t> </w:t>
      </w:r>
      <w:r>
        <w:rPr/>
        <w:t>2017</w:t>
      </w:r>
      <w:r>
        <w:rPr>
          <w:spacing w:val="-65"/>
        </w:rPr>
        <w:t> </w:t>
      </w:r>
      <w:r>
        <w:rPr/>
        <w:t>年</w:t>
      </w:r>
      <w:r>
        <w:rPr>
          <w:spacing w:val="-66"/>
        </w:rPr>
        <w:t> </w:t>
      </w:r>
      <w:r>
        <w:rPr/>
        <w:t>12</w:t>
      </w:r>
      <w:r>
        <w:rPr>
          <w:spacing w:val="-67"/>
        </w:rPr>
        <w:t> </w:t>
      </w:r>
      <w:r>
        <w:rPr/>
        <w:t>月</w:t>
      </w:r>
      <w:r>
        <w:rPr>
          <w:spacing w:val="-68"/>
        </w:rPr>
        <w:t> </w:t>
      </w:r>
      <w:r>
        <w:rPr/>
        <w:t>31</w:t>
      </w:r>
      <w:r>
        <w:rPr>
          <w:spacing w:val="-67"/>
        </w:rPr>
        <w:t> </w:t>
      </w:r>
      <w:r>
        <w:rPr>
          <w:spacing w:val="-4"/>
        </w:rPr>
        <w:t>日，皖通科技合并财务报表</w:t>
      </w:r>
    </w:p>
    <w:p>
      <w:pPr>
        <w:pStyle w:val="Heading3"/>
        <w:spacing w:line="384" w:lineRule="auto" w:before="41"/>
        <w:ind w:left="674" w:right="0" w:hanging="562"/>
        <w:jc w:val="left"/>
      </w:pPr>
      <w:r>
        <w:rPr/>
        <w:t>中应收账款余额</w:t>
      </w:r>
      <w:r>
        <w:rPr>
          <w:spacing w:val="-72"/>
        </w:rPr>
        <w:t> </w:t>
      </w:r>
      <w:r>
        <w:rPr/>
        <w:t>30,940.73</w:t>
      </w:r>
      <w:r>
        <w:rPr>
          <w:spacing w:val="-73"/>
        </w:rPr>
        <w:t> </w:t>
      </w:r>
      <w:r>
        <w:rPr/>
        <w:t>万元，坏账准备金额</w:t>
      </w:r>
      <w:r>
        <w:rPr>
          <w:spacing w:val="-70"/>
        </w:rPr>
        <w:t> </w:t>
      </w:r>
      <w:r>
        <w:rPr/>
        <w:t>2,414.91</w:t>
      </w:r>
      <w:r>
        <w:rPr>
          <w:spacing w:val="-73"/>
        </w:rPr>
        <w:t> </w:t>
      </w:r>
      <w:r>
        <w:rPr/>
        <w:t>万元。</w:t>
      </w:r>
      <w:r>
        <w:rPr>
          <w:w w:val="100"/>
        </w:rPr>
        <w:t> </w:t>
      </w:r>
      <w:r>
        <w:rPr>
          <w:spacing w:val="2"/>
        </w:rPr>
        <w:t>期末应收账款账面价值较高，若不能按期收回或无法收回而发生坏账对财</w:t>
      </w:r>
    </w:p>
    <w:p>
      <w:pPr>
        <w:pStyle w:val="Heading3"/>
        <w:spacing w:line="381" w:lineRule="auto" w:before="10"/>
        <w:ind w:left="674" w:right="0" w:hanging="562"/>
        <w:jc w:val="left"/>
      </w:pPr>
      <w:r>
        <w:rPr>
          <w:spacing w:val="-2"/>
        </w:rPr>
        <w:t>务报表影响较为重大，为此我们确定应收账款的减值为关键审计事项。</w:t>
      </w:r>
      <w:r>
        <w:rPr>
          <w:spacing w:val="-97"/>
        </w:rPr>
        <w:t> </w:t>
      </w:r>
      <w:r>
        <w:rPr>
          <w:spacing w:val="-97"/>
        </w:rPr>
      </w:r>
      <w:r>
        <w:rPr/>
        <w:t>2.审计应对</w:t>
      </w:r>
    </w:p>
    <w:p>
      <w:pPr>
        <w:pStyle w:val="Heading3"/>
        <w:spacing w:line="240" w:lineRule="auto" w:before="54"/>
        <w:ind w:left="674" w:right="0" w:firstLine="0"/>
        <w:jc w:val="left"/>
      </w:pPr>
      <w:r>
        <w:rPr/>
        <w:t>我们对应收账款减值准备计提执行的审计程序包括：</w:t>
      </w:r>
    </w:p>
    <w:p>
      <w:pPr>
        <w:pStyle w:val="Heading3"/>
        <w:spacing w:line="357" w:lineRule="auto" w:before="216"/>
        <w:ind w:right="0"/>
        <w:jc w:val="left"/>
      </w:pPr>
      <w:r>
        <w:rPr>
          <w:spacing w:val="-3"/>
        </w:rPr>
        <w:t>（1）对公司信用政策及应收账款管理相关内部控制的设计和运行有效性进</w:t>
      </w:r>
      <w:r>
        <w:rPr>
          <w:w w:val="100"/>
        </w:rPr>
        <w:t> </w:t>
      </w:r>
      <w:r>
        <w:rPr/>
        <w:t>行了评估和测试；</w:t>
      </w:r>
    </w:p>
    <w:p>
      <w:pPr>
        <w:pStyle w:val="Heading3"/>
        <w:spacing w:line="357" w:lineRule="auto" w:before="79"/>
        <w:ind w:right="0"/>
        <w:jc w:val="left"/>
      </w:pPr>
      <w:r>
        <w:rPr>
          <w:spacing w:val="-3"/>
        </w:rPr>
        <w:t>（2）对重点客户单位进行抽样检查，检查其收入确认、应收账款确认与销</w:t>
      </w:r>
      <w:r>
        <w:rPr>
          <w:w w:val="100"/>
        </w:rPr>
        <w:t> </w:t>
      </w:r>
      <w:r>
        <w:rPr/>
        <w:t>售合同、验收、回款原始凭证的对应关系，对账龄记录进行复核；</w:t>
      </w:r>
    </w:p>
    <w:p>
      <w:pPr>
        <w:pStyle w:val="Heading3"/>
        <w:spacing w:line="357" w:lineRule="auto"/>
        <w:ind w:right="0"/>
        <w:jc w:val="left"/>
      </w:pPr>
      <w:r>
        <w:rPr>
          <w:spacing w:val="-3"/>
        </w:rPr>
        <w:t>（3）分析应收账款坏账准备会计估计的合理性，包括确定应收账款组合的</w:t>
      </w:r>
      <w:r>
        <w:rPr>
          <w:w w:val="100"/>
        </w:rPr>
        <w:t> </w:t>
      </w:r>
      <w:r>
        <w:rPr/>
        <w:t>依据、金额重大的判断、单独计提坏账准备的判断等；</w:t>
      </w:r>
    </w:p>
    <w:p>
      <w:pPr>
        <w:pStyle w:val="Heading3"/>
        <w:spacing w:line="240" w:lineRule="auto"/>
        <w:ind w:left="674" w:right="0" w:firstLine="0"/>
        <w:jc w:val="left"/>
      </w:pPr>
      <w:r>
        <w:rPr>
          <w:spacing w:val="-3"/>
        </w:rPr>
        <w:t>（4）对单项金额重大的应收账款单独进行减值测试，根据其未来现金流量</w:t>
      </w:r>
    </w:p>
    <w:p>
      <w:pPr>
        <w:spacing w:after="0" w:line="240" w:lineRule="auto"/>
        <w:jc w:val="left"/>
        <w:sectPr>
          <w:pgSz w:w="11910" w:h="16840"/>
          <w:pgMar w:header="746" w:footer="937" w:top="1040" w:bottom="1120" w:left="1020" w:right="1020"/>
        </w:sectPr>
      </w:pPr>
    </w:p>
    <w:p>
      <w:pPr>
        <w:spacing w:line="240" w:lineRule="auto" w:before="8"/>
        <w:rPr>
          <w:rFonts w:ascii="宋体" w:hAnsi="宋体" w:cs="宋体" w:eastAsia="宋体" w:hint="default"/>
          <w:sz w:val="24"/>
          <w:szCs w:val="24"/>
        </w:rPr>
      </w:pPr>
    </w:p>
    <w:p>
      <w:pPr>
        <w:pStyle w:val="Heading3"/>
        <w:spacing w:line="357" w:lineRule="auto" w:before="14"/>
        <w:ind w:right="0" w:firstLine="0"/>
        <w:jc w:val="left"/>
      </w:pPr>
      <w:r>
        <w:rPr>
          <w:spacing w:val="2"/>
        </w:rPr>
        <w:t>现值低于其账面价值的差额计提坏账准备。若其无减值迹象，则按信用风险特</w:t>
      </w:r>
      <w:r>
        <w:rPr>
          <w:spacing w:val="-99"/>
        </w:rPr>
        <w:t> </w:t>
      </w:r>
      <w:r>
        <w:rPr>
          <w:spacing w:val="-99"/>
        </w:rPr>
      </w:r>
      <w:r>
        <w:rPr/>
        <w:t>征组合方法对其计提坏账准备；</w:t>
      </w:r>
    </w:p>
    <w:p>
      <w:pPr>
        <w:pStyle w:val="Heading3"/>
        <w:spacing w:line="357" w:lineRule="auto"/>
        <w:ind w:right="132"/>
        <w:jc w:val="both"/>
      </w:pPr>
      <w:r>
        <w:rPr>
          <w:spacing w:val="-3"/>
        </w:rPr>
        <w:t>（5）分析资产负债表日坏账准备金额与应收账款余额之间的比率，比较前</w:t>
      </w:r>
      <w:r>
        <w:rPr>
          <w:w w:val="100"/>
        </w:rPr>
        <w:t> </w:t>
      </w:r>
      <w:r>
        <w:rPr/>
        <w:t>期坏账准备计提数和实际发生数，分析应收账款坏账准备计提是否充分；</w:t>
      </w:r>
    </w:p>
    <w:p>
      <w:pPr>
        <w:pStyle w:val="Heading3"/>
        <w:spacing w:line="357" w:lineRule="auto" w:before="79"/>
        <w:ind w:right="130"/>
        <w:jc w:val="both"/>
      </w:pPr>
      <w:r>
        <w:rPr>
          <w:spacing w:val="-3"/>
        </w:rPr>
        <w:t>（6）分析应收账款的账龄和客户信誉情况，并执行应收账款函证程序及检</w:t>
      </w:r>
      <w:r>
        <w:rPr>
          <w:w w:val="100"/>
        </w:rPr>
        <w:t> </w:t>
      </w:r>
      <w:r>
        <w:rPr/>
        <w:t>查期后回款情况，评价应收账款坏账准备计提的合理性；</w:t>
      </w:r>
    </w:p>
    <w:p>
      <w:pPr>
        <w:pStyle w:val="Heading3"/>
        <w:spacing w:line="357" w:lineRule="auto"/>
        <w:ind w:right="108"/>
        <w:jc w:val="both"/>
      </w:pPr>
      <w:r>
        <w:rPr>
          <w:spacing w:val="-2"/>
        </w:rPr>
        <w:t>（7）获取并复核坏账准备计提表，检查计提方法是否按照坏账政策执行，</w:t>
      </w:r>
      <w:r>
        <w:rPr>
          <w:w w:val="100"/>
        </w:rPr>
        <w:t> </w:t>
      </w:r>
      <w:r>
        <w:rPr/>
        <w:t>重新计算坏账计提金额是否准确。</w:t>
      </w:r>
    </w:p>
    <w:p>
      <w:pPr>
        <w:pStyle w:val="Heading3"/>
        <w:spacing w:line="357" w:lineRule="auto"/>
        <w:ind w:right="132"/>
        <w:jc w:val="both"/>
      </w:pPr>
      <w:r>
        <w:rPr>
          <w:spacing w:val="2"/>
        </w:rPr>
        <w:t>根据已执行的程序，我们认为皖通科技应收账款减值准备计提是充分地反</w:t>
      </w:r>
      <w:r>
        <w:rPr>
          <w:w w:val="100"/>
        </w:rPr>
        <w:t> </w:t>
      </w:r>
      <w:r>
        <w:rPr/>
        <w:t>映了实际情况，是适当的。</w:t>
      </w:r>
    </w:p>
    <w:p>
      <w:pPr>
        <w:pStyle w:val="Heading2"/>
        <w:spacing w:line="240" w:lineRule="auto" w:before="194"/>
        <w:ind w:right="0"/>
        <w:jc w:val="left"/>
        <w:rPr>
          <w:b w:val="0"/>
          <w:bCs w:val="0"/>
        </w:rPr>
      </w:pPr>
      <w:r>
        <w:rPr/>
        <w:t>四、</w:t>
      </w:r>
      <w:r>
        <w:rPr>
          <w:spacing w:val="-10"/>
        </w:rPr>
        <w:t> </w:t>
      </w:r>
      <w:r>
        <w:rPr/>
        <w:t>其他信息</w:t>
      </w:r>
      <w:r>
        <w:rPr>
          <w:b w:val="0"/>
          <w:bCs w:val="0"/>
        </w:rPr>
      </w:r>
    </w:p>
    <w:p>
      <w:pPr>
        <w:spacing w:line="240" w:lineRule="auto" w:before="7"/>
        <w:rPr>
          <w:rFonts w:ascii="宋体" w:hAnsi="宋体" w:cs="宋体" w:eastAsia="宋体" w:hint="default"/>
          <w:b/>
          <w:bCs/>
          <w:sz w:val="25"/>
          <w:szCs w:val="25"/>
        </w:rPr>
      </w:pPr>
    </w:p>
    <w:p>
      <w:pPr>
        <w:pStyle w:val="Heading3"/>
        <w:spacing w:line="357" w:lineRule="auto" w:before="0"/>
        <w:ind w:right="130"/>
        <w:jc w:val="both"/>
      </w:pPr>
      <w:r>
        <w:rPr>
          <w:spacing w:val="-3"/>
        </w:rPr>
        <w:t>皖通科技公司管理层对其他信息负责。其他信息包括公司 </w:t>
      </w:r>
      <w:r>
        <w:rPr/>
        <w:t>2017</w:t>
      </w:r>
      <w:r>
        <w:rPr>
          <w:spacing w:val="-110"/>
        </w:rPr>
        <w:t> </w:t>
      </w:r>
      <w:r>
        <w:rPr/>
        <w:t>年度报告中</w:t>
      </w:r>
      <w:r>
        <w:rPr>
          <w:w w:val="100"/>
        </w:rPr>
        <w:t> </w:t>
      </w:r>
      <w:r>
        <w:rPr/>
        <w:t>涵盖的信息，但不包括财务报表和我们的审计报告。</w:t>
      </w:r>
    </w:p>
    <w:p>
      <w:pPr>
        <w:pStyle w:val="Heading3"/>
        <w:spacing w:line="357" w:lineRule="auto"/>
        <w:ind w:right="130"/>
        <w:jc w:val="both"/>
      </w:pPr>
      <w:r>
        <w:rPr>
          <w:spacing w:val="2"/>
        </w:rPr>
        <w:t>我们对财务报表发表的审计意见不涵盖其他信息，我们也不对其他信息发</w:t>
      </w:r>
      <w:r>
        <w:rPr>
          <w:w w:val="100"/>
        </w:rPr>
        <w:t> </w:t>
      </w:r>
      <w:r>
        <w:rPr/>
        <w:t>表任何形式的鉴证结论。</w:t>
      </w:r>
    </w:p>
    <w:p>
      <w:pPr>
        <w:pStyle w:val="Heading3"/>
        <w:spacing w:line="355" w:lineRule="auto"/>
        <w:ind w:right="130"/>
        <w:jc w:val="both"/>
      </w:pPr>
      <w:r>
        <w:rPr>
          <w:spacing w:val="2"/>
        </w:rPr>
        <w:t>结合我们对财务报表的审计，我们的责任是阅读其他信息，在此过程中，</w:t>
      </w:r>
      <w:r>
        <w:rPr>
          <w:w w:val="100"/>
        </w:rPr>
        <w:t> </w:t>
      </w:r>
      <w:r>
        <w:rPr>
          <w:spacing w:val="2"/>
        </w:rPr>
        <w:t>考虑其他信息是否与财务报表或我们在审计过程中了解的情况存在重大不一致</w:t>
      </w:r>
      <w:r>
        <w:rPr>
          <w:spacing w:val="-99"/>
        </w:rPr>
        <w:t> </w:t>
      </w:r>
      <w:r>
        <w:rPr>
          <w:spacing w:val="-99"/>
        </w:rPr>
      </w:r>
      <w:r>
        <w:rPr/>
        <w:t>或者似乎存在重大错报。</w:t>
      </w:r>
    </w:p>
    <w:p>
      <w:pPr>
        <w:pStyle w:val="Heading3"/>
        <w:spacing w:line="357" w:lineRule="auto" w:before="84"/>
        <w:ind w:right="132"/>
        <w:jc w:val="both"/>
      </w:pPr>
      <w:r>
        <w:rPr>
          <w:spacing w:val="2"/>
        </w:rPr>
        <w:t>基于我们已执行的工作，如果我们确定其他信息存在重大错报，我们应当</w:t>
      </w:r>
      <w:r>
        <w:rPr>
          <w:w w:val="100"/>
        </w:rPr>
        <w:t> </w:t>
      </w:r>
      <w:r>
        <w:rPr/>
        <w:t>报告该事实。在这方面，我们无任何事项需要报告。</w:t>
      </w:r>
    </w:p>
    <w:p>
      <w:pPr>
        <w:pStyle w:val="Heading2"/>
        <w:spacing w:line="240" w:lineRule="auto" w:before="197"/>
        <w:ind w:right="0"/>
        <w:jc w:val="left"/>
        <w:rPr>
          <w:b w:val="0"/>
          <w:bCs w:val="0"/>
        </w:rPr>
      </w:pPr>
      <w:r>
        <w:rPr/>
        <w:t>五、</w:t>
      </w:r>
      <w:r>
        <w:rPr>
          <w:spacing w:val="-16"/>
        </w:rPr>
        <w:t> </w:t>
      </w:r>
      <w:r>
        <w:rPr/>
        <w:t>管理层和治理层对财务报表的责任</w:t>
      </w:r>
      <w:r>
        <w:rPr>
          <w:b w:val="0"/>
          <w:bCs w:val="0"/>
        </w:rPr>
      </w:r>
    </w:p>
    <w:p>
      <w:pPr>
        <w:spacing w:line="240" w:lineRule="auto" w:before="7"/>
        <w:rPr>
          <w:rFonts w:ascii="宋体" w:hAnsi="宋体" w:cs="宋体" w:eastAsia="宋体" w:hint="default"/>
          <w:b/>
          <w:bCs/>
          <w:sz w:val="25"/>
          <w:szCs w:val="25"/>
        </w:rPr>
      </w:pPr>
    </w:p>
    <w:p>
      <w:pPr>
        <w:pStyle w:val="Heading3"/>
        <w:spacing w:line="357" w:lineRule="auto" w:before="0"/>
        <w:ind w:right="130"/>
        <w:jc w:val="both"/>
      </w:pPr>
      <w:r>
        <w:rPr>
          <w:spacing w:val="2"/>
        </w:rPr>
        <w:t>皖通科技管理层负责按照企业会计准则的规定编制财务报表，使其实现公</w:t>
      </w:r>
      <w:r>
        <w:rPr>
          <w:w w:val="100"/>
        </w:rPr>
        <w:t> </w:t>
      </w:r>
      <w:r>
        <w:rPr>
          <w:spacing w:val="2"/>
        </w:rPr>
        <w:t>允反映，并设计、执行和维护必要的内部控制，以使财务报表不存在由于舞弊</w:t>
      </w:r>
      <w:r>
        <w:rPr>
          <w:spacing w:val="-99"/>
        </w:rPr>
        <w:t> </w:t>
      </w:r>
      <w:r>
        <w:rPr>
          <w:spacing w:val="-99"/>
        </w:rPr>
      </w:r>
      <w:r>
        <w:rPr/>
        <w:t>或错误导致的重大错报。</w:t>
      </w:r>
    </w:p>
    <w:p>
      <w:pPr>
        <w:spacing w:after="0" w:line="357" w:lineRule="auto"/>
        <w:jc w:val="both"/>
        <w:sectPr>
          <w:pgSz w:w="11910" w:h="16840"/>
          <w:pgMar w:header="746" w:footer="937" w:top="1040" w:bottom="1120" w:left="1020" w:right="1000"/>
        </w:sectPr>
      </w:pPr>
    </w:p>
    <w:p>
      <w:pPr>
        <w:spacing w:line="240" w:lineRule="auto" w:before="8"/>
        <w:rPr>
          <w:rFonts w:ascii="宋体" w:hAnsi="宋体" w:cs="宋体" w:eastAsia="宋体" w:hint="default"/>
          <w:sz w:val="24"/>
          <w:szCs w:val="24"/>
        </w:rPr>
      </w:pPr>
    </w:p>
    <w:p>
      <w:pPr>
        <w:pStyle w:val="Heading3"/>
        <w:spacing w:line="357" w:lineRule="auto" w:before="14"/>
        <w:ind w:right="110"/>
        <w:jc w:val="both"/>
      </w:pPr>
      <w:r>
        <w:rPr>
          <w:spacing w:val="2"/>
        </w:rPr>
        <w:t>在编制财务报表时，皖通科技管理层负责评估皖通科技的持续经营能力，</w:t>
      </w:r>
      <w:r>
        <w:rPr>
          <w:w w:val="100"/>
        </w:rPr>
        <w:t> </w:t>
      </w:r>
      <w:r>
        <w:rPr>
          <w:spacing w:val="-7"/>
          <w:w w:val="100"/>
        </w:rPr>
        <w:t>披露与持续经营相关的事项（如适用），并运用持续经营假设，除非管理层计划</w:t>
      </w:r>
      <w:r>
        <w:rPr>
          <w:spacing w:val="-112"/>
          <w:w w:val="100"/>
        </w:rPr>
        <w:t> </w:t>
      </w:r>
      <w:r>
        <w:rPr>
          <w:spacing w:val="-112"/>
          <w:w w:val="100"/>
        </w:rPr>
      </w:r>
      <w:r>
        <w:rPr/>
        <w:t>清算皖通科技、终止运营或别无其他现实的选择。</w:t>
      </w:r>
    </w:p>
    <w:p>
      <w:pPr>
        <w:pStyle w:val="Heading2"/>
        <w:spacing w:line="240" w:lineRule="auto" w:before="197"/>
        <w:ind w:right="0"/>
        <w:jc w:val="left"/>
        <w:rPr>
          <w:b w:val="0"/>
          <w:bCs w:val="0"/>
        </w:rPr>
      </w:pPr>
      <w:r>
        <w:rPr/>
        <w:t>六、</w:t>
      </w:r>
      <w:r>
        <w:rPr>
          <w:spacing w:val="-16"/>
        </w:rPr>
        <w:t> </w:t>
      </w:r>
      <w:r>
        <w:rPr/>
        <w:t>注册会计师对财务报表审计的责任</w:t>
      </w:r>
      <w:r>
        <w:rPr>
          <w:b w:val="0"/>
          <w:bCs w:val="0"/>
        </w:rPr>
      </w:r>
    </w:p>
    <w:p>
      <w:pPr>
        <w:spacing w:line="240" w:lineRule="auto" w:before="7"/>
        <w:rPr>
          <w:rFonts w:ascii="宋体" w:hAnsi="宋体" w:cs="宋体" w:eastAsia="宋体" w:hint="default"/>
          <w:b/>
          <w:bCs/>
          <w:sz w:val="25"/>
          <w:szCs w:val="25"/>
        </w:rPr>
      </w:pPr>
    </w:p>
    <w:p>
      <w:pPr>
        <w:pStyle w:val="Heading3"/>
        <w:spacing w:line="357" w:lineRule="auto" w:before="0"/>
        <w:ind w:right="110"/>
        <w:jc w:val="both"/>
      </w:pPr>
      <w:r>
        <w:rPr>
          <w:spacing w:val="2"/>
        </w:rPr>
        <w:t>我们的目标是对财务报表整体是否不存在由于舞弊或错误导致的重大错报</w:t>
      </w:r>
      <w:r>
        <w:rPr>
          <w:w w:val="100"/>
        </w:rPr>
        <w:t> </w:t>
      </w:r>
      <w:r>
        <w:rPr>
          <w:spacing w:val="2"/>
        </w:rPr>
        <w:t>获取合理保证，并出具包含审计意见的审计报告。合理保证是高水平的保证，</w:t>
      </w:r>
      <w:r>
        <w:rPr>
          <w:spacing w:val="-99"/>
        </w:rPr>
        <w:t> </w:t>
      </w:r>
      <w:r>
        <w:rPr>
          <w:spacing w:val="-99"/>
        </w:rPr>
      </w:r>
      <w:r>
        <w:rPr>
          <w:spacing w:val="2"/>
        </w:rPr>
        <w:t>但并不能保证按照审计准则执行的审计在某一重大错报存在时总能发现。错报</w:t>
      </w:r>
      <w:r>
        <w:rPr>
          <w:spacing w:val="-99"/>
        </w:rPr>
        <w:t> </w:t>
      </w:r>
      <w:r>
        <w:rPr>
          <w:spacing w:val="-99"/>
        </w:rPr>
      </w:r>
      <w:r>
        <w:rPr>
          <w:spacing w:val="2"/>
        </w:rPr>
        <w:t>可能由于舞弊或错误导致，如果合理预期错报单独或汇总起来可能影响财务报</w:t>
      </w:r>
      <w:r>
        <w:rPr>
          <w:spacing w:val="-99"/>
        </w:rPr>
        <w:t> </w:t>
      </w:r>
      <w:r>
        <w:rPr>
          <w:spacing w:val="-99"/>
        </w:rPr>
      </w:r>
      <w:r>
        <w:rPr/>
        <w:t>表使用者依据财务报表作出的经济决策，则通常认为错报是重大的。</w:t>
      </w:r>
    </w:p>
    <w:p>
      <w:pPr>
        <w:pStyle w:val="Heading3"/>
        <w:spacing w:line="355" w:lineRule="auto"/>
        <w:ind w:right="112"/>
        <w:jc w:val="both"/>
      </w:pPr>
      <w:r>
        <w:rPr>
          <w:spacing w:val="2"/>
        </w:rPr>
        <w:t>在按照审计准则执行审计工作的过程中，我们运用职业判断，并保持职业</w:t>
      </w:r>
      <w:r>
        <w:rPr>
          <w:w w:val="100"/>
        </w:rPr>
        <w:t> </w:t>
      </w:r>
      <w:r>
        <w:rPr/>
        <w:t>怀疑。同时，我们也执行以下工作：</w:t>
      </w:r>
    </w:p>
    <w:p>
      <w:pPr>
        <w:pStyle w:val="Heading3"/>
        <w:spacing w:line="357" w:lineRule="auto" w:before="85"/>
        <w:ind w:right="110"/>
        <w:jc w:val="both"/>
      </w:pPr>
      <w:r>
        <w:rPr>
          <w:spacing w:val="-3"/>
        </w:rPr>
        <w:t>1．识别和评估由于舞弊或错误导致的财务报表重大错报风险，设计和实施</w:t>
      </w:r>
      <w:r>
        <w:rPr>
          <w:w w:val="100"/>
        </w:rPr>
        <w:t> </w:t>
      </w:r>
      <w:r>
        <w:rPr>
          <w:spacing w:val="2"/>
        </w:rPr>
        <w:t>审计程序以应对这些风险，并获取充分、适当的审计证据，作为发表审计意见</w:t>
      </w:r>
      <w:r>
        <w:rPr>
          <w:spacing w:val="-99"/>
        </w:rPr>
        <w:t> </w:t>
      </w:r>
      <w:r>
        <w:rPr>
          <w:spacing w:val="-99"/>
        </w:rPr>
      </w:r>
      <w:r>
        <w:rPr>
          <w:spacing w:val="2"/>
        </w:rPr>
        <w:t>的基础。由于舞弊可能涉及串通、伪造、故意遗漏、虚假陈述或凌驾于内部控</w:t>
      </w:r>
      <w:r>
        <w:rPr>
          <w:spacing w:val="-99"/>
        </w:rPr>
        <w:t> </w:t>
      </w:r>
      <w:r>
        <w:rPr>
          <w:spacing w:val="-99"/>
        </w:rPr>
      </w:r>
      <w:r>
        <w:rPr>
          <w:spacing w:val="2"/>
        </w:rPr>
        <w:t>制之上，未能发现由于舞弊导致的重大错报的风险高于未能发现由于错误导致</w:t>
      </w:r>
      <w:r>
        <w:rPr>
          <w:spacing w:val="-99"/>
        </w:rPr>
        <w:t> </w:t>
      </w:r>
      <w:r>
        <w:rPr>
          <w:spacing w:val="-99"/>
        </w:rPr>
      </w:r>
      <w:r>
        <w:rPr/>
        <w:t>的重大错报的风险。</w:t>
      </w:r>
    </w:p>
    <w:p>
      <w:pPr>
        <w:pStyle w:val="Heading3"/>
        <w:spacing w:line="355" w:lineRule="auto"/>
        <w:ind w:right="110"/>
        <w:jc w:val="both"/>
      </w:pPr>
      <w:r>
        <w:rPr>
          <w:spacing w:val="-3"/>
        </w:rPr>
        <w:t>2．了解与审计相关的内部控制，以设计恰当的审计程序，但目的并非对内</w:t>
      </w:r>
      <w:r>
        <w:rPr>
          <w:w w:val="100"/>
        </w:rPr>
        <w:t> </w:t>
      </w:r>
      <w:r>
        <w:rPr/>
        <w:t>部控制的有效性发表意见。</w:t>
      </w:r>
    </w:p>
    <w:p>
      <w:pPr>
        <w:pStyle w:val="Heading3"/>
        <w:spacing w:line="357" w:lineRule="auto" w:before="84"/>
        <w:ind w:right="110"/>
        <w:jc w:val="both"/>
      </w:pPr>
      <w:r>
        <w:rPr>
          <w:spacing w:val="6"/>
        </w:rPr>
        <w:t>3．评价管理层选用会计政策的恰当性和作出会计估计及相关披露的合理</w:t>
      </w:r>
      <w:r>
        <w:rPr>
          <w:w w:val="100"/>
        </w:rPr>
        <w:t> </w:t>
      </w:r>
      <w:r>
        <w:rPr/>
        <w:t>性。</w:t>
      </w:r>
    </w:p>
    <w:p>
      <w:pPr>
        <w:pStyle w:val="Heading3"/>
        <w:spacing w:line="357" w:lineRule="auto"/>
        <w:ind w:right="112" w:firstLine="400"/>
        <w:jc w:val="both"/>
      </w:pPr>
      <w:r>
        <w:rPr>
          <w:spacing w:val="2"/>
        </w:rPr>
        <w:t>4．对管理层使用持续经营假设的恰当性得出结论。同时，根据获取的审计</w:t>
      </w:r>
      <w:r>
        <w:rPr>
          <w:w w:val="100"/>
        </w:rPr>
        <w:t> </w:t>
      </w:r>
      <w:r>
        <w:rPr>
          <w:spacing w:val="2"/>
        </w:rPr>
        <w:t>证据，就可能导致对皖通科技持续经营能力产生重大疑虑的事项或情况是否存</w:t>
      </w:r>
      <w:r>
        <w:rPr>
          <w:spacing w:val="-99"/>
        </w:rPr>
        <w:t> </w:t>
      </w:r>
      <w:r>
        <w:rPr>
          <w:spacing w:val="-99"/>
        </w:rPr>
      </w:r>
      <w:r>
        <w:rPr>
          <w:spacing w:val="2"/>
        </w:rPr>
        <w:t>在重大不确定性得出结论。如果我们得出结论认为存在重大不确定性，审计准</w:t>
      </w:r>
      <w:r>
        <w:rPr>
          <w:spacing w:val="-99"/>
        </w:rPr>
        <w:t> </w:t>
      </w:r>
      <w:r>
        <w:rPr>
          <w:spacing w:val="-99"/>
        </w:rPr>
      </w:r>
      <w:r>
        <w:rPr>
          <w:spacing w:val="2"/>
        </w:rPr>
        <w:t>则要求我们在审计报告中提请报告使用者注意财务报表中的相关披露；如果披</w:t>
      </w:r>
      <w:r>
        <w:rPr>
          <w:spacing w:val="-99"/>
        </w:rPr>
        <w:t> </w:t>
      </w:r>
      <w:r>
        <w:rPr>
          <w:spacing w:val="-99"/>
        </w:rPr>
      </w:r>
      <w:r>
        <w:rPr>
          <w:spacing w:val="2"/>
        </w:rPr>
        <w:t>露不充分，我们应当发表非无保留意见。我们的结论基于截至审计报告日可获</w:t>
      </w:r>
    </w:p>
    <w:p>
      <w:pPr>
        <w:spacing w:after="0" w:line="357" w:lineRule="auto"/>
        <w:jc w:val="both"/>
        <w:sectPr>
          <w:footerReference w:type="default" r:id="rId22"/>
          <w:pgSz w:w="11910" w:h="16840"/>
          <w:pgMar w:footer="937" w:header="746" w:top="1040" w:bottom="1120" w:left="1020" w:right="1020"/>
          <w:pgNumType w:start="69"/>
        </w:sectPr>
      </w:pPr>
    </w:p>
    <w:p>
      <w:pPr>
        <w:spacing w:line="240" w:lineRule="auto" w:before="8"/>
        <w:rPr>
          <w:rFonts w:ascii="宋体" w:hAnsi="宋体" w:cs="宋体" w:eastAsia="宋体" w:hint="default"/>
          <w:sz w:val="24"/>
          <w:szCs w:val="24"/>
        </w:rPr>
      </w:pPr>
    </w:p>
    <w:p>
      <w:pPr>
        <w:pStyle w:val="Heading3"/>
        <w:spacing w:line="384" w:lineRule="auto" w:before="14"/>
        <w:ind w:left="674" w:right="105" w:hanging="562"/>
        <w:jc w:val="left"/>
      </w:pPr>
      <w:r>
        <w:rPr/>
        <w:t>得的信息。然而，未来的事项或情况可能导致皖通科技不能持续经营。</w:t>
      </w:r>
      <w:r>
        <w:rPr>
          <w:w w:val="100"/>
        </w:rPr>
        <w:t> </w:t>
      </w:r>
      <w:r>
        <w:rPr>
          <w:spacing w:val="-2"/>
          <w:w w:val="100"/>
        </w:rPr>
        <w:t>5．评价财务报表的总体列报、结构和内容（包括披露），并评价财务报表</w:t>
      </w:r>
    </w:p>
    <w:p>
      <w:pPr>
        <w:pStyle w:val="Heading3"/>
        <w:spacing w:line="384" w:lineRule="auto" w:before="10"/>
        <w:ind w:left="513" w:right="0" w:hanging="401"/>
        <w:jc w:val="left"/>
      </w:pPr>
      <w:r>
        <w:rPr/>
        <w:t>是否公允反映相关交易和事项。</w:t>
      </w:r>
      <w:r>
        <w:rPr>
          <w:w w:val="100"/>
        </w:rPr>
        <w:t> </w:t>
      </w:r>
      <w:r>
        <w:rPr>
          <w:spacing w:val="2"/>
        </w:rPr>
        <w:t>6．就皖通科技中实体或业务活动的财务信息获取充分、适当的审计证据，</w:t>
      </w:r>
    </w:p>
    <w:p>
      <w:pPr>
        <w:pStyle w:val="Heading3"/>
        <w:spacing w:line="357" w:lineRule="auto" w:before="8"/>
        <w:ind w:right="0" w:firstLine="0"/>
        <w:jc w:val="left"/>
      </w:pPr>
      <w:r>
        <w:rPr>
          <w:spacing w:val="2"/>
        </w:rPr>
        <w:t>以对财务报表发表意见。我们负责指导、监督和执行集团审计。我们对审计意</w:t>
      </w:r>
      <w:r>
        <w:rPr>
          <w:spacing w:val="-99"/>
        </w:rPr>
        <w:t> </w:t>
      </w:r>
      <w:r>
        <w:rPr>
          <w:spacing w:val="-99"/>
        </w:rPr>
      </w:r>
      <w:r>
        <w:rPr/>
        <w:t>见承担全部责任。</w:t>
      </w:r>
    </w:p>
    <w:p>
      <w:pPr>
        <w:pStyle w:val="Heading3"/>
        <w:spacing w:line="357" w:lineRule="auto"/>
        <w:ind w:right="110"/>
        <w:jc w:val="both"/>
      </w:pPr>
      <w:r>
        <w:rPr>
          <w:spacing w:val="2"/>
        </w:rPr>
        <w:t>我们与治理层就计划的审计范围、时间安排和重大审计发现等事项进行沟</w:t>
      </w:r>
      <w:r>
        <w:rPr>
          <w:w w:val="100"/>
        </w:rPr>
        <w:t> </w:t>
      </w:r>
      <w:r>
        <w:rPr/>
        <w:t>通，包括沟通我们在审计中识别出的值得关注的内部控制缺陷。</w:t>
      </w:r>
    </w:p>
    <w:p>
      <w:pPr>
        <w:pStyle w:val="Heading3"/>
        <w:spacing w:line="355" w:lineRule="auto"/>
        <w:ind w:right="110"/>
        <w:jc w:val="both"/>
      </w:pPr>
      <w:r>
        <w:rPr>
          <w:spacing w:val="2"/>
        </w:rPr>
        <w:t>我们还就已遵守与独立性相关的职业道德要求向治理层提供声明，并与治</w:t>
      </w:r>
      <w:r>
        <w:rPr>
          <w:w w:val="100"/>
        </w:rPr>
        <w:t> </w:t>
      </w:r>
      <w:r>
        <w:rPr>
          <w:spacing w:val="2"/>
        </w:rPr>
        <w:t>理层沟通可能被合理认为影响我们独立性的所有关系和其他事项，以及相关的</w:t>
      </w:r>
      <w:r>
        <w:rPr>
          <w:spacing w:val="-99"/>
        </w:rPr>
        <w:t> </w:t>
      </w:r>
      <w:r>
        <w:rPr>
          <w:spacing w:val="-99"/>
        </w:rPr>
      </w:r>
      <w:r>
        <w:rPr>
          <w:spacing w:val="-16"/>
          <w:w w:val="100"/>
        </w:rPr>
        <w:t>防范措施（如适用）。</w:t>
      </w:r>
    </w:p>
    <w:p>
      <w:pPr>
        <w:pStyle w:val="Heading3"/>
        <w:spacing w:line="357" w:lineRule="auto" w:before="85"/>
        <w:ind w:right="110"/>
        <w:jc w:val="both"/>
      </w:pPr>
      <w:r>
        <w:rPr>
          <w:spacing w:val="2"/>
        </w:rPr>
        <w:t>从与治理层沟通过的事项中，我们确定哪些事项对本期财务报表审计最为</w:t>
      </w:r>
      <w:r>
        <w:rPr>
          <w:w w:val="100"/>
        </w:rPr>
        <w:t> </w:t>
      </w:r>
      <w:r>
        <w:rPr>
          <w:spacing w:val="2"/>
        </w:rPr>
        <w:t>重要，因而构成关键审计事项。我们在审计报告中描述这些事项，除非法律法</w:t>
      </w:r>
      <w:r>
        <w:rPr>
          <w:spacing w:val="-99"/>
        </w:rPr>
        <w:t> </w:t>
      </w:r>
      <w:r>
        <w:rPr>
          <w:spacing w:val="-99"/>
        </w:rPr>
      </w:r>
      <w:r>
        <w:rPr>
          <w:spacing w:val="2"/>
        </w:rPr>
        <w:t>规禁止公开披露这些事项，或在极少数情形下，如果合理预期在审计报告中沟</w:t>
      </w:r>
      <w:r>
        <w:rPr>
          <w:spacing w:val="-99"/>
        </w:rPr>
        <w:t> </w:t>
      </w:r>
      <w:r>
        <w:rPr>
          <w:spacing w:val="-99"/>
        </w:rPr>
      </w:r>
      <w:r>
        <w:rPr>
          <w:spacing w:val="2"/>
        </w:rPr>
        <w:t>通某事项造成的负面后果超过在公众利益方面产生的益处，我们确定不应在审</w:t>
      </w:r>
      <w:r>
        <w:rPr>
          <w:spacing w:val="-99"/>
        </w:rPr>
        <w:t> </w:t>
      </w:r>
      <w:r>
        <w:rPr>
          <w:spacing w:val="-99"/>
        </w:rPr>
      </w:r>
      <w:r>
        <w:rPr/>
        <w:t>计报告中沟通该事项。</w:t>
      </w:r>
    </w:p>
    <w:p>
      <w:pPr>
        <w:spacing w:line="240" w:lineRule="auto" w:before="0"/>
        <w:rPr>
          <w:rFonts w:ascii="宋体" w:hAnsi="宋体" w:cs="宋体" w:eastAsia="宋体" w:hint="default"/>
          <w:sz w:val="28"/>
          <w:szCs w:val="28"/>
        </w:rPr>
      </w:pPr>
    </w:p>
    <w:p>
      <w:pPr>
        <w:spacing w:line="240" w:lineRule="auto" w:before="7"/>
        <w:rPr>
          <w:rFonts w:ascii="宋体" w:hAnsi="宋体" w:cs="宋体" w:eastAsia="宋体" w:hint="default"/>
          <w:sz w:val="37"/>
          <w:szCs w:val="37"/>
        </w:rPr>
      </w:pPr>
    </w:p>
    <w:p>
      <w:pPr>
        <w:pStyle w:val="Heading3"/>
        <w:tabs>
          <w:tab w:pos="5702" w:val="left" w:leader="none"/>
        </w:tabs>
        <w:spacing w:line="240" w:lineRule="auto" w:before="0"/>
        <w:ind w:left="710" w:right="0" w:firstLine="0"/>
        <w:jc w:val="left"/>
      </w:pPr>
      <w:r>
        <w:rPr>
          <w:spacing w:val="-2"/>
        </w:rPr>
        <w:t>大华会计师事务所(特殊普通合伙)</w:t>
        <w:tab/>
        <w:t>中国注册会计师：</w:t>
      </w:r>
    </w:p>
    <w:p>
      <w:pPr>
        <w:spacing w:line="240" w:lineRule="auto" w:before="2"/>
        <w:rPr>
          <w:rFonts w:ascii="宋体" w:hAnsi="宋体" w:cs="宋体" w:eastAsia="宋体" w:hint="default"/>
          <w:sz w:val="14"/>
          <w:szCs w:val="14"/>
        </w:rPr>
      </w:pPr>
    </w:p>
    <w:p>
      <w:pPr>
        <w:pStyle w:val="Heading3"/>
        <w:spacing w:line="240" w:lineRule="auto" w:before="14"/>
        <w:ind w:left="6314" w:right="0" w:firstLine="0"/>
        <w:jc w:val="left"/>
      </w:pPr>
      <w:r>
        <w:rPr/>
        <w:t>（项目合伙人）</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3"/>
          <w:pgSz w:w="11910" w:h="16840"/>
          <w:pgMar w:footer="937" w:header="746" w:top="1040" w:bottom="1120" w:left="1020" w:right="1020"/>
          <w:pgNumType w:start="70"/>
        </w:sectPr>
      </w:pPr>
    </w:p>
    <w:p>
      <w:pPr>
        <w:pStyle w:val="Heading3"/>
        <w:spacing w:line="240" w:lineRule="auto" w:before="154"/>
        <w:ind w:left="2109" w:right="-12" w:firstLine="0"/>
        <w:jc w:val="left"/>
      </w:pPr>
      <w:r>
        <w:rPr>
          <w:spacing w:val="-1"/>
        </w:rPr>
        <w:t>中国</w:t>
      </w:r>
      <w:r>
        <w:rPr>
          <w:rFonts w:ascii="宋体" w:hAnsi="宋体" w:cs="宋体" w:eastAsia="宋体" w:hint="default"/>
          <w:b/>
          <w:bCs/>
          <w:spacing w:val="-1"/>
        </w:rPr>
        <w:t>·</w:t>
      </w:r>
      <w:r>
        <w:rPr>
          <w:spacing w:val="-1"/>
        </w:rPr>
        <w:t>北京</w:t>
      </w:r>
    </w:p>
    <w:p>
      <w:pPr>
        <w:spacing w:line="240" w:lineRule="auto" w:before="10"/>
        <w:rPr>
          <w:rFonts w:ascii="宋体" w:hAnsi="宋体" w:cs="宋体" w:eastAsia="宋体" w:hint="default"/>
          <w:sz w:val="38"/>
          <w:szCs w:val="38"/>
        </w:rPr>
      </w:pPr>
      <w:r>
        <w:rPr/>
        <w:br w:type="column"/>
      </w:r>
      <w:r>
        <w:rPr>
          <w:rFonts w:ascii="宋体"/>
          <w:sz w:val="38"/>
        </w:rPr>
      </w:r>
    </w:p>
    <w:p>
      <w:pPr>
        <w:pStyle w:val="Heading3"/>
        <w:spacing w:line="240" w:lineRule="auto" w:before="0"/>
        <w:ind w:left="2109" w:right="0" w:firstLine="0"/>
        <w:jc w:val="left"/>
      </w:pPr>
      <w:r>
        <w:rPr/>
        <w:t>中国注册会计师：</w:t>
      </w:r>
    </w:p>
    <w:p>
      <w:pPr>
        <w:spacing w:line="240" w:lineRule="auto" w:before="0"/>
        <w:rPr>
          <w:rFonts w:ascii="宋体" w:hAnsi="宋体" w:cs="宋体" w:eastAsia="宋体" w:hint="default"/>
          <w:sz w:val="28"/>
          <w:szCs w:val="28"/>
        </w:rPr>
      </w:pPr>
    </w:p>
    <w:p>
      <w:pPr>
        <w:spacing w:line="240" w:lineRule="auto" w:before="7"/>
        <w:rPr>
          <w:rFonts w:ascii="宋体" w:hAnsi="宋体" w:cs="宋体" w:eastAsia="宋体" w:hint="default"/>
          <w:sz w:val="30"/>
          <w:szCs w:val="30"/>
        </w:rPr>
      </w:pPr>
    </w:p>
    <w:p>
      <w:pPr>
        <w:pStyle w:val="Heading3"/>
        <w:spacing w:line="240" w:lineRule="auto" w:before="0"/>
        <w:ind w:left="2668" w:right="0" w:firstLine="0"/>
        <w:jc w:val="left"/>
      </w:pPr>
      <w:r>
        <w:rPr/>
        <w:t>二〇一八年四月十六日</w:t>
      </w:r>
    </w:p>
    <w:p>
      <w:pPr>
        <w:spacing w:after="0" w:line="240" w:lineRule="auto"/>
        <w:jc w:val="left"/>
        <w:sectPr>
          <w:type w:val="continuous"/>
          <w:pgSz w:w="11910" w:h="16840"/>
          <w:pgMar w:top="1040" w:bottom="1120" w:left="1020" w:right="1020"/>
          <w:cols w:num="2" w:equalWidth="0">
            <w:col w:w="3514" w:space="79"/>
            <w:col w:w="6277"/>
          </w:cols>
        </w:sectPr>
      </w:pPr>
    </w:p>
    <w:p>
      <w:pPr>
        <w:spacing w:line="240" w:lineRule="auto" w:before="5"/>
        <w:rPr>
          <w:rFonts w:ascii="宋体" w:hAnsi="宋体" w:cs="宋体" w:eastAsia="宋体" w:hint="default"/>
          <w:sz w:val="24"/>
          <w:szCs w:val="24"/>
        </w:rPr>
      </w:pPr>
    </w:p>
    <w:p>
      <w:pPr>
        <w:pStyle w:val="Heading4"/>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1、合并资产负债表</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6" w:footer="937" w:top="1040" w:bottom="1120" w:left="1020" w:right="102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编制单位：安徽皖通科技股份有限公司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12" w:right="-14"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40" w:bottom="1120" w:left="1020" w:right="1020"/>
          <w:cols w:num="3" w:equalWidth="0">
            <w:col w:w="3173" w:space="904"/>
            <w:col w:w="1599" w:space="3242"/>
            <w:col w:w="9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666,283,227.35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745,790,180.58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17,490,283.51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14,764,933.49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285,258,121.28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220,935,753.78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35,380,387.23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49,650,684.74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94,503,508.26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71,342,950.24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344,787,126.94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297,215,927.99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5,805,200.46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2,839,372.29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1,449,507,855.03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1,402,539,803.11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5,000,000.00</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5,777,990.71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7,489,796.95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2,203,345.93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147,176,934.19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125,699,917.29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106,507,082.25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55,614,773.98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148,601,043.74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155,194,832.31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33,881,307.23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21,238,043.22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120,635,836.80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88,317,730.47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460,714.31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550,209.19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10,427,143.40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8,021,066.86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4,018,375.00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10,523,250.00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584,689,773.56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477,649,620.27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2,034,197,628.59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1,880,189,423.38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52"/>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13,034,027.10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13,511,225.24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415,950,303.02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372,299,916.59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85,061,648.46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111,808,400.79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2"/>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23,372,207.65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16,103,360.01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7,700,033.51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7,570,802.82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15,104.17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15,104.17</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40,201,794.31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11,081,479.90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595,335,118.22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542,390,289.52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2,681,728.66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3,468,250.43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263,852.59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291,989.15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2,945,581.25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3,760,239.58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598,280,699.47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546,150,529.10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350,327,055.00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350,327,055.00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544,622,720.15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543,767,469.75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44,348,136.05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38,585,421.05</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418,709,463.40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359,270,926.02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1,358,007,374.60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1,291,950,871.82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77,909,554.52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42,088,022.46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1,435,916,929.12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1,334,038,894.28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2,034,197,628.59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1,880,189,423.38</w:t>
            </w:r>
          </w:p>
        </w:tc>
      </w:tr>
    </w:tbl>
    <w:p>
      <w:pPr>
        <w:spacing w:line="240" w:lineRule="auto" w:before="1"/>
        <w:rPr>
          <w:rFonts w:ascii="Times New Roman" w:hAnsi="Times New Roman" w:cs="Times New Roman" w:eastAsia="Times New Roman" w:hint="default"/>
          <w:sz w:val="23"/>
          <w:szCs w:val="23"/>
        </w:rPr>
      </w:pPr>
    </w:p>
    <w:p>
      <w:pPr>
        <w:tabs>
          <w:tab w:pos="3419" w:val="left" w:leader="none"/>
          <w:tab w:pos="7559" w:val="left" w:leader="none"/>
        </w:tabs>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法定代表人：王中胜</w:t>
        <w:tab/>
        <w:t>主管会计工作负责人：卢玉平</w:t>
        <w:tab/>
        <w:t>会计机构负责人：诸黎明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2、母公司资产负债表</w:t>
      </w:r>
      <w:r>
        <w:rPr>
          <w:b w:val="0"/>
          <w:bCs w:val="0"/>
        </w:rPr>
      </w:r>
    </w:p>
    <w:p>
      <w:pPr>
        <w:spacing w:line="240" w:lineRule="auto" w:before="9"/>
        <w:rPr>
          <w:rFonts w:ascii="宋体" w:hAnsi="宋体" w:cs="宋体" w:eastAsia="宋体" w:hint="default"/>
          <w:b/>
          <w:bCs/>
          <w:sz w:val="27"/>
          <w:szCs w:val="27"/>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447,595,427.82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501,459,365.11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200,821.00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2,684,844.64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172,502,393.31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132,949,774.70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29,852,892.42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21,865,345.19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81,774,760.14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58,525,430.50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227,967,173.53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194,887,744.09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959,893,468.22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912,372,504.23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5,777,990.71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7,489,796.95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443,204,131.41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432,904,131.41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70,319,581.95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70,812,273.69</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1,624,229.32</w:t>
            </w:r>
          </w:p>
        </w:tc>
      </w:tr>
    </w:tbl>
    <w:p>
      <w:pPr>
        <w:spacing w:after="0" w:line="240" w:lineRule="auto"/>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79,190,590.79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89,820,213.56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3,254,393.71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460,714.31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550,209.19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7,805,955.98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6,699,281.12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4,018,375.00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615,777,340.15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618,154,528.95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1,575,670,808.37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1,530,527,033.18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3,893,895.00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990,102.75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299,008,924.91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254,418,821.85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52,237,775.20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96,102,737.16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6,915,071.04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4,431,218.69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2,712,046.83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3,113,999.78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5,708,891.40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5,600,224.43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370,476,604.38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364,657,104.66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2,681,728.66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3,468,250.43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2,681,728.66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3,468,250.43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373,158,333.04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368,125,355.09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350,327,055.00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350,327,055.00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543,767,469.75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543,767,469.75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43,914,316.34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38,151,601.34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264,503,634.24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230,155,552.00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1,202,512,475.33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1,162,401,678.09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1,575,670,808.37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1,530,527,033.18</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4"/>
        <w:ind w:right="0"/>
        <w:jc w:val="left"/>
        <w:rPr>
          <w:b w:val="0"/>
          <w:bCs w:val="0"/>
        </w:rPr>
      </w:pPr>
      <w:r>
        <w:rPr/>
        <w:t>3、合并利润表</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995,817,238.17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992,136,841.31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995,817,238.17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992,136,841.31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915,366,820.07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922,208,737.03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750,045,759.65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786,780,518.49</w:t>
            </w: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3,572,027.95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10,672,925.89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39,165,418.77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35,407,499.42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114,717,651.55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81,814,805.45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-2,410,910.79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-3,549,589.62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10,276,872.94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11,082,577.40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3,229,601.15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6,878,091.61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-307,141.17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汇兑收益（损失以“-”号填</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4" w:firstLine="720"/>
              <w:jc w:val="left"/>
              <w:rPr>
                <w:rFonts w:ascii="宋体" w:hAnsi="宋体" w:cs="宋体" w:eastAsia="宋体" w:hint="default"/>
                <w:sz w:val="18"/>
                <w:szCs w:val="18"/>
              </w:rPr>
            </w:pPr>
            <w:r>
              <w:rPr>
                <w:rFonts w:ascii="宋体" w:hAnsi="宋体" w:cs="宋体" w:eastAsia="宋体" w:hint="default"/>
                <w:sz w:val="18"/>
                <w:szCs w:val="18"/>
              </w:rPr>
              <w:t>资产处置收益（损失以“-”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24,213.23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-288,879.29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26,306,853.76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110,011,086.24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76,517,316.60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10,835.99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22,308,623.29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52,103.37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687,295.41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109,969,818.86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98,138,644.48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17,951,873.19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14,959,990.36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13"/>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92,017,945.67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83,178,654.12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8"/>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92,017,945.67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83,178,654.12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48"/>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82,717,605.13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76,872,684.10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9,300,340.54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6,305,970.02</w:t>
            </w: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5" w:firstLine="900"/>
              <w:jc w:val="left"/>
              <w:rPr>
                <w:rFonts w:ascii="宋体" w:hAnsi="宋体" w:cs="宋体" w:eastAsia="宋体" w:hint="default"/>
                <w:sz w:val="18"/>
                <w:szCs w:val="18"/>
              </w:rPr>
            </w:pPr>
            <w:r>
              <w:rPr>
                <w:rFonts w:ascii="宋体" w:hAnsi="宋体" w:cs="宋体" w:eastAsia="宋体" w:hint="default"/>
                <w:sz w:val="18"/>
                <w:szCs w:val="18"/>
              </w:rPr>
              <w:t>1.重新计量设定受益计划 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900"/>
              <w:jc w:val="both"/>
              <w:rPr>
                <w:rFonts w:ascii="宋体" w:hAnsi="宋体" w:cs="宋体" w:eastAsia="宋体" w:hint="default"/>
                <w:sz w:val="18"/>
                <w:szCs w:val="18"/>
              </w:rPr>
            </w:pPr>
            <w:r>
              <w:rPr>
                <w:rFonts w:ascii="宋体" w:hAnsi="宋体" w:cs="宋体" w:eastAsia="宋体" w:hint="default"/>
                <w:sz w:val="18"/>
                <w:szCs w:val="18"/>
              </w:rPr>
              <w:t>2.权益法下在被投资单位 不能重分类进损益的其他综合收益中 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900"/>
              <w:jc w:val="both"/>
              <w:rPr>
                <w:rFonts w:ascii="宋体" w:hAnsi="宋体" w:cs="宋体" w:eastAsia="宋体" w:hint="default"/>
                <w:sz w:val="18"/>
                <w:szCs w:val="18"/>
              </w:rPr>
            </w:pPr>
            <w:r>
              <w:rPr>
                <w:rFonts w:ascii="宋体" w:hAnsi="宋体" w:cs="宋体" w:eastAsia="宋体" w:hint="default"/>
                <w:sz w:val="18"/>
                <w:szCs w:val="18"/>
              </w:rPr>
              <w:t>1.权益法下在被投资单位 以后将重分类进损益的其他综合收益 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5" w:firstLine="900"/>
              <w:jc w:val="left"/>
              <w:rPr>
                <w:rFonts w:ascii="宋体" w:hAnsi="宋体" w:cs="宋体" w:eastAsia="宋体" w:hint="default"/>
                <w:sz w:val="18"/>
                <w:szCs w:val="18"/>
              </w:rPr>
            </w:pPr>
            <w:r>
              <w:rPr>
                <w:rFonts w:ascii="宋体" w:hAnsi="宋体" w:cs="宋体" w:eastAsia="宋体" w:hint="default"/>
                <w:sz w:val="18"/>
                <w:szCs w:val="18"/>
              </w:rPr>
              <w:t>2.可供出售金融资产公允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900"/>
              <w:jc w:val="left"/>
              <w:rPr>
                <w:rFonts w:ascii="宋体" w:hAnsi="宋体" w:cs="宋体" w:eastAsia="宋体" w:hint="default"/>
                <w:sz w:val="18"/>
                <w:szCs w:val="18"/>
              </w:rPr>
            </w:pPr>
            <w:r>
              <w:rPr>
                <w:rFonts w:ascii="宋体" w:hAnsi="宋体" w:cs="宋体" w:eastAsia="宋体" w:hint="default"/>
                <w:sz w:val="18"/>
                <w:szCs w:val="18"/>
              </w:rPr>
              <w:t>3.持有至到期投资重分类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4.现金流量套期损益的有</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pacing w:val="-1"/>
                <w:sz w:val="18"/>
                <w:szCs w:val="18"/>
              </w:rPr>
              <w:t>5.外币财务报表折算差额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92,017,945.67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83,178,654.12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82,717,605.13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76,872,684.10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9,300,340.54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6,305,970.02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0.2361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0.2194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0.2361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0.2194</w:t>
            </w:r>
          </w:p>
        </w:tc>
      </w:tr>
    </w:tbl>
    <w:p>
      <w:pPr>
        <w:tabs>
          <w:tab w:pos="3532" w:val="left" w:leader="none"/>
          <w:tab w:pos="7672" w:val="left" w:leader="none"/>
        </w:tabs>
        <w:spacing w:line="612" w:lineRule="auto" w:before="50"/>
        <w:ind w:left="112" w:right="211"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本期发生同一控制下企业合并的，被合并方在合并前实现的净利润为：元，上期被合并方实现的净利润为：元。 法定代表人：王中胜</w:t>
        <w:tab/>
        <w:t>主管会计工作负责人：卢玉平</w:t>
        <w:tab/>
        <w:t>会计机构负责人：诸黎明 </w:t>
      </w:r>
      <w:r>
        <w:rPr>
          <w:rFonts w:ascii="宋体" w:hAnsi="宋体" w:cs="宋体" w:eastAsia="宋体" w:hint="default"/>
          <w:b/>
          <w:bCs/>
          <w:sz w:val="21"/>
          <w:szCs w:val="21"/>
        </w:rPr>
        <w:t>4、母公司利润表</w:t>
      </w:r>
      <w:r>
        <w:rPr>
          <w:rFonts w:ascii="宋体" w:hAnsi="宋体" w:cs="宋体" w:eastAsia="宋体" w:hint="default"/>
          <w:sz w:val="21"/>
          <w:szCs w:val="21"/>
        </w:rPr>
      </w:r>
    </w:p>
    <w:p>
      <w:pPr>
        <w:spacing w:before="3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199.199997pt;margin-top:376.000031pt;width:170.75pt;height:19.7pt;mso-position-horizontal-relative:page;mso-position-vertical-relative:page;z-index:-87606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99.199997pt;margin-top:492.100037pt;width:170.75pt;height:19.7pt;mso-position-horizontal-relative:page;mso-position-vertical-relative:page;z-index:-876040"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05.199997pt;margin-top:376.000031pt;width:164.75pt;height:19.850pt;mso-position-horizontal-relative:page;mso-position-vertical-relative:page;z-index:-876016" coordorigin="4104,7520" coordsize="3295,397">
            <v:shape style="position:absolute;left:4104;top:7520;width:3295;height:397" coordorigin="4104,7520" coordsize="3295,397" path="m4104,7520l7399,7520,7399,7917,4104,7917,4104,7520xe" filled="true" fillcolor="#ffffff" stroked="false">
              <v:path arrowok="t"/>
              <v:fill type="solid"/>
            </v:shape>
            <w10:wrap type="none"/>
          </v:group>
        </w:pict>
      </w:r>
      <w:r>
        <w:rPr/>
        <w:pict>
          <v:group style="position:absolute;margin-left:205.199997pt;margin-top:492.100037pt;width:164.75pt;height:19.850pt;mso-position-horizontal-relative:page;mso-position-vertical-relative:page;z-index:-875992" coordorigin="4104,9842" coordsize="3295,397">
            <v:shape style="position:absolute;left:4104;top:9842;width:3295;height:397" coordorigin="4104,9842" coordsize="3295,397" path="m4104,9842l7399,9842,7399,10239,4104,10239,4104,9842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560,899,955.71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603,305,608.08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432,293,875.65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496,995,911.51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1,457,845.07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7,073,323.15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13,849,492.13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12,914,183.65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57,892,161.30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34,244,611.80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-2,484,491.37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-2,632,262.33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8,189,914.11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10,361,989.48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8,670,882.60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8,665,743.48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37" w:firstLine="720"/>
              <w:jc w:val="left"/>
              <w:rPr>
                <w:rFonts w:ascii="宋体" w:hAnsi="宋体" w:cs="宋体" w:eastAsia="宋体" w:hint="default"/>
                <w:sz w:val="18"/>
                <w:szCs w:val="18"/>
              </w:rPr>
            </w:pPr>
            <w:r>
              <w:rPr>
                <w:rFonts w:ascii="宋体" w:hAnsi="宋体" w:cs="宋体" w:eastAsia="宋体" w:hint="default"/>
                <w:sz w:val="18"/>
                <w:szCs w:val="18"/>
              </w:rPr>
              <w:t>资产处置收益（损失以“-”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709"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164.75pt;height:35.450pt;mso-position-horizontal-relative:char;mso-position-vertical-relative:line" coordorigin="0,0" coordsize="3295,709">
                  <v:group style="position:absolute;left:0;top:0;width:3295;height:709" coordorigin="0,0" coordsize="3295,709">
                    <v:shape style="position:absolute;left:0;top:0;width:3295;height:709" coordorigin="0,0" coordsize="3295,709" path="m0,0l3295,0,3295,709,0,709,0,0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5,134,527.24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63,506,568.66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53,013,594.30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9,769.13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3,509,099.34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27,353.22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86,068.80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63,488,984.57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56,436,624.84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5,861,834.58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7,464,739.50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57,627,149.99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48,971,885.34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57,627,149.99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48,971,885.34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900"/>
              <w:jc w:val="left"/>
              <w:rPr>
                <w:rFonts w:ascii="宋体" w:hAnsi="宋体" w:cs="宋体" w:eastAsia="宋体" w:hint="default"/>
                <w:sz w:val="18"/>
                <w:szCs w:val="18"/>
              </w:rPr>
            </w:pPr>
            <w:r>
              <w:rPr>
                <w:rFonts w:ascii="宋体" w:hAnsi="宋体" w:cs="宋体" w:eastAsia="宋体" w:hint="default"/>
                <w:sz w:val="18"/>
                <w:szCs w:val="18"/>
              </w:rPr>
              <w:t>1.重新计量设定受益计划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900"/>
              <w:jc w:val="both"/>
              <w:rPr>
                <w:rFonts w:ascii="宋体" w:hAnsi="宋体" w:cs="宋体" w:eastAsia="宋体" w:hint="default"/>
                <w:sz w:val="18"/>
                <w:szCs w:val="18"/>
              </w:rPr>
            </w:pPr>
            <w:r>
              <w:rPr>
                <w:rFonts w:ascii="宋体" w:hAnsi="宋体" w:cs="宋体" w:eastAsia="宋体" w:hint="default"/>
                <w:sz w:val="18"/>
                <w:szCs w:val="18"/>
              </w:rPr>
              <w:t>2.权益法下在被投资单位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900"/>
              <w:jc w:val="both"/>
              <w:rPr>
                <w:rFonts w:ascii="宋体" w:hAnsi="宋体" w:cs="宋体" w:eastAsia="宋体" w:hint="default"/>
                <w:sz w:val="18"/>
                <w:szCs w:val="18"/>
              </w:rPr>
            </w:pPr>
            <w:r>
              <w:rPr>
                <w:rFonts w:ascii="宋体" w:hAnsi="宋体" w:cs="宋体" w:eastAsia="宋体" w:hint="default"/>
                <w:sz w:val="18"/>
                <w:szCs w:val="18"/>
              </w:rPr>
              <w:t>1.权益法下在被投资单位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2.可供出售金融资产公允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900"/>
              <w:jc w:val="left"/>
              <w:rPr>
                <w:rFonts w:ascii="宋体" w:hAnsi="宋体" w:cs="宋体" w:eastAsia="宋体" w:hint="default"/>
                <w:sz w:val="18"/>
                <w:szCs w:val="18"/>
              </w:rPr>
            </w:pPr>
            <w:r>
              <w:rPr>
                <w:rFonts w:ascii="宋体" w:hAnsi="宋体" w:cs="宋体" w:eastAsia="宋体" w:hint="default"/>
                <w:sz w:val="18"/>
                <w:szCs w:val="18"/>
              </w:rPr>
              <w:t>3.持有至到期投资重分类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4.现金流量套期损益的有</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5.外币财务报表折算差额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98" w:right="0"/>
              <w:jc w:val="left"/>
              <w:rPr>
                <w:rFonts w:ascii="宋体" w:hAnsi="宋体" w:cs="宋体" w:eastAsia="宋体" w:hint="default"/>
                <w:sz w:val="18"/>
                <w:szCs w:val="18"/>
              </w:rPr>
            </w:pPr>
            <w:r>
              <w:rPr>
                <w:rFonts w:ascii="宋体"/>
                <w:sz w:val="18"/>
              </w:rPr>
              <w:t>57,627,149.99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98" w:right="0"/>
              <w:jc w:val="left"/>
              <w:rPr>
                <w:rFonts w:ascii="宋体" w:hAnsi="宋体" w:cs="宋体" w:eastAsia="宋体" w:hint="default"/>
                <w:sz w:val="18"/>
                <w:szCs w:val="18"/>
              </w:rPr>
            </w:pPr>
            <w:r>
              <w:rPr>
                <w:rFonts w:ascii="宋体"/>
                <w:sz w:val="18"/>
              </w:rPr>
              <w:t>48,971,885.34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4"/>
        <w:ind w:right="0"/>
        <w:jc w:val="left"/>
        <w:rPr>
          <w:b w:val="0"/>
          <w:bCs w:val="0"/>
        </w:rPr>
      </w:pPr>
      <w:r>
        <w:rPr/>
        <w:t>5、合并现金流量表</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1,003,329,858.48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1,029,445,500.87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4,259,478.90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4,302,468.91</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168,363,772.29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150,176,616.67</w:t>
            </w:r>
          </w:p>
        </w:tc>
      </w:tr>
    </w:tbl>
    <w:p>
      <w:pPr>
        <w:spacing w:after="0" w:line="240" w:lineRule="auto"/>
        <w:jc w:val="right"/>
        <w:rPr>
          <w:rFonts w:ascii="宋体" w:hAnsi="宋体" w:cs="宋体" w:eastAsia="宋体" w:hint="default"/>
          <w:sz w:val="18"/>
          <w:szCs w:val="18"/>
        </w:rPr>
        <w:sectPr>
          <w:footerReference w:type="default" r:id="rId24"/>
          <w:pgSz w:w="11910" w:h="16840"/>
          <w:pgMar w:footer="937" w:header="746" w:top="1040" w:bottom="1120" w:left="1020" w:right="1020"/>
          <w:pgNumType w:start="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1,175,953,109.67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1,183,924,586.45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776,735,167.02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760,627,907.90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138,515,767.44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93,208,418.91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43,440,044.08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53,220,413.36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187,353,144.31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166,481,823.63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1,146,044,122.85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1,073,538,563.80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29,908,986.82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110,386,022.65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527,500,000.00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1,275,000,000.00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3,536,742.32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6,475,538.39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967,149.30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1,107,029.58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370,000.00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532,373,891.62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1,282,582,567.97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82,441,525.41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116,975,624.87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535,707,500.00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1,271,000,000.00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1,652,052.78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619,801,078.19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1,387,975,624.87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-87,427,186.57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-105,393,056.90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300,000.00</w:t>
            </w: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32,692,131.97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7,814,907.99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42,992,131.97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17,814,907.99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23,358,526.17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16,914,396.93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4,949,000.00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2,317,436.28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14,988,072.70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31,538,016.88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48,346,598.87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58,452,413.81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-5,354,466.90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-40,637,505.82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134,031.10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-29,876.83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-62,738,635.55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-35,674,416.90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714,033,790.20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749,708,207.10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651,295,154.65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714,033,790.20</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4"/>
        <w:ind w:right="0"/>
        <w:jc w:val="left"/>
        <w:rPr>
          <w:b w:val="0"/>
          <w:bCs w:val="0"/>
        </w:rPr>
      </w:pPr>
      <w:r>
        <w:rPr/>
        <w:t>6、母公司现金流量表</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525,226,734.88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617,604,781.79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1,376,150.47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1,459,479.64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120,296,343.43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103,636,343.20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646,899,228.78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722,700,604.63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445,830,811.29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488,739,934.30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51,213,964.16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35,678,173.82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16,895,112.80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28,647,500.94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160,864,755.63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108,910,389.73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674,804,643.88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661,975,998.79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-27,905,415.10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60,724,605.84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495,000,000.00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1,014,000,000.00</w:t>
            </w:r>
          </w:p>
        </w:tc>
      </w:tr>
    </w:tbl>
    <w:p>
      <w:pPr>
        <w:spacing w:after="0" w:line="240" w:lineRule="auto"/>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8,670,882.60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8,665,743.48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22,749.51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36,261.80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503,693,632.11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1,022,702,005.28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7,360,703.91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31,289,932.89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505,300,000.00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1,016,000,000.00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512,660,703.91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1,047,289,932.89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-8,967,071.80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-24,587,927.61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24,986,881.77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5,978,433.58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24,986,881.77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5,978,433.58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17,516,352.75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14,596,960.65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8,579,814.75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24,461,979.41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26,096,167.50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39,058,940.06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-1,109,285.73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-33,080,506.48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-37,981,772.63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3,056,171.75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476,997,385.70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473,941,213.95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439,015,613.07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476,997,385.70</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7、合并所有者权益变动表</w:t>
      </w:r>
      <w:r>
        <w:rPr>
          <w:b w:val="0"/>
          <w:bCs w:val="0"/>
        </w:rPr>
      </w:r>
    </w:p>
    <w:p>
      <w:pPr>
        <w:spacing w:line="240" w:lineRule="auto" w:before="4"/>
        <w:rPr>
          <w:rFonts w:ascii="宋体" w:hAnsi="宋体" w:cs="宋体" w:eastAsia="宋体" w:hint="default"/>
          <w:b/>
          <w:bCs/>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122.639999pt;margin-top:398.200012pt;width:34pt;height:50.9pt;mso-position-horizontal-relative:page;mso-position-vertical-relative:page;z-index:-8759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80"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宋体" w:hAnsi="宋体" w:cs="宋体" w:eastAsia="宋体" w:hint="default"/>
                <w:sz w:val="18"/>
                <w:szCs w:val="18"/>
              </w:rPr>
            </w:pPr>
            <w:r>
              <w:rPr>
                <w:rFonts w:ascii="宋体"/>
                <w:sz w:val="18"/>
              </w:rPr>
              <w:t>350,3</w:t>
            </w:r>
          </w:p>
          <w:p>
            <w:pPr>
              <w:pStyle w:val="TableParagraph"/>
              <w:spacing w:line="240" w:lineRule="auto" w:before="76"/>
              <w:ind w:left="80" w:right="0"/>
              <w:jc w:val="left"/>
              <w:rPr>
                <w:rFonts w:ascii="宋体" w:hAnsi="宋体" w:cs="宋体" w:eastAsia="宋体" w:hint="default"/>
                <w:sz w:val="18"/>
                <w:szCs w:val="18"/>
              </w:rPr>
            </w:pPr>
            <w:r>
              <w:rPr>
                <w:rFonts w:ascii="宋体"/>
                <w:sz w:val="18"/>
              </w:rPr>
              <w:t>27,05</w:t>
            </w:r>
          </w:p>
          <w:p>
            <w:pPr>
              <w:pStyle w:val="TableParagraph"/>
              <w:spacing w:line="240" w:lineRule="auto" w:before="76"/>
              <w:ind w:left="168" w:right="0"/>
              <w:jc w:val="left"/>
              <w:rPr>
                <w:rFonts w:ascii="宋体" w:hAnsi="宋体" w:cs="宋体" w:eastAsia="宋体" w:hint="default"/>
                <w:sz w:val="18"/>
                <w:szCs w:val="18"/>
              </w:rPr>
            </w:pPr>
            <w:r>
              <w:rPr>
                <w:rFonts w:ascii="宋体"/>
                <w:sz w:val="18"/>
              </w:rPr>
              <w:t>5.00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543,76</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7,469.</w:t>
            </w:r>
          </w:p>
          <w:p>
            <w:pPr>
              <w:pStyle w:val="TableParagraph"/>
              <w:spacing w:line="240" w:lineRule="auto" w:before="76"/>
              <w:ind w:right="19"/>
              <w:jc w:val="right"/>
              <w:rPr>
                <w:rFonts w:ascii="宋体" w:hAnsi="宋体" w:cs="宋体" w:eastAsia="宋体" w:hint="default"/>
                <w:sz w:val="18"/>
                <w:szCs w:val="18"/>
              </w:rPr>
            </w:pPr>
            <w:r>
              <w:rPr>
                <w:rFonts w:ascii="宋体"/>
                <w:sz w:val="18"/>
              </w:rPr>
              <w:t>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38,585</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,421.0</w:t>
            </w:r>
          </w:p>
          <w:p>
            <w:pPr>
              <w:pStyle w:val="TableParagraph"/>
              <w:spacing w:line="240" w:lineRule="auto" w:before="76"/>
              <w:ind w:right="21"/>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359,27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0,926.</w:t>
            </w:r>
          </w:p>
          <w:p>
            <w:pPr>
              <w:pStyle w:val="TableParagraph"/>
              <w:spacing w:line="240" w:lineRule="auto" w:before="76"/>
              <w:ind w:right="19"/>
              <w:jc w:val="right"/>
              <w:rPr>
                <w:rFonts w:ascii="宋体" w:hAnsi="宋体" w:cs="宋体" w:eastAsia="宋体" w:hint="default"/>
                <w:sz w:val="18"/>
                <w:szCs w:val="18"/>
              </w:rPr>
            </w:pPr>
            <w:r>
              <w:rPr>
                <w:rFonts w:ascii="宋体"/>
                <w:sz w:val="18"/>
              </w:rPr>
              <w:t>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42,088</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,022.4</w:t>
            </w:r>
          </w:p>
          <w:p>
            <w:pPr>
              <w:pStyle w:val="TableParagraph"/>
              <w:spacing w:line="240" w:lineRule="auto" w:before="76"/>
              <w:ind w:right="21"/>
              <w:jc w:val="right"/>
              <w:rPr>
                <w:rFonts w:ascii="宋体" w:hAnsi="宋体" w:cs="宋体" w:eastAsia="宋体" w:hint="default"/>
                <w:sz w:val="18"/>
                <w:szCs w:val="18"/>
              </w:rPr>
            </w:pPr>
            <w:r>
              <w:rPr>
                <w:rFonts w:ascii="宋体"/>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 w:right="0"/>
              <w:jc w:val="center"/>
              <w:rPr>
                <w:rFonts w:ascii="宋体" w:hAnsi="宋体" w:cs="宋体" w:eastAsia="宋体" w:hint="default"/>
                <w:sz w:val="18"/>
                <w:szCs w:val="18"/>
              </w:rPr>
            </w:pPr>
            <w:r>
              <w:rPr>
                <w:rFonts w:ascii="宋体"/>
                <w:sz w:val="18"/>
              </w:rPr>
              <w:t>1,334,</w:t>
            </w:r>
          </w:p>
          <w:p>
            <w:pPr>
              <w:pStyle w:val="TableParagraph"/>
              <w:spacing w:line="240" w:lineRule="auto" w:before="76"/>
              <w:ind w:left="62" w:right="0"/>
              <w:jc w:val="center"/>
              <w:rPr>
                <w:rFonts w:ascii="宋体" w:hAnsi="宋体" w:cs="宋体" w:eastAsia="宋体" w:hint="default"/>
                <w:sz w:val="18"/>
                <w:szCs w:val="18"/>
              </w:rPr>
            </w:pPr>
            <w:r>
              <w:rPr>
                <w:rFonts w:ascii="宋体"/>
                <w:sz w:val="18"/>
              </w:rPr>
              <w:t>038,89</w:t>
            </w:r>
          </w:p>
          <w:p>
            <w:pPr>
              <w:pStyle w:val="TableParagraph"/>
              <w:spacing w:line="240" w:lineRule="auto" w:before="76"/>
              <w:ind w:left="242" w:right="0"/>
              <w:jc w:val="center"/>
              <w:rPr>
                <w:rFonts w:ascii="宋体" w:hAnsi="宋体" w:cs="宋体" w:eastAsia="宋体" w:hint="default"/>
                <w:sz w:val="18"/>
                <w:szCs w:val="18"/>
              </w:rPr>
            </w:pPr>
            <w:r>
              <w:rPr>
                <w:rFonts w:ascii="宋体"/>
                <w:sz w:val="18"/>
              </w:rPr>
              <w:t>4.28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350,3</w:t>
            </w:r>
          </w:p>
          <w:p>
            <w:pPr>
              <w:pStyle w:val="TableParagraph"/>
              <w:spacing w:line="240" w:lineRule="auto" w:before="76"/>
              <w:ind w:left="80" w:right="0"/>
              <w:jc w:val="left"/>
              <w:rPr>
                <w:rFonts w:ascii="宋体" w:hAnsi="宋体" w:cs="宋体" w:eastAsia="宋体" w:hint="default"/>
                <w:sz w:val="18"/>
                <w:szCs w:val="18"/>
              </w:rPr>
            </w:pPr>
            <w:r>
              <w:rPr>
                <w:rFonts w:ascii="宋体"/>
                <w:sz w:val="18"/>
              </w:rPr>
              <w:t>27,05</w:t>
            </w:r>
          </w:p>
          <w:p>
            <w:pPr>
              <w:pStyle w:val="TableParagraph"/>
              <w:spacing w:line="240" w:lineRule="auto" w:before="76"/>
              <w:ind w:left="168" w:right="0"/>
              <w:jc w:val="left"/>
              <w:rPr>
                <w:rFonts w:ascii="宋体" w:hAnsi="宋体" w:cs="宋体" w:eastAsia="宋体" w:hint="default"/>
                <w:sz w:val="18"/>
                <w:szCs w:val="18"/>
              </w:rPr>
            </w:pPr>
            <w:r>
              <w:rPr>
                <w:rFonts w:ascii="宋体"/>
                <w:sz w:val="18"/>
              </w:rPr>
              <w:t>5.00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543,76</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7,469.</w:t>
            </w:r>
          </w:p>
          <w:p>
            <w:pPr>
              <w:pStyle w:val="TableParagraph"/>
              <w:spacing w:line="240" w:lineRule="auto" w:before="76"/>
              <w:ind w:right="19"/>
              <w:jc w:val="right"/>
              <w:rPr>
                <w:rFonts w:ascii="宋体" w:hAnsi="宋体" w:cs="宋体" w:eastAsia="宋体" w:hint="default"/>
                <w:sz w:val="18"/>
                <w:szCs w:val="18"/>
              </w:rPr>
            </w:pPr>
            <w:r>
              <w:rPr>
                <w:rFonts w:ascii="宋体"/>
                <w:sz w:val="18"/>
              </w:rPr>
              <w:t>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38,585</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,421.0</w:t>
            </w:r>
          </w:p>
          <w:p>
            <w:pPr>
              <w:pStyle w:val="TableParagraph"/>
              <w:spacing w:line="240" w:lineRule="auto" w:before="76"/>
              <w:ind w:right="21"/>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359,27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0,926.</w:t>
            </w:r>
          </w:p>
          <w:p>
            <w:pPr>
              <w:pStyle w:val="TableParagraph"/>
              <w:spacing w:line="240" w:lineRule="auto" w:before="76"/>
              <w:ind w:right="19"/>
              <w:jc w:val="right"/>
              <w:rPr>
                <w:rFonts w:ascii="宋体" w:hAnsi="宋体" w:cs="宋体" w:eastAsia="宋体" w:hint="default"/>
                <w:sz w:val="18"/>
                <w:szCs w:val="18"/>
              </w:rPr>
            </w:pPr>
            <w:r>
              <w:rPr>
                <w:rFonts w:ascii="宋体"/>
                <w:sz w:val="18"/>
              </w:rPr>
              <w:t>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42,088</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,022.4</w:t>
            </w:r>
          </w:p>
          <w:p>
            <w:pPr>
              <w:pStyle w:val="TableParagraph"/>
              <w:spacing w:line="240" w:lineRule="auto" w:before="76"/>
              <w:ind w:right="21"/>
              <w:jc w:val="right"/>
              <w:rPr>
                <w:rFonts w:ascii="宋体" w:hAnsi="宋体" w:cs="宋体" w:eastAsia="宋体" w:hint="default"/>
                <w:sz w:val="18"/>
                <w:szCs w:val="18"/>
              </w:rPr>
            </w:pPr>
            <w:r>
              <w:rPr>
                <w:rFonts w:ascii="宋体"/>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1,334,</w:t>
            </w:r>
          </w:p>
          <w:p>
            <w:pPr>
              <w:pStyle w:val="TableParagraph"/>
              <w:spacing w:line="240" w:lineRule="auto" w:before="76"/>
              <w:ind w:left="62" w:right="0"/>
              <w:jc w:val="center"/>
              <w:rPr>
                <w:rFonts w:ascii="宋体" w:hAnsi="宋体" w:cs="宋体" w:eastAsia="宋体" w:hint="default"/>
                <w:sz w:val="18"/>
                <w:szCs w:val="18"/>
              </w:rPr>
            </w:pPr>
            <w:r>
              <w:rPr>
                <w:rFonts w:ascii="宋体"/>
                <w:sz w:val="18"/>
              </w:rPr>
              <w:t>038,89</w:t>
            </w:r>
          </w:p>
          <w:p>
            <w:pPr>
              <w:pStyle w:val="TableParagraph"/>
              <w:spacing w:line="240" w:lineRule="auto" w:before="76"/>
              <w:ind w:left="242" w:right="0"/>
              <w:jc w:val="center"/>
              <w:rPr>
                <w:rFonts w:ascii="宋体" w:hAnsi="宋体" w:cs="宋体" w:eastAsia="宋体" w:hint="default"/>
                <w:sz w:val="18"/>
                <w:szCs w:val="18"/>
              </w:rPr>
            </w:pPr>
            <w:r>
              <w:rPr>
                <w:rFonts w:ascii="宋体"/>
                <w:sz w:val="18"/>
              </w:rPr>
              <w:t>4.28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金额（减少以“－</w:t>
            </w:r>
            <w:r>
              <w:rPr>
                <w:rFonts w:ascii="宋体" w:hAnsi="宋体" w:cs="宋体" w:eastAsia="宋体" w:hint="default"/>
                <w:sz w:val="18"/>
                <w:szCs w:val="18"/>
              </w:rPr>
              <w:t> 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1021"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27.85pt;height:51.05pt;mso-position-horizontal-relative:char;mso-position-vertical-relative:line" coordorigin="0,0" coordsize="557,1021">
                  <v:group style="position:absolute;left:0;top:0;width:557;height:1021" coordorigin="0,0" coordsize="557,1021">
                    <v:shape style="position:absolute;left:0;top:0;width:557;height:1021" coordorigin="0,0" coordsize="557,1021" path="m0,0l557,0,557,1021,0,1021,0,0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1" w:right="0"/>
              <w:jc w:val="center"/>
              <w:rPr>
                <w:rFonts w:ascii="宋体" w:hAnsi="宋体" w:cs="宋体" w:eastAsia="宋体" w:hint="default"/>
                <w:sz w:val="18"/>
                <w:szCs w:val="18"/>
              </w:rPr>
            </w:pPr>
            <w:r>
              <w:rPr>
                <w:rFonts w:ascii="宋体"/>
                <w:sz w:val="18"/>
              </w:rPr>
              <w:t>855,25</w:t>
            </w:r>
          </w:p>
          <w:p>
            <w:pPr>
              <w:pStyle w:val="TableParagraph"/>
              <w:spacing w:line="240" w:lineRule="auto" w:before="76"/>
              <w:ind w:left="251" w:right="0"/>
              <w:jc w:val="center"/>
              <w:rPr>
                <w:rFonts w:ascii="宋体" w:hAnsi="宋体" w:cs="宋体" w:eastAsia="宋体" w:hint="default"/>
                <w:sz w:val="18"/>
                <w:szCs w:val="18"/>
              </w:rPr>
            </w:pPr>
            <w:r>
              <w:rPr>
                <w:rFonts w:ascii="宋体"/>
                <w:sz w:val="18"/>
              </w:rPr>
              <w:t>0.40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8"/>
                <w:szCs w:val="18"/>
              </w:rPr>
            </w:pPr>
            <w:r>
              <w:rPr>
                <w:rFonts w:ascii="宋体"/>
                <w:sz w:val="18"/>
              </w:rPr>
              <w:t>5,762,</w:t>
            </w:r>
          </w:p>
          <w:p>
            <w:pPr>
              <w:pStyle w:val="TableParagraph"/>
              <w:spacing w:line="240" w:lineRule="auto" w:before="76"/>
              <w:ind w:left="90" w:right="0"/>
              <w:jc w:val="left"/>
              <w:rPr>
                <w:rFonts w:ascii="宋体" w:hAnsi="宋体" w:cs="宋体" w:eastAsia="宋体" w:hint="default"/>
                <w:sz w:val="18"/>
                <w:szCs w:val="18"/>
              </w:rPr>
            </w:pPr>
            <w:r>
              <w:rPr>
                <w:rFonts w:ascii="宋体"/>
                <w:sz w:val="18"/>
              </w:rPr>
              <w:t>715.00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59,438</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,537.3</w:t>
            </w:r>
          </w:p>
          <w:p>
            <w:pPr>
              <w:pStyle w:val="TableParagraph"/>
              <w:spacing w:line="240" w:lineRule="auto" w:before="76"/>
              <w:ind w:right="21"/>
              <w:jc w:val="right"/>
              <w:rPr>
                <w:rFonts w:ascii="宋体" w:hAnsi="宋体" w:cs="宋体" w:eastAsia="宋体" w:hint="default"/>
                <w:sz w:val="18"/>
                <w:szCs w:val="18"/>
              </w:rPr>
            </w:pPr>
            <w:r>
              <w:rPr>
                <w:rFonts w:ascii="宋体"/>
                <w:sz w:val="18"/>
              </w:rPr>
              <w:t>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35,821</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,532.0</w:t>
            </w:r>
          </w:p>
          <w:p>
            <w:pPr>
              <w:pStyle w:val="TableParagraph"/>
              <w:spacing w:line="240" w:lineRule="auto" w:before="76"/>
              <w:ind w:right="21"/>
              <w:jc w:val="right"/>
              <w:rPr>
                <w:rFonts w:ascii="宋体" w:hAnsi="宋体" w:cs="宋体" w:eastAsia="宋体" w:hint="default"/>
                <w:sz w:val="18"/>
                <w:szCs w:val="18"/>
              </w:rPr>
            </w:pPr>
            <w:r>
              <w:rPr>
                <w:rFonts w:ascii="宋体"/>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101,87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8,034.</w:t>
            </w:r>
          </w:p>
          <w:p>
            <w:pPr>
              <w:pStyle w:val="TableParagraph"/>
              <w:spacing w:line="240" w:lineRule="auto" w:before="76"/>
              <w:ind w:right="20"/>
              <w:jc w:val="right"/>
              <w:rPr>
                <w:rFonts w:ascii="宋体" w:hAnsi="宋体" w:cs="宋体" w:eastAsia="宋体" w:hint="default"/>
                <w:sz w:val="18"/>
                <w:szCs w:val="18"/>
              </w:rPr>
            </w:pPr>
            <w:r>
              <w:rPr>
                <w:rFonts w:ascii="宋体"/>
                <w:sz w:val="18"/>
              </w:rPr>
              <w:t>84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82,717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,605.1</w:t>
            </w:r>
          </w:p>
          <w:p>
            <w:pPr>
              <w:pStyle w:val="TableParagraph"/>
              <w:spacing w:line="240" w:lineRule="auto" w:before="76"/>
              <w:ind w:right="21"/>
              <w:jc w:val="right"/>
              <w:rPr>
                <w:rFonts w:ascii="宋体" w:hAnsi="宋体" w:cs="宋体" w:eastAsia="宋体" w:hint="default"/>
                <w:sz w:val="18"/>
                <w:szCs w:val="18"/>
              </w:rPr>
            </w:pPr>
            <w:r>
              <w:rPr>
                <w:rFonts w:ascii="宋体"/>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sz w:val="18"/>
              </w:rPr>
              <w:t>9,300,</w:t>
            </w:r>
          </w:p>
          <w:p>
            <w:pPr>
              <w:pStyle w:val="TableParagraph"/>
              <w:spacing w:line="240" w:lineRule="auto" w:before="76"/>
              <w:ind w:left="92" w:right="0"/>
              <w:jc w:val="left"/>
              <w:rPr>
                <w:rFonts w:ascii="宋体" w:hAnsi="宋体" w:cs="宋体" w:eastAsia="宋体" w:hint="default"/>
                <w:sz w:val="18"/>
                <w:szCs w:val="18"/>
              </w:rPr>
            </w:pPr>
            <w:r>
              <w:rPr>
                <w:rFonts w:ascii="宋体"/>
                <w:sz w:val="18"/>
              </w:rPr>
              <w:t>340.54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92,017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,945.6</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32,377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,476.0</w:t>
            </w:r>
          </w:p>
          <w:p>
            <w:pPr>
              <w:pStyle w:val="TableParagraph"/>
              <w:spacing w:line="240" w:lineRule="auto" w:before="76"/>
              <w:ind w:right="21"/>
              <w:jc w:val="right"/>
              <w:rPr>
                <w:rFonts w:ascii="宋体" w:hAnsi="宋体" w:cs="宋体" w:eastAsia="宋体" w:hint="default"/>
                <w:sz w:val="18"/>
                <w:szCs w:val="18"/>
              </w:rPr>
            </w:pPr>
            <w:r>
              <w:rPr>
                <w:rFonts w:ascii="宋体"/>
                <w:sz w:val="18"/>
              </w:rPr>
              <w:t>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32,377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,476.0</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52"/>
              <w:jc w:val="left"/>
              <w:rPr>
                <w:rFonts w:ascii="宋体" w:hAnsi="宋体" w:cs="宋体" w:eastAsia="宋体" w:hint="default"/>
                <w:sz w:val="18"/>
                <w:szCs w:val="18"/>
              </w:rPr>
            </w:pPr>
            <w:r>
              <w:rPr>
                <w:rFonts w:ascii="宋体" w:hAnsi="宋体" w:cs="宋体" w:eastAsia="宋体" w:hint="default"/>
                <w:sz w:val="18"/>
                <w:szCs w:val="18"/>
              </w:rPr>
              <w:t>1．股东投入的普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32,625</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,441.9</w:t>
            </w:r>
          </w:p>
          <w:p>
            <w:pPr>
              <w:pStyle w:val="TableParagraph"/>
              <w:spacing w:line="240" w:lineRule="auto" w:before="76"/>
              <w:ind w:right="21"/>
              <w:jc w:val="right"/>
              <w:rPr>
                <w:rFonts w:ascii="宋体" w:hAnsi="宋体" w:cs="宋体" w:eastAsia="宋体" w:hint="default"/>
                <w:sz w:val="18"/>
                <w:szCs w:val="18"/>
              </w:rPr>
            </w:pPr>
            <w:r>
              <w:rPr>
                <w:rFonts w:ascii="宋体"/>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32,625</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,441.9</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2．其他权益工具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3．股份支付计入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sz w:val="18"/>
              </w:rPr>
              <w:t>-247,9</w:t>
            </w:r>
          </w:p>
          <w:p>
            <w:pPr>
              <w:pStyle w:val="TableParagraph"/>
              <w:spacing w:line="240" w:lineRule="auto" w:before="76"/>
              <w:ind w:left="181" w:right="0"/>
              <w:jc w:val="left"/>
              <w:rPr>
                <w:rFonts w:ascii="宋体" w:hAnsi="宋体" w:cs="宋体" w:eastAsia="宋体" w:hint="default"/>
                <w:sz w:val="18"/>
                <w:szCs w:val="18"/>
              </w:rPr>
            </w:pPr>
            <w:r>
              <w:rPr>
                <w:rFonts w:ascii="宋体"/>
                <w:sz w:val="18"/>
              </w:rPr>
              <w:t>65.83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5" w:right="0"/>
              <w:jc w:val="left"/>
              <w:rPr>
                <w:rFonts w:ascii="宋体" w:hAnsi="宋体" w:cs="宋体" w:eastAsia="宋体" w:hint="default"/>
                <w:sz w:val="18"/>
                <w:szCs w:val="18"/>
              </w:rPr>
            </w:pPr>
            <w:r>
              <w:rPr>
                <w:rFonts w:ascii="宋体"/>
                <w:sz w:val="18"/>
              </w:rPr>
              <w:t>-247,9</w:t>
            </w:r>
          </w:p>
          <w:p>
            <w:pPr>
              <w:pStyle w:val="TableParagraph"/>
              <w:spacing w:line="240" w:lineRule="auto" w:before="76"/>
              <w:ind w:left="176" w:right="0"/>
              <w:jc w:val="left"/>
              <w:rPr>
                <w:rFonts w:ascii="宋体" w:hAnsi="宋体" w:cs="宋体" w:eastAsia="宋体" w:hint="default"/>
                <w:sz w:val="18"/>
                <w:szCs w:val="18"/>
              </w:rPr>
            </w:pPr>
            <w:r>
              <w:rPr>
                <w:rFonts w:ascii="宋体"/>
                <w:sz w:val="18"/>
              </w:rPr>
              <w:t>65.83</w:t>
            </w:r>
          </w:p>
        </w:tc>
      </w:tr>
      <w:tr>
        <w:trPr>
          <w:trHeight w:val="71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left"/>
              <w:rPr>
                <w:rFonts w:ascii="宋体" w:hAnsi="宋体" w:cs="宋体" w:eastAsia="宋体" w:hint="default"/>
                <w:sz w:val="18"/>
                <w:szCs w:val="18"/>
              </w:rPr>
            </w:pPr>
            <w:r>
              <w:rPr>
                <w:rFonts w:ascii="宋体"/>
                <w:sz w:val="18"/>
              </w:rPr>
              <w:t>5,762,</w:t>
            </w:r>
          </w:p>
          <w:p>
            <w:pPr>
              <w:pStyle w:val="TableParagraph"/>
              <w:spacing w:line="240" w:lineRule="auto" w:before="76"/>
              <w:ind w:left="90" w:right="0"/>
              <w:jc w:val="left"/>
              <w:rPr>
                <w:rFonts w:ascii="宋体" w:hAnsi="宋体" w:cs="宋体" w:eastAsia="宋体" w:hint="default"/>
                <w:sz w:val="18"/>
                <w:szCs w:val="18"/>
              </w:rPr>
            </w:pPr>
            <w:r>
              <w:rPr>
                <w:rFonts w:ascii="宋体"/>
                <w:sz w:val="18"/>
              </w:rPr>
              <w:t>715.00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2" w:right="0"/>
              <w:jc w:val="left"/>
              <w:rPr>
                <w:rFonts w:ascii="宋体" w:hAnsi="宋体" w:cs="宋体" w:eastAsia="宋体" w:hint="default"/>
                <w:sz w:val="18"/>
                <w:szCs w:val="18"/>
              </w:rPr>
            </w:pPr>
            <w:r>
              <w:rPr>
                <w:rFonts w:ascii="宋体"/>
                <w:sz w:val="18"/>
              </w:rPr>
              <w:t>-23,27</w:t>
            </w:r>
          </w:p>
          <w:p>
            <w:pPr>
              <w:pStyle w:val="TableParagraph"/>
              <w:spacing w:line="240" w:lineRule="auto" w:before="76"/>
              <w:ind w:left="92" w:right="0"/>
              <w:jc w:val="left"/>
              <w:rPr>
                <w:rFonts w:ascii="宋体" w:hAnsi="宋体" w:cs="宋体" w:eastAsia="宋体" w:hint="default"/>
                <w:sz w:val="18"/>
                <w:szCs w:val="18"/>
              </w:rPr>
            </w:pPr>
            <w:r>
              <w:rPr>
                <w:rFonts w:ascii="宋体"/>
                <w:sz w:val="18"/>
              </w:rPr>
              <w:t>9,067.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2" w:right="0"/>
              <w:jc w:val="left"/>
              <w:rPr>
                <w:rFonts w:ascii="宋体" w:hAnsi="宋体" w:cs="宋体" w:eastAsia="宋体" w:hint="default"/>
                <w:sz w:val="18"/>
                <w:szCs w:val="18"/>
              </w:rPr>
            </w:pPr>
            <w:r>
              <w:rPr>
                <w:rFonts w:ascii="宋体"/>
                <w:sz w:val="18"/>
              </w:rPr>
              <w:t>-4,949</w:t>
            </w:r>
          </w:p>
          <w:p>
            <w:pPr>
              <w:pStyle w:val="TableParagraph"/>
              <w:spacing w:line="240" w:lineRule="auto" w:before="76"/>
              <w:ind w:left="92" w:right="0"/>
              <w:jc w:val="left"/>
              <w:rPr>
                <w:rFonts w:ascii="宋体" w:hAnsi="宋体" w:cs="宋体" w:eastAsia="宋体" w:hint="default"/>
                <w:sz w:val="18"/>
                <w:szCs w:val="18"/>
              </w:rPr>
            </w:pPr>
            <w:r>
              <w:rPr>
                <w:rFonts w:ascii="宋体"/>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85" w:right="0"/>
              <w:jc w:val="left"/>
              <w:rPr>
                <w:rFonts w:ascii="宋体" w:hAnsi="宋体" w:cs="宋体" w:eastAsia="宋体" w:hint="default"/>
                <w:sz w:val="18"/>
                <w:szCs w:val="18"/>
              </w:rPr>
            </w:pPr>
            <w:r>
              <w:rPr>
                <w:rFonts w:ascii="宋体"/>
                <w:sz w:val="18"/>
              </w:rPr>
              <w:t>-22,46</w:t>
            </w:r>
          </w:p>
          <w:p>
            <w:pPr>
              <w:pStyle w:val="TableParagraph"/>
              <w:spacing w:line="240" w:lineRule="auto" w:before="76"/>
              <w:ind w:left="85" w:right="0"/>
              <w:jc w:val="left"/>
              <w:rPr>
                <w:rFonts w:ascii="宋体" w:hAnsi="宋体" w:cs="宋体" w:eastAsia="宋体" w:hint="default"/>
                <w:sz w:val="18"/>
                <w:szCs w:val="18"/>
              </w:rPr>
            </w:pPr>
            <w:r>
              <w:rPr>
                <w:rFonts w:ascii="宋体"/>
                <w:sz w:val="18"/>
              </w:rPr>
              <w:t>5,352.</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z w:val="18"/>
              </w:rPr>
              <w:t>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8"/>
                <w:szCs w:val="18"/>
              </w:rPr>
            </w:pPr>
            <w:r>
              <w:rPr>
                <w:rFonts w:ascii="宋体"/>
                <w:sz w:val="18"/>
              </w:rPr>
              <w:t>5,762,</w:t>
            </w:r>
          </w:p>
          <w:p>
            <w:pPr>
              <w:pStyle w:val="TableParagraph"/>
              <w:spacing w:line="240" w:lineRule="auto" w:before="76"/>
              <w:ind w:left="90" w:right="0"/>
              <w:jc w:val="left"/>
              <w:rPr>
                <w:rFonts w:ascii="宋体" w:hAnsi="宋体" w:cs="宋体" w:eastAsia="宋体" w:hint="default"/>
                <w:sz w:val="18"/>
                <w:szCs w:val="18"/>
              </w:rPr>
            </w:pPr>
            <w:r>
              <w:rPr>
                <w:rFonts w:ascii="宋体"/>
                <w:sz w:val="18"/>
              </w:rPr>
              <w:t>715.00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-5,762</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,715.0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2．提取一般风险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52"/>
              <w:jc w:val="left"/>
              <w:rPr>
                <w:rFonts w:ascii="宋体" w:hAnsi="宋体" w:cs="宋体" w:eastAsia="宋体" w:hint="default"/>
                <w:sz w:val="18"/>
                <w:szCs w:val="18"/>
              </w:rPr>
            </w:pPr>
            <w:r>
              <w:rPr>
                <w:rFonts w:ascii="宋体" w:hAnsi="宋体" w:cs="宋体" w:eastAsia="宋体" w:hint="default"/>
                <w:sz w:val="18"/>
                <w:szCs w:val="18"/>
              </w:rPr>
              <w:t>3．对所有者（或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-17,51</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6,352.</w:t>
            </w:r>
          </w:p>
          <w:p>
            <w:pPr>
              <w:pStyle w:val="TableParagraph"/>
              <w:spacing w:line="240" w:lineRule="auto" w:before="76"/>
              <w:ind w:right="19"/>
              <w:jc w:val="right"/>
              <w:rPr>
                <w:rFonts w:ascii="宋体" w:hAnsi="宋体" w:cs="宋体" w:eastAsia="宋体" w:hint="default"/>
                <w:sz w:val="18"/>
                <w:szCs w:val="18"/>
              </w:rPr>
            </w:pPr>
            <w:r>
              <w:rPr>
                <w:rFonts w:ascii="宋体"/>
                <w:sz w:val="18"/>
              </w:rPr>
              <w:t>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-4,949</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,000.0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-22,46</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5,352.</w:t>
            </w:r>
          </w:p>
          <w:p>
            <w:pPr>
              <w:pStyle w:val="TableParagraph"/>
              <w:spacing w:line="240" w:lineRule="auto" w:before="76"/>
              <w:ind w:right="20"/>
              <w:jc w:val="right"/>
              <w:rPr>
                <w:rFonts w:ascii="宋体" w:hAnsi="宋体" w:cs="宋体" w:eastAsia="宋体" w:hint="default"/>
                <w:sz w:val="18"/>
                <w:szCs w:val="18"/>
              </w:rPr>
            </w:pPr>
            <w:r>
              <w:rPr>
                <w:rFonts w:ascii="宋体"/>
                <w:sz w:val="18"/>
              </w:rPr>
              <w:t>75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1．资本公积转增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2．盈余公积转增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3．盈余公积弥补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 w:right="0"/>
              <w:jc w:val="center"/>
              <w:rPr>
                <w:rFonts w:ascii="宋体" w:hAnsi="宋体" w:cs="宋体" w:eastAsia="宋体" w:hint="default"/>
                <w:sz w:val="18"/>
                <w:szCs w:val="18"/>
              </w:rPr>
            </w:pPr>
            <w:r>
              <w:rPr>
                <w:rFonts w:ascii="宋体"/>
                <w:sz w:val="18"/>
              </w:rPr>
              <w:t>855,25</w:t>
            </w:r>
          </w:p>
          <w:p>
            <w:pPr>
              <w:pStyle w:val="TableParagraph"/>
              <w:spacing w:line="240" w:lineRule="auto" w:before="76"/>
              <w:ind w:left="251" w:right="0"/>
              <w:jc w:val="center"/>
              <w:rPr>
                <w:rFonts w:ascii="宋体" w:hAnsi="宋体" w:cs="宋体" w:eastAsia="宋体" w:hint="default"/>
                <w:sz w:val="18"/>
                <w:szCs w:val="18"/>
              </w:rPr>
            </w:pPr>
            <w:r>
              <w:rPr>
                <w:rFonts w:ascii="宋体"/>
                <w:sz w:val="18"/>
              </w:rPr>
              <w:t>0.40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 w:right="0"/>
              <w:jc w:val="left"/>
              <w:rPr>
                <w:rFonts w:ascii="宋体" w:hAnsi="宋体" w:cs="宋体" w:eastAsia="宋体" w:hint="default"/>
                <w:sz w:val="18"/>
                <w:szCs w:val="18"/>
              </w:rPr>
            </w:pPr>
            <w:r>
              <w:rPr>
                <w:rFonts w:ascii="宋体"/>
                <w:sz w:val="18"/>
              </w:rPr>
              <w:t>-907,2</w:t>
            </w:r>
          </w:p>
          <w:p>
            <w:pPr>
              <w:pStyle w:val="TableParagraph"/>
              <w:spacing w:line="240" w:lineRule="auto" w:before="76"/>
              <w:ind w:left="181" w:right="0"/>
              <w:jc w:val="left"/>
              <w:rPr>
                <w:rFonts w:ascii="宋体" w:hAnsi="宋体" w:cs="宋体" w:eastAsia="宋体" w:hint="default"/>
                <w:sz w:val="18"/>
                <w:szCs w:val="18"/>
              </w:rPr>
            </w:pPr>
            <w:r>
              <w:rPr>
                <w:rFonts w:ascii="宋体"/>
                <w:sz w:val="18"/>
              </w:rPr>
              <w:t>84.57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 w:right="0"/>
              <w:jc w:val="center"/>
              <w:rPr>
                <w:rFonts w:ascii="宋体" w:hAnsi="宋体" w:cs="宋体" w:eastAsia="宋体" w:hint="default"/>
                <w:sz w:val="18"/>
                <w:szCs w:val="18"/>
              </w:rPr>
            </w:pPr>
            <w:r>
              <w:rPr>
                <w:rFonts w:ascii="宋体"/>
                <w:sz w:val="18"/>
              </w:rPr>
              <w:t>-52,03</w:t>
            </w:r>
          </w:p>
          <w:p>
            <w:pPr>
              <w:pStyle w:val="TableParagraph"/>
              <w:spacing w:line="240" w:lineRule="auto" w:before="76"/>
              <w:ind w:left="242" w:right="0"/>
              <w:jc w:val="center"/>
              <w:rPr>
                <w:rFonts w:ascii="宋体" w:hAnsi="宋体" w:cs="宋体" w:eastAsia="宋体" w:hint="default"/>
                <w:sz w:val="18"/>
                <w:szCs w:val="18"/>
              </w:rPr>
            </w:pPr>
            <w:r>
              <w:rPr>
                <w:rFonts w:ascii="宋体"/>
                <w:sz w:val="18"/>
              </w:rPr>
              <w:t>4.17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宋体"/>
                <w:sz w:val="18"/>
              </w:rPr>
              <w:t>350,3</w:t>
            </w:r>
          </w:p>
          <w:p>
            <w:pPr>
              <w:pStyle w:val="TableParagraph"/>
              <w:spacing w:line="240" w:lineRule="auto" w:before="76"/>
              <w:ind w:left="80" w:right="0"/>
              <w:jc w:val="left"/>
              <w:rPr>
                <w:rFonts w:ascii="宋体" w:hAnsi="宋体" w:cs="宋体" w:eastAsia="宋体" w:hint="default"/>
                <w:sz w:val="18"/>
                <w:szCs w:val="18"/>
              </w:rPr>
            </w:pPr>
            <w:r>
              <w:rPr>
                <w:rFonts w:ascii="宋体"/>
                <w:sz w:val="18"/>
              </w:rPr>
              <w:t>27,05</w:t>
            </w:r>
          </w:p>
          <w:p>
            <w:pPr>
              <w:pStyle w:val="TableParagraph"/>
              <w:spacing w:line="240" w:lineRule="auto" w:before="76"/>
              <w:ind w:left="168" w:right="0"/>
              <w:jc w:val="left"/>
              <w:rPr>
                <w:rFonts w:ascii="宋体" w:hAnsi="宋体" w:cs="宋体" w:eastAsia="宋体" w:hint="default"/>
                <w:sz w:val="18"/>
                <w:szCs w:val="18"/>
              </w:rPr>
            </w:pPr>
            <w:r>
              <w:rPr>
                <w:rFonts w:ascii="宋体"/>
                <w:sz w:val="18"/>
              </w:rPr>
              <w:t>5.00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544,62</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2,720.</w:t>
            </w:r>
          </w:p>
          <w:p>
            <w:pPr>
              <w:pStyle w:val="TableParagraph"/>
              <w:spacing w:line="240" w:lineRule="auto" w:before="76"/>
              <w:ind w:right="19"/>
              <w:jc w:val="right"/>
              <w:rPr>
                <w:rFonts w:ascii="宋体" w:hAnsi="宋体" w:cs="宋体" w:eastAsia="宋体" w:hint="default"/>
                <w:sz w:val="18"/>
                <w:szCs w:val="18"/>
              </w:rPr>
            </w:pPr>
            <w:r>
              <w:rPr>
                <w:rFonts w:ascii="宋体"/>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44,348</w:t>
            </w:r>
          </w:p>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,136.0</w:t>
            </w:r>
          </w:p>
          <w:p>
            <w:pPr>
              <w:pStyle w:val="TableParagraph"/>
              <w:spacing w:line="240" w:lineRule="auto" w:before="76"/>
              <w:ind w:right="21"/>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418,70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9,463.</w:t>
            </w:r>
          </w:p>
          <w:p>
            <w:pPr>
              <w:pStyle w:val="TableParagraph"/>
              <w:spacing w:line="240" w:lineRule="auto" w:before="76"/>
              <w:ind w:right="19"/>
              <w:jc w:val="right"/>
              <w:rPr>
                <w:rFonts w:ascii="宋体" w:hAnsi="宋体" w:cs="宋体" w:eastAsia="宋体" w:hint="default"/>
                <w:sz w:val="18"/>
                <w:szCs w:val="18"/>
              </w:rPr>
            </w:pPr>
            <w:r>
              <w:rPr>
                <w:rFonts w:ascii="宋体"/>
                <w:sz w:val="18"/>
              </w:rPr>
              <w:t>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77,909</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,554.5</w:t>
            </w:r>
          </w:p>
          <w:p>
            <w:pPr>
              <w:pStyle w:val="TableParagraph"/>
              <w:spacing w:line="240" w:lineRule="auto" w:before="76"/>
              <w:ind w:right="21"/>
              <w:jc w:val="right"/>
              <w:rPr>
                <w:rFonts w:ascii="宋体" w:hAnsi="宋体" w:cs="宋体" w:eastAsia="宋体" w:hint="default"/>
                <w:sz w:val="18"/>
                <w:szCs w:val="18"/>
              </w:rPr>
            </w:pPr>
            <w:r>
              <w:rPr>
                <w:rFonts w:ascii="宋体"/>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center"/>
              <w:rPr>
                <w:rFonts w:ascii="宋体" w:hAnsi="宋体" w:cs="宋体" w:eastAsia="宋体" w:hint="default"/>
                <w:sz w:val="18"/>
                <w:szCs w:val="18"/>
              </w:rPr>
            </w:pPr>
            <w:r>
              <w:rPr>
                <w:rFonts w:ascii="宋体"/>
                <w:sz w:val="18"/>
              </w:rPr>
              <w:t>1,435,</w:t>
            </w:r>
          </w:p>
          <w:p>
            <w:pPr>
              <w:pStyle w:val="TableParagraph"/>
              <w:spacing w:line="240" w:lineRule="auto" w:before="76"/>
              <w:ind w:left="62" w:right="0"/>
              <w:jc w:val="center"/>
              <w:rPr>
                <w:rFonts w:ascii="宋体" w:hAnsi="宋体" w:cs="宋体" w:eastAsia="宋体" w:hint="default"/>
                <w:sz w:val="18"/>
                <w:szCs w:val="18"/>
              </w:rPr>
            </w:pPr>
            <w:r>
              <w:rPr>
                <w:rFonts w:ascii="宋体"/>
                <w:sz w:val="18"/>
              </w:rPr>
              <w:t>916,92</w:t>
            </w:r>
          </w:p>
          <w:p>
            <w:pPr>
              <w:pStyle w:val="TableParagraph"/>
              <w:spacing w:line="240" w:lineRule="auto" w:before="76"/>
              <w:ind w:left="242" w:right="0"/>
              <w:jc w:val="center"/>
              <w:rPr>
                <w:rFonts w:ascii="宋体" w:hAnsi="宋体" w:cs="宋体" w:eastAsia="宋体" w:hint="default"/>
                <w:sz w:val="18"/>
                <w:szCs w:val="18"/>
              </w:rPr>
            </w:pPr>
            <w:r>
              <w:rPr>
                <w:rFonts w:ascii="宋体"/>
                <w:sz w:val="18"/>
              </w:rPr>
              <w:t>9.12</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51"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2"/>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5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8"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53" w:right="6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9" w:right="7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7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8" w:right="0"/>
              <w:jc w:val="left"/>
              <w:rPr>
                <w:rFonts w:ascii="宋体" w:hAnsi="宋体" w:cs="宋体" w:eastAsia="宋体" w:hint="default"/>
                <w:sz w:val="18"/>
                <w:szCs w:val="18"/>
              </w:rPr>
            </w:pPr>
            <w:r>
              <w:rPr>
                <w:rFonts w:ascii="宋体"/>
                <w:sz w:val="18"/>
              </w:rPr>
              <w:t>291,9</w:t>
            </w:r>
          </w:p>
          <w:p>
            <w:pPr>
              <w:pStyle w:val="TableParagraph"/>
              <w:spacing w:line="240" w:lineRule="auto" w:before="76"/>
              <w:ind w:left="78" w:right="0"/>
              <w:jc w:val="left"/>
              <w:rPr>
                <w:rFonts w:ascii="宋体" w:hAnsi="宋体" w:cs="宋体" w:eastAsia="宋体" w:hint="default"/>
                <w:sz w:val="18"/>
                <w:szCs w:val="18"/>
              </w:rPr>
            </w:pPr>
            <w:r>
              <w:rPr>
                <w:rFonts w:ascii="宋体"/>
                <w:sz w:val="18"/>
              </w:rPr>
              <w:t>39,21</w:t>
            </w:r>
          </w:p>
          <w:p>
            <w:pPr>
              <w:pStyle w:val="TableParagraph"/>
              <w:spacing w:line="240" w:lineRule="auto" w:before="76"/>
              <w:ind w:left="169" w:right="0"/>
              <w:jc w:val="left"/>
              <w:rPr>
                <w:rFonts w:ascii="宋体" w:hAnsi="宋体" w:cs="宋体" w:eastAsia="宋体" w:hint="default"/>
                <w:sz w:val="18"/>
                <w:szCs w:val="18"/>
              </w:rPr>
            </w:pPr>
            <w:r>
              <w:rPr>
                <w:rFonts w:ascii="宋体"/>
                <w:sz w:val="18"/>
              </w:rPr>
              <w:t>3.00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602,15</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5,311.</w:t>
            </w:r>
          </w:p>
          <w:p>
            <w:pPr>
              <w:pStyle w:val="TableParagraph"/>
              <w:spacing w:line="240" w:lineRule="auto" w:before="76"/>
              <w:ind w:right="20"/>
              <w:jc w:val="right"/>
              <w:rPr>
                <w:rFonts w:ascii="宋体" w:hAnsi="宋体" w:cs="宋体" w:eastAsia="宋体" w:hint="default"/>
                <w:sz w:val="18"/>
                <w:szCs w:val="18"/>
              </w:rPr>
            </w:pPr>
            <w:r>
              <w:rPr>
                <w:rFonts w:ascii="宋体"/>
                <w:sz w:val="18"/>
              </w:rPr>
              <w:t>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33,688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,232.5</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301,89</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2,391.</w:t>
            </w:r>
          </w:p>
          <w:p>
            <w:pPr>
              <w:pStyle w:val="TableParagraph"/>
              <w:spacing w:line="240" w:lineRule="auto" w:before="76"/>
              <w:ind w:right="19"/>
              <w:jc w:val="right"/>
              <w:rPr>
                <w:rFonts w:ascii="宋体" w:hAnsi="宋体" w:cs="宋体" w:eastAsia="宋体" w:hint="default"/>
                <w:sz w:val="18"/>
                <w:szCs w:val="18"/>
              </w:rPr>
            </w:pPr>
            <w:r>
              <w:rPr>
                <w:rFonts w:ascii="宋体"/>
                <w:sz w:val="18"/>
              </w:rPr>
              <w:t>10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38,181</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,473.4</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 w:right="0"/>
              <w:jc w:val="center"/>
              <w:rPr>
                <w:rFonts w:ascii="宋体" w:hAnsi="宋体" w:cs="宋体" w:eastAsia="宋体" w:hint="default"/>
                <w:sz w:val="18"/>
                <w:szCs w:val="18"/>
              </w:rPr>
            </w:pPr>
            <w:r>
              <w:rPr>
                <w:rFonts w:ascii="宋体"/>
                <w:sz w:val="18"/>
              </w:rPr>
              <w:t>1,267,</w:t>
            </w:r>
          </w:p>
          <w:p>
            <w:pPr>
              <w:pStyle w:val="TableParagraph"/>
              <w:spacing w:line="240" w:lineRule="auto" w:before="76"/>
              <w:ind w:left="64" w:right="0"/>
              <w:jc w:val="center"/>
              <w:rPr>
                <w:rFonts w:ascii="宋体" w:hAnsi="宋体" w:cs="宋体" w:eastAsia="宋体" w:hint="default"/>
                <w:sz w:val="18"/>
                <w:szCs w:val="18"/>
              </w:rPr>
            </w:pPr>
            <w:r>
              <w:rPr>
                <w:rFonts w:ascii="宋体"/>
                <w:sz w:val="18"/>
              </w:rPr>
              <w:t>856,62</w:t>
            </w:r>
          </w:p>
          <w:p>
            <w:pPr>
              <w:pStyle w:val="TableParagraph"/>
              <w:spacing w:line="240" w:lineRule="auto" w:before="76"/>
              <w:ind w:left="244" w:right="0"/>
              <w:jc w:val="center"/>
              <w:rPr>
                <w:rFonts w:ascii="宋体" w:hAnsi="宋体" w:cs="宋体" w:eastAsia="宋体" w:hint="default"/>
                <w:sz w:val="18"/>
                <w:szCs w:val="18"/>
              </w:rPr>
            </w:pPr>
            <w:r>
              <w:rPr>
                <w:rFonts w:ascii="宋体"/>
                <w:sz w:val="18"/>
              </w:rPr>
              <w:t>1.83</w:t>
            </w:r>
          </w:p>
        </w:tc>
      </w:tr>
      <w:tr>
        <w:trPr>
          <w:trHeight w:val="40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122.639999pt;margin-top:233.300018pt;width:33.950pt;height:50.9pt;mso-position-horizontal-relative:page;mso-position-vertical-relative:page;z-index:-875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7"/>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28.699997pt;margin-top:233.300018pt;width:27.85pt;height:51.05pt;mso-position-horizontal-relative:page;mso-position-vertical-relative:page;z-index:-875896" coordorigin="2574,4666" coordsize="557,1021">
            <v:shape style="position:absolute;left:2574;top:4666;width:557;height:1021" coordorigin="2574,4666" coordsize="557,1021" path="m2574,4666l3131,4666,3131,5687,2574,5687,2574,4666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 w:right="0"/>
              <w:jc w:val="left"/>
              <w:rPr>
                <w:rFonts w:ascii="宋体" w:hAnsi="宋体" w:cs="宋体" w:eastAsia="宋体" w:hint="default"/>
                <w:sz w:val="18"/>
                <w:szCs w:val="18"/>
              </w:rPr>
            </w:pPr>
            <w:r>
              <w:rPr>
                <w:rFonts w:ascii="宋体"/>
                <w:sz w:val="18"/>
              </w:rPr>
              <w:t>291,9</w:t>
            </w:r>
          </w:p>
          <w:p>
            <w:pPr>
              <w:pStyle w:val="TableParagraph"/>
              <w:spacing w:line="240" w:lineRule="auto" w:before="76"/>
              <w:ind w:left="78" w:right="0"/>
              <w:jc w:val="left"/>
              <w:rPr>
                <w:rFonts w:ascii="宋体" w:hAnsi="宋体" w:cs="宋体" w:eastAsia="宋体" w:hint="default"/>
                <w:sz w:val="18"/>
                <w:szCs w:val="18"/>
              </w:rPr>
            </w:pPr>
            <w:r>
              <w:rPr>
                <w:rFonts w:ascii="宋体"/>
                <w:sz w:val="18"/>
              </w:rPr>
              <w:t>39,21</w:t>
            </w:r>
          </w:p>
          <w:p>
            <w:pPr>
              <w:pStyle w:val="TableParagraph"/>
              <w:spacing w:line="240" w:lineRule="auto" w:before="76"/>
              <w:ind w:left="169" w:right="0"/>
              <w:jc w:val="left"/>
              <w:rPr>
                <w:rFonts w:ascii="宋体" w:hAnsi="宋体" w:cs="宋体" w:eastAsia="宋体" w:hint="default"/>
                <w:sz w:val="18"/>
                <w:szCs w:val="18"/>
              </w:rPr>
            </w:pPr>
            <w:r>
              <w:rPr>
                <w:rFonts w:ascii="宋体"/>
                <w:sz w:val="18"/>
              </w:rPr>
              <w:t>3.00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602,15</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5,311.</w:t>
            </w:r>
          </w:p>
          <w:p>
            <w:pPr>
              <w:pStyle w:val="TableParagraph"/>
              <w:spacing w:line="240" w:lineRule="auto" w:before="76"/>
              <w:ind w:right="20"/>
              <w:jc w:val="right"/>
              <w:rPr>
                <w:rFonts w:ascii="宋体" w:hAnsi="宋体" w:cs="宋体" w:eastAsia="宋体" w:hint="default"/>
                <w:sz w:val="18"/>
                <w:szCs w:val="18"/>
              </w:rPr>
            </w:pPr>
            <w:r>
              <w:rPr>
                <w:rFonts w:ascii="宋体"/>
                <w:sz w:val="18"/>
              </w:rPr>
              <w:t>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33,688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,232.5</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301,89</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2,391.</w:t>
            </w:r>
          </w:p>
          <w:p>
            <w:pPr>
              <w:pStyle w:val="TableParagraph"/>
              <w:spacing w:line="240" w:lineRule="auto" w:before="76"/>
              <w:ind w:right="19"/>
              <w:jc w:val="right"/>
              <w:rPr>
                <w:rFonts w:ascii="宋体" w:hAnsi="宋体" w:cs="宋体" w:eastAsia="宋体" w:hint="default"/>
                <w:sz w:val="18"/>
                <w:szCs w:val="18"/>
              </w:rPr>
            </w:pPr>
            <w:r>
              <w:rPr>
                <w:rFonts w:ascii="宋体"/>
                <w:sz w:val="18"/>
              </w:rPr>
              <w:t>10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38,181</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,473.4</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sz w:val="18"/>
              </w:rPr>
              <w:t>1,267,</w:t>
            </w:r>
          </w:p>
          <w:p>
            <w:pPr>
              <w:pStyle w:val="TableParagraph"/>
              <w:spacing w:line="240" w:lineRule="auto" w:before="76"/>
              <w:ind w:left="64" w:right="0"/>
              <w:jc w:val="center"/>
              <w:rPr>
                <w:rFonts w:ascii="宋体" w:hAnsi="宋体" w:cs="宋体" w:eastAsia="宋体" w:hint="default"/>
                <w:sz w:val="18"/>
                <w:szCs w:val="18"/>
              </w:rPr>
            </w:pPr>
            <w:r>
              <w:rPr>
                <w:rFonts w:ascii="宋体"/>
                <w:sz w:val="18"/>
              </w:rPr>
              <w:t>856,62</w:t>
            </w:r>
          </w:p>
          <w:p>
            <w:pPr>
              <w:pStyle w:val="TableParagraph"/>
              <w:spacing w:line="240" w:lineRule="auto" w:before="76"/>
              <w:ind w:left="244" w:right="0"/>
              <w:jc w:val="center"/>
              <w:rPr>
                <w:rFonts w:ascii="宋体" w:hAnsi="宋体" w:cs="宋体" w:eastAsia="宋体" w:hint="default"/>
                <w:sz w:val="18"/>
                <w:szCs w:val="18"/>
              </w:rPr>
            </w:pPr>
            <w:r>
              <w:rPr>
                <w:rFonts w:ascii="宋体"/>
                <w:sz w:val="18"/>
              </w:rPr>
              <w:t>1.83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金额（减少以“－</w:t>
            </w:r>
            <w:r>
              <w:rPr>
                <w:rFonts w:ascii="宋体" w:hAnsi="宋体" w:cs="宋体" w:eastAsia="宋体" w:hint="default"/>
                <w:sz w:val="18"/>
                <w:szCs w:val="18"/>
              </w:rPr>
              <w:t> 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 w:right="0"/>
              <w:jc w:val="center"/>
              <w:rPr>
                <w:rFonts w:ascii="宋体" w:hAnsi="宋体" w:cs="宋体" w:eastAsia="宋体" w:hint="default"/>
                <w:sz w:val="18"/>
                <w:szCs w:val="18"/>
              </w:rPr>
            </w:pPr>
            <w:r>
              <w:rPr>
                <w:rFonts w:ascii="宋体"/>
                <w:sz w:val="18"/>
              </w:rPr>
              <w:t>58,38</w:t>
            </w:r>
          </w:p>
          <w:p>
            <w:pPr>
              <w:pStyle w:val="TableParagraph"/>
              <w:spacing w:line="240" w:lineRule="auto" w:before="76"/>
              <w:ind w:left="54" w:right="0"/>
              <w:jc w:val="center"/>
              <w:rPr>
                <w:rFonts w:ascii="宋体" w:hAnsi="宋体" w:cs="宋体" w:eastAsia="宋体" w:hint="default"/>
                <w:sz w:val="18"/>
                <w:szCs w:val="18"/>
              </w:rPr>
            </w:pPr>
            <w:r>
              <w:rPr>
                <w:rFonts w:ascii="宋体"/>
                <w:sz w:val="18"/>
              </w:rPr>
              <w:t>7,842</w:t>
            </w:r>
          </w:p>
          <w:p>
            <w:pPr>
              <w:pStyle w:val="TableParagraph"/>
              <w:spacing w:line="240" w:lineRule="auto" w:before="76"/>
              <w:ind w:left="234" w:right="0"/>
              <w:jc w:val="center"/>
              <w:rPr>
                <w:rFonts w:ascii="宋体" w:hAnsi="宋体" w:cs="宋体" w:eastAsia="宋体" w:hint="default"/>
                <w:sz w:val="18"/>
                <w:szCs w:val="18"/>
              </w:rPr>
            </w:pPr>
            <w:r>
              <w:rPr>
                <w:rFonts w:ascii="宋体"/>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-58,38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7,842.</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sz w:val="18"/>
              </w:rPr>
              <w:t>4,897,</w:t>
            </w:r>
          </w:p>
          <w:p>
            <w:pPr>
              <w:pStyle w:val="TableParagraph"/>
              <w:spacing w:line="240" w:lineRule="auto" w:before="76"/>
              <w:ind w:left="91" w:right="0"/>
              <w:jc w:val="left"/>
              <w:rPr>
                <w:rFonts w:ascii="宋体" w:hAnsi="宋体" w:cs="宋体" w:eastAsia="宋体" w:hint="default"/>
                <w:sz w:val="18"/>
                <w:szCs w:val="18"/>
              </w:rPr>
            </w:pPr>
            <w:r>
              <w:rPr>
                <w:rFonts w:ascii="宋体"/>
                <w:sz w:val="18"/>
              </w:rPr>
              <w:t>188.53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57,378</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,534.9</w:t>
            </w:r>
          </w:p>
          <w:p>
            <w:pPr>
              <w:pStyle w:val="TableParagraph"/>
              <w:spacing w:line="240" w:lineRule="auto" w:before="76"/>
              <w:ind w:right="21"/>
              <w:jc w:val="right"/>
              <w:rPr>
                <w:rFonts w:ascii="宋体" w:hAnsi="宋体" w:cs="宋体" w:eastAsia="宋体" w:hint="default"/>
                <w:sz w:val="18"/>
                <w:szCs w:val="18"/>
              </w:rPr>
            </w:pPr>
            <w:r>
              <w:rPr>
                <w:rFonts w:ascii="宋体"/>
                <w:sz w:val="18"/>
              </w:rPr>
              <w:t>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8" w:right="0"/>
              <w:jc w:val="left"/>
              <w:rPr>
                <w:rFonts w:ascii="宋体" w:hAnsi="宋体" w:cs="宋体" w:eastAsia="宋体" w:hint="default"/>
                <w:sz w:val="18"/>
                <w:szCs w:val="18"/>
              </w:rPr>
            </w:pPr>
            <w:r>
              <w:rPr>
                <w:rFonts w:ascii="宋体"/>
                <w:sz w:val="18"/>
              </w:rPr>
              <w:t>3,906,</w:t>
            </w:r>
          </w:p>
          <w:p>
            <w:pPr>
              <w:pStyle w:val="TableParagraph"/>
              <w:spacing w:line="240" w:lineRule="auto" w:before="76"/>
              <w:ind w:left="78" w:right="0"/>
              <w:jc w:val="left"/>
              <w:rPr>
                <w:rFonts w:ascii="宋体" w:hAnsi="宋体" w:cs="宋体" w:eastAsia="宋体" w:hint="default"/>
                <w:sz w:val="18"/>
                <w:szCs w:val="18"/>
              </w:rPr>
            </w:pPr>
            <w:r>
              <w:rPr>
                <w:rFonts w:ascii="宋体"/>
                <w:sz w:val="18"/>
              </w:rPr>
              <w:t>549.00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66,182</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,272.4</w:t>
            </w:r>
          </w:p>
          <w:p>
            <w:pPr>
              <w:pStyle w:val="TableParagraph"/>
              <w:spacing w:line="240" w:lineRule="auto" w:before="76"/>
              <w:ind w:right="22"/>
              <w:jc w:val="right"/>
              <w:rPr>
                <w:rFonts w:ascii="宋体" w:hAnsi="宋体" w:cs="宋体" w:eastAsia="宋体" w:hint="default"/>
                <w:sz w:val="18"/>
                <w:szCs w:val="18"/>
              </w:rPr>
            </w:pPr>
            <w:r>
              <w:rPr>
                <w:rFonts w:ascii="宋体"/>
                <w:sz w:val="18"/>
              </w:rPr>
              <w:t>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76,872</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,684.1</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78" w:right="0"/>
              <w:jc w:val="left"/>
              <w:rPr>
                <w:rFonts w:ascii="宋体" w:hAnsi="宋体" w:cs="宋体" w:eastAsia="宋体" w:hint="default"/>
                <w:sz w:val="18"/>
                <w:szCs w:val="18"/>
              </w:rPr>
            </w:pPr>
            <w:r>
              <w:rPr>
                <w:rFonts w:ascii="宋体"/>
                <w:sz w:val="18"/>
              </w:rPr>
              <w:t>6,305,</w:t>
            </w:r>
          </w:p>
          <w:p>
            <w:pPr>
              <w:pStyle w:val="TableParagraph"/>
              <w:spacing w:line="240" w:lineRule="auto" w:before="76"/>
              <w:ind w:left="78" w:right="0"/>
              <w:jc w:val="left"/>
              <w:rPr>
                <w:rFonts w:ascii="宋体" w:hAnsi="宋体" w:cs="宋体" w:eastAsia="宋体" w:hint="default"/>
                <w:sz w:val="18"/>
                <w:szCs w:val="18"/>
              </w:rPr>
            </w:pPr>
            <w:r>
              <w:rPr>
                <w:rFonts w:ascii="宋体"/>
                <w:sz w:val="18"/>
              </w:rPr>
              <w:t>970.02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83,178</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,654.1</w:t>
            </w:r>
          </w:p>
          <w:p>
            <w:pPr>
              <w:pStyle w:val="TableParagraph"/>
              <w:spacing w:line="240" w:lineRule="auto" w:before="76"/>
              <w:ind w:right="22"/>
              <w:jc w:val="right"/>
              <w:rPr>
                <w:rFonts w:ascii="宋体" w:hAnsi="宋体" w:cs="宋体" w:eastAsia="宋体" w:hint="default"/>
                <w:sz w:val="18"/>
                <w:szCs w:val="18"/>
              </w:rPr>
            </w:pPr>
            <w:r>
              <w:rPr>
                <w:rFonts w:ascii="宋体"/>
                <w:sz w:val="18"/>
              </w:rPr>
              <w:t>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1．股东投入的普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2．其他权益工具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3．股份支付计入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4,897,</w:t>
            </w:r>
          </w:p>
          <w:p>
            <w:pPr>
              <w:pStyle w:val="TableParagraph"/>
              <w:spacing w:line="240" w:lineRule="auto" w:before="76"/>
              <w:ind w:left="91" w:right="0"/>
              <w:jc w:val="left"/>
              <w:rPr>
                <w:rFonts w:ascii="宋体" w:hAnsi="宋体" w:cs="宋体" w:eastAsia="宋体" w:hint="default"/>
                <w:sz w:val="18"/>
                <w:szCs w:val="18"/>
              </w:rPr>
            </w:pPr>
            <w:r>
              <w:rPr>
                <w:rFonts w:ascii="宋体"/>
                <w:sz w:val="18"/>
              </w:rPr>
              <w:t>188.53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-19,49</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4,149.</w:t>
            </w:r>
          </w:p>
          <w:p>
            <w:pPr>
              <w:pStyle w:val="TableParagraph"/>
              <w:spacing w:line="240" w:lineRule="auto" w:before="76"/>
              <w:ind w:right="19"/>
              <w:jc w:val="right"/>
              <w:rPr>
                <w:rFonts w:ascii="宋体" w:hAnsi="宋体" w:cs="宋体" w:eastAsia="宋体" w:hint="default"/>
                <w:sz w:val="18"/>
                <w:szCs w:val="18"/>
              </w:rPr>
            </w:pPr>
            <w:r>
              <w:rPr>
                <w:rFonts w:ascii="宋体"/>
                <w:sz w:val="18"/>
              </w:rPr>
              <w:t>18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-2,399</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,421.0</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-16,99</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6,381.</w:t>
            </w:r>
          </w:p>
          <w:p>
            <w:pPr>
              <w:pStyle w:val="TableParagraph"/>
              <w:spacing w:line="240" w:lineRule="auto" w:before="76"/>
              <w:ind w:right="19"/>
              <w:jc w:val="right"/>
              <w:rPr>
                <w:rFonts w:ascii="宋体" w:hAnsi="宋体" w:cs="宋体" w:eastAsia="宋体" w:hint="default"/>
                <w:sz w:val="18"/>
                <w:szCs w:val="18"/>
              </w:rPr>
            </w:pPr>
            <w:r>
              <w:rPr>
                <w:rFonts w:ascii="宋体"/>
                <w:sz w:val="18"/>
              </w:rPr>
              <w:t>67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sz w:val="18"/>
              </w:rPr>
              <w:t>4,897,</w:t>
            </w:r>
          </w:p>
          <w:p>
            <w:pPr>
              <w:pStyle w:val="TableParagraph"/>
              <w:spacing w:line="240" w:lineRule="auto" w:before="76"/>
              <w:ind w:left="91" w:right="0"/>
              <w:jc w:val="left"/>
              <w:rPr>
                <w:rFonts w:ascii="宋体" w:hAnsi="宋体" w:cs="宋体" w:eastAsia="宋体" w:hint="default"/>
                <w:sz w:val="18"/>
                <w:szCs w:val="18"/>
              </w:rPr>
            </w:pPr>
            <w:r>
              <w:rPr>
                <w:rFonts w:ascii="宋体"/>
                <w:sz w:val="18"/>
              </w:rPr>
              <w:t>188.53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-4,897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,188.5</w:t>
            </w:r>
          </w:p>
          <w:p>
            <w:pPr>
              <w:pStyle w:val="TableParagraph"/>
              <w:spacing w:line="240" w:lineRule="auto" w:before="76"/>
              <w:ind w:right="21"/>
              <w:jc w:val="right"/>
              <w:rPr>
                <w:rFonts w:ascii="宋体" w:hAnsi="宋体" w:cs="宋体" w:eastAsia="宋体" w:hint="default"/>
                <w:sz w:val="18"/>
                <w:szCs w:val="18"/>
              </w:rPr>
            </w:pPr>
            <w:r>
              <w:rPr>
                <w:rFonts w:ascii="宋体"/>
                <w:sz w:val="18"/>
              </w:rPr>
              <w:t>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2．提取一般风险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3．对所有者（或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-14,59</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6,960.</w:t>
            </w:r>
          </w:p>
          <w:p>
            <w:pPr>
              <w:pStyle w:val="TableParagraph"/>
              <w:spacing w:line="240" w:lineRule="auto" w:before="76"/>
              <w:ind w:right="19"/>
              <w:jc w:val="right"/>
              <w:rPr>
                <w:rFonts w:ascii="宋体" w:hAnsi="宋体" w:cs="宋体" w:eastAsia="宋体" w:hint="default"/>
                <w:sz w:val="18"/>
                <w:szCs w:val="18"/>
              </w:rPr>
            </w:pPr>
            <w:r>
              <w:rPr>
                <w:rFonts w:ascii="宋体"/>
                <w:sz w:val="18"/>
              </w:rPr>
              <w:t>65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-2,399</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,421.0</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-16,99</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6,381.</w:t>
            </w:r>
          </w:p>
          <w:p>
            <w:pPr>
              <w:pStyle w:val="TableParagraph"/>
              <w:spacing w:line="240" w:lineRule="auto" w:before="76"/>
              <w:ind w:right="19"/>
              <w:jc w:val="right"/>
              <w:rPr>
                <w:rFonts w:ascii="宋体" w:hAnsi="宋体" w:cs="宋体" w:eastAsia="宋体" w:hint="default"/>
                <w:sz w:val="18"/>
                <w:szCs w:val="18"/>
              </w:rPr>
            </w:pPr>
            <w:r>
              <w:rPr>
                <w:rFonts w:ascii="宋体"/>
                <w:sz w:val="18"/>
              </w:rPr>
              <w:t>67</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8" w:right="0"/>
              <w:jc w:val="left"/>
              <w:rPr>
                <w:rFonts w:ascii="宋体" w:hAnsi="宋体" w:cs="宋体" w:eastAsia="宋体" w:hint="default"/>
                <w:sz w:val="18"/>
                <w:szCs w:val="18"/>
              </w:rPr>
            </w:pPr>
            <w:r>
              <w:rPr>
                <w:rFonts w:ascii="宋体"/>
                <w:sz w:val="18"/>
              </w:rPr>
              <w:t>58,38</w:t>
            </w:r>
          </w:p>
          <w:p>
            <w:pPr>
              <w:pStyle w:val="TableParagraph"/>
              <w:spacing w:line="240" w:lineRule="auto" w:before="76"/>
              <w:ind w:left="78" w:right="0"/>
              <w:jc w:val="left"/>
              <w:rPr>
                <w:rFonts w:ascii="宋体" w:hAnsi="宋体" w:cs="宋体" w:eastAsia="宋体" w:hint="default"/>
                <w:sz w:val="18"/>
                <w:szCs w:val="18"/>
              </w:rPr>
            </w:pPr>
            <w:r>
              <w:rPr>
                <w:rFonts w:ascii="宋体"/>
                <w:sz w:val="18"/>
              </w:rPr>
              <w:t>7,842</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90" w:right="0"/>
              <w:jc w:val="left"/>
              <w:rPr>
                <w:rFonts w:ascii="宋体" w:hAnsi="宋体" w:cs="宋体" w:eastAsia="宋体" w:hint="default"/>
                <w:sz w:val="18"/>
                <w:szCs w:val="18"/>
              </w:rPr>
            </w:pPr>
            <w:r>
              <w:rPr>
                <w:rFonts w:ascii="宋体"/>
                <w:sz w:val="18"/>
              </w:rPr>
              <w:t>-58,38</w:t>
            </w:r>
          </w:p>
          <w:p>
            <w:pPr>
              <w:pStyle w:val="TableParagraph"/>
              <w:spacing w:line="240" w:lineRule="auto" w:before="76"/>
              <w:ind w:left="90" w:right="0"/>
              <w:jc w:val="left"/>
              <w:rPr>
                <w:rFonts w:ascii="宋体" w:hAnsi="宋体" w:cs="宋体" w:eastAsia="宋体" w:hint="default"/>
                <w:sz w:val="18"/>
                <w:szCs w:val="18"/>
              </w:rPr>
            </w:pPr>
            <w:r>
              <w:rPr>
                <w:rFonts w:ascii="宋体"/>
                <w:sz w:val="18"/>
              </w:rPr>
              <w:t>7,842.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122.879997pt;margin-top:700.75pt;width:40.35pt;height:50.95pt;mso-position-horizontal-relative:page;mso-position-vertical-relative:page;z-index:-875848" type="#_x0000_t202" filled="false" stroked="false">
            <v:textbox inset="0,0,0,0">
              <w:txbxContent>
                <w:p>
                  <w:pPr>
                    <w:spacing w:line="240" w:lineRule="auto" w:before="0"/>
                    <w:rPr>
                      <w:rFonts w:ascii="宋体" w:hAnsi="宋体" w:cs="宋体" w:eastAsia="宋体" w:hint="default"/>
                      <w:sz w:val="18"/>
                      <w:szCs w:val="18"/>
                    </w:rPr>
                  </w:pPr>
                </w:p>
                <w:p>
                  <w:pPr>
                    <w:spacing w:before="13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8" w:right="0"/>
              <w:jc w:val="left"/>
              <w:rPr>
                <w:rFonts w:ascii="宋体" w:hAnsi="宋体" w:cs="宋体" w:eastAsia="宋体" w:hint="default"/>
                <w:sz w:val="18"/>
                <w:szCs w:val="18"/>
              </w:rPr>
            </w:pPr>
            <w:r>
              <w:rPr>
                <w:rFonts w:ascii="宋体"/>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1．资本公积转增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 w:right="0"/>
              <w:jc w:val="center"/>
              <w:rPr>
                <w:rFonts w:ascii="宋体" w:hAnsi="宋体" w:cs="宋体" w:eastAsia="宋体" w:hint="default"/>
                <w:sz w:val="18"/>
                <w:szCs w:val="18"/>
              </w:rPr>
            </w:pPr>
            <w:r>
              <w:rPr>
                <w:rFonts w:ascii="宋体"/>
                <w:sz w:val="18"/>
              </w:rPr>
              <w:t>58,38</w:t>
            </w:r>
          </w:p>
          <w:p>
            <w:pPr>
              <w:pStyle w:val="TableParagraph"/>
              <w:spacing w:line="240" w:lineRule="auto" w:before="76"/>
              <w:ind w:left="54" w:right="0"/>
              <w:jc w:val="center"/>
              <w:rPr>
                <w:rFonts w:ascii="宋体" w:hAnsi="宋体" w:cs="宋体" w:eastAsia="宋体" w:hint="default"/>
                <w:sz w:val="18"/>
                <w:szCs w:val="18"/>
              </w:rPr>
            </w:pPr>
            <w:r>
              <w:rPr>
                <w:rFonts w:ascii="宋体"/>
                <w:sz w:val="18"/>
              </w:rPr>
              <w:t>7,842</w:t>
            </w:r>
          </w:p>
          <w:p>
            <w:pPr>
              <w:pStyle w:val="TableParagraph"/>
              <w:spacing w:line="240" w:lineRule="auto" w:before="76"/>
              <w:ind w:left="234" w:right="0"/>
              <w:jc w:val="center"/>
              <w:rPr>
                <w:rFonts w:ascii="宋体" w:hAnsi="宋体" w:cs="宋体" w:eastAsia="宋体" w:hint="default"/>
                <w:sz w:val="18"/>
                <w:szCs w:val="18"/>
              </w:rPr>
            </w:pPr>
            <w:r>
              <w:rPr>
                <w:rFonts w:ascii="宋体"/>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-58,38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7,842.</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2．盈余公积转增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3．盈余公积弥补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8" w:right="0"/>
              <w:jc w:val="left"/>
              <w:rPr>
                <w:rFonts w:ascii="宋体" w:hAnsi="宋体" w:cs="宋体" w:eastAsia="宋体" w:hint="default"/>
                <w:sz w:val="18"/>
                <w:szCs w:val="18"/>
              </w:rPr>
            </w:pPr>
            <w:r>
              <w:rPr>
                <w:rFonts w:ascii="宋体"/>
                <w:sz w:val="18"/>
              </w:rPr>
              <w:t>350,3</w:t>
            </w:r>
          </w:p>
          <w:p>
            <w:pPr>
              <w:pStyle w:val="TableParagraph"/>
              <w:spacing w:line="240" w:lineRule="auto" w:before="76"/>
              <w:ind w:left="78" w:right="0"/>
              <w:jc w:val="left"/>
              <w:rPr>
                <w:rFonts w:ascii="宋体" w:hAnsi="宋体" w:cs="宋体" w:eastAsia="宋体" w:hint="default"/>
                <w:sz w:val="18"/>
                <w:szCs w:val="18"/>
              </w:rPr>
            </w:pPr>
            <w:r>
              <w:rPr>
                <w:rFonts w:ascii="宋体"/>
                <w:sz w:val="18"/>
              </w:rPr>
              <w:t>27,05</w:t>
            </w:r>
          </w:p>
          <w:p>
            <w:pPr>
              <w:pStyle w:val="TableParagraph"/>
              <w:spacing w:line="240" w:lineRule="auto" w:before="76"/>
              <w:ind w:left="169" w:right="0"/>
              <w:jc w:val="left"/>
              <w:rPr>
                <w:rFonts w:ascii="宋体" w:hAnsi="宋体" w:cs="宋体" w:eastAsia="宋体" w:hint="default"/>
                <w:sz w:val="18"/>
                <w:szCs w:val="18"/>
              </w:rPr>
            </w:pPr>
            <w:r>
              <w:rPr>
                <w:rFonts w:ascii="宋体"/>
                <w:sz w:val="18"/>
              </w:rPr>
              <w:t>5.00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543,76</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7,469.</w:t>
            </w:r>
          </w:p>
          <w:p>
            <w:pPr>
              <w:pStyle w:val="TableParagraph"/>
              <w:spacing w:line="240" w:lineRule="auto" w:before="76"/>
              <w:ind w:right="20"/>
              <w:jc w:val="right"/>
              <w:rPr>
                <w:rFonts w:ascii="宋体" w:hAnsi="宋体" w:cs="宋体" w:eastAsia="宋体" w:hint="default"/>
                <w:sz w:val="18"/>
                <w:szCs w:val="18"/>
              </w:rPr>
            </w:pPr>
            <w:r>
              <w:rPr>
                <w:rFonts w:ascii="宋体"/>
                <w:sz w:val="18"/>
              </w:rPr>
              <w:t>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38,585</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,421.0</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359,27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0,926.</w:t>
            </w:r>
          </w:p>
          <w:p>
            <w:pPr>
              <w:pStyle w:val="TableParagraph"/>
              <w:spacing w:line="240" w:lineRule="auto" w:before="76"/>
              <w:ind w:right="19"/>
              <w:jc w:val="right"/>
              <w:rPr>
                <w:rFonts w:ascii="宋体" w:hAnsi="宋体" w:cs="宋体" w:eastAsia="宋体" w:hint="default"/>
                <w:sz w:val="18"/>
                <w:szCs w:val="18"/>
              </w:rPr>
            </w:pPr>
            <w:r>
              <w:rPr>
                <w:rFonts w:ascii="宋体"/>
                <w:sz w:val="18"/>
              </w:rPr>
              <w:t>02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42,088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,022.4</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 w:right="0"/>
              <w:jc w:val="center"/>
              <w:rPr>
                <w:rFonts w:ascii="宋体" w:hAnsi="宋体" w:cs="宋体" w:eastAsia="宋体" w:hint="default"/>
                <w:sz w:val="18"/>
                <w:szCs w:val="18"/>
              </w:rPr>
            </w:pPr>
            <w:r>
              <w:rPr>
                <w:rFonts w:ascii="宋体"/>
                <w:sz w:val="18"/>
              </w:rPr>
              <w:t>1,334,</w:t>
            </w:r>
          </w:p>
          <w:p>
            <w:pPr>
              <w:pStyle w:val="TableParagraph"/>
              <w:spacing w:line="240" w:lineRule="auto" w:before="76"/>
              <w:ind w:left="64" w:right="0"/>
              <w:jc w:val="center"/>
              <w:rPr>
                <w:rFonts w:ascii="宋体" w:hAnsi="宋体" w:cs="宋体" w:eastAsia="宋体" w:hint="default"/>
                <w:sz w:val="18"/>
                <w:szCs w:val="18"/>
              </w:rPr>
            </w:pPr>
            <w:r>
              <w:rPr>
                <w:rFonts w:ascii="宋体"/>
                <w:sz w:val="18"/>
              </w:rPr>
              <w:t>038,89</w:t>
            </w:r>
          </w:p>
          <w:p>
            <w:pPr>
              <w:pStyle w:val="TableParagraph"/>
              <w:spacing w:line="240" w:lineRule="auto" w:before="76"/>
              <w:ind w:left="244" w:right="0"/>
              <w:jc w:val="center"/>
              <w:rPr>
                <w:rFonts w:ascii="宋体" w:hAnsi="宋体" w:cs="宋体" w:eastAsia="宋体" w:hint="default"/>
                <w:sz w:val="18"/>
                <w:szCs w:val="18"/>
              </w:rPr>
            </w:pPr>
            <w:r>
              <w:rPr>
                <w:rFonts w:ascii="宋体"/>
                <w:sz w:val="18"/>
              </w:rPr>
              <w:t>4.28</w:t>
            </w:r>
          </w:p>
        </w:tc>
      </w:tr>
    </w:tbl>
    <w:p>
      <w:pPr>
        <w:spacing w:line="240" w:lineRule="auto" w:before="0"/>
        <w:rPr>
          <w:rFonts w:ascii="Times New Roman" w:hAnsi="Times New Roman" w:cs="Times New Roman" w:eastAsia="Times New Roman" w:hint="default"/>
          <w:sz w:val="22"/>
          <w:szCs w:val="22"/>
        </w:rPr>
      </w:pPr>
    </w:p>
    <w:p>
      <w:pPr>
        <w:pStyle w:val="Heading5"/>
        <w:spacing w:line="240" w:lineRule="auto" w:before="34"/>
        <w:ind w:right="0"/>
        <w:jc w:val="left"/>
        <w:rPr>
          <w:b w:val="0"/>
          <w:bCs w:val="0"/>
        </w:rPr>
      </w:pPr>
      <w:r>
        <w:rPr/>
        <w:t>8、母公司所有者权益变动表</w:t>
      </w:r>
      <w:r>
        <w:rPr>
          <w:b w:val="0"/>
          <w:bCs w:val="0"/>
        </w:rPr>
      </w:r>
    </w:p>
    <w:p>
      <w:pPr>
        <w:spacing w:line="240" w:lineRule="auto" w:before="4"/>
        <w:rPr>
          <w:rFonts w:ascii="宋体" w:hAnsi="宋体" w:cs="宋体" w:eastAsia="宋体" w:hint="default"/>
          <w:b/>
          <w:bCs/>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350,327</w:t>
            </w:r>
          </w:p>
          <w:p>
            <w:pPr>
              <w:pStyle w:val="TableParagraph"/>
              <w:spacing w:line="240" w:lineRule="auto" w:before="76"/>
              <w:ind w:left="28" w:right="0"/>
              <w:jc w:val="left"/>
              <w:rPr>
                <w:rFonts w:ascii="宋体" w:hAnsi="宋体" w:cs="宋体" w:eastAsia="宋体" w:hint="default"/>
                <w:sz w:val="18"/>
                <w:szCs w:val="18"/>
              </w:rPr>
            </w:pPr>
            <w:r>
              <w:rPr>
                <w:rFonts w:ascii="宋体"/>
                <w:sz w:val="18"/>
              </w:rPr>
              <w:t>,055.00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z w:val="18"/>
              </w:rPr>
              <w:t>543,767,</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469.75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38,151,6</w:t>
            </w:r>
          </w:p>
          <w:p>
            <w:pPr>
              <w:pStyle w:val="TableParagraph"/>
              <w:spacing w:line="240" w:lineRule="auto" w:before="76"/>
              <w:ind w:left="313" w:right="0"/>
              <w:jc w:val="left"/>
              <w:rPr>
                <w:rFonts w:ascii="宋体" w:hAnsi="宋体" w:cs="宋体" w:eastAsia="宋体" w:hint="default"/>
                <w:sz w:val="18"/>
                <w:szCs w:val="18"/>
              </w:rPr>
            </w:pPr>
            <w:r>
              <w:rPr>
                <w:rFonts w:ascii="宋体"/>
                <w:sz w:val="18"/>
              </w:rPr>
              <w:t>01.34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230,15</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5,552.</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1,162,40</w:t>
            </w:r>
          </w:p>
          <w:p>
            <w:pPr>
              <w:pStyle w:val="TableParagraph"/>
              <w:spacing w:line="240" w:lineRule="auto" w:before="76"/>
              <w:ind w:left="28" w:right="0"/>
              <w:jc w:val="left"/>
              <w:rPr>
                <w:rFonts w:ascii="宋体" w:hAnsi="宋体" w:cs="宋体" w:eastAsia="宋体" w:hint="default"/>
                <w:sz w:val="18"/>
                <w:szCs w:val="18"/>
              </w:rPr>
            </w:pPr>
            <w:r>
              <w:rPr>
                <w:rFonts w:ascii="宋体"/>
                <w:sz w:val="18"/>
              </w:rPr>
              <w:t>1,678.09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350,327</w:t>
            </w:r>
          </w:p>
          <w:p>
            <w:pPr>
              <w:pStyle w:val="TableParagraph"/>
              <w:spacing w:line="240" w:lineRule="auto" w:before="76"/>
              <w:ind w:left="28" w:right="0"/>
              <w:jc w:val="left"/>
              <w:rPr>
                <w:rFonts w:ascii="宋体" w:hAnsi="宋体" w:cs="宋体" w:eastAsia="宋体" w:hint="default"/>
                <w:sz w:val="18"/>
                <w:szCs w:val="18"/>
              </w:rPr>
            </w:pPr>
            <w:r>
              <w:rPr>
                <w:rFonts w:ascii="宋体"/>
                <w:sz w:val="18"/>
              </w:rPr>
              <w:t>,055.00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z w:val="18"/>
              </w:rPr>
              <w:t>543,767,</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469.75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38,151,6</w:t>
            </w:r>
          </w:p>
          <w:p>
            <w:pPr>
              <w:pStyle w:val="TableParagraph"/>
              <w:spacing w:line="240" w:lineRule="auto" w:before="76"/>
              <w:ind w:left="313" w:right="0"/>
              <w:jc w:val="left"/>
              <w:rPr>
                <w:rFonts w:ascii="宋体" w:hAnsi="宋体" w:cs="宋体" w:eastAsia="宋体" w:hint="default"/>
                <w:sz w:val="18"/>
                <w:szCs w:val="18"/>
              </w:rPr>
            </w:pPr>
            <w:r>
              <w:rPr>
                <w:rFonts w:ascii="宋体"/>
                <w:sz w:val="18"/>
              </w:rPr>
              <w:t>01.34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230,15</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5,552.</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1,162,40</w:t>
            </w:r>
          </w:p>
          <w:p>
            <w:pPr>
              <w:pStyle w:val="TableParagraph"/>
              <w:spacing w:line="240" w:lineRule="auto" w:before="76"/>
              <w:ind w:left="28" w:right="0"/>
              <w:jc w:val="left"/>
              <w:rPr>
                <w:rFonts w:ascii="宋体" w:hAnsi="宋体" w:cs="宋体" w:eastAsia="宋体" w:hint="default"/>
                <w:sz w:val="18"/>
                <w:szCs w:val="18"/>
              </w:rPr>
            </w:pPr>
            <w:r>
              <w:rPr>
                <w:rFonts w:ascii="宋体"/>
                <w:sz w:val="18"/>
              </w:rPr>
              <w:t>1,678.09</w:t>
            </w:r>
          </w:p>
        </w:tc>
      </w:tr>
      <w:tr>
        <w:trPr>
          <w:trHeight w:val="102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8"/>
                <w:sz w:val="18"/>
                <w:szCs w:val="18"/>
              </w:rPr>
              <w:t>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021" w:lineRule="exact"/>
              <w:ind w:left="-2" w:right="-53"/>
              <w:jc w:val="left"/>
              <w:rPr>
                <w:rFonts w:ascii="宋体" w:hAnsi="宋体" w:cs="宋体" w:eastAsia="宋体" w:hint="default"/>
                <w:sz w:val="20"/>
                <w:szCs w:val="20"/>
              </w:rPr>
            </w:pPr>
            <w:r>
              <w:rPr>
                <w:rFonts w:ascii="宋体" w:hAnsi="宋体" w:cs="宋体" w:eastAsia="宋体" w:hint="default"/>
                <w:position w:val="-19"/>
                <w:sz w:val="20"/>
                <w:szCs w:val="20"/>
              </w:rPr>
              <w:pict>
                <v:group style="width:34.3pt;height:51.05pt;mso-position-horizontal-relative:char;mso-position-vertical-relative:line" coordorigin="0,0" coordsize="686,1021">
                  <v:group style="position:absolute;left:0;top:0;width:686;height:1021" coordorigin="0,0" coordsize="686,1021">
                    <v:shape style="position:absolute;left:0;top:0;width:686;height:1021" coordorigin="0,0" coordsize="686,1021" path="m0,0l686,0,686,1021,0,1021,0,0xe" filled="true" fillcolor="#ffffff" stroked="false">
                      <v:path arrowok="t"/>
                      <v:fill type="solid"/>
                    </v:shape>
                  </v:group>
                </v:group>
              </w:pict>
            </w:r>
            <w:r>
              <w:rPr>
                <w:rFonts w:ascii="宋体" w:hAnsi="宋体" w:cs="宋体" w:eastAsia="宋体" w:hint="default"/>
                <w:position w:val="-19"/>
                <w:sz w:val="20"/>
                <w:szCs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5,762,71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5.00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34,348</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,082.2</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40,110,7</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97.24</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57,627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,149.9</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sz w:val="18"/>
              </w:rPr>
              <w:t>57,627,1</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49.99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5"/>
              <w:jc w:val="left"/>
              <w:rPr>
                <w:rFonts w:ascii="宋体" w:hAnsi="宋体" w:cs="宋体" w:eastAsia="宋体" w:hint="default"/>
                <w:sz w:val="18"/>
                <w:szCs w:val="18"/>
              </w:rPr>
            </w:pPr>
            <w:r>
              <w:rPr>
                <w:rFonts w:ascii="宋体" w:hAnsi="宋体" w:cs="宋体" w:eastAsia="宋体" w:hint="default"/>
                <w:sz w:val="18"/>
                <w:szCs w:val="18"/>
              </w:rPr>
              <w:t>1．股东投入的普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2．其他权益工具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5"/>
              <w:jc w:val="left"/>
              <w:rPr>
                <w:rFonts w:ascii="宋体" w:hAnsi="宋体" w:cs="宋体" w:eastAsia="宋体" w:hint="default"/>
                <w:sz w:val="18"/>
                <w:szCs w:val="18"/>
              </w:rPr>
            </w:pPr>
            <w:r>
              <w:rPr>
                <w:rFonts w:ascii="宋体" w:hAnsi="宋体" w:cs="宋体" w:eastAsia="宋体" w:hint="default"/>
                <w:sz w:val="18"/>
                <w:szCs w:val="18"/>
              </w:rPr>
              <w:t>3．股份支付计入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sz w:val="18"/>
              </w:rPr>
              <w:t>5,762,71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5.00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-23,27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9,067.</w:t>
            </w:r>
          </w:p>
          <w:p>
            <w:pPr>
              <w:pStyle w:val="TableParagraph"/>
              <w:spacing w:line="240" w:lineRule="auto" w:before="76"/>
              <w:ind w:right="20"/>
              <w:jc w:val="right"/>
              <w:rPr>
                <w:rFonts w:ascii="宋体" w:hAnsi="宋体" w:cs="宋体" w:eastAsia="宋体" w:hint="default"/>
                <w:sz w:val="18"/>
                <w:szCs w:val="18"/>
              </w:rPr>
            </w:pPr>
            <w:r>
              <w:rPr>
                <w:rFonts w:ascii="宋体"/>
                <w:sz w:val="18"/>
              </w:rPr>
              <w:t>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sz w:val="18"/>
              </w:rPr>
              <w:t>-17,516,</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352.75</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sz w:val="18"/>
              </w:rPr>
              <w:t>5,762,71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5.00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-5,762</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,715.0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2．对所有者（或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-17,51</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6,352.</w:t>
            </w:r>
          </w:p>
          <w:p>
            <w:pPr>
              <w:pStyle w:val="TableParagraph"/>
              <w:spacing w:line="240" w:lineRule="auto" w:before="76"/>
              <w:ind w:right="20"/>
              <w:jc w:val="right"/>
              <w:rPr>
                <w:rFonts w:ascii="宋体" w:hAnsi="宋体" w:cs="宋体" w:eastAsia="宋体" w:hint="default"/>
                <w:sz w:val="18"/>
                <w:szCs w:val="18"/>
              </w:rPr>
            </w:pPr>
            <w:r>
              <w:rPr>
                <w:rFonts w:ascii="宋体"/>
                <w:sz w:val="18"/>
              </w:rPr>
              <w:t>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sz w:val="18"/>
              </w:rPr>
              <w:t>-17,516,</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352.75</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1．资本公积转增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5"/>
              <w:jc w:val="left"/>
              <w:rPr>
                <w:rFonts w:ascii="宋体" w:hAnsi="宋体" w:cs="宋体" w:eastAsia="宋体" w:hint="default"/>
                <w:sz w:val="18"/>
                <w:szCs w:val="18"/>
              </w:rPr>
            </w:pPr>
            <w:r>
              <w:rPr>
                <w:rFonts w:ascii="宋体" w:hAnsi="宋体" w:cs="宋体" w:eastAsia="宋体" w:hint="default"/>
                <w:sz w:val="18"/>
                <w:szCs w:val="18"/>
              </w:rPr>
              <w:t>2．盈余公积转增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3．盈余公积弥补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sz w:val="18"/>
              </w:rPr>
              <w:t>350,327</w:t>
            </w:r>
          </w:p>
          <w:p>
            <w:pPr>
              <w:pStyle w:val="TableParagraph"/>
              <w:spacing w:line="240" w:lineRule="auto" w:before="76"/>
              <w:ind w:left="28" w:right="0"/>
              <w:jc w:val="left"/>
              <w:rPr>
                <w:rFonts w:ascii="宋体" w:hAnsi="宋体" w:cs="宋体" w:eastAsia="宋体" w:hint="default"/>
                <w:sz w:val="18"/>
                <w:szCs w:val="18"/>
              </w:rPr>
            </w:pPr>
            <w:r>
              <w:rPr>
                <w:rFonts w:ascii="宋体"/>
                <w:sz w:val="18"/>
              </w:rPr>
              <w:t>,055.00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sz w:val="18"/>
              </w:rPr>
              <w:t>543,767,</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469.75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43,914,3</w:t>
            </w:r>
          </w:p>
          <w:p>
            <w:pPr>
              <w:pStyle w:val="TableParagraph"/>
              <w:spacing w:line="240" w:lineRule="auto" w:before="76"/>
              <w:ind w:left="313" w:right="0"/>
              <w:jc w:val="left"/>
              <w:rPr>
                <w:rFonts w:ascii="宋体" w:hAnsi="宋体" w:cs="宋体" w:eastAsia="宋体" w:hint="default"/>
                <w:sz w:val="18"/>
                <w:szCs w:val="18"/>
              </w:rPr>
            </w:pPr>
            <w:r>
              <w:rPr>
                <w:rFonts w:ascii="宋体"/>
                <w:sz w:val="18"/>
              </w:rPr>
              <w:t>16.34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2" w:right="0"/>
              <w:jc w:val="left"/>
              <w:rPr>
                <w:rFonts w:ascii="宋体" w:hAnsi="宋体" w:cs="宋体" w:eastAsia="宋体" w:hint="default"/>
                <w:sz w:val="18"/>
                <w:szCs w:val="18"/>
              </w:rPr>
            </w:pPr>
            <w:r>
              <w:rPr>
                <w:rFonts w:ascii="宋体"/>
                <w:sz w:val="18"/>
              </w:rPr>
              <w:t>264,50</w:t>
            </w:r>
          </w:p>
          <w:p>
            <w:pPr>
              <w:pStyle w:val="TableParagraph"/>
              <w:spacing w:line="240" w:lineRule="auto" w:before="76"/>
              <w:ind w:left="102" w:right="0"/>
              <w:jc w:val="left"/>
              <w:rPr>
                <w:rFonts w:ascii="宋体" w:hAnsi="宋体" w:cs="宋体" w:eastAsia="宋体" w:hint="default"/>
                <w:sz w:val="18"/>
                <w:szCs w:val="18"/>
              </w:rPr>
            </w:pPr>
            <w:r>
              <w:rPr>
                <w:rFonts w:ascii="宋体"/>
                <w:sz w:val="18"/>
              </w:rPr>
              <w:t>3,634.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sz w:val="18"/>
              </w:rPr>
              <w:t>1,202,51</w:t>
            </w:r>
          </w:p>
          <w:p>
            <w:pPr>
              <w:pStyle w:val="TableParagraph"/>
              <w:spacing w:line="240" w:lineRule="auto" w:before="76"/>
              <w:ind w:left="28" w:right="0"/>
              <w:jc w:val="left"/>
              <w:rPr>
                <w:rFonts w:ascii="宋体" w:hAnsi="宋体" w:cs="宋体" w:eastAsia="宋体" w:hint="default"/>
                <w:sz w:val="18"/>
                <w:szCs w:val="18"/>
              </w:rPr>
            </w:pPr>
            <w:r>
              <w:rPr>
                <w:rFonts w:ascii="宋体"/>
                <w:sz w:val="18"/>
              </w:rPr>
              <w:t>2,475.33</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122.879997pt;margin-top:382.600037pt;width:40.35pt;height:50.9pt;mso-position-horizontal-relative:page;mso-position-vertical-relative:page;z-index:-875824" type="#_x0000_t202" filled="false" stroked="false">
            <v:textbox inset="0,0,0,0">
              <w:txbxContent>
                <w:p>
                  <w:pPr>
                    <w:spacing w:line="240" w:lineRule="auto" w:before="0"/>
                    <w:rPr>
                      <w:rFonts w:ascii="宋体" w:hAnsi="宋体" w:cs="宋体" w:eastAsia="宋体"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28.899994pt;margin-top:382.600037pt;width:34.3pt;height:51.05pt;mso-position-horizontal-relative:page;mso-position-vertical-relative:page;z-index:-875800" coordorigin="2578,7652" coordsize="686,1021">
            <v:shape style="position:absolute;left:2578;top:7652;width:686;height:1021" coordorigin="2578,7652" coordsize="686,1021" path="m2578,7652l3264,7652,3264,8673,2578,8673,2578,7652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24</w:t>
            </w: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291,939</w:t>
            </w:r>
          </w:p>
          <w:p>
            <w:pPr>
              <w:pStyle w:val="TableParagraph"/>
              <w:spacing w:line="240" w:lineRule="auto" w:before="76"/>
              <w:ind w:left="28" w:right="0"/>
              <w:jc w:val="left"/>
              <w:rPr>
                <w:rFonts w:ascii="宋体" w:hAnsi="宋体" w:cs="宋体" w:eastAsia="宋体" w:hint="default"/>
                <w:sz w:val="18"/>
                <w:szCs w:val="18"/>
              </w:rPr>
            </w:pPr>
            <w:r>
              <w:rPr>
                <w:rFonts w:ascii="宋体"/>
                <w:sz w:val="18"/>
              </w:rPr>
              <w:t>,213.00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z w:val="18"/>
              </w:rPr>
              <w:t>602,155,</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311.75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33,254,4</w:t>
            </w:r>
          </w:p>
          <w:p>
            <w:pPr>
              <w:pStyle w:val="TableParagraph"/>
              <w:spacing w:line="240" w:lineRule="auto" w:before="76"/>
              <w:ind w:left="313" w:right="0"/>
              <w:jc w:val="left"/>
              <w:rPr>
                <w:rFonts w:ascii="宋体" w:hAnsi="宋体" w:cs="宋体" w:eastAsia="宋体" w:hint="default"/>
                <w:sz w:val="18"/>
                <w:szCs w:val="18"/>
              </w:rPr>
            </w:pPr>
            <w:r>
              <w:rPr>
                <w:rFonts w:ascii="宋体"/>
                <w:sz w:val="18"/>
              </w:rPr>
              <w:t>12.81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200,67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7,815.</w:t>
            </w:r>
          </w:p>
          <w:p>
            <w:pPr>
              <w:pStyle w:val="TableParagraph"/>
              <w:spacing w:line="240" w:lineRule="auto" w:before="76"/>
              <w:ind w:right="20"/>
              <w:jc w:val="right"/>
              <w:rPr>
                <w:rFonts w:ascii="宋体" w:hAnsi="宋体" w:cs="宋体" w:eastAsia="宋体" w:hint="default"/>
                <w:sz w:val="18"/>
                <w:szCs w:val="18"/>
              </w:rPr>
            </w:pPr>
            <w:r>
              <w:rPr>
                <w:rFonts w:ascii="宋体"/>
                <w:sz w:val="18"/>
              </w:rPr>
              <w:t>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1,128,02</w:t>
            </w:r>
          </w:p>
          <w:p>
            <w:pPr>
              <w:pStyle w:val="TableParagraph"/>
              <w:spacing w:line="240" w:lineRule="auto" w:before="76"/>
              <w:ind w:left="28" w:right="0"/>
              <w:jc w:val="left"/>
              <w:rPr>
                <w:rFonts w:ascii="宋体" w:hAnsi="宋体" w:cs="宋体" w:eastAsia="宋体" w:hint="default"/>
                <w:sz w:val="18"/>
                <w:szCs w:val="18"/>
              </w:rPr>
            </w:pPr>
            <w:r>
              <w:rPr>
                <w:rFonts w:ascii="宋体"/>
                <w:sz w:val="18"/>
              </w:rPr>
              <w:t>6,753.40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291,939</w:t>
            </w:r>
          </w:p>
          <w:p>
            <w:pPr>
              <w:pStyle w:val="TableParagraph"/>
              <w:spacing w:line="240" w:lineRule="auto" w:before="76"/>
              <w:ind w:left="28" w:right="0"/>
              <w:jc w:val="left"/>
              <w:rPr>
                <w:rFonts w:ascii="宋体" w:hAnsi="宋体" w:cs="宋体" w:eastAsia="宋体" w:hint="default"/>
                <w:sz w:val="18"/>
                <w:szCs w:val="18"/>
              </w:rPr>
            </w:pPr>
            <w:r>
              <w:rPr>
                <w:rFonts w:ascii="宋体"/>
                <w:sz w:val="18"/>
              </w:rPr>
              <w:t>,213.00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z w:val="18"/>
              </w:rPr>
              <w:t>602,155,</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311.75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33,254,4</w:t>
            </w:r>
          </w:p>
          <w:p>
            <w:pPr>
              <w:pStyle w:val="TableParagraph"/>
              <w:spacing w:line="240" w:lineRule="auto" w:before="76"/>
              <w:ind w:left="313" w:right="0"/>
              <w:jc w:val="left"/>
              <w:rPr>
                <w:rFonts w:ascii="宋体" w:hAnsi="宋体" w:cs="宋体" w:eastAsia="宋体" w:hint="default"/>
                <w:sz w:val="18"/>
                <w:szCs w:val="18"/>
              </w:rPr>
            </w:pPr>
            <w:r>
              <w:rPr>
                <w:rFonts w:ascii="宋体"/>
                <w:sz w:val="18"/>
              </w:rPr>
              <w:t>12.81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200,67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7,815.</w:t>
            </w:r>
          </w:p>
          <w:p>
            <w:pPr>
              <w:pStyle w:val="TableParagraph"/>
              <w:spacing w:line="240" w:lineRule="auto" w:before="76"/>
              <w:ind w:right="20"/>
              <w:jc w:val="right"/>
              <w:rPr>
                <w:rFonts w:ascii="宋体" w:hAnsi="宋体" w:cs="宋体" w:eastAsia="宋体" w:hint="default"/>
                <w:sz w:val="18"/>
                <w:szCs w:val="18"/>
              </w:rPr>
            </w:pPr>
            <w:r>
              <w:rPr>
                <w:rFonts w:ascii="宋体"/>
                <w:sz w:val="18"/>
              </w:rPr>
              <w:t>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1,128,02</w:t>
            </w:r>
          </w:p>
          <w:p>
            <w:pPr>
              <w:pStyle w:val="TableParagraph"/>
              <w:spacing w:line="240" w:lineRule="auto" w:before="76"/>
              <w:ind w:left="28" w:right="0"/>
              <w:jc w:val="left"/>
              <w:rPr>
                <w:rFonts w:ascii="宋体" w:hAnsi="宋体" w:cs="宋体" w:eastAsia="宋体" w:hint="default"/>
                <w:sz w:val="18"/>
                <w:szCs w:val="18"/>
              </w:rPr>
            </w:pPr>
            <w:r>
              <w:rPr>
                <w:rFonts w:ascii="宋体"/>
                <w:sz w:val="18"/>
              </w:rPr>
              <w:t>6,753.40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8"/>
                <w:sz w:val="18"/>
                <w:szCs w:val="18"/>
              </w:rPr>
              <w:t>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58,387,</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842.00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z w:val="18"/>
              </w:rPr>
              <w:t>-58,387,</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842.00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4,897,18</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8.53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29,477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,736.1</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34,374,9</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24.69</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48,971</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,885.3</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48,971,8</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85.34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1．股东投入的普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5"/>
              <w:jc w:val="left"/>
              <w:rPr>
                <w:rFonts w:ascii="宋体" w:hAnsi="宋体" w:cs="宋体" w:eastAsia="宋体" w:hint="default"/>
                <w:sz w:val="18"/>
                <w:szCs w:val="18"/>
              </w:rPr>
            </w:pPr>
            <w:r>
              <w:rPr>
                <w:rFonts w:ascii="宋体" w:hAnsi="宋体" w:cs="宋体" w:eastAsia="宋体" w:hint="default"/>
                <w:sz w:val="18"/>
                <w:szCs w:val="18"/>
              </w:rPr>
              <w:t>2．其他权益工具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3．股份支付计入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4,897,18</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8.53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-19,49</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4,149.</w:t>
            </w:r>
          </w:p>
          <w:p>
            <w:pPr>
              <w:pStyle w:val="TableParagraph"/>
              <w:spacing w:line="240" w:lineRule="auto" w:before="76"/>
              <w:ind w:right="20"/>
              <w:jc w:val="right"/>
              <w:rPr>
                <w:rFonts w:ascii="宋体" w:hAnsi="宋体" w:cs="宋体" w:eastAsia="宋体" w:hint="default"/>
                <w:sz w:val="18"/>
                <w:szCs w:val="18"/>
              </w:rPr>
            </w:pPr>
            <w:r>
              <w:rPr>
                <w:rFonts w:ascii="宋体"/>
                <w:sz w:val="18"/>
              </w:rPr>
              <w:t>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-14,596,</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960.65</w:t>
            </w:r>
          </w:p>
        </w:tc>
      </w:tr>
      <w:tr>
        <w:trPr>
          <w:trHeight w:val="102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4,897,18</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8.53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-4,897</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,188.5</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2．对所有者（或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-14,59</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6,960.</w:t>
            </w:r>
          </w:p>
          <w:p>
            <w:pPr>
              <w:pStyle w:val="TableParagraph"/>
              <w:spacing w:line="240" w:lineRule="auto" w:before="76"/>
              <w:ind w:right="20"/>
              <w:jc w:val="right"/>
              <w:rPr>
                <w:rFonts w:ascii="宋体" w:hAnsi="宋体" w:cs="宋体" w:eastAsia="宋体" w:hint="default"/>
                <w:sz w:val="18"/>
                <w:szCs w:val="18"/>
              </w:rPr>
            </w:pPr>
            <w:r>
              <w:rPr>
                <w:rFonts w:ascii="宋体"/>
                <w:sz w:val="18"/>
              </w:rPr>
              <w:t>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-14,596,</w:t>
            </w:r>
          </w:p>
          <w:p>
            <w:pPr>
              <w:pStyle w:val="TableParagraph"/>
              <w:spacing w:line="240" w:lineRule="auto" w:before="76"/>
              <w:ind w:left="187" w:right="0"/>
              <w:jc w:val="center"/>
              <w:rPr>
                <w:rFonts w:ascii="宋体" w:hAnsi="宋体" w:cs="宋体" w:eastAsia="宋体" w:hint="default"/>
                <w:sz w:val="18"/>
                <w:szCs w:val="18"/>
              </w:rPr>
            </w:pPr>
            <w:r>
              <w:rPr>
                <w:rFonts w:ascii="宋体"/>
                <w:sz w:val="18"/>
              </w:rPr>
              <w:t>960.65</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 w:right="0"/>
              <w:jc w:val="left"/>
              <w:rPr>
                <w:rFonts w:ascii="宋体" w:hAnsi="宋体" w:cs="宋体" w:eastAsia="宋体" w:hint="default"/>
                <w:sz w:val="18"/>
                <w:szCs w:val="18"/>
              </w:rPr>
            </w:pPr>
            <w:r>
              <w:rPr>
                <w:rFonts w:ascii="宋体"/>
                <w:sz w:val="18"/>
              </w:rPr>
              <w:t>58,387,</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842.00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 w:right="0"/>
              <w:jc w:val="center"/>
              <w:rPr>
                <w:rFonts w:ascii="宋体" w:hAnsi="宋体" w:cs="宋体" w:eastAsia="宋体" w:hint="default"/>
                <w:sz w:val="18"/>
                <w:szCs w:val="18"/>
              </w:rPr>
            </w:pPr>
            <w:r>
              <w:rPr>
                <w:rFonts w:ascii="宋体"/>
                <w:sz w:val="18"/>
              </w:rPr>
              <w:t>-58,387,</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842.00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1．资本公积转增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sz w:val="18"/>
              </w:rPr>
              <w:t>58,387,</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842.00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sz w:val="18"/>
              </w:rPr>
              <w:t>-58,387,</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842.00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5"/>
              <w:jc w:val="left"/>
              <w:rPr>
                <w:rFonts w:ascii="宋体" w:hAnsi="宋体" w:cs="宋体" w:eastAsia="宋体" w:hint="default"/>
                <w:sz w:val="18"/>
                <w:szCs w:val="18"/>
              </w:rPr>
            </w:pPr>
            <w:r>
              <w:rPr>
                <w:rFonts w:ascii="宋体" w:hAnsi="宋体" w:cs="宋体" w:eastAsia="宋体" w:hint="default"/>
                <w:sz w:val="18"/>
                <w:szCs w:val="18"/>
              </w:rPr>
              <w:t>2．盈余公积转增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3．盈余公积弥补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350,327</w:t>
            </w:r>
          </w:p>
          <w:p>
            <w:pPr>
              <w:pStyle w:val="TableParagraph"/>
              <w:spacing w:line="240" w:lineRule="auto" w:before="76"/>
              <w:ind w:left="28" w:right="0"/>
              <w:jc w:val="left"/>
              <w:rPr>
                <w:rFonts w:ascii="宋体" w:hAnsi="宋体" w:cs="宋体" w:eastAsia="宋体" w:hint="default"/>
                <w:sz w:val="18"/>
                <w:szCs w:val="18"/>
              </w:rPr>
            </w:pPr>
            <w:r>
              <w:rPr>
                <w:rFonts w:ascii="宋体"/>
                <w:sz w:val="18"/>
              </w:rPr>
              <w:t>,055.00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z w:val="18"/>
              </w:rPr>
              <w:t>543,767,</w:t>
            </w:r>
          </w:p>
          <w:p>
            <w:pPr>
              <w:pStyle w:val="TableParagraph"/>
              <w:spacing w:line="240" w:lineRule="auto" w:before="76"/>
              <w:ind w:left="199" w:right="0"/>
              <w:jc w:val="center"/>
              <w:rPr>
                <w:rFonts w:ascii="宋体" w:hAnsi="宋体" w:cs="宋体" w:eastAsia="宋体" w:hint="default"/>
                <w:sz w:val="18"/>
                <w:szCs w:val="18"/>
              </w:rPr>
            </w:pPr>
            <w:r>
              <w:rPr>
                <w:rFonts w:ascii="宋体"/>
                <w:sz w:val="18"/>
              </w:rPr>
              <w:t>469.75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38,151,6</w:t>
            </w:r>
          </w:p>
          <w:p>
            <w:pPr>
              <w:pStyle w:val="TableParagraph"/>
              <w:spacing w:line="240" w:lineRule="auto" w:before="76"/>
              <w:ind w:left="313" w:right="0"/>
              <w:jc w:val="left"/>
              <w:rPr>
                <w:rFonts w:ascii="宋体" w:hAnsi="宋体" w:cs="宋体" w:eastAsia="宋体" w:hint="default"/>
                <w:sz w:val="18"/>
                <w:szCs w:val="18"/>
              </w:rPr>
            </w:pPr>
            <w:r>
              <w:rPr>
                <w:rFonts w:ascii="宋体"/>
                <w:sz w:val="18"/>
              </w:rPr>
              <w:t>01.34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230,15</w:t>
            </w:r>
          </w:p>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5,552.</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1,162,40</w:t>
            </w:r>
          </w:p>
          <w:p>
            <w:pPr>
              <w:pStyle w:val="TableParagraph"/>
              <w:spacing w:line="240" w:lineRule="auto" w:before="76"/>
              <w:ind w:left="28" w:right="0"/>
              <w:jc w:val="left"/>
              <w:rPr>
                <w:rFonts w:ascii="宋体" w:hAnsi="宋体" w:cs="宋体" w:eastAsia="宋体" w:hint="default"/>
                <w:sz w:val="18"/>
                <w:szCs w:val="18"/>
              </w:rPr>
            </w:pPr>
            <w:r>
              <w:rPr>
                <w:rFonts w:ascii="宋体"/>
                <w:sz w:val="18"/>
              </w:rPr>
              <w:t>1,678.09</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三、公司基本情况</w:t>
      </w:r>
      <w:r>
        <w:rPr>
          <w:b w:val="0"/>
          <w:bCs w:val="0"/>
        </w:rPr>
      </w:r>
    </w:p>
    <w:p>
      <w:pPr>
        <w:spacing w:line="240" w:lineRule="auto" w:before="7"/>
        <w:rPr>
          <w:rFonts w:ascii="宋体" w:hAnsi="宋体" w:cs="宋体" w:eastAsia="宋体" w:hint="default"/>
          <w:b/>
          <w:bCs/>
          <w:sz w:val="24"/>
          <w:szCs w:val="24"/>
        </w:rPr>
      </w:pPr>
    </w:p>
    <w:p>
      <w:pPr>
        <w:spacing w:line="273" w:lineRule="auto" w:before="0"/>
        <w:ind w:left="532" w:right="100" w:hanging="420"/>
        <w:jc w:val="left"/>
        <w:rPr>
          <w:rFonts w:ascii="宋体" w:hAnsi="宋体" w:cs="宋体" w:eastAsia="宋体" w:hint="default"/>
          <w:sz w:val="21"/>
          <w:szCs w:val="21"/>
        </w:rPr>
      </w:pPr>
      <w:r>
        <w:rPr>
          <w:rFonts w:ascii="宋体" w:hAnsi="宋体" w:cs="宋体" w:eastAsia="宋体" w:hint="default"/>
          <w:b/>
          <w:bCs/>
          <w:sz w:val="21"/>
          <w:szCs w:val="21"/>
        </w:rPr>
        <w:t>（一）公司注册地、组织形式和总部地址</w:t>
      </w:r>
      <w:r>
        <w:rPr>
          <w:rFonts w:ascii="宋体" w:hAnsi="宋体" w:cs="宋体" w:eastAsia="宋体" w:hint="default"/>
          <w:b/>
          <w:bCs/>
          <w:w w:val="99"/>
          <w:sz w:val="21"/>
          <w:szCs w:val="21"/>
        </w:rPr>
        <w:t> </w:t>
      </w:r>
      <w:r>
        <w:rPr>
          <w:rFonts w:ascii="宋体" w:hAnsi="宋体" w:cs="宋体" w:eastAsia="宋体" w:hint="default"/>
          <w:sz w:val="21"/>
          <w:szCs w:val="21"/>
        </w:rPr>
        <w:t>安徽皖通科技股份有限公司（以下简称“公司”或“本公司”）</w:t>
      </w:r>
      <w:r>
        <w:rPr>
          <w:rFonts w:ascii="宋体" w:hAnsi="宋体" w:cs="宋体" w:eastAsia="宋体" w:hint="default"/>
          <w:spacing w:val="-43"/>
          <w:sz w:val="21"/>
          <w:szCs w:val="21"/>
        </w:rPr>
        <w:t> </w:t>
      </w:r>
      <w:r>
        <w:rPr>
          <w:rFonts w:ascii="宋体" w:hAnsi="宋体" w:cs="宋体" w:eastAsia="宋体" w:hint="default"/>
          <w:sz w:val="21"/>
          <w:szCs w:val="21"/>
        </w:rPr>
        <w:t>前身为安徽皖通科技发展有限公司,</w:t>
      </w:r>
    </w:p>
    <w:p>
      <w:pPr>
        <w:pStyle w:val="BodyText"/>
        <w:spacing w:line="273" w:lineRule="auto"/>
        <w:ind w:right="112"/>
        <w:jc w:val="left"/>
      </w:pPr>
      <w:r>
        <w:rPr/>
        <w:t>于1999年5月经合肥市高新技术产业开发区管委会合高管（1999)19 号文批准，2007 年 5</w:t>
      </w:r>
      <w:r>
        <w:rPr>
          <w:spacing w:val="-18"/>
        </w:rPr>
        <w:t> </w:t>
      </w:r>
      <w:r>
        <w:rPr/>
        <w:t>月，经安徽皖</w:t>
      </w:r>
      <w:r>
        <w:rPr>
          <w:w w:val="99"/>
        </w:rPr>
        <w:t> </w:t>
      </w:r>
      <w:r>
        <w:rPr>
          <w:w w:val="95"/>
        </w:rPr>
        <w:t>通科技发展有限公司股东会决议决定，整体变更为股份有限公司。公司于2010年1月6日在深圳证券交易所</w:t>
      </w:r>
      <w:r>
        <w:rPr>
          <w:spacing w:val="40"/>
          <w:w w:val="95"/>
        </w:rPr>
        <w:t> </w:t>
      </w:r>
      <w:r>
        <w:rPr>
          <w:spacing w:val="40"/>
          <w:w w:val="95"/>
        </w:rPr>
      </w:r>
      <w:r>
        <w:rPr/>
        <w:t>上市，现持有统一社会信用代码为91340100711761244Q(1-5)的营业执照。</w:t>
      </w:r>
    </w:p>
    <w:p>
      <w:pPr>
        <w:pStyle w:val="BodyText"/>
        <w:spacing w:line="273" w:lineRule="auto"/>
        <w:ind w:right="112" w:firstLine="420"/>
        <w:jc w:val="both"/>
      </w:pPr>
      <w:r>
        <w:rPr>
          <w:w w:val="95"/>
        </w:rPr>
        <w:t>经过历年的派送红股、配售新股、转增股本及增发新股，截止2017年12月31日，本公司累计发行股本</w:t>
      </w:r>
      <w:r>
        <w:rPr>
          <w:w w:val="99"/>
        </w:rPr>
        <w:t> </w:t>
      </w:r>
      <w:r>
        <w:rPr/>
        <w:t>总数35,032.71</w:t>
      </w:r>
      <w:r>
        <w:rPr>
          <w:spacing w:val="-34"/>
        </w:rPr>
        <w:t> </w:t>
      </w:r>
      <w:r>
        <w:rPr/>
        <w:t>万股，注册资本为35,032.71万元，注册地址：合肥市高新区皖水路589号，总部地址：合</w:t>
      </w:r>
      <w:r>
        <w:rPr>
          <w:w w:val="99"/>
        </w:rPr>
        <w:t> </w:t>
      </w:r>
      <w:r>
        <w:rPr/>
        <w:t>肥市高新区皖水路589号，实际控制人为王中胜、杨世宁、杨新子。</w:t>
      </w:r>
    </w:p>
    <w:p>
      <w:pPr>
        <w:pStyle w:val="BodyText"/>
        <w:spacing w:line="432" w:lineRule="exact" w:before="27"/>
        <w:ind w:left="532" w:right="0" w:hanging="420"/>
        <w:jc w:val="left"/>
      </w:pPr>
      <w:r>
        <w:rPr>
          <w:rFonts w:ascii="宋体" w:hAnsi="宋体" w:cs="宋体" w:eastAsia="宋体" w:hint="default"/>
          <w:b/>
          <w:bCs/>
        </w:rPr>
        <w:t>（二）经营范围</w:t>
      </w:r>
      <w:r>
        <w:rPr>
          <w:rFonts w:ascii="宋体" w:hAnsi="宋体" w:cs="宋体" w:eastAsia="宋体" w:hint="default"/>
          <w:b/>
          <w:bCs/>
          <w:w w:val="99"/>
        </w:rPr>
        <w:t> </w:t>
      </w:r>
      <w:r>
        <w:rPr>
          <w:w w:val="95"/>
        </w:rPr>
        <w:t>计算机软件、硬件的开发、生产与销售；信息系统集成、信息处理与技术服务、技术转让与咨询；光</w:t>
      </w:r>
      <w:r>
        <w:rPr/>
      </w:r>
    </w:p>
    <w:p>
      <w:pPr>
        <w:pStyle w:val="BodyText"/>
        <w:spacing w:line="255" w:lineRule="exact" w:before="0"/>
        <w:ind w:right="0"/>
        <w:jc w:val="left"/>
      </w:pPr>
      <w:r>
        <w:rPr/>
        <w:t>机电一体化、视频网络与通讯系统工程，电视监控系统及交通机电工程的设计、施工、安装、维修；计算</w:t>
      </w:r>
    </w:p>
    <w:p>
      <w:pPr>
        <w:pStyle w:val="BodyText"/>
        <w:spacing w:line="240" w:lineRule="auto" w:before="37"/>
        <w:ind w:right="0"/>
        <w:jc w:val="left"/>
      </w:pPr>
      <w:r>
        <w:rPr/>
        <w:t>机修理；仪器仪表、电子产品、计算机及外围设备、文化办公用品、家用电器的销售。</w:t>
      </w:r>
    </w:p>
    <w:p>
      <w:pPr>
        <w:spacing w:line="273" w:lineRule="auto" w:before="157"/>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（三）公司业务性质和主要经营活动</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公司业务主要分为：1、系统集成：高速公路机电工程系统集成及其他信息系统集成项目，即为新建</w:t>
      </w:r>
      <w:r>
        <w:rPr>
          <w:rFonts w:ascii="宋体" w:hAnsi="宋体" w:cs="宋体" w:eastAsia="宋体" w:hint="default"/>
          <w:spacing w:val="2"/>
          <w:sz w:val="21"/>
          <w:szCs w:val="21"/>
        </w:rPr>
      </w:r>
    </w:p>
    <w:p>
      <w:pPr>
        <w:pStyle w:val="BodyText"/>
        <w:spacing w:line="273" w:lineRule="auto"/>
        <w:ind w:right="112"/>
        <w:jc w:val="both"/>
      </w:pPr>
      <w:r>
        <w:rPr>
          <w:spacing w:val="2"/>
          <w:w w:val="95"/>
        </w:rPr>
        <w:t>高速公路机电等各类信息系统项目提供工程建设、安装及相关软件的开发、安装服务。2、技术服务：为</w:t>
      </w:r>
      <w:r>
        <w:rPr>
          <w:spacing w:val="50"/>
          <w:w w:val="95"/>
        </w:rPr>
        <w:t> </w:t>
      </w:r>
      <w:r>
        <w:rPr>
          <w:spacing w:val="50"/>
          <w:w w:val="95"/>
        </w:rPr>
      </w:r>
      <w:r>
        <w:rPr>
          <w:spacing w:val="2"/>
          <w:w w:val="95"/>
        </w:rPr>
        <w:t>各类系统集成项目提供后续的维护、改造及支持服务。3、技术转让：公司自主或联合研发的系统软件转</w:t>
      </w:r>
      <w:r>
        <w:rPr>
          <w:spacing w:val="47"/>
          <w:w w:val="95"/>
        </w:rPr>
        <w:t> </w:t>
      </w:r>
      <w:r>
        <w:rPr>
          <w:spacing w:val="47"/>
          <w:w w:val="95"/>
        </w:rPr>
      </w:r>
      <w:r>
        <w:rPr/>
        <w:t>让项目。4、商品销售：公司生产销售的光通讯教学仪器等。</w:t>
      </w:r>
    </w:p>
    <w:p>
      <w:pPr>
        <w:spacing w:after="0" w:line="273" w:lineRule="auto"/>
        <w:jc w:val="both"/>
        <w:sectPr>
          <w:footerReference w:type="default" r:id="rId25"/>
          <w:pgSz w:w="11910" w:h="16840"/>
          <w:pgMar w:footer="937" w:header="746" w:top="1040" w:bottom="1120" w:left="1020" w:right="1020"/>
          <w:pgNumType w:start="90"/>
        </w:sectPr>
      </w:pPr>
    </w:p>
    <w:p>
      <w:pPr>
        <w:spacing w:line="240" w:lineRule="auto" w:before="6"/>
        <w:rPr>
          <w:rFonts w:ascii="宋体" w:hAnsi="宋体" w:cs="宋体" w:eastAsia="宋体" w:hint="default"/>
          <w:sz w:val="25"/>
          <w:szCs w:val="25"/>
        </w:rPr>
      </w:pPr>
    </w:p>
    <w:p>
      <w:pPr>
        <w:pStyle w:val="BodyText"/>
        <w:spacing w:line="240" w:lineRule="auto" w:before="34"/>
        <w:ind w:left="532" w:right="0"/>
        <w:jc w:val="left"/>
      </w:pPr>
      <w:r>
        <w:rPr/>
        <w:t>本公司属软件和信息技术服务行业，主要产品和服务为系统集成、技术服务、技术转让、商品销售。</w:t>
      </w:r>
    </w:p>
    <w:p>
      <w:pPr>
        <w:spacing w:line="273" w:lineRule="auto" w:before="157"/>
        <w:ind w:left="532" w:right="2416" w:hanging="420"/>
        <w:jc w:val="left"/>
        <w:rPr>
          <w:rFonts w:ascii="宋体" w:hAnsi="宋体" w:cs="宋体" w:eastAsia="宋体" w:hint="default"/>
          <w:sz w:val="21"/>
          <w:szCs w:val="21"/>
        </w:rPr>
      </w:pPr>
      <w:r>
        <w:rPr>
          <w:rFonts w:ascii="宋体" w:hAnsi="宋体" w:cs="宋体" w:eastAsia="宋体" w:hint="default"/>
          <w:b/>
          <w:bCs/>
          <w:sz w:val="21"/>
          <w:szCs w:val="21"/>
        </w:rPr>
        <w:t>（四）财务报表的批准报出</w:t>
      </w:r>
      <w:r>
        <w:rPr>
          <w:rFonts w:ascii="宋体" w:hAnsi="宋体" w:cs="宋体" w:eastAsia="宋体" w:hint="default"/>
          <w:b/>
          <w:bCs/>
          <w:w w:val="99"/>
          <w:sz w:val="21"/>
          <w:szCs w:val="21"/>
        </w:rPr>
        <w:t> </w:t>
      </w:r>
      <w:r>
        <w:rPr>
          <w:rFonts w:ascii="宋体" w:hAnsi="宋体" w:cs="宋体" w:eastAsia="宋体" w:hint="default"/>
          <w:w w:val="95"/>
          <w:sz w:val="21"/>
          <w:szCs w:val="21"/>
        </w:rPr>
        <w:t>本财务报表业经公司董事会于2018年4月16日批准报出。</w:t>
      </w:r>
      <w:r>
        <w:rPr>
          <w:rFonts w:ascii="宋体" w:hAnsi="宋体" w:cs="宋体" w:eastAsia="宋体" w:hint="default"/>
          <w:sz w:val="21"/>
          <w:szCs w:val="21"/>
        </w:rPr>
      </w:r>
    </w:p>
    <w:p>
      <w:pPr>
        <w:spacing w:line="240" w:lineRule="auto" w:before="6"/>
        <w:rPr>
          <w:rFonts w:ascii="宋体" w:hAnsi="宋体" w:cs="宋体" w:eastAsia="宋体" w:hint="default"/>
          <w:sz w:val="24"/>
          <w:szCs w:val="24"/>
        </w:rPr>
      </w:pPr>
    </w:p>
    <w:p>
      <w:pPr>
        <w:pStyle w:val="BodyText"/>
        <w:spacing w:line="240" w:lineRule="auto" w:before="0"/>
        <w:ind w:left="532" w:right="171"/>
        <w:jc w:val="left"/>
      </w:pPr>
      <w:r>
        <w:rPr/>
        <w:t>本期纳入合并财务报表范围的主体共15户，具体包括</w:t>
      </w:r>
      <w:r>
        <w:rPr>
          <w:color w:val="0000CC"/>
        </w:rPr>
        <w:t>：</w:t>
      </w:r>
      <w:r>
        <w:rPr/>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694"/>
        <w:gridCol w:w="1320"/>
        <w:gridCol w:w="1020"/>
        <w:gridCol w:w="1830"/>
        <w:gridCol w:w="1815"/>
      </w:tblGrid>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2"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b/>
                <w:bCs/>
                <w:sz w:val="18"/>
                <w:szCs w:val="18"/>
              </w:rPr>
              <w:t>1．天津市金飞博光通讯技术有限公司</w:t>
            </w:r>
            <w:r>
              <w:rPr>
                <w:rFonts w:ascii="宋体" w:hAnsi="宋体" w:cs="宋体" w:eastAsia="宋体" w:hint="default"/>
                <w:sz w:val="18"/>
                <w:szCs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b/>
                <w:bCs/>
                <w:sz w:val="18"/>
                <w:szCs w:val="18"/>
              </w:rPr>
              <w:t>全资子公司</w:t>
            </w:r>
            <w:r>
              <w:rPr>
                <w:rFonts w:ascii="宋体" w:hAnsi="宋体" w:cs="宋体" w:eastAsia="宋体" w:hint="default"/>
                <w:sz w:val="18"/>
                <w:szCs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2" w:right="0"/>
              <w:jc w:val="left"/>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center"/>
              <w:rPr>
                <w:rFonts w:ascii="宋体" w:hAnsi="宋体" w:cs="宋体" w:eastAsia="宋体" w:hint="default"/>
                <w:sz w:val="18"/>
                <w:szCs w:val="18"/>
              </w:rPr>
            </w:pPr>
            <w:r>
              <w:rPr>
                <w:rFonts w:ascii="宋体"/>
                <w:b/>
                <w:sz w:val="18"/>
              </w:rPr>
              <w:t>100.00</w:t>
            </w:r>
            <w:r>
              <w:rPr>
                <w:rFonts w:ascii="宋体"/>
                <w:sz w:val="18"/>
              </w:rPr>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 w:right="0"/>
              <w:jc w:val="center"/>
              <w:rPr>
                <w:rFonts w:ascii="宋体" w:hAnsi="宋体" w:cs="宋体" w:eastAsia="宋体" w:hint="default"/>
                <w:sz w:val="18"/>
                <w:szCs w:val="18"/>
              </w:rPr>
            </w:pPr>
            <w:r>
              <w:rPr>
                <w:rFonts w:ascii="宋体"/>
                <w:b/>
                <w:sz w:val="18"/>
              </w:rPr>
              <w:t>100.00</w:t>
            </w:r>
            <w:r>
              <w:rPr>
                <w:rFonts w:ascii="宋体"/>
                <w:sz w:val="18"/>
              </w:rPr>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b/>
                <w:bCs/>
                <w:sz w:val="18"/>
                <w:szCs w:val="18"/>
              </w:rPr>
              <w:t>2．天津市天安怡和信息技术有限公司</w:t>
            </w:r>
            <w:r>
              <w:rPr>
                <w:rFonts w:ascii="宋体" w:hAnsi="宋体" w:cs="宋体" w:eastAsia="宋体" w:hint="default"/>
                <w:sz w:val="18"/>
                <w:szCs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b/>
                <w:bCs/>
                <w:sz w:val="18"/>
                <w:szCs w:val="18"/>
              </w:rPr>
              <w:t>全资子公司</w:t>
            </w:r>
            <w:r>
              <w:rPr>
                <w:rFonts w:ascii="宋体" w:hAnsi="宋体" w:cs="宋体" w:eastAsia="宋体" w:hint="default"/>
                <w:sz w:val="18"/>
                <w:szCs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2" w:right="0"/>
              <w:jc w:val="left"/>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b/>
                <w:sz w:val="18"/>
              </w:rPr>
              <w:t>100.00</w:t>
            </w:r>
            <w:r>
              <w:rPr>
                <w:rFonts w:ascii="宋体"/>
                <w:sz w:val="18"/>
              </w:rPr>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b/>
                <w:sz w:val="18"/>
              </w:rPr>
              <w:t>100.00</w:t>
            </w:r>
            <w:r>
              <w:rPr>
                <w:rFonts w:ascii="宋体"/>
                <w:sz w:val="18"/>
              </w:rPr>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3" w:right="0"/>
              <w:jc w:val="left"/>
              <w:rPr>
                <w:rFonts w:ascii="宋体" w:hAnsi="宋体" w:cs="宋体" w:eastAsia="宋体" w:hint="default"/>
                <w:sz w:val="18"/>
                <w:szCs w:val="18"/>
              </w:rPr>
            </w:pPr>
            <w:r>
              <w:rPr>
                <w:rFonts w:ascii="宋体" w:hAnsi="宋体" w:cs="宋体" w:eastAsia="宋体" w:hint="default"/>
                <w:sz w:val="18"/>
                <w:szCs w:val="18"/>
              </w:rPr>
              <w:t>1）天津信息港甲子科技有限公司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2"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100.00</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sz w:val="18"/>
              </w:rPr>
              <w:t>100.00</w:t>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b/>
                <w:bCs/>
                <w:sz w:val="18"/>
                <w:szCs w:val="18"/>
              </w:rPr>
              <w:t>3．烟台华东电子软件技术有限公司</w:t>
            </w:r>
            <w:r>
              <w:rPr>
                <w:rFonts w:ascii="宋体" w:hAnsi="宋体" w:cs="宋体" w:eastAsia="宋体" w:hint="default"/>
                <w:sz w:val="18"/>
                <w:szCs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b/>
                <w:bCs/>
                <w:sz w:val="18"/>
                <w:szCs w:val="18"/>
              </w:rPr>
              <w:t>全资子公司</w:t>
            </w:r>
            <w:r>
              <w:rPr>
                <w:rFonts w:ascii="宋体" w:hAnsi="宋体" w:cs="宋体" w:eastAsia="宋体" w:hint="default"/>
                <w:sz w:val="18"/>
                <w:szCs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2" w:right="0"/>
              <w:jc w:val="left"/>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b/>
                <w:sz w:val="18"/>
              </w:rPr>
              <w:t>100.00</w:t>
            </w:r>
            <w:r>
              <w:rPr>
                <w:rFonts w:ascii="宋体"/>
                <w:sz w:val="18"/>
              </w:rPr>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宋体"/>
                <w:b/>
                <w:sz w:val="18"/>
              </w:rPr>
              <w:t>100.00</w:t>
            </w:r>
            <w:r>
              <w:rPr>
                <w:rFonts w:ascii="宋体"/>
                <w:sz w:val="18"/>
              </w:rPr>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25"/>
              <w:jc w:val="right"/>
              <w:rPr>
                <w:rFonts w:ascii="宋体" w:hAnsi="宋体" w:cs="宋体" w:eastAsia="宋体" w:hint="default"/>
                <w:sz w:val="18"/>
                <w:szCs w:val="18"/>
              </w:rPr>
            </w:pPr>
            <w:r>
              <w:rPr>
                <w:rFonts w:ascii="宋体" w:hAnsi="宋体" w:cs="宋体" w:eastAsia="宋体" w:hint="default"/>
                <w:spacing w:val="-1"/>
                <w:sz w:val="18"/>
                <w:szCs w:val="18"/>
              </w:rPr>
              <w:t>1）宁波拖柜宝物流科技有限责任公司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2"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100.00</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sz w:val="18"/>
              </w:rPr>
              <w:t>100.00</w:t>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83" w:right="0"/>
              <w:jc w:val="left"/>
              <w:rPr>
                <w:rFonts w:ascii="宋体" w:hAnsi="宋体" w:cs="宋体" w:eastAsia="宋体" w:hint="default"/>
                <w:sz w:val="18"/>
                <w:szCs w:val="18"/>
              </w:rPr>
            </w:pPr>
            <w:r>
              <w:rPr>
                <w:rFonts w:ascii="宋体" w:hAnsi="宋体" w:cs="宋体" w:eastAsia="宋体" w:hint="default"/>
                <w:sz w:val="18"/>
                <w:szCs w:val="18"/>
              </w:rPr>
              <w:t>2）烟台华东数据科技有限公司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2"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100.00</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sz w:val="18"/>
              </w:rPr>
              <w:t>100.00</w:t>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3" w:right="0"/>
              <w:jc w:val="left"/>
              <w:rPr>
                <w:rFonts w:ascii="宋体" w:hAnsi="宋体" w:cs="宋体" w:eastAsia="宋体" w:hint="default"/>
                <w:sz w:val="18"/>
                <w:szCs w:val="18"/>
              </w:rPr>
            </w:pPr>
            <w:r>
              <w:rPr>
                <w:rFonts w:ascii="宋体" w:hAnsi="宋体" w:cs="宋体" w:eastAsia="宋体" w:hint="default"/>
                <w:sz w:val="18"/>
                <w:szCs w:val="18"/>
              </w:rPr>
              <w:t>3）烟台华东电子科技有限公司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2"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100.00</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sz w:val="18"/>
              </w:rPr>
              <w:t>100.00</w:t>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83" w:right="0"/>
              <w:jc w:val="left"/>
              <w:rPr>
                <w:rFonts w:ascii="宋体" w:hAnsi="宋体" w:cs="宋体" w:eastAsia="宋体" w:hint="default"/>
                <w:sz w:val="18"/>
                <w:szCs w:val="18"/>
              </w:rPr>
            </w:pPr>
            <w:r>
              <w:rPr>
                <w:rFonts w:ascii="宋体" w:hAnsi="宋体" w:cs="宋体" w:eastAsia="宋体" w:hint="default"/>
                <w:sz w:val="18"/>
                <w:szCs w:val="18"/>
              </w:rPr>
              <w:t>4）上海舶云供应链管理有限公司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控股重孙公司</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2" w:right="0"/>
              <w:jc w:val="left"/>
              <w:rPr>
                <w:rFonts w:ascii="宋体" w:hAnsi="宋体" w:cs="宋体" w:eastAsia="宋体" w:hint="default"/>
                <w:sz w:val="18"/>
                <w:szCs w:val="18"/>
              </w:rPr>
            </w:pPr>
            <w:r>
              <w:rPr>
                <w:rFonts w:ascii="宋体" w:hAnsi="宋体" w:cs="宋体" w:eastAsia="宋体" w:hint="default"/>
                <w:sz w:val="18"/>
                <w:szCs w:val="18"/>
              </w:rPr>
              <w:t>四级</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52.50</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52.50</w:t>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25"/>
              <w:jc w:val="right"/>
              <w:rPr>
                <w:rFonts w:ascii="宋体" w:hAnsi="宋体" w:cs="宋体" w:eastAsia="宋体" w:hint="default"/>
                <w:sz w:val="18"/>
                <w:szCs w:val="18"/>
              </w:rPr>
            </w:pPr>
            <w:r>
              <w:rPr>
                <w:rFonts w:ascii="宋体" w:hAnsi="宋体" w:cs="宋体" w:eastAsia="宋体" w:hint="default"/>
                <w:spacing w:val="-1"/>
                <w:sz w:val="18"/>
                <w:szCs w:val="18"/>
              </w:rPr>
              <w:t>5）浙江自贸区舶云智慧物流有限公司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控股玄孙公司</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2" w:right="0"/>
              <w:jc w:val="left"/>
              <w:rPr>
                <w:rFonts w:ascii="宋体" w:hAnsi="宋体" w:cs="宋体" w:eastAsia="宋体" w:hint="default"/>
                <w:sz w:val="18"/>
                <w:szCs w:val="18"/>
              </w:rPr>
            </w:pPr>
            <w:r>
              <w:rPr>
                <w:rFonts w:ascii="宋体" w:hAnsi="宋体" w:cs="宋体" w:eastAsia="宋体" w:hint="default"/>
                <w:sz w:val="18"/>
                <w:szCs w:val="18"/>
              </w:rPr>
              <w:t>五级</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100.00</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100.00</w:t>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4．安徽汉高信息科技有限公司</w:t>
            </w:r>
            <w:r>
              <w:rPr>
                <w:rFonts w:ascii="宋体" w:hAnsi="宋体" w:cs="宋体" w:eastAsia="宋体" w:hint="default"/>
                <w:sz w:val="18"/>
                <w:szCs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控股子公司</w:t>
            </w:r>
            <w:r>
              <w:rPr>
                <w:rFonts w:ascii="宋体" w:hAnsi="宋体" w:cs="宋体" w:eastAsia="宋体" w:hint="default"/>
                <w:sz w:val="18"/>
                <w:szCs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2" w:right="0"/>
              <w:jc w:val="left"/>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center"/>
              <w:rPr>
                <w:rFonts w:ascii="宋体" w:hAnsi="宋体" w:cs="宋体" w:eastAsia="宋体" w:hint="default"/>
                <w:sz w:val="18"/>
                <w:szCs w:val="18"/>
              </w:rPr>
            </w:pPr>
            <w:r>
              <w:rPr>
                <w:rFonts w:ascii="宋体"/>
                <w:b/>
                <w:sz w:val="18"/>
              </w:rPr>
              <w:t>51.00</w:t>
            </w:r>
            <w:r>
              <w:rPr>
                <w:rFonts w:ascii="宋体"/>
                <w:sz w:val="18"/>
              </w:rPr>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b/>
                <w:sz w:val="18"/>
              </w:rPr>
              <w:t>51.00</w:t>
            </w:r>
            <w:r>
              <w:rPr>
                <w:rFonts w:ascii="宋体"/>
                <w:sz w:val="18"/>
              </w:rPr>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b/>
                <w:bCs/>
                <w:sz w:val="18"/>
                <w:szCs w:val="18"/>
              </w:rPr>
              <w:t>5．安徽皖通城市智能交通科技有限公司</w:t>
            </w:r>
            <w:r>
              <w:rPr>
                <w:rFonts w:ascii="宋体" w:hAnsi="宋体" w:cs="宋体" w:eastAsia="宋体" w:hint="default"/>
                <w:sz w:val="18"/>
                <w:szCs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b/>
                <w:bCs/>
                <w:sz w:val="18"/>
                <w:szCs w:val="18"/>
              </w:rPr>
              <w:t>控股子公司</w:t>
            </w:r>
            <w:r>
              <w:rPr>
                <w:rFonts w:ascii="宋体" w:hAnsi="宋体" w:cs="宋体" w:eastAsia="宋体" w:hint="default"/>
                <w:sz w:val="18"/>
                <w:szCs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2" w:right="0"/>
              <w:jc w:val="left"/>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b/>
                <w:sz w:val="18"/>
              </w:rPr>
              <w:t>51.00</w:t>
            </w:r>
            <w:r>
              <w:rPr>
                <w:rFonts w:ascii="宋体"/>
                <w:sz w:val="18"/>
              </w:rPr>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b/>
                <w:sz w:val="18"/>
              </w:rPr>
              <w:t>51.00</w:t>
            </w:r>
            <w:r>
              <w:rPr>
                <w:rFonts w:ascii="宋体"/>
                <w:sz w:val="18"/>
              </w:rPr>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6．重庆皖通科技有限责任公司</w:t>
            </w:r>
            <w:r>
              <w:rPr>
                <w:rFonts w:ascii="宋体" w:hAnsi="宋体" w:cs="宋体" w:eastAsia="宋体" w:hint="default"/>
                <w:sz w:val="18"/>
                <w:szCs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b/>
                <w:bCs/>
                <w:sz w:val="18"/>
                <w:szCs w:val="18"/>
              </w:rPr>
              <w:t>控股子公司</w:t>
            </w:r>
            <w:r>
              <w:rPr>
                <w:rFonts w:ascii="宋体" w:hAnsi="宋体" w:cs="宋体" w:eastAsia="宋体" w:hint="default"/>
                <w:sz w:val="18"/>
                <w:szCs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2" w:right="0"/>
              <w:jc w:val="left"/>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center"/>
              <w:rPr>
                <w:rFonts w:ascii="宋体" w:hAnsi="宋体" w:cs="宋体" w:eastAsia="宋体" w:hint="default"/>
                <w:sz w:val="18"/>
                <w:szCs w:val="18"/>
              </w:rPr>
            </w:pPr>
            <w:r>
              <w:rPr>
                <w:rFonts w:ascii="宋体"/>
                <w:b/>
                <w:sz w:val="18"/>
              </w:rPr>
              <w:t>85.00</w:t>
            </w:r>
            <w:r>
              <w:rPr>
                <w:rFonts w:ascii="宋体"/>
                <w:sz w:val="18"/>
              </w:rPr>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b/>
                <w:sz w:val="18"/>
              </w:rPr>
              <w:t>85.00</w:t>
            </w:r>
            <w:r>
              <w:rPr>
                <w:rFonts w:ascii="宋体"/>
                <w:sz w:val="18"/>
              </w:rPr>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b/>
                <w:bCs/>
                <w:sz w:val="18"/>
                <w:szCs w:val="18"/>
              </w:rPr>
              <w:t>7．安徽行云天下科技有限公司</w:t>
            </w:r>
            <w:r>
              <w:rPr>
                <w:rFonts w:ascii="宋体" w:hAnsi="宋体" w:cs="宋体" w:eastAsia="宋体" w:hint="default"/>
                <w:sz w:val="18"/>
                <w:szCs w:val="18"/>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b/>
                <w:bCs/>
                <w:sz w:val="18"/>
                <w:szCs w:val="18"/>
              </w:rPr>
              <w:t>控股子公司</w:t>
            </w:r>
            <w:r>
              <w:rPr>
                <w:rFonts w:ascii="宋体" w:hAnsi="宋体" w:cs="宋体" w:eastAsia="宋体" w:hint="default"/>
                <w:sz w:val="18"/>
                <w:szCs w:val="18"/>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2" w:right="0"/>
              <w:jc w:val="left"/>
              <w:rPr>
                <w:rFonts w:ascii="宋体" w:hAnsi="宋体" w:cs="宋体" w:eastAsia="宋体" w:hint="default"/>
                <w:sz w:val="18"/>
                <w:szCs w:val="18"/>
              </w:rPr>
            </w:pPr>
            <w:r>
              <w:rPr>
                <w:rFonts w:ascii="宋体" w:hAnsi="宋体" w:cs="宋体" w:eastAsia="宋体" w:hint="default"/>
                <w:b/>
                <w:bCs/>
                <w:sz w:val="18"/>
                <w:szCs w:val="18"/>
              </w:rPr>
              <w:t>二级</w:t>
            </w:r>
            <w:r>
              <w:rPr>
                <w:rFonts w:ascii="宋体" w:hAnsi="宋体" w:cs="宋体" w:eastAsia="宋体" w:hint="default"/>
                <w:sz w:val="18"/>
                <w:szCs w:val="18"/>
              </w:rPr>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center"/>
              <w:rPr>
                <w:rFonts w:ascii="宋体" w:hAnsi="宋体" w:cs="宋体" w:eastAsia="宋体" w:hint="default"/>
                <w:sz w:val="18"/>
                <w:szCs w:val="18"/>
              </w:rPr>
            </w:pPr>
            <w:r>
              <w:rPr>
                <w:rFonts w:ascii="宋体"/>
                <w:b/>
                <w:sz w:val="18"/>
              </w:rPr>
              <w:t>50.90</w:t>
            </w:r>
            <w:r>
              <w:rPr>
                <w:rFonts w:ascii="宋体"/>
                <w:sz w:val="18"/>
              </w:rPr>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b/>
                <w:sz w:val="18"/>
              </w:rPr>
              <w:t>50.90</w:t>
            </w:r>
            <w:r>
              <w:rPr>
                <w:rFonts w:ascii="宋体"/>
                <w:sz w:val="18"/>
              </w:rPr>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3" w:right="0"/>
              <w:jc w:val="left"/>
              <w:rPr>
                <w:rFonts w:ascii="宋体" w:hAnsi="宋体" w:cs="宋体" w:eastAsia="宋体" w:hint="default"/>
                <w:sz w:val="18"/>
                <w:szCs w:val="18"/>
              </w:rPr>
            </w:pPr>
            <w:r>
              <w:rPr>
                <w:rFonts w:ascii="宋体" w:hAnsi="宋体" w:cs="宋体" w:eastAsia="宋体" w:hint="default"/>
                <w:sz w:val="18"/>
                <w:szCs w:val="18"/>
              </w:rPr>
              <w:t>1）安徽光大保险代理有限责任公司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2"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100.00</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100.00</w:t>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3" w:right="0"/>
              <w:jc w:val="left"/>
              <w:rPr>
                <w:rFonts w:ascii="宋体" w:hAnsi="宋体" w:cs="宋体" w:eastAsia="宋体" w:hint="default"/>
                <w:sz w:val="18"/>
                <w:szCs w:val="18"/>
              </w:rPr>
            </w:pPr>
            <w:r>
              <w:rPr>
                <w:rFonts w:ascii="宋体" w:hAnsi="宋体" w:cs="宋体" w:eastAsia="宋体" w:hint="default"/>
                <w:sz w:val="18"/>
                <w:szCs w:val="18"/>
              </w:rPr>
              <w:t>2）上海亲益保网络科技有限公司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2"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100.00</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sz w:val="18"/>
              </w:rPr>
              <w:t>100.00</w:t>
            </w:r>
          </w:p>
        </w:tc>
      </w:tr>
    </w:tbl>
    <w:p>
      <w:pPr>
        <w:spacing w:line="240" w:lineRule="auto" w:before="6"/>
        <w:rPr>
          <w:rFonts w:ascii="宋体" w:hAnsi="宋体" w:cs="宋体" w:eastAsia="宋体" w:hint="default"/>
          <w:sz w:val="5"/>
          <w:szCs w:val="5"/>
        </w:rPr>
      </w:pPr>
    </w:p>
    <w:p>
      <w:pPr>
        <w:pStyle w:val="BodyText"/>
        <w:spacing w:line="273" w:lineRule="auto" w:before="34"/>
        <w:ind w:right="171" w:firstLine="420"/>
        <w:jc w:val="left"/>
      </w:pPr>
      <w:r>
        <w:rPr/>
        <w:t>本期纳入合并财务报表范围的主体较上期相比，增加4户，减少0户，其中：</w:t>
      </w:r>
      <w:r>
        <w:rPr>
          <w:w w:val="99"/>
        </w:rPr>
        <w:t> </w:t>
      </w:r>
      <w:r>
        <w:rPr>
          <w:w w:val="95"/>
        </w:rPr>
        <w:t>1.本期新纳入合并范围的子公司、特殊目的主体、通过受托经营或承租等方式形成控制权的经营实体</w:t>
      </w:r>
      <w:r>
        <w:rPr/>
      </w:r>
    </w:p>
    <w:tbl>
      <w:tblPr>
        <w:tblW w:w="0" w:type="auto"/>
        <w:jc w:val="left"/>
        <w:tblInd w:w="106" w:type="dxa"/>
        <w:tblLayout w:type="fixed"/>
        <w:tblCellMar>
          <w:top w:w="0" w:type="dxa"/>
          <w:left w:w="0" w:type="dxa"/>
          <w:bottom w:w="0" w:type="dxa"/>
          <w:right w:w="0" w:type="dxa"/>
        </w:tblCellMar>
        <w:tblLook w:val="01E0"/>
      </w:tblPr>
      <w:tblGrid>
        <w:gridCol w:w="3694"/>
        <w:gridCol w:w="5970"/>
      </w:tblGrid>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上海舶云供应链管理有限公司</w:t>
            </w:r>
          </w:p>
        </w:tc>
        <w:tc>
          <w:tcPr>
            <w:tcW w:w="5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浙江自贸区舶云智慧物流有限公司</w:t>
            </w:r>
          </w:p>
        </w:tc>
        <w:tc>
          <w:tcPr>
            <w:tcW w:w="5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安徽光大保险代理有限责任公司</w:t>
            </w:r>
          </w:p>
        </w:tc>
        <w:tc>
          <w:tcPr>
            <w:tcW w:w="5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购并</w:t>
            </w:r>
          </w:p>
        </w:tc>
      </w:tr>
      <w:tr>
        <w:trPr>
          <w:trHeight w:val="347"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上海亲益保网络科技有限公司</w:t>
            </w:r>
          </w:p>
        </w:tc>
        <w:tc>
          <w:tcPr>
            <w:tcW w:w="5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购并</w:t>
            </w:r>
          </w:p>
        </w:tc>
      </w:tr>
    </w:tbl>
    <w:p>
      <w:pPr>
        <w:spacing w:line="240" w:lineRule="auto" w:before="3"/>
        <w:rPr>
          <w:rFonts w:ascii="宋体" w:hAnsi="宋体" w:cs="宋体" w:eastAsia="宋体" w:hint="default"/>
          <w:sz w:val="6"/>
          <w:szCs w:val="6"/>
        </w:rPr>
      </w:pPr>
    </w:p>
    <w:p>
      <w:pPr>
        <w:spacing w:line="468" w:lineRule="auto" w:before="26"/>
        <w:ind w:left="112" w:right="2354" w:firstLine="480"/>
        <w:jc w:val="left"/>
        <w:rPr>
          <w:rFonts w:ascii="宋体" w:hAnsi="宋体" w:cs="宋体" w:eastAsia="宋体" w:hint="default"/>
          <w:sz w:val="24"/>
          <w:szCs w:val="24"/>
        </w:rPr>
      </w:pPr>
      <w:r>
        <w:rPr>
          <w:rFonts w:ascii="宋体" w:hAnsi="宋体" w:cs="宋体" w:eastAsia="宋体" w:hint="default"/>
          <w:sz w:val="24"/>
          <w:szCs w:val="24"/>
        </w:rPr>
        <w:t>合并范围变更主体的具体信息详见“附注七、合并范围的变更”。 </w:t>
      </w:r>
      <w:r>
        <w:rPr>
          <w:rFonts w:ascii="宋体" w:hAnsi="宋体" w:cs="宋体" w:eastAsia="宋体" w:hint="default"/>
          <w:b/>
          <w:bCs/>
          <w:sz w:val="24"/>
          <w:szCs w:val="24"/>
        </w:rPr>
        <w:t>四、财务报表的编制基础</w:t>
      </w:r>
      <w:r>
        <w:rPr>
          <w:rFonts w:ascii="宋体" w:hAnsi="宋体" w:cs="宋体" w:eastAsia="宋体" w:hint="default"/>
          <w:sz w:val="24"/>
          <w:szCs w:val="24"/>
        </w:rPr>
      </w:r>
    </w:p>
    <w:p>
      <w:pPr>
        <w:pStyle w:val="Heading5"/>
        <w:spacing w:line="240" w:lineRule="auto" w:before="93"/>
        <w:ind w:right="171"/>
        <w:jc w:val="left"/>
        <w:rPr>
          <w:b w:val="0"/>
          <w:bCs w:val="0"/>
        </w:rPr>
      </w:pPr>
      <w:r>
        <w:rPr/>
        <w:t>1、编制基础</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right="172" w:firstLine="420"/>
        <w:jc w:val="both"/>
      </w:pPr>
      <w:r>
        <w:rPr>
          <w:w w:val="95"/>
        </w:rPr>
        <w:t>本公司根据实际发生的交易和事项，按照财政部颁布的《企业会计准则——基本准则》和具体企业会</w:t>
      </w:r>
      <w:r>
        <w:rPr>
          <w:w w:val="99"/>
        </w:rPr>
        <w:t> </w:t>
      </w:r>
      <w:r>
        <w:rPr>
          <w:w w:val="95"/>
        </w:rPr>
        <w:t>计准则、企业会计准则应用指南、企业会计准则解释及其他相关规定（以下合称“企业会计准则”）进行</w:t>
      </w:r>
      <w:r>
        <w:rPr>
          <w:spacing w:val="38"/>
          <w:w w:val="95"/>
        </w:rPr>
        <w:t> </w:t>
      </w:r>
      <w:r>
        <w:rPr>
          <w:spacing w:val="38"/>
          <w:w w:val="95"/>
        </w:rPr>
      </w:r>
      <w:r>
        <w:rPr>
          <w:w w:val="95"/>
        </w:rPr>
        <w:t>确认和计量，在此基础上，结合中国证券监督管理委员会《公开发行证券的公司信息披露编报规则第15号</w:t>
      </w:r>
      <w:r>
        <w:rPr/>
      </w:r>
    </w:p>
    <w:p>
      <w:pPr>
        <w:pStyle w:val="BodyText"/>
        <w:spacing w:line="240" w:lineRule="auto"/>
        <w:ind w:right="171"/>
        <w:jc w:val="left"/>
      </w:pPr>
      <w:r>
        <w:rPr/>
        <w:t>——财务报告的一般规定》（2014年修订）的规定，编制财务报表。</w:t>
      </w:r>
    </w:p>
    <w:p>
      <w:pPr>
        <w:spacing w:after="0" w:line="240" w:lineRule="auto"/>
        <w:jc w:val="left"/>
        <w:sectPr>
          <w:pgSz w:w="11910" w:h="16840"/>
          <w:pgMar w:header="746" w:footer="937" w:top="1040" w:bottom="1120" w:left="1020" w:right="96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2、持续经营</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right="0" w:firstLine="420"/>
        <w:jc w:val="left"/>
      </w:pPr>
      <w:r>
        <w:rPr>
          <w:w w:val="95"/>
        </w:rPr>
        <w:t>本公司对报告期末起12个月的持续经营能力进行了评价，未发现对持续经营能力产生重大怀疑的事项</w:t>
      </w:r>
      <w:r>
        <w:rPr>
          <w:w w:val="99"/>
        </w:rPr>
        <w:t> </w:t>
      </w:r>
      <w:r>
        <w:rPr/>
        <w:t>或情况。因此，本财务报表系在持续经营假设的基础上编制。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66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Heading5"/>
        <w:spacing w:line="240" w:lineRule="auto" w:before="92"/>
        <w:ind w:left="535" w:right="0"/>
        <w:jc w:val="left"/>
        <w:rPr>
          <w:b w:val="0"/>
          <w:bCs w:val="0"/>
        </w:rPr>
      </w:pPr>
      <w:r>
        <w:rPr/>
        <w:t>1.会计政策变更</w:t>
      </w:r>
      <w:r>
        <w:rPr>
          <w:b w:val="0"/>
          <w:bCs w:val="0"/>
        </w:rPr>
      </w:r>
    </w:p>
    <w:p>
      <w:pPr>
        <w:pStyle w:val="BodyText"/>
        <w:spacing w:line="273" w:lineRule="auto" w:before="37"/>
        <w:ind w:right="0" w:firstLine="420"/>
        <w:jc w:val="left"/>
      </w:pPr>
      <w:r>
        <w:rPr>
          <w:spacing w:val="-5"/>
        </w:rPr>
        <w:t>1）2017年5月10日，财政部公布了修订后的《企业会计准则第16号——政府补助》，该准则修订自2017</w:t>
      </w:r>
      <w:r>
        <w:rPr>
          <w:w w:val="99"/>
        </w:rPr>
        <w:t> </w:t>
      </w:r>
      <w:r>
        <w:rPr/>
        <w:t>年6月12日起施行，同时要求企业对2017年1月1日存在的政府补助采用未来适用法处理，对2017年1月1日</w:t>
      </w:r>
      <w:r>
        <w:rPr>
          <w:w w:val="99"/>
        </w:rPr>
        <w:t> </w:t>
      </w:r>
      <w:r>
        <w:rPr/>
        <w:t>至该准则施行日之间新增的政府补助根据修订后的准则进行调整。</w:t>
      </w:r>
    </w:p>
    <w:p>
      <w:pPr>
        <w:pStyle w:val="BodyText"/>
        <w:spacing w:line="273" w:lineRule="auto"/>
        <w:ind w:right="0" w:firstLine="420"/>
        <w:jc w:val="left"/>
      </w:pPr>
      <w:r>
        <w:rPr>
          <w:w w:val="95"/>
        </w:rPr>
        <w:t>本公司自2017年6月12日开始采用该修订后的准则，上述会计政策变化的主要内容为：2017年将与企</w:t>
      </w:r>
      <w:r>
        <w:rPr>
          <w:spacing w:val="-85"/>
          <w:w w:val="95"/>
        </w:rPr>
        <w:t> </w:t>
      </w:r>
      <w:r>
        <w:rPr>
          <w:spacing w:val="-85"/>
          <w:w w:val="95"/>
        </w:rPr>
      </w:r>
      <w:r>
        <w:rPr/>
        <w:t>业日常活动有关的政府补助26,306,853.76元计入了“其他收益”。</w:t>
      </w:r>
    </w:p>
    <w:p>
      <w:pPr>
        <w:pStyle w:val="BodyText"/>
        <w:spacing w:line="273" w:lineRule="auto"/>
        <w:ind w:right="0" w:firstLine="420"/>
        <w:jc w:val="left"/>
      </w:pPr>
      <w:r>
        <w:rPr>
          <w:w w:val="95"/>
        </w:rPr>
        <w:t>2）2017年4月28日，财政部发布了《企业会计准则第42号——持有待售的非流动资产、处置组和终止</w:t>
      </w:r>
      <w:r>
        <w:rPr>
          <w:w w:val="99"/>
        </w:rPr>
        <w:t> </w:t>
      </w:r>
      <w:r>
        <w:rPr/>
        <w:t>经营》，该准则自2017年5月28日起施行。本公司根据该准则及财政部《关于修订印发一般企业财务报表</w:t>
      </w:r>
      <w:r>
        <w:rPr>
          <w:w w:val="99"/>
        </w:rPr>
        <w:t> </w:t>
      </w:r>
      <w:r>
        <w:rPr>
          <w:w w:val="95"/>
        </w:rPr>
        <w:t>格式的通知》（财会〔2017〕30号的规定，在利润表中新增了“资产处置收益”项目，并对净利润按经营</w:t>
      </w:r>
      <w:r>
        <w:rPr>
          <w:spacing w:val="36"/>
          <w:w w:val="95"/>
        </w:rPr>
        <w:t> </w:t>
      </w:r>
      <w:r>
        <w:rPr>
          <w:spacing w:val="36"/>
          <w:w w:val="95"/>
        </w:rPr>
      </w:r>
      <w:r>
        <w:rPr>
          <w:w w:val="95"/>
        </w:rPr>
        <w:t>持续性进行分类列报。本公司按照《企业会计准则第30号——财务报表列报》等的相关规定，对可比期间</w:t>
      </w:r>
      <w:r>
        <w:rPr>
          <w:spacing w:val="41"/>
          <w:w w:val="95"/>
        </w:rPr>
        <w:t> </w:t>
      </w:r>
      <w:r>
        <w:rPr>
          <w:spacing w:val="41"/>
          <w:w w:val="95"/>
        </w:rPr>
      </w:r>
      <w:r>
        <w:rPr/>
        <w:t>的比较数据进行调整，该会计政策变更追溯调整影响如下：</w:t>
      </w:r>
    </w:p>
    <w:tbl>
      <w:tblPr>
        <w:tblW w:w="0" w:type="auto"/>
        <w:jc w:val="left"/>
        <w:tblInd w:w="119" w:type="dxa"/>
        <w:tblLayout w:type="fixed"/>
        <w:tblCellMar>
          <w:top w:w="0" w:type="dxa"/>
          <w:left w:w="0" w:type="dxa"/>
          <w:bottom w:w="0" w:type="dxa"/>
          <w:right w:w="0" w:type="dxa"/>
        </w:tblCellMar>
        <w:tblLook w:val="01E0"/>
      </w:tblPr>
      <w:tblGrid>
        <w:gridCol w:w="4129"/>
        <w:gridCol w:w="2222"/>
        <w:gridCol w:w="3270"/>
      </w:tblGrid>
      <w:tr>
        <w:trPr>
          <w:trHeight w:val="347" w:hRule="exact"/>
        </w:trPr>
        <w:tc>
          <w:tcPr>
            <w:tcW w:w="4129"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54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2016年度</w:t>
            </w:r>
          </w:p>
        </w:tc>
      </w:tr>
      <w:tr>
        <w:trPr>
          <w:trHeight w:val="347" w:hRule="exact"/>
        </w:trPr>
        <w:tc>
          <w:tcPr>
            <w:tcW w:w="4129" w:type="dxa"/>
            <w:vMerge/>
            <w:tcBorders>
              <w:left w:val="single" w:sz="6" w:space="0" w:color="000000"/>
              <w:bottom w:val="single" w:sz="6" w:space="0" w:color="000000"/>
              <w:right w:val="single" w:sz="6" w:space="0" w:color="000000"/>
            </w:tcBorders>
          </w:tcPr>
          <w:p>
            <w:pP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83" w:right="0"/>
              <w:jc w:val="left"/>
              <w:rPr>
                <w:rFonts w:ascii="宋体" w:hAnsi="宋体" w:cs="宋体" w:eastAsia="宋体" w:hint="default"/>
                <w:sz w:val="18"/>
                <w:szCs w:val="18"/>
              </w:rPr>
            </w:pPr>
            <w:r>
              <w:rPr>
                <w:rFonts w:ascii="宋体" w:hAnsi="宋体" w:cs="宋体" w:eastAsia="宋体" w:hint="default"/>
                <w:sz w:val="18"/>
                <w:szCs w:val="18"/>
              </w:rPr>
              <w:t>追溯调整前（元）</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906" w:right="0"/>
              <w:jc w:val="left"/>
              <w:rPr>
                <w:rFonts w:ascii="宋体" w:hAnsi="宋体" w:cs="宋体" w:eastAsia="宋体" w:hint="default"/>
                <w:sz w:val="18"/>
                <w:szCs w:val="18"/>
              </w:rPr>
            </w:pPr>
            <w:r>
              <w:rPr>
                <w:rFonts w:ascii="宋体" w:hAnsi="宋体" w:cs="宋体" w:eastAsia="宋体" w:hint="default"/>
                <w:sz w:val="18"/>
                <w:szCs w:val="18"/>
              </w:rPr>
              <w:t>追溯调整后（元）</w:t>
            </w:r>
          </w:p>
        </w:tc>
      </w:tr>
      <w:tr>
        <w:trPr>
          <w:trHeight w:val="347" w:hRule="exact"/>
        </w:trPr>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2222" w:type="dxa"/>
            <w:tcBorders>
              <w:top w:val="single" w:sz="6" w:space="0" w:color="000000"/>
              <w:left w:val="single" w:sz="6" w:space="0" w:color="000000"/>
              <w:bottom w:val="single" w:sz="6" w:space="0" w:color="000000"/>
              <w:right w:val="single" w:sz="6" w:space="0" w:color="000000"/>
            </w:tcBorders>
          </w:tcPr>
          <w:p>
            <w:pP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-288,879.29</w:t>
            </w:r>
          </w:p>
        </w:tc>
      </w:tr>
      <w:tr>
        <w:trPr>
          <w:trHeight w:val="347" w:hRule="exact"/>
        </w:trPr>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13" w:right="0"/>
              <w:jc w:val="left"/>
              <w:rPr>
                <w:rFonts w:ascii="宋体" w:hAnsi="宋体" w:cs="宋体" w:eastAsia="宋体" w:hint="default"/>
                <w:sz w:val="18"/>
                <w:szCs w:val="18"/>
              </w:rPr>
            </w:pPr>
            <w:r>
              <w:rPr>
                <w:rFonts w:ascii="宋体"/>
                <w:sz w:val="18"/>
              </w:rPr>
              <w:t>-288,879.29</w:t>
            </w:r>
          </w:p>
        </w:tc>
        <w:tc>
          <w:tcPr>
            <w:tcW w:w="327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9"/>
          <w:szCs w:val="9"/>
        </w:rPr>
      </w:pPr>
    </w:p>
    <w:p>
      <w:pPr>
        <w:spacing w:line="273" w:lineRule="auto" w:before="34"/>
        <w:ind w:left="532" w:right="5774" w:hanging="3"/>
        <w:jc w:val="left"/>
        <w:rPr>
          <w:rFonts w:ascii="宋体" w:hAnsi="宋体" w:cs="宋体" w:eastAsia="宋体" w:hint="default"/>
          <w:sz w:val="21"/>
          <w:szCs w:val="21"/>
        </w:rPr>
      </w:pPr>
      <w:r>
        <w:rPr>
          <w:rFonts w:ascii="宋体" w:hAnsi="宋体" w:cs="宋体" w:eastAsia="宋体" w:hint="default"/>
          <w:b/>
          <w:bCs/>
          <w:sz w:val="21"/>
          <w:szCs w:val="21"/>
        </w:rPr>
        <w:t>1.会计估计变更</w:t>
      </w:r>
      <w:r>
        <w:rPr>
          <w:rFonts w:ascii="宋体" w:hAnsi="宋体" w:cs="宋体" w:eastAsia="宋体" w:hint="default"/>
          <w:b/>
          <w:bCs/>
          <w:w w:val="99"/>
          <w:sz w:val="21"/>
          <w:szCs w:val="21"/>
        </w:rPr>
        <w:t> </w:t>
      </w:r>
      <w:r>
        <w:rPr>
          <w:rFonts w:ascii="宋体" w:hAnsi="宋体" w:cs="宋体" w:eastAsia="宋体" w:hint="default"/>
          <w:w w:val="95"/>
          <w:sz w:val="21"/>
          <w:szCs w:val="21"/>
        </w:rPr>
        <w:t>本报告期主要会计估计未发生变更。</w:t>
      </w:r>
      <w:r>
        <w:rPr>
          <w:rFonts w:ascii="宋体" w:hAnsi="宋体" w:cs="宋体" w:eastAsia="宋体" w:hint="default"/>
          <w:sz w:val="21"/>
          <w:szCs w:val="21"/>
        </w:rPr>
      </w:r>
    </w:p>
    <w:p>
      <w:pPr>
        <w:spacing w:line="612" w:lineRule="exact" w:before="66"/>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1、遵循企业会计准则的声明</w:t>
      </w:r>
      <w:r>
        <w:rPr>
          <w:rFonts w:ascii="宋体" w:hAnsi="宋体" w:cs="宋体" w:eastAsia="宋体" w:hint="default"/>
          <w:b/>
          <w:bCs/>
          <w:w w:val="99"/>
          <w:sz w:val="21"/>
          <w:szCs w:val="21"/>
        </w:rPr>
        <w:t> </w:t>
      </w:r>
      <w:r>
        <w:rPr>
          <w:rFonts w:ascii="宋体" w:hAnsi="宋体" w:cs="宋体" w:eastAsia="宋体" w:hint="default"/>
          <w:w w:val="95"/>
          <w:sz w:val="21"/>
          <w:szCs w:val="21"/>
        </w:rPr>
        <w:t>本公司所编制的财务报表符合企业会计准则的要求，真实、完整地反映了报告期公司的财务状况、经</w:t>
      </w:r>
      <w:r>
        <w:rPr>
          <w:rFonts w:ascii="宋体" w:hAnsi="宋体" w:cs="宋体" w:eastAsia="宋体" w:hint="default"/>
          <w:sz w:val="21"/>
          <w:szCs w:val="21"/>
        </w:rPr>
      </w:r>
    </w:p>
    <w:p>
      <w:pPr>
        <w:pStyle w:val="BodyText"/>
        <w:spacing w:line="219" w:lineRule="exact" w:before="0"/>
        <w:ind w:right="0"/>
        <w:jc w:val="left"/>
      </w:pPr>
      <w:r>
        <w:rPr/>
        <w:t>营成果、现金流量等有关信息。</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line="535" w:lineRule="auto" w:before="0"/>
        <w:ind w:left="112" w:right="5594" w:firstLine="0"/>
        <w:jc w:val="left"/>
        <w:rPr>
          <w:rFonts w:ascii="宋体" w:hAnsi="宋体" w:cs="宋体" w:eastAsia="宋体" w:hint="default"/>
          <w:sz w:val="21"/>
          <w:szCs w:val="21"/>
        </w:rPr>
      </w:pPr>
      <w:r>
        <w:rPr>
          <w:rFonts w:ascii="宋体" w:hAnsi="宋体" w:cs="宋体" w:eastAsia="宋体" w:hint="default"/>
          <w:b/>
          <w:bCs/>
          <w:sz w:val="21"/>
          <w:szCs w:val="21"/>
        </w:rPr>
        <w:t>2、会计期间</w:t>
      </w:r>
      <w:r>
        <w:rPr>
          <w:rFonts w:ascii="宋体" w:hAnsi="宋体" w:cs="宋体" w:eastAsia="宋体" w:hint="default"/>
          <w:b/>
          <w:bCs/>
          <w:w w:val="99"/>
          <w:sz w:val="21"/>
          <w:szCs w:val="21"/>
        </w:rPr>
        <w:t> </w:t>
      </w:r>
      <w:r>
        <w:rPr>
          <w:rFonts w:ascii="宋体" w:hAnsi="宋体" w:cs="宋体" w:eastAsia="宋体" w:hint="default"/>
          <w:w w:val="95"/>
          <w:sz w:val="21"/>
          <w:szCs w:val="21"/>
        </w:rPr>
        <w:t>自公历1月1日至12月31日止为一个会计年度。</w:t>
      </w:r>
      <w:r>
        <w:rPr>
          <w:rFonts w:ascii="宋体" w:hAnsi="宋体" w:cs="宋体" w:eastAsia="宋体" w:hint="default"/>
          <w:spacing w:val="98"/>
          <w:w w:val="95"/>
          <w:sz w:val="21"/>
          <w:szCs w:val="21"/>
        </w:rPr>
        <w:t> </w:t>
      </w:r>
      <w:r>
        <w:rPr>
          <w:rFonts w:ascii="宋体" w:hAnsi="宋体" w:cs="宋体" w:eastAsia="宋体" w:hint="default"/>
          <w:spacing w:val="98"/>
          <w:w w:val="95"/>
          <w:sz w:val="21"/>
          <w:szCs w:val="21"/>
        </w:rPr>
      </w:r>
      <w:r>
        <w:rPr>
          <w:rFonts w:ascii="宋体" w:hAnsi="宋体" w:cs="宋体" w:eastAsia="宋体" w:hint="default"/>
          <w:b/>
          <w:bCs/>
          <w:sz w:val="21"/>
          <w:szCs w:val="21"/>
        </w:rPr>
        <w:t>3、营业周期</w:t>
      </w:r>
      <w:r>
        <w:rPr>
          <w:rFonts w:ascii="宋体" w:hAnsi="宋体" w:cs="宋体" w:eastAsia="宋体" w:hint="default"/>
          <w:sz w:val="21"/>
          <w:szCs w:val="21"/>
        </w:rPr>
      </w:r>
    </w:p>
    <w:p>
      <w:pPr>
        <w:spacing w:before="104"/>
        <w:ind w:left="112" w:right="0" w:firstLine="0"/>
        <w:jc w:val="left"/>
        <w:rPr>
          <w:rFonts w:ascii="宋体" w:hAnsi="宋体" w:cs="宋体" w:eastAsia="宋体" w:hint="default"/>
          <w:sz w:val="18"/>
          <w:szCs w:val="18"/>
        </w:rPr>
      </w:pPr>
      <w:r>
        <w:rPr>
          <w:rFonts w:ascii="宋体" w:hAnsi="宋体" w:cs="宋体" w:eastAsia="宋体" w:hint="default"/>
          <w:sz w:val="18"/>
          <w:szCs w:val="18"/>
        </w:rPr>
        <w:t>12个月</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4、记账本位币</w:t>
      </w:r>
      <w:r>
        <w:rPr>
          <w:b w:val="0"/>
          <w:bCs w:val="0"/>
        </w:rPr>
      </w:r>
    </w:p>
    <w:p>
      <w:pPr>
        <w:spacing w:line="240" w:lineRule="auto" w:before="10"/>
        <w:rPr>
          <w:rFonts w:ascii="宋体" w:hAnsi="宋体" w:cs="宋体" w:eastAsia="宋体" w:hint="default"/>
          <w:b/>
          <w:bCs/>
          <w:sz w:val="25"/>
          <w:szCs w:val="25"/>
        </w:rPr>
      </w:pPr>
    </w:p>
    <w:p>
      <w:pPr>
        <w:spacing w:line="537" w:lineRule="auto" w:before="0"/>
        <w:ind w:left="112" w:right="1946" w:firstLine="420"/>
        <w:jc w:val="left"/>
        <w:rPr>
          <w:rFonts w:ascii="宋体" w:hAnsi="宋体" w:cs="宋体" w:eastAsia="宋体" w:hint="default"/>
          <w:sz w:val="21"/>
          <w:szCs w:val="21"/>
        </w:rPr>
      </w:pPr>
      <w:r>
        <w:rPr>
          <w:rFonts w:ascii="宋体" w:hAnsi="宋体" w:cs="宋体" w:eastAsia="宋体" w:hint="default"/>
          <w:sz w:val="21"/>
          <w:szCs w:val="21"/>
        </w:rPr>
        <w:t>采用人民币为记账本位币。</w:t>
      </w:r>
      <w:r>
        <w:rPr>
          <w:rFonts w:ascii="宋体" w:hAnsi="宋体" w:cs="宋体" w:eastAsia="宋体" w:hint="default"/>
          <w:w w:val="99"/>
          <w:sz w:val="21"/>
          <w:szCs w:val="21"/>
        </w:rPr>
        <w:t> </w:t>
      </w:r>
      <w:r>
        <w:rPr>
          <w:rFonts w:ascii="宋体" w:hAnsi="宋体" w:cs="宋体" w:eastAsia="宋体" w:hint="default"/>
          <w:b/>
          <w:bCs/>
          <w:w w:val="95"/>
          <w:sz w:val="21"/>
          <w:szCs w:val="21"/>
        </w:rPr>
        <w:t>5、同一控制下和非同一控制下企业合并的会计处理方法</w:t>
      </w:r>
      <w:r>
        <w:rPr>
          <w:rFonts w:ascii="宋体" w:hAnsi="宋体" w:cs="宋体" w:eastAsia="宋体" w:hint="default"/>
          <w:sz w:val="21"/>
          <w:szCs w:val="21"/>
        </w:rPr>
      </w:r>
    </w:p>
    <w:p>
      <w:pPr>
        <w:pStyle w:val="Heading5"/>
        <w:spacing w:line="273" w:lineRule="auto" w:before="76"/>
        <w:ind w:right="0" w:firstLine="316"/>
        <w:jc w:val="left"/>
        <w:rPr>
          <w:b w:val="0"/>
          <w:bCs w:val="0"/>
        </w:rPr>
      </w:pPr>
      <w:r>
        <w:rPr>
          <w:rFonts w:ascii="宋体" w:hAnsi="宋体" w:cs="宋体" w:eastAsia="宋体" w:hint="default"/>
          <w:b w:val="0"/>
          <w:bCs w:val="0"/>
          <w:w w:val="95"/>
        </w:rPr>
        <w:t>（1）</w:t>
      </w:r>
      <w:r>
        <w:rPr>
          <w:w w:val="95"/>
        </w:rPr>
        <w:t>分步实现企业合并过程中的各项交易的条款、条件以及经济影响符合以下一种或多种情况，将多</w:t>
      </w:r>
      <w:r>
        <w:rPr>
          <w:spacing w:val="-21"/>
          <w:w w:val="95"/>
        </w:rPr>
        <w:t> </w:t>
      </w:r>
      <w:r>
        <w:rPr>
          <w:spacing w:val="-21"/>
          <w:w w:val="95"/>
        </w:rPr>
      </w:r>
      <w:r>
        <w:rPr/>
        <w:t>次交易事项作为一揽子交易进行会计处理</w:t>
      </w:r>
      <w:r>
        <w:rPr>
          <w:b w:val="0"/>
          <w:bCs w:val="0"/>
        </w:rPr>
      </w:r>
    </w:p>
    <w:p>
      <w:pPr>
        <w:pStyle w:val="BodyText"/>
        <w:spacing w:line="240" w:lineRule="auto"/>
        <w:ind w:left="532" w:right="0"/>
        <w:jc w:val="left"/>
      </w:pPr>
      <w:r>
        <w:rPr/>
        <w:t>1）</w:t>
      </w:r>
      <w:r>
        <w:rPr>
          <w:spacing w:val="-14"/>
        </w:rPr>
        <w:t> </w:t>
      </w:r>
      <w:r>
        <w:rPr/>
        <w:t>这些交易是同时或者在考虑了彼此影响的情况下订立的；</w:t>
      </w:r>
    </w:p>
    <w:p>
      <w:pPr>
        <w:pStyle w:val="BodyText"/>
        <w:spacing w:line="240" w:lineRule="auto" w:before="37"/>
        <w:ind w:left="532" w:right="0"/>
        <w:jc w:val="left"/>
      </w:pPr>
      <w:r>
        <w:rPr/>
        <w:t>2）</w:t>
      </w:r>
      <w:r>
        <w:rPr>
          <w:spacing w:val="-13"/>
        </w:rPr>
        <w:t> </w:t>
      </w:r>
      <w:r>
        <w:rPr/>
        <w:t>这些交易整体才能达成一项完整的商业结果；</w:t>
      </w:r>
    </w:p>
    <w:p>
      <w:pPr>
        <w:pStyle w:val="BodyText"/>
        <w:spacing w:line="240" w:lineRule="auto" w:before="37"/>
        <w:ind w:left="532" w:right="0"/>
        <w:jc w:val="left"/>
      </w:pPr>
      <w:r>
        <w:rPr/>
        <w:t>3）</w:t>
      </w:r>
      <w:r>
        <w:rPr>
          <w:spacing w:val="-14"/>
        </w:rPr>
        <w:t> </w:t>
      </w:r>
      <w:r>
        <w:rPr/>
        <w:t>一项交易的发生取决于其他至少一项交易的发生；</w:t>
      </w:r>
    </w:p>
    <w:p>
      <w:pPr>
        <w:pStyle w:val="BodyText"/>
        <w:spacing w:line="240" w:lineRule="auto" w:before="37"/>
        <w:ind w:left="532" w:right="0"/>
        <w:jc w:val="left"/>
      </w:pPr>
      <w:r>
        <w:rPr/>
        <w:t>4）</w:t>
      </w:r>
      <w:r>
        <w:rPr>
          <w:spacing w:val="-18"/>
        </w:rPr>
        <w:t> </w:t>
      </w:r>
      <w:r>
        <w:rPr/>
        <w:t>一项交易单独看是不经济的，但是和其他交易一并考虑时是经济的。</w:t>
      </w:r>
    </w:p>
    <w:p>
      <w:pPr>
        <w:pStyle w:val="BodyText"/>
        <w:spacing w:line="273" w:lineRule="auto" w:before="37"/>
        <w:ind w:left="532" w:right="0" w:hanging="104"/>
        <w:jc w:val="left"/>
      </w:pPr>
      <w:r>
        <w:rPr/>
        <w:t>（2）</w:t>
      </w:r>
      <w:r>
        <w:rPr>
          <w:rFonts w:ascii="宋体" w:hAnsi="宋体" w:cs="宋体" w:eastAsia="宋体" w:hint="default"/>
          <w:b/>
          <w:bCs/>
        </w:rPr>
        <w:t>同一控制下的企业合并</w:t>
      </w:r>
      <w:r>
        <w:rPr>
          <w:rFonts w:ascii="宋体" w:hAnsi="宋体" w:cs="宋体" w:eastAsia="宋体" w:hint="default"/>
          <w:b/>
          <w:bCs/>
          <w:w w:val="99"/>
        </w:rPr>
        <w:t> </w:t>
      </w:r>
      <w:r>
        <w:rPr>
          <w:w w:val="95"/>
        </w:rPr>
        <w:t>本公司在企业合并中取得的资产和负债，按照合并日在被合并方资产、负债（包括最终控制方收购被</w:t>
      </w:r>
      <w:r>
        <w:rPr/>
      </w:r>
    </w:p>
    <w:p>
      <w:pPr>
        <w:pStyle w:val="BodyText"/>
        <w:spacing w:line="273" w:lineRule="auto"/>
        <w:ind w:right="132"/>
        <w:jc w:val="both"/>
      </w:pPr>
      <w:r>
        <w:rPr>
          <w:w w:val="95"/>
        </w:rPr>
        <w:t>合并方而形成的商誉）在最终控制方合并财务报表中的账面价值计量。在合并中取得的净资产账面价值与</w:t>
      </w:r>
      <w:r>
        <w:rPr>
          <w:spacing w:val="40"/>
          <w:w w:val="95"/>
        </w:rPr>
        <w:t> </w:t>
      </w:r>
      <w:r>
        <w:rPr>
          <w:spacing w:val="40"/>
          <w:w w:val="95"/>
        </w:rPr>
      </w:r>
      <w:r>
        <w:rPr>
          <w:w w:val="95"/>
        </w:rPr>
        <w:t>支付的合并对价账面价值（或发行股份面值总额）的差额，调整资本公积中的股本溢价，资本公积中的股</w:t>
      </w:r>
      <w:r>
        <w:rPr>
          <w:spacing w:val="39"/>
          <w:w w:val="95"/>
        </w:rPr>
        <w:t> </w:t>
      </w:r>
      <w:r>
        <w:rPr>
          <w:spacing w:val="39"/>
          <w:w w:val="95"/>
        </w:rPr>
      </w:r>
      <w:r>
        <w:rPr/>
        <w:t>本溢价不足冲减的，调整留存收益。</w:t>
      </w:r>
    </w:p>
    <w:p>
      <w:pPr>
        <w:pStyle w:val="BodyText"/>
        <w:spacing w:line="273" w:lineRule="auto"/>
        <w:ind w:right="0" w:firstLine="420"/>
        <w:jc w:val="left"/>
      </w:pPr>
      <w:r>
        <w:rPr>
          <w:w w:val="95"/>
        </w:rPr>
        <w:t>如果存在或有对价并需要确认预计负债或资产，该预计负债或资产金额与后续或有对价结算金额的差</w:t>
      </w:r>
      <w:r>
        <w:rPr>
          <w:w w:val="99"/>
        </w:rPr>
        <w:t> </w:t>
      </w:r>
      <w:r>
        <w:rPr/>
        <w:t>额，调整资本公积（资本溢价或股本溢价），资本公积不足的，调整留存收益。</w:t>
      </w:r>
    </w:p>
    <w:p>
      <w:pPr>
        <w:pStyle w:val="BodyText"/>
        <w:spacing w:line="273" w:lineRule="auto"/>
        <w:ind w:right="112" w:firstLine="420"/>
        <w:jc w:val="both"/>
      </w:pPr>
      <w:r>
        <w:rPr>
          <w:w w:val="95"/>
        </w:rPr>
        <w:t>对于通过多次交易最终实现企业合并的，属于一揽子交易的，将各项交易作为一项取得控制权的交易</w:t>
      </w:r>
      <w:r>
        <w:rPr>
          <w:w w:val="99"/>
        </w:rPr>
        <w:t> </w:t>
      </w:r>
      <w:r>
        <w:rPr>
          <w:w w:val="95"/>
        </w:rPr>
        <w:t>进行会计处理；不属于一揽子交易的，在取得控制权日，长期股权投资初始投资成本，与达到合并前的长</w:t>
      </w:r>
      <w:r>
        <w:rPr>
          <w:spacing w:val="39"/>
          <w:w w:val="95"/>
        </w:rPr>
        <w:t> </w:t>
      </w:r>
      <w:r>
        <w:rPr>
          <w:spacing w:val="39"/>
          <w:w w:val="95"/>
        </w:rPr>
      </w:r>
      <w:r>
        <w:rPr>
          <w:w w:val="95"/>
        </w:rPr>
        <w:t>期股权投资账面价值加上合并日进一步取得股份新支付对价的账面价值之和的差额，调整资本公积；资本</w:t>
      </w:r>
      <w:r>
        <w:rPr>
          <w:spacing w:val="37"/>
          <w:w w:val="95"/>
        </w:rPr>
        <w:t> </w:t>
      </w:r>
      <w:r>
        <w:rPr>
          <w:spacing w:val="37"/>
          <w:w w:val="95"/>
        </w:rPr>
      </w:r>
      <w:r>
        <w:rPr>
          <w:w w:val="95"/>
        </w:rPr>
        <w:t>公积不足冲减的，调整留存收益。对于合并日之前持有的股权投资，因采用权益法核算或金融工具确认和</w:t>
      </w:r>
      <w:r>
        <w:rPr>
          <w:spacing w:val="37"/>
          <w:w w:val="95"/>
        </w:rPr>
        <w:t> </w:t>
      </w:r>
      <w:r>
        <w:rPr>
          <w:spacing w:val="37"/>
          <w:w w:val="95"/>
        </w:rPr>
      </w:r>
      <w:r>
        <w:rPr>
          <w:w w:val="95"/>
        </w:rPr>
        <w:t>计量准则核算而确认的其他综合收益，暂不进行会计处理，直至处置该项投资时采用与被投资单位直接处</w:t>
      </w:r>
      <w:r>
        <w:rPr>
          <w:spacing w:val="37"/>
          <w:w w:val="95"/>
        </w:rPr>
        <w:t> </w:t>
      </w:r>
      <w:r>
        <w:rPr>
          <w:spacing w:val="37"/>
          <w:w w:val="95"/>
        </w:rPr>
      </w:r>
      <w:r>
        <w:rPr>
          <w:w w:val="95"/>
        </w:rPr>
        <w:t>置相关资产或负债相同的基础进行会计处理；因采用权益法核算而确认的被投资单位净资产中除净损益、</w:t>
      </w:r>
      <w:r>
        <w:rPr>
          <w:spacing w:val="61"/>
          <w:w w:val="95"/>
        </w:rPr>
        <w:t> </w:t>
      </w:r>
      <w:r>
        <w:rPr>
          <w:spacing w:val="61"/>
          <w:w w:val="95"/>
        </w:rPr>
      </w:r>
      <w:r>
        <w:rPr>
          <w:w w:val="95"/>
        </w:rPr>
        <w:t>其他综合收益和利润分配以外的所有者权益其他变动，暂不进行会计处理，直至处置该项投资时转入当期  </w:t>
      </w:r>
      <w:r>
        <w:rPr>
          <w:spacing w:val="40"/>
          <w:w w:val="95"/>
        </w:rPr>
        <w:t> </w:t>
      </w:r>
      <w:r>
        <w:rPr>
          <w:spacing w:val="40"/>
          <w:w w:val="95"/>
        </w:rPr>
      </w:r>
      <w:r>
        <w:rPr/>
        <w:t>损益。</w:t>
      </w:r>
    </w:p>
    <w:p>
      <w:pPr>
        <w:spacing w:line="273" w:lineRule="auto" w:before="7"/>
        <w:ind w:left="532" w:right="0" w:hanging="104"/>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w w:val="95"/>
          <w:sz w:val="21"/>
          <w:szCs w:val="21"/>
        </w:rPr>
        <w:t>购买日是指本公司实际取得对被购买方控制权的日期，即被购买方的净资产或生产经营决策的控制权</w:t>
      </w:r>
      <w:r>
        <w:rPr>
          <w:rFonts w:ascii="宋体" w:hAnsi="宋体" w:cs="宋体" w:eastAsia="宋体" w:hint="default"/>
          <w:sz w:val="21"/>
          <w:szCs w:val="21"/>
        </w:rPr>
      </w:r>
    </w:p>
    <w:p>
      <w:pPr>
        <w:pStyle w:val="BodyText"/>
        <w:spacing w:line="240" w:lineRule="auto"/>
        <w:ind w:right="0"/>
        <w:jc w:val="left"/>
      </w:pPr>
      <w:r>
        <w:rPr/>
        <w:t>转移给本公司的日期。同时满足下列条件时，本公司一般认为实现了控制权的转移：</w:t>
      </w:r>
    </w:p>
    <w:p>
      <w:pPr>
        <w:pStyle w:val="BodyText"/>
        <w:spacing w:line="240" w:lineRule="auto" w:before="37"/>
        <w:ind w:left="532" w:right="0"/>
        <w:jc w:val="left"/>
      </w:pPr>
      <w:r>
        <w:rPr/>
        <w:t>①企业合并合同或协议已获本公司内部权力机构通过。</w:t>
      </w:r>
    </w:p>
    <w:p>
      <w:pPr>
        <w:pStyle w:val="BodyText"/>
        <w:spacing w:line="240" w:lineRule="auto" w:before="37"/>
        <w:ind w:left="532" w:right="0"/>
        <w:jc w:val="left"/>
      </w:pPr>
      <w:r>
        <w:rPr/>
        <w:t>②企业合并事项需要经过国家有关主管部门审批的，已获得批准。</w:t>
      </w:r>
    </w:p>
    <w:p>
      <w:pPr>
        <w:pStyle w:val="BodyText"/>
        <w:spacing w:line="240" w:lineRule="auto" w:before="37"/>
        <w:ind w:left="532" w:right="0"/>
        <w:jc w:val="left"/>
      </w:pPr>
      <w:r>
        <w:rPr/>
        <w:t>③已办理了必要的财产权转移手续。</w:t>
      </w:r>
    </w:p>
    <w:p>
      <w:pPr>
        <w:pStyle w:val="BodyText"/>
        <w:spacing w:line="240" w:lineRule="auto" w:before="37"/>
        <w:ind w:left="532" w:right="0"/>
        <w:jc w:val="left"/>
      </w:pPr>
      <w:r>
        <w:rPr/>
        <w:t>④本公司已支付了合并价款的大部分，并且有能力、有计划支付剩余款项。</w:t>
      </w:r>
    </w:p>
    <w:p>
      <w:pPr>
        <w:pStyle w:val="BodyText"/>
        <w:spacing w:line="273" w:lineRule="auto" w:before="37"/>
        <w:ind w:left="532" w:right="0"/>
        <w:jc w:val="left"/>
      </w:pPr>
      <w:r>
        <w:rPr/>
        <w:t>⑤本公司实际上已经控制了被购买方的财务和经营政策，并享有相应的利益、承担相应的风险。</w:t>
      </w:r>
      <w:r>
        <w:rPr>
          <w:w w:val="99"/>
        </w:rPr>
        <w:t> </w:t>
      </w:r>
      <w:r>
        <w:rPr>
          <w:w w:val="95"/>
        </w:rPr>
        <w:t>本公司在购买日对作为企业合并对价付出的资产、发生或承担的负债按照公允价值计量，公允价值与</w:t>
      </w:r>
      <w:r>
        <w:rPr/>
      </w:r>
    </w:p>
    <w:p>
      <w:pPr>
        <w:pStyle w:val="BodyText"/>
        <w:spacing w:line="273" w:lineRule="auto"/>
        <w:ind w:left="532" w:right="0" w:hanging="420"/>
        <w:jc w:val="left"/>
      </w:pPr>
      <w:r>
        <w:rPr/>
        <w:t>其账面价值的差额，计入当期损益。</w:t>
      </w:r>
      <w:r>
        <w:rPr>
          <w:w w:val="99"/>
        </w:rPr>
        <w:t> </w:t>
      </w:r>
      <w:r>
        <w:rPr>
          <w:w w:val="95"/>
        </w:rPr>
        <w:t>本公司对合并成本大于合并中取得的被购买方可辨认净资产公允价值份额的差额，确认为商誉；合并</w:t>
      </w:r>
      <w:r>
        <w:rPr/>
      </w:r>
    </w:p>
    <w:p>
      <w:pPr>
        <w:pStyle w:val="BodyText"/>
        <w:spacing w:line="273" w:lineRule="auto"/>
        <w:ind w:left="532" w:right="0" w:hanging="420"/>
        <w:jc w:val="left"/>
      </w:pPr>
      <w:r>
        <w:rPr/>
        <w:t>成本小于合并中取得的被购买方可辨认净资产公允价值份额的差额，经复核后，计入当期损益。</w:t>
      </w:r>
      <w:r>
        <w:rPr>
          <w:w w:val="99"/>
        </w:rPr>
        <w:t> </w:t>
      </w:r>
      <w:r>
        <w:rPr>
          <w:w w:val="95"/>
        </w:rPr>
        <w:t>通过多次交换交易分步实现的非同一控制下企业合并，属于一揽子交易的，将各项交易作为一项取得</w:t>
      </w:r>
      <w:r>
        <w:rPr/>
      </w:r>
    </w:p>
    <w:p>
      <w:pPr>
        <w:pStyle w:val="BodyText"/>
        <w:spacing w:line="273" w:lineRule="auto"/>
        <w:ind w:right="0"/>
        <w:jc w:val="left"/>
      </w:pPr>
      <w:r>
        <w:rPr>
          <w:w w:val="95"/>
        </w:rPr>
        <w:t>控制权的交易进行会计处理；不属于一揽子交易的，合并日之前持有的股权投资采用权益法核算的，以购</w:t>
      </w:r>
      <w:r>
        <w:rPr>
          <w:spacing w:val="37"/>
          <w:w w:val="95"/>
        </w:rPr>
        <w:t> </w:t>
      </w:r>
      <w:r>
        <w:rPr>
          <w:spacing w:val="37"/>
          <w:w w:val="95"/>
        </w:rPr>
      </w:r>
      <w:r>
        <w:rPr/>
        <w:t>买日之前所持被购买方的股权投资的账面价值与购买日新增投资成本之和，作为该项投资的初始投资成</w:t>
      </w:r>
      <w:r>
        <w:rPr>
          <w:w w:val="99"/>
        </w:rPr>
        <w:t> </w:t>
      </w:r>
      <w:r>
        <w:rPr>
          <w:w w:val="95"/>
        </w:rPr>
        <w:t>本；购买日之前持有的股权投资因采用权益法核算而确认的其他综合收益，在处置该项投资时采用与被投</w:t>
      </w:r>
      <w:r>
        <w:rPr>
          <w:spacing w:val="40"/>
          <w:w w:val="95"/>
        </w:rPr>
        <w:t> </w:t>
      </w:r>
      <w:r>
        <w:rPr>
          <w:spacing w:val="40"/>
          <w:w w:val="95"/>
        </w:rPr>
      </w:r>
      <w:r>
        <w:rPr>
          <w:w w:val="95"/>
        </w:rPr>
        <w:t>资单位直接处置相关资产或负债相同的基础进行会计处理。合并日之前持有的股权投资采用金融工具确认</w:t>
      </w:r>
      <w:r>
        <w:rPr/>
      </w:r>
    </w:p>
    <w:p>
      <w:pPr>
        <w:spacing w:after="0" w:line="273" w:lineRule="auto"/>
        <w:jc w:val="left"/>
        <w:sectPr>
          <w:pgSz w:w="11910" w:h="16840"/>
          <w:pgMar w:header="746" w:footer="937" w:top="1040" w:bottom="1120" w:left="1020" w:right="1000"/>
        </w:sectPr>
      </w:pPr>
    </w:p>
    <w:p>
      <w:pPr>
        <w:spacing w:line="240" w:lineRule="auto" w:before="6"/>
        <w:rPr>
          <w:rFonts w:ascii="宋体" w:hAnsi="宋体" w:cs="宋体" w:eastAsia="宋体" w:hint="default"/>
          <w:sz w:val="25"/>
          <w:szCs w:val="25"/>
        </w:rPr>
      </w:pPr>
    </w:p>
    <w:p>
      <w:pPr>
        <w:pStyle w:val="BodyText"/>
        <w:spacing w:line="273" w:lineRule="auto" w:before="34"/>
        <w:ind w:right="112"/>
        <w:jc w:val="both"/>
      </w:pPr>
      <w:r>
        <w:rPr>
          <w:w w:val="95"/>
        </w:rPr>
        <w:t>和计量准则核算的，以该股权投资在合并日的公允价值加上新增投资成本之和，作为合并日的初始投资成</w:t>
      </w:r>
      <w:r>
        <w:rPr>
          <w:spacing w:val="40"/>
          <w:w w:val="95"/>
        </w:rPr>
        <w:t> </w:t>
      </w:r>
      <w:r>
        <w:rPr>
          <w:spacing w:val="40"/>
          <w:w w:val="95"/>
        </w:rPr>
      </w:r>
      <w:r>
        <w:rPr>
          <w:w w:val="95"/>
        </w:rPr>
        <w:t>本。原持有股权的公允价值与账面价值之间的差额以及原计入其他综合收益的累计公允价值变动应全部转</w:t>
      </w:r>
      <w:r>
        <w:rPr>
          <w:spacing w:val="37"/>
          <w:w w:val="95"/>
        </w:rPr>
        <w:t> </w:t>
      </w:r>
      <w:r>
        <w:rPr>
          <w:spacing w:val="37"/>
          <w:w w:val="95"/>
        </w:rPr>
      </w:r>
      <w:r>
        <w:rPr/>
        <w:t>入合并日当期的投资收益。</w:t>
      </w:r>
    </w:p>
    <w:p>
      <w:pPr>
        <w:pStyle w:val="BodyText"/>
        <w:spacing w:line="273" w:lineRule="auto"/>
        <w:ind w:left="532" w:right="0" w:hanging="104"/>
        <w:jc w:val="left"/>
      </w:pPr>
      <w:r>
        <w:rPr/>
        <w:t>（4）</w:t>
      </w:r>
      <w:r>
        <w:rPr>
          <w:rFonts w:ascii="宋体" w:hAnsi="宋体" w:cs="宋体" w:eastAsia="宋体" w:hint="default"/>
          <w:b/>
          <w:bCs/>
        </w:rPr>
        <w:t>为合并发生的相关费用</w:t>
      </w:r>
      <w:r>
        <w:rPr>
          <w:rFonts w:ascii="宋体" w:hAnsi="宋体" w:cs="宋体" w:eastAsia="宋体" w:hint="default"/>
          <w:b/>
          <w:bCs/>
          <w:w w:val="99"/>
        </w:rPr>
        <w:t> </w:t>
      </w:r>
      <w:r>
        <w:rPr>
          <w:w w:val="95"/>
        </w:rPr>
        <w:t>为企业合并发生的审计、法律服务、评估咨询等中介费用以及其他直接相关费用，于发生时计入当期</w:t>
      </w:r>
      <w:r>
        <w:rPr/>
      </w:r>
    </w:p>
    <w:p>
      <w:pPr>
        <w:spacing w:line="535" w:lineRule="auto" w:before="7"/>
        <w:ind w:left="112" w:right="0" w:firstLine="0"/>
        <w:jc w:val="left"/>
        <w:rPr>
          <w:rFonts w:ascii="宋体" w:hAnsi="宋体" w:cs="宋体" w:eastAsia="宋体" w:hint="default"/>
          <w:sz w:val="21"/>
          <w:szCs w:val="21"/>
        </w:rPr>
      </w:pPr>
      <w:r>
        <w:rPr>
          <w:rFonts w:ascii="宋体" w:hAnsi="宋体" w:cs="宋体" w:eastAsia="宋体" w:hint="default"/>
          <w:w w:val="95"/>
          <w:sz w:val="21"/>
          <w:szCs w:val="21"/>
        </w:rPr>
        <w:t>损益；为企业合并而发行权益性证券的交易费用，可直接归属于权益性交易的从权益中扣减。</w:t>
      </w:r>
      <w:r>
        <w:rPr>
          <w:rFonts w:ascii="宋体" w:hAnsi="宋体" w:cs="宋体" w:eastAsia="宋体" w:hint="default"/>
          <w:spacing w:val="10"/>
          <w:w w:val="95"/>
          <w:sz w:val="21"/>
          <w:szCs w:val="21"/>
        </w:rPr>
        <w:t> </w:t>
      </w:r>
      <w:r>
        <w:rPr>
          <w:rFonts w:ascii="宋体" w:hAnsi="宋体" w:cs="宋体" w:eastAsia="宋体" w:hint="default"/>
          <w:spacing w:val="10"/>
          <w:w w:val="95"/>
          <w:sz w:val="21"/>
          <w:szCs w:val="21"/>
        </w:rPr>
      </w:r>
      <w:r>
        <w:rPr>
          <w:rFonts w:ascii="宋体" w:hAnsi="宋体" w:cs="宋体" w:eastAsia="宋体" w:hint="default"/>
          <w:b/>
          <w:bCs/>
          <w:sz w:val="21"/>
          <w:szCs w:val="21"/>
        </w:rPr>
        <w:t>6、合并财务报表的编制方法</w:t>
      </w:r>
      <w:r>
        <w:rPr>
          <w:rFonts w:ascii="宋体" w:hAnsi="宋体" w:cs="宋体" w:eastAsia="宋体" w:hint="default"/>
          <w:sz w:val="21"/>
          <w:szCs w:val="21"/>
        </w:rPr>
      </w:r>
    </w:p>
    <w:p>
      <w:pPr>
        <w:pStyle w:val="BodyText"/>
        <w:spacing w:line="273" w:lineRule="auto" w:before="79"/>
        <w:ind w:left="532" w:right="0" w:hanging="104"/>
        <w:jc w:val="left"/>
      </w:pPr>
      <w:r>
        <w:rPr>
          <w:rFonts w:ascii="宋体" w:hAnsi="宋体" w:cs="宋体" w:eastAsia="宋体" w:hint="default"/>
          <w:b/>
          <w:bCs/>
        </w:rPr>
        <w:t>（1）合并范围</w:t>
      </w:r>
      <w:r>
        <w:rPr>
          <w:rFonts w:ascii="宋体" w:hAnsi="宋体" w:cs="宋体" w:eastAsia="宋体" w:hint="default"/>
          <w:b/>
          <w:bCs/>
          <w:w w:val="99"/>
        </w:rPr>
        <w:t> </w:t>
      </w:r>
      <w:r>
        <w:rPr>
          <w:w w:val="95"/>
        </w:rPr>
        <w:t>本公司合并财务报表的合并范围以控制为基础确定，所有子公司（包括本公司所控制的单独主体）均</w:t>
      </w:r>
      <w:r>
        <w:rPr/>
      </w:r>
    </w:p>
    <w:p>
      <w:pPr>
        <w:pStyle w:val="BodyText"/>
        <w:spacing w:line="240" w:lineRule="auto"/>
        <w:ind w:right="0"/>
        <w:jc w:val="both"/>
      </w:pPr>
      <w:r>
        <w:rPr/>
        <w:t>纳入合并财务报表。</w:t>
      </w:r>
    </w:p>
    <w:p>
      <w:pPr>
        <w:pStyle w:val="BodyText"/>
        <w:spacing w:line="273" w:lineRule="auto" w:before="37"/>
        <w:ind w:left="532" w:right="0" w:hanging="104"/>
        <w:jc w:val="left"/>
      </w:pPr>
      <w:r>
        <w:rPr>
          <w:rFonts w:ascii="宋体" w:hAnsi="宋体" w:cs="宋体" w:eastAsia="宋体" w:hint="default"/>
          <w:b/>
          <w:bCs/>
        </w:rPr>
        <w:t>（2）合并程序</w:t>
      </w:r>
      <w:r>
        <w:rPr>
          <w:rFonts w:ascii="宋体" w:hAnsi="宋体" w:cs="宋体" w:eastAsia="宋体" w:hint="default"/>
          <w:b/>
          <w:bCs/>
          <w:w w:val="99"/>
        </w:rPr>
        <w:t> </w:t>
      </w:r>
      <w:r>
        <w:rPr>
          <w:w w:val="95"/>
        </w:rPr>
        <w:t>本公司以自身和各子公司的财务报表为基础，根据其他有关资料，编制合并财务报表。本公司编制合</w:t>
      </w:r>
      <w:r>
        <w:rPr/>
      </w:r>
    </w:p>
    <w:p>
      <w:pPr>
        <w:pStyle w:val="BodyText"/>
        <w:spacing w:line="273" w:lineRule="auto" w:before="8"/>
        <w:ind w:right="115"/>
        <w:jc w:val="both"/>
      </w:pPr>
      <w:r>
        <w:rPr>
          <w:w w:val="95"/>
        </w:rPr>
        <w:t>并财务报表，将整个企业集团视为一个会计主体，依据相关企业会计准则的确认、计量和列报要求，按照</w:t>
      </w:r>
      <w:r>
        <w:rPr>
          <w:spacing w:val="38"/>
          <w:w w:val="95"/>
        </w:rPr>
        <w:t> </w:t>
      </w:r>
      <w:r>
        <w:rPr>
          <w:spacing w:val="38"/>
          <w:w w:val="95"/>
        </w:rPr>
      </w:r>
      <w:r>
        <w:rPr/>
        <w:t>统一的会计政策，反映本企业集团整体财务状况、经营成果和现金流量。</w:t>
      </w:r>
    </w:p>
    <w:p>
      <w:pPr>
        <w:pStyle w:val="BodyText"/>
        <w:spacing w:line="273" w:lineRule="auto"/>
        <w:ind w:right="115" w:firstLine="420"/>
        <w:jc w:val="both"/>
      </w:pPr>
      <w:r>
        <w:rPr>
          <w:w w:val="95"/>
        </w:rPr>
        <w:t>所有纳入合并财务报表合并范围的子公司所采用的会计政策、会计期间与本公司一致，如子公司采用</w:t>
      </w:r>
      <w:r>
        <w:rPr>
          <w:w w:val="99"/>
        </w:rPr>
        <w:t> </w:t>
      </w:r>
      <w:r>
        <w:rPr>
          <w:w w:val="95"/>
        </w:rPr>
        <w:t>的会计政策、会计期间与本公司不一致的，在编制合并财务报表时，按本公司的会计政策、会计期间进行</w:t>
      </w:r>
      <w:r>
        <w:rPr>
          <w:spacing w:val="39"/>
          <w:w w:val="95"/>
        </w:rPr>
        <w:t> </w:t>
      </w:r>
      <w:r>
        <w:rPr>
          <w:spacing w:val="39"/>
          <w:w w:val="95"/>
        </w:rPr>
      </w:r>
      <w:r>
        <w:rPr/>
        <w:t>必要的调整。</w:t>
      </w:r>
    </w:p>
    <w:p>
      <w:pPr>
        <w:pStyle w:val="BodyText"/>
        <w:spacing w:line="273" w:lineRule="auto" w:before="8"/>
        <w:ind w:right="115" w:firstLine="420"/>
        <w:jc w:val="both"/>
      </w:pPr>
      <w:r>
        <w:rPr>
          <w:w w:val="95"/>
        </w:rPr>
        <w:t>合并财务报表时抵销本公司与各子公司、各子公司相互之间发生的内部交易对合并资产负债表、合并</w:t>
      </w:r>
      <w:r>
        <w:rPr>
          <w:w w:val="99"/>
        </w:rPr>
        <w:t> </w:t>
      </w:r>
      <w:r>
        <w:rPr>
          <w:w w:val="95"/>
        </w:rPr>
        <w:t>利润表、合并现金流量表、合并股东权益变动表的影响。如果站在企业集团合并财务报表角度与以本公司</w:t>
      </w:r>
      <w:r>
        <w:rPr>
          <w:spacing w:val="37"/>
          <w:w w:val="95"/>
        </w:rPr>
        <w:t> </w:t>
      </w:r>
      <w:r>
        <w:rPr>
          <w:spacing w:val="37"/>
          <w:w w:val="95"/>
        </w:rPr>
      </w:r>
      <w:r>
        <w:rPr/>
        <w:t>或子公司为会计主体对同一交易的认定不同时，从企业集团的角度对该交易予以调整。</w:t>
      </w:r>
    </w:p>
    <w:p>
      <w:pPr>
        <w:pStyle w:val="BodyText"/>
        <w:spacing w:line="273" w:lineRule="auto"/>
        <w:ind w:right="112" w:firstLine="420"/>
        <w:jc w:val="both"/>
      </w:pPr>
      <w:r>
        <w:rPr>
          <w:w w:val="95"/>
        </w:rPr>
        <w:t>子公司所有者权益、当期净损益和当期综合收益中属于少数股东的份额分别在合并资产负债表中所有</w:t>
      </w:r>
      <w:r>
        <w:rPr>
          <w:w w:val="99"/>
        </w:rPr>
        <w:t> </w:t>
      </w:r>
      <w:r>
        <w:rPr>
          <w:w w:val="95"/>
        </w:rPr>
        <w:t>者权益项目下、合并利润表中净利润项目下和综合收益总额项目下单独列示。子公司少数股东分担的当期</w:t>
      </w:r>
      <w:r>
        <w:rPr>
          <w:spacing w:val="37"/>
          <w:w w:val="95"/>
        </w:rPr>
        <w:t> </w:t>
      </w:r>
      <w:r>
        <w:rPr>
          <w:spacing w:val="37"/>
          <w:w w:val="95"/>
        </w:rPr>
      </w:r>
      <w:r>
        <w:rPr/>
        <w:t>亏损超过了少数股东在该子公司期初所有者权益中所享有份额而形成的余额，冲减少数股东权益。</w:t>
      </w:r>
    </w:p>
    <w:p>
      <w:pPr>
        <w:pStyle w:val="BodyText"/>
        <w:spacing w:line="273" w:lineRule="auto"/>
        <w:ind w:right="115" w:firstLine="420"/>
        <w:jc w:val="both"/>
      </w:pPr>
      <w:r>
        <w:rPr>
          <w:w w:val="95"/>
        </w:rPr>
        <w:t>对于同一控制下企业合并取得的子公司，以其资产、负债（包括最终控制方收购该子公司而形成的商</w:t>
      </w:r>
      <w:r>
        <w:rPr>
          <w:w w:val="99"/>
        </w:rPr>
        <w:t> </w:t>
      </w:r>
      <w:r>
        <w:rPr/>
        <w:t>誉）在最终控制方财务报表中的账面价值为基础对其财务报表进行调整。</w:t>
      </w:r>
    </w:p>
    <w:p>
      <w:pPr>
        <w:pStyle w:val="BodyText"/>
        <w:spacing w:line="240" w:lineRule="auto"/>
        <w:ind w:left="532" w:right="0"/>
        <w:jc w:val="left"/>
      </w:pPr>
      <w:r>
        <w:rPr/>
        <w:t>对于非同一控制下企业合并取得的子公司，以购买日可辨认净资产公允价值为基础对其财务报表进行</w:t>
      </w:r>
    </w:p>
    <w:p>
      <w:pPr>
        <w:pStyle w:val="BodyText"/>
        <w:spacing w:line="240" w:lineRule="auto" w:before="37"/>
        <w:ind w:right="0"/>
        <w:jc w:val="left"/>
      </w:pPr>
      <w:r>
        <w:rPr/>
        <w:t>调整</w:t>
      </w:r>
    </w:p>
    <w:p>
      <w:pPr>
        <w:pStyle w:val="BodyText"/>
        <w:spacing w:line="273" w:lineRule="auto" w:before="37"/>
        <w:ind w:left="532" w:right="0" w:firstLine="420"/>
        <w:jc w:val="left"/>
      </w:pPr>
      <w:r>
        <w:rPr/>
        <w:t>1）增加子公司或业务</w:t>
      </w:r>
      <w:r>
        <w:rPr>
          <w:w w:val="99"/>
        </w:rPr>
        <w:t> </w:t>
      </w:r>
      <w:r>
        <w:rPr>
          <w:w w:val="95"/>
        </w:rPr>
        <w:t>在报告期内，若因同一控制下企业合并增加子公司或业务的，则调整合并资产负债表的期初数；将子</w:t>
      </w:r>
      <w:r>
        <w:rPr/>
      </w:r>
    </w:p>
    <w:p>
      <w:pPr>
        <w:pStyle w:val="BodyText"/>
        <w:spacing w:line="273" w:lineRule="auto"/>
        <w:ind w:right="112"/>
        <w:jc w:val="both"/>
      </w:pPr>
      <w:r>
        <w:rPr>
          <w:w w:val="95"/>
        </w:rPr>
        <w:t>公司或业务合并当期期初至报告期末的收入、费用、利润纳入合并利润表；将子公司或业务合并当期期初</w:t>
      </w:r>
      <w:r>
        <w:rPr>
          <w:spacing w:val="37"/>
          <w:w w:val="95"/>
        </w:rPr>
        <w:t> </w:t>
      </w:r>
      <w:r>
        <w:rPr>
          <w:spacing w:val="37"/>
          <w:w w:val="95"/>
        </w:rPr>
      </w:r>
      <w:r>
        <w:rPr>
          <w:w w:val="95"/>
        </w:rPr>
        <w:t>至报告期末的现金流量纳入合并现金流量表，同时对比较报表的相关项目进行调整，视同合并后的报告主</w:t>
      </w:r>
      <w:r>
        <w:rPr>
          <w:spacing w:val="40"/>
          <w:w w:val="95"/>
        </w:rPr>
        <w:t> </w:t>
      </w:r>
      <w:r>
        <w:rPr>
          <w:spacing w:val="40"/>
          <w:w w:val="95"/>
        </w:rPr>
      </w:r>
      <w:r>
        <w:rPr/>
        <w:t>体自最终控制方开始控制时点起一直存在。</w:t>
      </w:r>
    </w:p>
    <w:p>
      <w:pPr>
        <w:pStyle w:val="BodyText"/>
        <w:spacing w:line="273" w:lineRule="auto"/>
        <w:ind w:right="112" w:firstLine="420"/>
        <w:jc w:val="both"/>
      </w:pPr>
      <w:r>
        <w:rPr>
          <w:w w:val="95"/>
        </w:rPr>
        <w:t>因追加投资等原因能够对同一控制下的被投资方实施控制的，视同参与合并的各方在最终控制方开始</w:t>
      </w:r>
      <w:r>
        <w:rPr>
          <w:w w:val="99"/>
        </w:rPr>
        <w:t> </w:t>
      </w:r>
      <w:r>
        <w:rPr>
          <w:w w:val="95"/>
        </w:rPr>
        <w:t>控制时即以目前的状态存在进行调整。在取得被合并方控制权之前持有的股权投资，在取得原股权之日与</w:t>
      </w:r>
      <w:r>
        <w:rPr>
          <w:spacing w:val="40"/>
          <w:w w:val="95"/>
        </w:rPr>
        <w:t> </w:t>
      </w:r>
      <w:r>
        <w:rPr>
          <w:spacing w:val="40"/>
          <w:w w:val="95"/>
        </w:rPr>
      </w:r>
      <w:r>
        <w:rPr>
          <w:w w:val="95"/>
        </w:rPr>
        <w:t>合并方和被合并方同处于同一控制之日孰晚日起至合并日之间已确认有关损益、其他综合收益以及其他净</w:t>
      </w:r>
      <w:r>
        <w:rPr>
          <w:spacing w:val="39"/>
          <w:w w:val="95"/>
        </w:rPr>
        <w:t> </w:t>
      </w:r>
      <w:r>
        <w:rPr>
          <w:spacing w:val="39"/>
          <w:w w:val="95"/>
        </w:rPr>
      </w:r>
      <w:r>
        <w:rPr/>
        <w:t>资产变动，分别冲减比较报表期间的期初留存收益或当期损益。</w:t>
      </w:r>
    </w:p>
    <w:p>
      <w:pPr>
        <w:pStyle w:val="BodyText"/>
        <w:spacing w:line="273" w:lineRule="auto"/>
        <w:ind w:right="112" w:firstLine="420"/>
        <w:jc w:val="both"/>
      </w:pPr>
      <w:r>
        <w:rPr>
          <w:w w:val="95"/>
        </w:rPr>
        <w:t>在报告期内，若因非同一控制下企业合并增加子公司或业务的，则不调整合并资产负债表期初数；将</w:t>
      </w:r>
      <w:r>
        <w:rPr>
          <w:w w:val="99"/>
        </w:rPr>
        <w:t> </w:t>
      </w:r>
      <w:r>
        <w:rPr>
          <w:w w:val="95"/>
        </w:rPr>
        <w:t>该子公司或业务自购买日至报告期末的收入、费用、利润纳入合并利润表；该子公司或业务自购买日至报</w:t>
      </w:r>
      <w:r>
        <w:rPr>
          <w:spacing w:val="37"/>
          <w:w w:val="95"/>
        </w:rPr>
        <w:t> </w:t>
      </w:r>
      <w:r>
        <w:rPr>
          <w:spacing w:val="37"/>
          <w:w w:val="95"/>
        </w:rPr>
      </w:r>
      <w:r>
        <w:rPr/>
        <w:t>告期末的现金流量纳入合并现金流量表。</w:t>
      </w:r>
    </w:p>
    <w:p>
      <w:pPr>
        <w:pStyle w:val="BodyText"/>
        <w:spacing w:line="273" w:lineRule="auto"/>
        <w:ind w:right="112" w:firstLine="420"/>
        <w:jc w:val="both"/>
      </w:pPr>
      <w:r>
        <w:rPr>
          <w:w w:val="95"/>
        </w:rPr>
        <w:t>因追加投资等原因能够对非同一控制下的被投资方实施控制的，对于购买日之前持有的被购买方的股</w:t>
      </w:r>
      <w:r>
        <w:rPr>
          <w:w w:val="99"/>
        </w:rPr>
        <w:t> </w:t>
      </w:r>
      <w:r>
        <w:rPr>
          <w:w w:val="95"/>
        </w:rPr>
        <w:t>权，本公司按照该股权在购买日的公允价值进行重新计量，公允价值与其账面价值的差额计入当期投资收</w:t>
      </w:r>
      <w:r>
        <w:rPr>
          <w:spacing w:val="38"/>
          <w:w w:val="95"/>
        </w:rPr>
        <w:t> </w:t>
      </w:r>
      <w:r>
        <w:rPr>
          <w:spacing w:val="38"/>
          <w:w w:val="95"/>
        </w:rPr>
      </w:r>
      <w:r>
        <w:rPr>
          <w:w w:val="95"/>
        </w:rPr>
        <w:t>益。购买日之前持有的被购买方的股权涉及权益法核算下的其他综合收益以及除净损益、其他综合收益和</w:t>
      </w:r>
      <w:r>
        <w:rPr/>
      </w:r>
    </w:p>
    <w:p>
      <w:pPr>
        <w:spacing w:after="0" w:line="273" w:lineRule="auto"/>
        <w:jc w:val="both"/>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BodyText"/>
        <w:spacing w:line="273" w:lineRule="auto" w:before="34"/>
        <w:ind w:right="115"/>
        <w:jc w:val="both"/>
      </w:pPr>
      <w:r>
        <w:rPr>
          <w:w w:val="95"/>
        </w:rPr>
        <w:t>利润分配之外的其他所有者权益变动的，与其相关的其他综合收益、其他所有者权益变动转为购买日所属</w:t>
      </w:r>
      <w:r>
        <w:rPr>
          <w:spacing w:val="37"/>
          <w:w w:val="95"/>
        </w:rPr>
        <w:t> </w:t>
      </w:r>
      <w:r>
        <w:rPr>
          <w:spacing w:val="37"/>
          <w:w w:val="95"/>
        </w:rPr>
      </w:r>
      <w:r>
        <w:rPr/>
        <w:t>当期投资收益，由于被投资方重新计量设定受益计划净负债或净资产变动而产生的其他综合收益除外。</w:t>
      </w:r>
    </w:p>
    <w:p>
      <w:pPr>
        <w:pStyle w:val="BodyText"/>
        <w:spacing w:line="240" w:lineRule="auto"/>
        <w:ind w:left="952" w:right="0"/>
        <w:jc w:val="left"/>
      </w:pPr>
      <w:r>
        <w:rPr/>
        <w:t>2）处置子公司或业务</w:t>
      </w:r>
    </w:p>
    <w:p>
      <w:pPr>
        <w:pStyle w:val="BodyText"/>
        <w:spacing w:line="273" w:lineRule="auto" w:before="37"/>
        <w:ind w:left="532" w:right="0"/>
        <w:jc w:val="left"/>
      </w:pPr>
      <w:r>
        <w:rPr/>
        <w:t>①一般处理方法</w:t>
      </w:r>
      <w:r>
        <w:rPr>
          <w:w w:val="99"/>
        </w:rPr>
        <w:t> </w:t>
      </w:r>
      <w:r>
        <w:rPr>
          <w:w w:val="95"/>
        </w:rPr>
        <w:t>在报告期内，本公司处置子公司或业务，则该子公司或业务期初至处置日的收入、费用、利润纳入合</w:t>
      </w:r>
      <w:r>
        <w:rPr/>
      </w:r>
    </w:p>
    <w:p>
      <w:pPr>
        <w:pStyle w:val="BodyText"/>
        <w:spacing w:line="273" w:lineRule="auto"/>
        <w:ind w:left="532" w:right="0" w:hanging="420"/>
        <w:jc w:val="left"/>
      </w:pPr>
      <w:r>
        <w:rPr/>
        <w:t>并利润表；该子公司或业务期初至处置日的现金流量纳入合并现金流量表。</w:t>
      </w:r>
      <w:r>
        <w:rPr>
          <w:w w:val="99"/>
        </w:rPr>
        <w:t> </w:t>
      </w:r>
      <w:r>
        <w:rPr>
          <w:w w:val="95"/>
        </w:rPr>
        <w:t>因处置部分股权投资或其他原因丧失了对被投资方控制权时，对于处置后的剩余股权投资，本公司按</w:t>
      </w:r>
      <w:r>
        <w:rPr/>
      </w:r>
    </w:p>
    <w:p>
      <w:pPr>
        <w:pStyle w:val="BodyText"/>
        <w:spacing w:line="273" w:lineRule="auto"/>
        <w:ind w:right="115"/>
        <w:jc w:val="both"/>
      </w:pPr>
      <w:r>
        <w:rPr>
          <w:w w:val="95"/>
        </w:rPr>
        <w:t>照其在丧失控制权日的公允价值进行重新计量。处置股权取得的对价与剩余股权公允价值之和，减去按原</w:t>
      </w:r>
      <w:r>
        <w:rPr>
          <w:spacing w:val="37"/>
          <w:w w:val="95"/>
        </w:rPr>
        <w:t> </w:t>
      </w:r>
      <w:r>
        <w:rPr>
          <w:spacing w:val="37"/>
          <w:w w:val="95"/>
        </w:rPr>
      </w:r>
      <w:r>
        <w:rPr>
          <w:w w:val="95"/>
        </w:rPr>
        <w:t>持股比例计算应享有原有子公司自购买日或合并日开始持续计算的净资产的份额与商誉之和的差额，计入</w:t>
      </w:r>
      <w:r>
        <w:rPr>
          <w:spacing w:val="37"/>
          <w:w w:val="95"/>
        </w:rPr>
        <w:t> </w:t>
      </w:r>
      <w:r>
        <w:rPr>
          <w:spacing w:val="37"/>
          <w:w w:val="95"/>
        </w:rPr>
      </w:r>
      <w:r>
        <w:rPr>
          <w:w w:val="95"/>
        </w:rPr>
        <w:t>丧失控制权当期的投资收益。与原有子公司股权投资相关的其他综合收益或除净损益、其他综合收益及利</w:t>
      </w:r>
      <w:r>
        <w:rPr>
          <w:spacing w:val="37"/>
          <w:w w:val="95"/>
        </w:rPr>
        <w:t> </w:t>
      </w:r>
      <w:r>
        <w:rPr>
          <w:spacing w:val="37"/>
          <w:w w:val="95"/>
        </w:rPr>
      </w:r>
      <w:r>
        <w:rPr>
          <w:w w:val="95"/>
        </w:rPr>
        <w:t>润分配之外的其他所有者权益变动，在丧失控制权时转为当期投资收益，由于被投资方重新计量设定受益</w:t>
      </w:r>
      <w:r>
        <w:rPr>
          <w:spacing w:val="37"/>
          <w:w w:val="95"/>
        </w:rPr>
        <w:t> </w:t>
      </w:r>
      <w:r>
        <w:rPr>
          <w:spacing w:val="37"/>
          <w:w w:val="95"/>
        </w:rPr>
      </w:r>
      <w:r>
        <w:rPr/>
        <w:t>计划净负债或净资产变动而产生的其他综合收益除外。</w:t>
      </w:r>
    </w:p>
    <w:p>
      <w:pPr>
        <w:pStyle w:val="BodyText"/>
        <w:spacing w:line="273" w:lineRule="auto"/>
        <w:ind w:left="532" w:right="0"/>
        <w:jc w:val="left"/>
      </w:pPr>
      <w:r>
        <w:rPr/>
        <w:t>②分步处置子公司</w:t>
      </w:r>
      <w:r>
        <w:rPr>
          <w:w w:val="99"/>
        </w:rPr>
        <w:t> </w:t>
      </w:r>
      <w:r>
        <w:rPr>
          <w:w w:val="95"/>
        </w:rPr>
        <w:t>通过多次交易分步处置对子公司股权投资直至丧失控制权的，处置对子公司股权投资的各项交易的条</w:t>
      </w:r>
      <w:r>
        <w:rPr/>
      </w:r>
    </w:p>
    <w:p>
      <w:pPr>
        <w:pStyle w:val="BodyText"/>
        <w:spacing w:line="273" w:lineRule="auto"/>
        <w:ind w:right="115"/>
        <w:jc w:val="both"/>
      </w:pPr>
      <w:r>
        <w:rPr>
          <w:w w:val="95"/>
        </w:rPr>
        <w:t>款、条件以及经济影响符合以下一种或多种情况，通常表明应将多次交易事项作为一揽子交易进行会计处   </w:t>
      </w:r>
      <w:r>
        <w:rPr>
          <w:spacing w:val="37"/>
          <w:w w:val="95"/>
        </w:rPr>
        <w:t> </w:t>
      </w:r>
      <w:r>
        <w:rPr>
          <w:spacing w:val="37"/>
          <w:w w:val="95"/>
        </w:rPr>
      </w:r>
      <w:r>
        <w:rPr/>
        <w:t>理：</w:t>
      </w:r>
    </w:p>
    <w:p>
      <w:pPr>
        <w:pStyle w:val="BodyText"/>
        <w:spacing w:line="273" w:lineRule="auto"/>
        <w:ind w:left="532" w:right="374"/>
        <w:jc w:val="left"/>
      </w:pPr>
      <w:r>
        <w:rPr/>
        <w:t>a.这些交易是同时或者在考虑了彼此影响的情况下订立的；</w:t>
      </w:r>
      <w:r>
        <w:rPr>
          <w:w w:val="99"/>
        </w:rPr>
        <w:t> </w:t>
      </w:r>
      <w:r>
        <w:rPr/>
        <w:t>b.这些交易整体才能达成一项完整的商业结果；</w:t>
      </w:r>
      <w:r>
        <w:rPr>
          <w:w w:val="99"/>
        </w:rPr>
        <w:t> </w:t>
      </w:r>
      <w:r>
        <w:rPr/>
        <w:t>c.一项交易的发生取决于其他至少一项交易的发生；</w:t>
      </w:r>
      <w:r>
        <w:rPr>
          <w:w w:val="99"/>
        </w:rPr>
        <w:t> </w:t>
      </w:r>
      <w:r>
        <w:rPr/>
        <w:t>d.一项交易单独看是不经济的，但是和其他交易一并考虑时是经济的。</w:t>
      </w:r>
      <w:r>
        <w:rPr>
          <w:w w:val="99"/>
        </w:rPr>
        <w:t> </w:t>
      </w:r>
      <w:r>
        <w:rPr>
          <w:w w:val="95"/>
        </w:rPr>
        <w:t>处置对子公司股权投资直至丧失控制权的各项交易属于一揽子交易的，本公司将各项交易作为一项处</w:t>
      </w:r>
      <w:r>
        <w:rPr/>
      </w:r>
    </w:p>
    <w:p>
      <w:pPr>
        <w:pStyle w:val="BodyText"/>
        <w:spacing w:line="273" w:lineRule="auto"/>
        <w:ind w:right="112"/>
        <w:jc w:val="both"/>
      </w:pPr>
      <w:r>
        <w:rPr>
          <w:w w:val="95"/>
        </w:rPr>
        <w:t>置子公司并丧失控制权的交易进行会计处理；但是，在丧失控制权之前每一次处置价款与处置投资对应的</w:t>
      </w:r>
      <w:r>
        <w:rPr>
          <w:spacing w:val="40"/>
          <w:w w:val="95"/>
        </w:rPr>
        <w:t> </w:t>
      </w:r>
      <w:r>
        <w:rPr>
          <w:spacing w:val="40"/>
          <w:w w:val="95"/>
        </w:rPr>
      </w:r>
      <w:r>
        <w:rPr>
          <w:w w:val="95"/>
        </w:rPr>
        <w:t>享有该子公司净资产份额的差额，在合并财务报表中确认为其他综合收益，在丧失控制权时一并转入丧失</w:t>
      </w:r>
      <w:r>
        <w:rPr>
          <w:spacing w:val="40"/>
          <w:w w:val="95"/>
        </w:rPr>
        <w:t> </w:t>
      </w:r>
      <w:r>
        <w:rPr>
          <w:spacing w:val="40"/>
          <w:w w:val="95"/>
        </w:rPr>
      </w:r>
      <w:r>
        <w:rPr/>
        <w:t>控制权当期的损益。</w:t>
      </w:r>
    </w:p>
    <w:p>
      <w:pPr>
        <w:pStyle w:val="BodyText"/>
        <w:spacing w:line="273" w:lineRule="auto"/>
        <w:ind w:right="112" w:firstLine="420"/>
        <w:jc w:val="both"/>
      </w:pPr>
      <w:r>
        <w:rPr>
          <w:w w:val="95"/>
        </w:rPr>
        <w:t>处置对子公司股权投资直至丧失控制权的各项交易不属于一揽子交易的，在丧失控制权之前，按不丧</w:t>
      </w:r>
      <w:r>
        <w:rPr>
          <w:w w:val="99"/>
        </w:rPr>
        <w:t> </w:t>
      </w:r>
      <w:r>
        <w:rPr>
          <w:w w:val="95"/>
        </w:rPr>
        <w:t>失控制权的情况下部分处置对子公司的股权投资的相关政策进行会计处理；在丧失控制权时，按处置子公</w:t>
      </w:r>
      <w:r>
        <w:rPr>
          <w:spacing w:val="40"/>
          <w:w w:val="95"/>
        </w:rPr>
        <w:t> </w:t>
      </w:r>
      <w:r>
        <w:rPr>
          <w:spacing w:val="40"/>
          <w:w w:val="95"/>
        </w:rPr>
      </w:r>
      <w:r>
        <w:rPr/>
        <w:t>司一般处理方法进行会计处理。</w:t>
      </w:r>
    </w:p>
    <w:p>
      <w:pPr>
        <w:pStyle w:val="BodyText"/>
        <w:spacing w:line="273" w:lineRule="auto" w:before="8"/>
        <w:ind w:left="532" w:right="0" w:firstLine="420"/>
        <w:jc w:val="left"/>
      </w:pPr>
      <w:r>
        <w:rPr/>
        <w:t>3）购买子公司少数股权</w:t>
      </w:r>
      <w:r>
        <w:rPr>
          <w:w w:val="99"/>
        </w:rPr>
        <w:t> </w:t>
      </w:r>
      <w:r>
        <w:rPr>
          <w:w w:val="95"/>
        </w:rPr>
        <w:t>本公司因购买少数股权新取得的长期股权投资与按照新增持股比例计算应享有子公司自购买日（或合</w:t>
      </w:r>
      <w:r>
        <w:rPr/>
      </w:r>
    </w:p>
    <w:p>
      <w:pPr>
        <w:pStyle w:val="BodyText"/>
        <w:spacing w:line="273" w:lineRule="auto"/>
        <w:ind w:right="112"/>
        <w:jc w:val="both"/>
      </w:pPr>
      <w:r>
        <w:rPr>
          <w:w w:val="95"/>
        </w:rPr>
        <w:t>并日）开始持续计算的净资产份额之间的差额，调整合并资产负债表中的资本公积中的股本溢价，资本公</w:t>
      </w:r>
      <w:r>
        <w:rPr>
          <w:spacing w:val="40"/>
          <w:w w:val="95"/>
        </w:rPr>
        <w:t> </w:t>
      </w:r>
      <w:r>
        <w:rPr>
          <w:spacing w:val="40"/>
          <w:w w:val="95"/>
        </w:rPr>
      </w:r>
      <w:r>
        <w:rPr/>
        <w:t>积中的股本溢价不足冲减的，调整留存收益。</w:t>
      </w:r>
    </w:p>
    <w:p>
      <w:pPr>
        <w:pStyle w:val="BodyText"/>
        <w:spacing w:line="273" w:lineRule="auto"/>
        <w:ind w:left="532" w:right="0" w:firstLine="420"/>
        <w:jc w:val="left"/>
      </w:pPr>
      <w:r>
        <w:rPr/>
        <w:t>4）不丧失控制权的情况下部分处置对子公司的股权投资</w:t>
      </w:r>
      <w:r>
        <w:rPr>
          <w:w w:val="99"/>
        </w:rPr>
        <w:t> </w:t>
      </w:r>
      <w:r>
        <w:rPr>
          <w:w w:val="95"/>
        </w:rPr>
        <w:t>在不丧失控制权的情况下因部分处置对子公司的长期股权投资而取得的处置价款与处置长期股权投</w:t>
      </w:r>
      <w:r>
        <w:rPr/>
      </w:r>
    </w:p>
    <w:p>
      <w:pPr>
        <w:pStyle w:val="BodyText"/>
        <w:spacing w:line="273" w:lineRule="auto" w:before="8"/>
        <w:ind w:right="112"/>
        <w:jc w:val="both"/>
      </w:pPr>
      <w:r>
        <w:rPr>
          <w:w w:val="95"/>
        </w:rPr>
        <w:t>资相对应享有子公司自购买日或合并日开始持续计算的净资产份额之间的差额，调整合并资产负债表中的</w:t>
      </w:r>
      <w:r>
        <w:rPr>
          <w:spacing w:val="39"/>
          <w:w w:val="95"/>
        </w:rPr>
        <w:t> </w:t>
      </w:r>
      <w:r>
        <w:rPr>
          <w:spacing w:val="39"/>
          <w:w w:val="95"/>
        </w:rPr>
      </w:r>
      <w:r>
        <w:rPr/>
        <w:t>资本公积中的股本溢价，资本公积中的股本溢价不足冲减的，调整留存收益。</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7、合营安排分类及共同经营会计处理方法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0" w:hanging="104"/>
        <w:jc w:val="left"/>
      </w:pPr>
      <w:r>
        <w:rPr>
          <w:rFonts w:ascii="宋体" w:hAnsi="宋体" w:cs="宋体" w:eastAsia="宋体" w:hint="default"/>
          <w:b/>
          <w:bCs/>
        </w:rPr>
        <w:t>（1）合营安排的分类</w:t>
      </w:r>
      <w:r>
        <w:rPr>
          <w:rFonts w:ascii="宋体" w:hAnsi="宋体" w:cs="宋体" w:eastAsia="宋体" w:hint="default"/>
          <w:b/>
          <w:bCs/>
          <w:w w:val="99"/>
        </w:rPr>
        <w:t> </w:t>
      </w:r>
      <w:r>
        <w:rPr>
          <w:w w:val="95"/>
        </w:rPr>
        <w:t>本公司根据合营安排的结构、法律形式以及合营安排中约定的条款、其他相关事实和情况等因素，将</w:t>
      </w:r>
      <w:r>
        <w:rPr/>
      </w:r>
    </w:p>
    <w:p>
      <w:pPr>
        <w:pStyle w:val="BodyText"/>
        <w:spacing w:line="273" w:lineRule="auto" w:before="8"/>
        <w:ind w:left="532" w:right="0" w:hanging="420"/>
        <w:jc w:val="left"/>
      </w:pPr>
      <w:r>
        <w:rPr/>
        <w:t>合营安排分为共同经营和合营企业。</w:t>
      </w:r>
      <w:r>
        <w:rPr>
          <w:w w:val="99"/>
        </w:rPr>
        <w:t> </w:t>
      </w:r>
      <w:r>
        <w:rPr>
          <w:w w:val="95"/>
        </w:rPr>
        <w:t>未通过单独主体达成的合营安排，划分为共同经营；通过单独主体达成的合营安排，通常划分为合营</w:t>
      </w:r>
      <w:r>
        <w:rPr/>
      </w:r>
    </w:p>
    <w:p>
      <w:pPr>
        <w:pStyle w:val="BodyText"/>
        <w:spacing w:line="273" w:lineRule="auto"/>
        <w:ind w:left="532" w:right="0" w:hanging="420"/>
        <w:jc w:val="left"/>
      </w:pPr>
      <w:r>
        <w:rPr>
          <w:w w:val="95"/>
        </w:rPr>
        <w:t>企业；但有确凿证据表明满足下列任一条件并且符合相关法律法规规定的合营安排划分为共同经营：</w:t>
      </w:r>
      <w:r>
        <w:rPr>
          <w:spacing w:val="38"/>
          <w:w w:val="95"/>
        </w:rPr>
        <w:t> </w:t>
      </w:r>
      <w:r>
        <w:rPr>
          <w:spacing w:val="38"/>
          <w:w w:val="95"/>
        </w:rPr>
      </w:r>
      <w:r>
        <w:rPr/>
        <w:t>1）合营安排的法律形式表明，合营方对该安排中的相关资产和负债分别享有权利和承担义务。</w:t>
      </w:r>
    </w:p>
    <w:p>
      <w:pPr>
        <w:spacing w:after="0" w:line="273" w:lineRule="auto"/>
        <w:jc w:val="left"/>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BodyText"/>
        <w:spacing w:line="240" w:lineRule="auto" w:before="34"/>
        <w:ind w:left="532" w:right="0"/>
        <w:jc w:val="left"/>
      </w:pPr>
      <w:r>
        <w:rPr/>
        <w:t>2）合营安排的合同条款约定，合营方对该安排中的相关资产和负债分别享有权利和承担义务。</w:t>
      </w:r>
    </w:p>
    <w:p>
      <w:pPr>
        <w:pStyle w:val="BodyText"/>
        <w:spacing w:line="273" w:lineRule="auto" w:before="37"/>
        <w:ind w:right="196" w:firstLine="420"/>
        <w:jc w:val="both"/>
      </w:pPr>
      <w:r>
        <w:rPr>
          <w:w w:val="95"/>
        </w:rPr>
        <w:t>3）其他相关事实和情况表明，合营方对该安排中的相关资产和负债分别享有权利和承担义务，如合</w:t>
      </w:r>
      <w:r>
        <w:rPr>
          <w:spacing w:val="-85"/>
          <w:w w:val="95"/>
        </w:rPr>
        <w:t> </w:t>
      </w:r>
      <w:r>
        <w:rPr>
          <w:spacing w:val="-85"/>
          <w:w w:val="95"/>
        </w:rPr>
      </w:r>
      <w:r>
        <w:rPr/>
        <w:t>营方享有与合营安排相关的几乎所有产出，并且该安排中负债的清偿持续依赖于合营方的支持。</w:t>
      </w:r>
    </w:p>
    <w:p>
      <w:pPr>
        <w:spacing w:line="273" w:lineRule="auto" w:before="7"/>
        <w:ind w:left="532" w:right="0" w:hanging="104"/>
        <w:jc w:val="left"/>
        <w:rPr>
          <w:rFonts w:ascii="宋体" w:hAnsi="宋体" w:cs="宋体" w:eastAsia="宋体" w:hint="default"/>
          <w:sz w:val="21"/>
          <w:szCs w:val="21"/>
        </w:rPr>
      </w:pPr>
      <w:r>
        <w:rPr>
          <w:rFonts w:ascii="宋体" w:hAnsi="宋体" w:cs="宋体" w:eastAsia="宋体" w:hint="default"/>
          <w:b/>
          <w:bCs/>
          <w:sz w:val="21"/>
          <w:szCs w:val="21"/>
        </w:rPr>
        <w:t>（2）共同经营会计处理方法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本公司确认共同经营中利益份额中与本公司相关的下列项目，并按照相关企业会计准则的规定进行会</w:t>
      </w:r>
      <w:r>
        <w:rPr>
          <w:rFonts w:ascii="宋体" w:hAnsi="宋体" w:cs="宋体" w:eastAsia="宋体" w:hint="default"/>
          <w:sz w:val="21"/>
          <w:szCs w:val="21"/>
        </w:rPr>
      </w:r>
    </w:p>
    <w:p>
      <w:pPr>
        <w:pStyle w:val="BodyText"/>
        <w:spacing w:line="240" w:lineRule="auto"/>
        <w:ind w:right="0"/>
        <w:jc w:val="both"/>
      </w:pPr>
      <w:r>
        <w:rPr/>
        <w:t>计处理：</w:t>
      </w:r>
    </w:p>
    <w:p>
      <w:pPr>
        <w:pStyle w:val="BodyText"/>
        <w:spacing w:line="240" w:lineRule="auto" w:before="37"/>
        <w:ind w:left="532" w:right="0"/>
        <w:jc w:val="left"/>
      </w:pPr>
      <w:r>
        <w:rPr/>
        <w:t>1）确认单独所持有的资产，以及按其份额确认共同持有的资产；</w:t>
      </w:r>
    </w:p>
    <w:p>
      <w:pPr>
        <w:pStyle w:val="BodyText"/>
        <w:spacing w:line="240" w:lineRule="auto" w:before="37"/>
        <w:ind w:left="532" w:right="0"/>
        <w:jc w:val="left"/>
      </w:pPr>
      <w:r>
        <w:rPr/>
        <w:t>2）确认单独所承担的负债，以及按其份额确认共同承担的负债；</w:t>
      </w:r>
    </w:p>
    <w:p>
      <w:pPr>
        <w:pStyle w:val="BodyText"/>
        <w:spacing w:line="240" w:lineRule="auto" w:before="37"/>
        <w:ind w:left="532" w:right="0"/>
        <w:jc w:val="left"/>
      </w:pPr>
      <w:r>
        <w:rPr/>
        <w:t>3）确认出售其享有的共同经营产出份额所产生的收入；</w:t>
      </w:r>
    </w:p>
    <w:p>
      <w:pPr>
        <w:pStyle w:val="BodyText"/>
        <w:spacing w:line="240" w:lineRule="auto" w:before="37"/>
        <w:ind w:left="532" w:right="0"/>
        <w:jc w:val="left"/>
      </w:pPr>
      <w:r>
        <w:rPr/>
        <w:t>4）按其份额确认共同经营因出售产出所产生的收入；</w:t>
      </w:r>
    </w:p>
    <w:p>
      <w:pPr>
        <w:pStyle w:val="BodyText"/>
        <w:spacing w:line="273" w:lineRule="auto" w:before="37"/>
        <w:ind w:left="532" w:right="0"/>
        <w:jc w:val="left"/>
      </w:pPr>
      <w:r>
        <w:rPr/>
        <w:t>5）确认单独所发生的费用，以及按其份额确认共同经营发生的费用。</w:t>
      </w:r>
      <w:r>
        <w:rPr>
          <w:w w:val="99"/>
        </w:rPr>
        <w:t> </w:t>
      </w:r>
      <w:r>
        <w:rPr>
          <w:w w:val="95"/>
        </w:rPr>
        <w:t>本公司向共同经营投出或出售资产等（该资产构成业务的除外），在该资产等由共同经营出售给第三</w:t>
      </w:r>
      <w:r>
        <w:rPr/>
      </w:r>
    </w:p>
    <w:p>
      <w:pPr>
        <w:pStyle w:val="BodyText"/>
        <w:spacing w:line="273" w:lineRule="auto"/>
        <w:ind w:right="112"/>
        <w:jc w:val="both"/>
      </w:pPr>
      <w:r>
        <w:rPr>
          <w:spacing w:val="-5"/>
        </w:rPr>
        <w:t>方之前，仅确认因该交易产生的损益中归属于共同经营其他参与方的部分。投出或出售的资产发生符合《企</w:t>
      </w:r>
      <w:r>
        <w:rPr>
          <w:w w:val="99"/>
        </w:rPr>
        <w:t> </w:t>
      </w:r>
      <w:r>
        <w:rPr/>
        <w:t>业会计准则第8号——资产减值》等规定的资产减值损失的，本公司全额确认该损失。</w:t>
      </w:r>
    </w:p>
    <w:p>
      <w:pPr>
        <w:pStyle w:val="BodyText"/>
        <w:spacing w:line="273" w:lineRule="auto"/>
        <w:ind w:right="112" w:firstLine="420"/>
        <w:jc w:val="both"/>
      </w:pPr>
      <w:r>
        <w:rPr>
          <w:w w:val="95"/>
        </w:rPr>
        <w:t>本公司自共同经营购买资产等（该资产构成业务的除外），在将该资产等出售给第三方之前，仅确认</w:t>
      </w:r>
      <w:r>
        <w:rPr>
          <w:w w:val="99"/>
        </w:rPr>
        <w:t> </w:t>
      </w:r>
      <w:r>
        <w:rPr>
          <w:spacing w:val="-3"/>
        </w:rPr>
        <w:t>因该交易产生的损益中归属于共同经营其他参与方的部分。购入的资产发生符合《企业会计准则第8号——</w:t>
      </w:r>
      <w:r>
        <w:rPr>
          <w:w w:val="99"/>
        </w:rPr>
        <w:t> </w:t>
      </w:r>
      <w:r>
        <w:rPr/>
        <w:t>资产减值》等规定的资产减值损失的，本公司按承担的份额确认该部分损失。</w:t>
      </w:r>
    </w:p>
    <w:p>
      <w:pPr>
        <w:pStyle w:val="BodyText"/>
        <w:spacing w:line="273" w:lineRule="auto" w:before="8"/>
        <w:ind w:right="115" w:firstLine="420"/>
        <w:jc w:val="both"/>
      </w:pPr>
      <w:r>
        <w:rPr>
          <w:w w:val="95"/>
        </w:rPr>
        <w:t>本公司对共同经营不享有共同控制，如果本公司享有该共同经营相关资产且承担该共同经营相关负债</w:t>
      </w:r>
      <w:r>
        <w:rPr>
          <w:w w:val="99"/>
        </w:rPr>
        <w:t> </w:t>
      </w:r>
      <w:r>
        <w:rPr/>
        <w:t>的，仍按上述原则进行会计处理，否则，应当按照相关企业会计准则的规定进行会计处理。</w:t>
      </w:r>
    </w:p>
    <w:p>
      <w:pPr>
        <w:spacing w:line="612" w:lineRule="exact" w:before="63"/>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8、现金及现金等价物的确定标准</w:t>
      </w:r>
      <w:r>
        <w:rPr>
          <w:rFonts w:ascii="宋体" w:hAnsi="宋体" w:cs="宋体" w:eastAsia="宋体" w:hint="default"/>
          <w:b/>
          <w:bCs/>
          <w:w w:val="99"/>
          <w:sz w:val="21"/>
          <w:szCs w:val="21"/>
        </w:rPr>
        <w:t> </w:t>
      </w:r>
      <w:r>
        <w:rPr>
          <w:rFonts w:ascii="宋体" w:hAnsi="宋体" w:cs="宋体" w:eastAsia="宋体" w:hint="default"/>
          <w:w w:val="95"/>
          <w:sz w:val="21"/>
          <w:szCs w:val="21"/>
        </w:rPr>
        <w:t>在编制现金流量表时，将本公司库存现金以及可以随时用于支付的存款确认为现金。将同时具备期限</w:t>
      </w:r>
      <w:r>
        <w:rPr>
          <w:rFonts w:ascii="宋体" w:hAnsi="宋体" w:cs="宋体" w:eastAsia="宋体" w:hint="default"/>
          <w:sz w:val="21"/>
          <w:szCs w:val="21"/>
        </w:rPr>
      </w:r>
    </w:p>
    <w:p>
      <w:pPr>
        <w:pStyle w:val="BodyText"/>
        <w:spacing w:line="219" w:lineRule="exact" w:before="0"/>
        <w:ind w:right="0"/>
        <w:jc w:val="both"/>
      </w:pPr>
      <w:r>
        <w:rPr/>
        <w:t>短（一般从购买日起三个月内到期）、流动性强、易于转换为已知金额的现金、价值变动风险很小四个条</w:t>
      </w:r>
    </w:p>
    <w:p>
      <w:pPr>
        <w:spacing w:line="537" w:lineRule="auto" w:before="37"/>
        <w:ind w:left="112" w:right="6794" w:firstLine="0"/>
        <w:jc w:val="left"/>
        <w:rPr>
          <w:rFonts w:ascii="宋体" w:hAnsi="宋体" w:cs="宋体" w:eastAsia="宋体" w:hint="default"/>
          <w:sz w:val="21"/>
          <w:szCs w:val="21"/>
        </w:rPr>
      </w:pPr>
      <w:r>
        <w:rPr>
          <w:rFonts w:ascii="宋体" w:hAnsi="宋体" w:cs="宋体" w:eastAsia="宋体" w:hint="default"/>
          <w:sz w:val="21"/>
          <w:szCs w:val="21"/>
        </w:rPr>
        <w:t>件的投资，确定为现金等价物。</w:t>
      </w:r>
      <w:r>
        <w:rPr>
          <w:rFonts w:ascii="宋体" w:hAnsi="宋体" w:cs="宋体" w:eastAsia="宋体" w:hint="default"/>
          <w:w w:val="99"/>
          <w:sz w:val="21"/>
          <w:szCs w:val="21"/>
        </w:rPr>
        <w:t> </w:t>
      </w:r>
      <w:r>
        <w:rPr>
          <w:rFonts w:ascii="宋体" w:hAnsi="宋体" w:cs="宋体" w:eastAsia="宋体" w:hint="default"/>
          <w:b/>
          <w:bCs/>
          <w:sz w:val="21"/>
          <w:szCs w:val="21"/>
        </w:rPr>
        <w:t>9、外币业务和外币报表折算</w:t>
      </w:r>
      <w:r>
        <w:rPr>
          <w:rFonts w:ascii="宋体" w:hAnsi="宋体" w:cs="宋体" w:eastAsia="宋体" w:hint="default"/>
          <w:sz w:val="21"/>
          <w:szCs w:val="21"/>
        </w:rPr>
      </w:r>
    </w:p>
    <w:p>
      <w:pPr>
        <w:pStyle w:val="BodyText"/>
        <w:spacing w:line="273" w:lineRule="auto" w:before="76"/>
        <w:ind w:left="532" w:right="0"/>
        <w:jc w:val="left"/>
      </w:pPr>
      <w:r>
        <w:rPr/>
        <w:t>外币业务交易在初始确认时，采用交易发生日的即期汇率作为折算汇率折合成人民币记账。</w:t>
      </w:r>
      <w:r>
        <w:rPr>
          <w:w w:val="99"/>
        </w:rPr>
        <w:t> </w:t>
      </w:r>
      <w:r>
        <w:rPr>
          <w:w w:val="95"/>
        </w:rPr>
        <w:t>资产负债表日，外币货币性项目按资产负债表日即期汇率折算，由此产生的汇兑差额，除属于与购建</w:t>
      </w:r>
      <w:r>
        <w:rPr/>
      </w:r>
    </w:p>
    <w:p>
      <w:pPr>
        <w:pStyle w:val="BodyText"/>
        <w:spacing w:line="273" w:lineRule="auto"/>
        <w:ind w:right="112"/>
        <w:jc w:val="both"/>
      </w:pPr>
      <w:r>
        <w:rPr>
          <w:w w:val="95"/>
        </w:rPr>
        <w:t>符合资本化条件的资产相关的外币专门借款产生的汇兑差额按照借款费用资本化的原则处理外，均计入当</w:t>
      </w:r>
      <w:r>
        <w:rPr>
          <w:spacing w:val="37"/>
          <w:w w:val="95"/>
        </w:rPr>
        <w:t> </w:t>
      </w:r>
      <w:r>
        <w:rPr>
          <w:spacing w:val="37"/>
          <w:w w:val="95"/>
        </w:rPr>
      </w:r>
      <w:r>
        <w:rPr>
          <w:w w:val="95"/>
        </w:rPr>
        <w:t>期损益。以历史成本计量的外币非货币性项目，仍采用交易发生日的即期汇率折算，不改变其记账本位币  </w:t>
      </w:r>
      <w:r>
        <w:rPr>
          <w:spacing w:val="40"/>
          <w:w w:val="95"/>
        </w:rPr>
        <w:t> </w:t>
      </w:r>
      <w:r>
        <w:rPr>
          <w:spacing w:val="40"/>
          <w:w w:val="95"/>
        </w:rPr>
      </w:r>
      <w:r>
        <w:rPr/>
        <w:t>金额。</w:t>
      </w:r>
    </w:p>
    <w:p>
      <w:pPr>
        <w:pStyle w:val="BodyText"/>
        <w:spacing w:line="273" w:lineRule="auto"/>
        <w:ind w:right="112" w:firstLine="420"/>
        <w:jc w:val="both"/>
      </w:pPr>
      <w:r>
        <w:rPr>
          <w:w w:val="95"/>
        </w:rPr>
        <w:t>以公允价值计量的外币非货币性项目，采用公允价值确定日的即期汇率折算，由此产生的汇兑差额作</w:t>
      </w:r>
      <w:r>
        <w:rPr>
          <w:w w:val="99"/>
        </w:rPr>
        <w:t> </w:t>
      </w:r>
      <w:r>
        <w:rPr>
          <w:w w:val="95"/>
        </w:rPr>
        <w:t>为公允价值变动损益计入当期损益。如属于可供出售外币非货币性项目的，形成的汇兑差额计入其他综合  </w:t>
      </w:r>
      <w:r>
        <w:rPr>
          <w:spacing w:val="40"/>
          <w:w w:val="95"/>
        </w:rPr>
        <w:t> </w:t>
      </w:r>
      <w:r>
        <w:rPr>
          <w:spacing w:val="40"/>
          <w:w w:val="95"/>
        </w:rPr>
      </w:r>
      <w:r>
        <w:rPr/>
        <w:t>收益。</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t>10、金融工具</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before="0"/>
        <w:ind w:left="532" w:right="0"/>
        <w:jc w:val="left"/>
      </w:pPr>
      <w:r>
        <w:rPr/>
        <w:t>金融工具包括金融资产、金融负债和权益工具。</w:t>
      </w:r>
    </w:p>
    <w:p>
      <w:pPr>
        <w:pStyle w:val="BodyText"/>
        <w:spacing w:line="273" w:lineRule="auto" w:before="37"/>
        <w:ind w:left="532" w:right="0" w:hanging="104"/>
        <w:jc w:val="left"/>
      </w:pPr>
      <w:r>
        <w:rPr>
          <w:rFonts w:ascii="宋体" w:hAnsi="宋体" w:cs="宋体" w:eastAsia="宋体" w:hint="default"/>
          <w:b/>
          <w:bCs/>
        </w:rPr>
        <w:t>（1）金融工具的分类</w:t>
      </w:r>
      <w:r>
        <w:rPr>
          <w:rFonts w:ascii="宋体" w:hAnsi="宋体" w:cs="宋体" w:eastAsia="宋体" w:hint="default"/>
          <w:b/>
          <w:bCs/>
          <w:w w:val="99"/>
        </w:rPr>
        <w:t> </w:t>
      </w:r>
      <w:r>
        <w:rPr>
          <w:w w:val="95"/>
        </w:rPr>
        <w:t>本公司根据所发行金融工具的合同条款及其所反映的经济实质而非仅以法律形式，结合取得持有金融</w:t>
      </w:r>
      <w:r>
        <w:rPr/>
      </w:r>
    </w:p>
    <w:p>
      <w:pPr>
        <w:pStyle w:val="BodyText"/>
        <w:spacing w:line="273" w:lineRule="auto"/>
        <w:ind w:right="115"/>
        <w:jc w:val="both"/>
      </w:pPr>
      <w:r>
        <w:rPr>
          <w:w w:val="95"/>
        </w:rPr>
        <w:t>资产和承担金融负债的目的，在初始确认时将金融资产和金融负债分为不同类别：以公允价值计量且其变</w:t>
      </w:r>
      <w:r>
        <w:rPr>
          <w:spacing w:val="37"/>
          <w:w w:val="95"/>
        </w:rPr>
        <w:t> </w:t>
      </w:r>
      <w:r>
        <w:rPr>
          <w:spacing w:val="37"/>
          <w:w w:val="95"/>
        </w:rPr>
      </w:r>
      <w:r>
        <w:rPr>
          <w:w w:val="95"/>
        </w:rPr>
        <w:t>动计入当期损益的金融资产（或金融负债）；持有至到期投资；应收款项；可供出售金融资产；其他金融</w:t>
      </w:r>
      <w:r>
        <w:rPr>
          <w:spacing w:val="36"/>
          <w:w w:val="95"/>
        </w:rPr>
        <w:t> </w:t>
      </w:r>
      <w:r>
        <w:rPr>
          <w:spacing w:val="36"/>
          <w:w w:val="95"/>
        </w:rPr>
      </w:r>
      <w:r>
        <w:rPr/>
        <w:t>负债等。</w:t>
      </w:r>
    </w:p>
    <w:p>
      <w:pPr>
        <w:spacing w:after="0" w:line="273" w:lineRule="auto"/>
        <w:jc w:val="both"/>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BodyText"/>
        <w:spacing w:line="273" w:lineRule="auto" w:before="34"/>
        <w:ind w:left="532" w:right="0" w:hanging="104"/>
        <w:jc w:val="left"/>
      </w:pPr>
      <w:r>
        <w:rPr>
          <w:rFonts w:ascii="宋体" w:hAnsi="宋体" w:cs="宋体" w:eastAsia="宋体" w:hint="default"/>
          <w:b/>
          <w:bCs/>
        </w:rPr>
        <w:t>（2）金融工具的确认依据和计量方法</w:t>
      </w:r>
      <w:r>
        <w:rPr>
          <w:rFonts w:ascii="宋体" w:hAnsi="宋体" w:cs="宋体" w:eastAsia="宋体" w:hint="default"/>
          <w:b/>
          <w:bCs/>
          <w:w w:val="99"/>
        </w:rPr>
        <w:t> </w:t>
      </w:r>
      <w:r>
        <w:rPr/>
        <w:t>1）以公允价值计量且其变动计入当期损益的金融资产（金融负债）</w:t>
      </w:r>
      <w:r>
        <w:rPr>
          <w:w w:val="99"/>
        </w:rPr>
        <w:t> </w:t>
      </w:r>
      <w:r>
        <w:rPr>
          <w:w w:val="95"/>
        </w:rPr>
        <w:t>以公允价值计量且其变动计入当期损益的金融资产或金融负债，包括交易性金融资产或金融负债和直</w:t>
      </w:r>
      <w:r>
        <w:rPr/>
      </w:r>
    </w:p>
    <w:p>
      <w:pPr>
        <w:pStyle w:val="BodyText"/>
        <w:spacing w:line="273" w:lineRule="auto"/>
        <w:ind w:left="532" w:right="0" w:hanging="420"/>
        <w:jc w:val="left"/>
      </w:pPr>
      <w:r>
        <w:rPr/>
        <w:t>接指定为以公允价值计量且其变动计入当期损益的金融资产或金融负债。</w:t>
      </w:r>
      <w:r>
        <w:rPr>
          <w:w w:val="99"/>
        </w:rPr>
        <w:t> </w:t>
      </w:r>
      <w:r>
        <w:rPr>
          <w:w w:val="95"/>
        </w:rPr>
        <w:t>交易性金融资产或金融负债是指满足下列条件之一的金融资产或金融负债：</w:t>
      </w:r>
      <w:r>
        <w:rPr/>
      </w:r>
    </w:p>
    <w:p>
      <w:pPr>
        <w:pStyle w:val="BodyText"/>
        <w:spacing w:line="240" w:lineRule="auto"/>
        <w:ind w:left="532" w:right="0"/>
        <w:jc w:val="left"/>
      </w:pPr>
      <w:r>
        <w:rPr/>
        <w:t>①取得该金融资产或金融负债的目的是为了在短期内出售、回购或赎回；</w:t>
      </w:r>
    </w:p>
    <w:p>
      <w:pPr>
        <w:pStyle w:val="BodyText"/>
        <w:spacing w:line="273" w:lineRule="auto" w:before="37"/>
        <w:ind w:right="0" w:firstLine="420"/>
        <w:jc w:val="left"/>
      </w:pPr>
      <w:r>
        <w:rPr>
          <w:w w:val="95"/>
        </w:rPr>
        <w:t>②属于进行集中管理的可辨认金融工具组合的一部分，且有客观证据表明本公司近期采用短期获利方</w:t>
      </w:r>
      <w:r>
        <w:rPr>
          <w:w w:val="99"/>
        </w:rPr>
        <w:t> </w:t>
      </w:r>
      <w:r>
        <w:rPr/>
        <w:t>式对该组合进行管理；</w:t>
      </w:r>
    </w:p>
    <w:p>
      <w:pPr>
        <w:pStyle w:val="BodyText"/>
        <w:spacing w:line="273" w:lineRule="auto"/>
        <w:ind w:right="0" w:firstLine="420"/>
        <w:jc w:val="left"/>
      </w:pPr>
      <w:r>
        <w:rPr>
          <w:w w:val="95"/>
        </w:rPr>
        <w:t>③属于衍生金融工具，但是被指定为有效套期工具的衍生工具、属于财务担保合同的衍生工具、与在</w:t>
      </w:r>
      <w:r>
        <w:rPr>
          <w:w w:val="99"/>
        </w:rPr>
        <w:t> </w:t>
      </w:r>
      <w:r>
        <w:rPr/>
        <w:t>活跃市场中没有报价且其公允价值不能可靠计量的权益工具投资挂钩并须通过交付该权益工具结算的衍</w:t>
      </w:r>
      <w:r>
        <w:rPr>
          <w:w w:val="99"/>
        </w:rPr>
        <w:t> </w:t>
      </w:r>
      <w:r>
        <w:rPr/>
        <w:t>生工具除外。</w:t>
      </w:r>
    </w:p>
    <w:p>
      <w:pPr>
        <w:pStyle w:val="BodyText"/>
        <w:spacing w:line="273" w:lineRule="auto"/>
        <w:ind w:right="0" w:firstLine="420"/>
        <w:jc w:val="left"/>
      </w:pPr>
      <w:r>
        <w:rPr>
          <w:w w:val="95"/>
        </w:rPr>
        <w:t>只有符合以下条件之一，金融资产或金融负债才可在初始计量时指定为以公允价值计量且其变动计入</w:t>
      </w:r>
      <w:r>
        <w:rPr>
          <w:w w:val="99"/>
        </w:rPr>
        <w:t> </w:t>
      </w:r>
      <w:r>
        <w:rPr/>
        <w:t>损益的金融资产或金融负债：</w:t>
      </w:r>
    </w:p>
    <w:p>
      <w:pPr>
        <w:pStyle w:val="BodyText"/>
        <w:spacing w:line="273" w:lineRule="auto"/>
        <w:ind w:right="0" w:firstLine="420"/>
        <w:jc w:val="left"/>
      </w:pPr>
      <w:r>
        <w:rPr>
          <w:w w:val="95"/>
        </w:rPr>
        <w:t>①该项指定可以消除或明显减少由于金融资产或金融负债的计量基础不同所导致的相关利得或损失</w:t>
      </w:r>
      <w:r>
        <w:rPr>
          <w:spacing w:val="-91"/>
          <w:w w:val="95"/>
        </w:rPr>
        <w:t> </w:t>
      </w:r>
      <w:r>
        <w:rPr>
          <w:spacing w:val="-91"/>
          <w:w w:val="95"/>
        </w:rPr>
      </w:r>
      <w:r>
        <w:rPr/>
        <w:t>在确认或计量方面不一致的情况；</w:t>
      </w:r>
    </w:p>
    <w:p>
      <w:pPr>
        <w:pStyle w:val="BodyText"/>
        <w:spacing w:line="273" w:lineRule="auto"/>
        <w:ind w:right="0" w:firstLine="420"/>
        <w:jc w:val="left"/>
      </w:pPr>
      <w:r>
        <w:rPr>
          <w:w w:val="95"/>
        </w:rPr>
        <w:t>②风险管理或投资策略的正式书面文件已载明，该金融资产组合、该金融负债组合、或该金融资产和</w:t>
      </w:r>
      <w:r>
        <w:rPr>
          <w:w w:val="99"/>
        </w:rPr>
        <w:t> </w:t>
      </w:r>
      <w:r>
        <w:rPr/>
        <w:t>金融负债组合，以公允价值为基础进行管理、评价并向关键管理人员报告；</w:t>
      </w:r>
    </w:p>
    <w:p>
      <w:pPr>
        <w:pStyle w:val="BodyText"/>
        <w:spacing w:line="273" w:lineRule="auto" w:before="8"/>
        <w:ind w:right="0" w:firstLine="420"/>
        <w:jc w:val="left"/>
      </w:pPr>
      <w:r>
        <w:rPr>
          <w:w w:val="95"/>
        </w:rPr>
        <w:t>③包含一项或多项嵌入衍生工具的混合工具，除非嵌入衍生工具对混合工具的现金流量没有重大改</w:t>
      </w:r>
      <w:r>
        <w:rPr>
          <w:spacing w:val="-91"/>
          <w:w w:val="95"/>
        </w:rPr>
        <w:t> </w:t>
      </w:r>
      <w:r>
        <w:rPr>
          <w:spacing w:val="-91"/>
          <w:w w:val="95"/>
        </w:rPr>
      </w:r>
      <w:r>
        <w:rPr/>
        <w:t>变，或所嵌入的衍生工具明显不应当从相关混合工具中分拆；</w:t>
      </w:r>
    </w:p>
    <w:p>
      <w:pPr>
        <w:pStyle w:val="BodyText"/>
        <w:spacing w:line="240" w:lineRule="auto"/>
        <w:ind w:left="532" w:right="0"/>
        <w:jc w:val="left"/>
      </w:pPr>
      <w:r>
        <w:rPr/>
        <w:t>④包含需要分拆但无法在取得时或后续的资产负债表日对其进行单独计量的嵌入衍生工具的混合工</w:t>
      </w:r>
    </w:p>
    <w:p>
      <w:pPr>
        <w:pStyle w:val="BodyText"/>
        <w:spacing w:line="240" w:lineRule="auto" w:before="37"/>
        <w:ind w:right="0"/>
        <w:jc w:val="left"/>
      </w:pPr>
      <w:r>
        <w:rPr/>
        <w:t>具。</w:t>
      </w:r>
    </w:p>
    <w:p>
      <w:pPr>
        <w:pStyle w:val="BodyText"/>
        <w:spacing w:line="240" w:lineRule="auto" w:before="37"/>
        <w:ind w:left="532" w:right="0"/>
        <w:jc w:val="left"/>
      </w:pPr>
      <w:r>
        <w:rPr/>
        <w:t>本公司对以公允价值计量且其变动计入当期损益的金融资产或金融负债，在取得时以公允价值（扣除</w:t>
      </w:r>
    </w:p>
    <w:p>
      <w:pPr>
        <w:pStyle w:val="BodyText"/>
        <w:spacing w:line="273" w:lineRule="auto" w:before="37"/>
        <w:ind w:right="112"/>
        <w:jc w:val="both"/>
      </w:pPr>
      <w:r>
        <w:rPr>
          <w:w w:val="95"/>
        </w:rPr>
        <w:t>已宣告但尚未发放的现金股利或已到付息期但尚未领取的债券利息）作为初始确认金额，相关的交易费用</w:t>
      </w:r>
      <w:r>
        <w:rPr>
          <w:spacing w:val="40"/>
          <w:w w:val="95"/>
        </w:rPr>
        <w:t> </w:t>
      </w:r>
      <w:r>
        <w:rPr>
          <w:spacing w:val="40"/>
          <w:w w:val="95"/>
        </w:rPr>
      </w:r>
      <w:r>
        <w:rPr>
          <w:w w:val="95"/>
        </w:rPr>
        <w:t>计入当期损益。持有期间将取得的利息或现金股利确认为投资收益，期末将公允价值变动计入当期损益。</w:t>
      </w:r>
      <w:r>
        <w:rPr>
          <w:spacing w:val="61"/>
          <w:w w:val="95"/>
        </w:rPr>
        <w:t> </w:t>
      </w:r>
      <w:r>
        <w:rPr>
          <w:spacing w:val="61"/>
          <w:w w:val="95"/>
        </w:rPr>
      </w:r>
      <w:r>
        <w:rPr/>
        <w:t>处置时，其公允价值与初始入账金额之间的差额确认为投资收益，同时调整公允价值变动损益。</w:t>
      </w:r>
    </w:p>
    <w:p>
      <w:pPr>
        <w:pStyle w:val="BodyText"/>
        <w:spacing w:line="273" w:lineRule="auto"/>
        <w:ind w:left="532" w:right="1946"/>
        <w:jc w:val="left"/>
      </w:pPr>
      <w:r>
        <w:rPr/>
        <w:t>2）应收款项</w:t>
      </w:r>
      <w:r>
        <w:rPr>
          <w:w w:val="99"/>
        </w:rPr>
        <w:t> </w:t>
      </w:r>
      <w:r>
        <w:rPr>
          <w:w w:val="95"/>
        </w:rPr>
        <w:t>应收款项是指在活跃市场中没有报价、回收金额固定或可确定的非衍生金融资产。</w:t>
      </w:r>
      <w:r>
        <w:rPr/>
      </w:r>
    </w:p>
    <w:p>
      <w:pPr>
        <w:pStyle w:val="BodyText"/>
        <w:spacing w:line="273" w:lineRule="auto" w:before="8"/>
        <w:ind w:right="132" w:firstLine="420"/>
        <w:jc w:val="both"/>
      </w:pPr>
      <w:r>
        <w:rPr>
          <w:w w:val="95"/>
        </w:rPr>
        <w:t>本公司对外销售商品或提供劳务形成的应收债权，以及公司持有的其他企业的债权（不包括在活跃市</w:t>
      </w:r>
      <w:r>
        <w:rPr>
          <w:w w:val="99"/>
        </w:rPr>
        <w:t> </w:t>
      </w:r>
      <w:r>
        <w:rPr>
          <w:w w:val="95"/>
        </w:rPr>
        <w:t>场上有报价的债务工具），包括应收账款、其他应收款、应收票据、长期应收款等，以向购货方应收的合</w:t>
      </w:r>
      <w:r>
        <w:rPr>
          <w:spacing w:val="40"/>
          <w:w w:val="95"/>
        </w:rPr>
        <w:t> </w:t>
      </w:r>
      <w:r>
        <w:rPr>
          <w:spacing w:val="40"/>
          <w:w w:val="95"/>
        </w:rPr>
      </w:r>
      <w:r>
        <w:rPr/>
        <w:t>同或协议价款作为初始确认金额；具有融资性质的，按其现值进行初始确认。</w:t>
      </w:r>
    </w:p>
    <w:p>
      <w:pPr>
        <w:pStyle w:val="BodyText"/>
        <w:spacing w:line="273" w:lineRule="auto"/>
        <w:ind w:left="532" w:right="1946"/>
        <w:jc w:val="left"/>
      </w:pPr>
      <w:r>
        <w:rPr>
          <w:w w:val="95"/>
        </w:rPr>
        <w:t>收回或处置时，将取得的价款与该应收款项账面价值之间的差额计入当期损益。</w:t>
      </w:r>
      <w:r>
        <w:rPr>
          <w:spacing w:val="50"/>
          <w:w w:val="95"/>
        </w:rPr>
        <w:t> </w:t>
      </w:r>
      <w:r>
        <w:rPr>
          <w:spacing w:val="50"/>
          <w:w w:val="95"/>
        </w:rPr>
      </w:r>
      <w:r>
        <w:rPr/>
        <w:t>3）持有至到期投资</w:t>
      </w:r>
    </w:p>
    <w:p>
      <w:pPr>
        <w:pStyle w:val="BodyText"/>
        <w:spacing w:line="273" w:lineRule="auto"/>
        <w:ind w:right="135" w:firstLine="420"/>
        <w:jc w:val="both"/>
      </w:pPr>
      <w:r>
        <w:rPr>
          <w:w w:val="95"/>
        </w:rPr>
        <w:t>持有至到期投资是指到期日固定、回收金额固定或可确定，且本公司有明确意图和能力持有至到期的</w:t>
      </w:r>
      <w:r>
        <w:rPr>
          <w:w w:val="99"/>
        </w:rPr>
        <w:t> </w:t>
      </w:r>
      <w:r>
        <w:rPr/>
        <w:t>非衍生性金融资产。</w:t>
      </w:r>
    </w:p>
    <w:p>
      <w:pPr>
        <w:pStyle w:val="BodyText"/>
        <w:spacing w:line="273" w:lineRule="auto"/>
        <w:ind w:right="132" w:firstLine="420"/>
        <w:jc w:val="both"/>
      </w:pPr>
      <w:r>
        <w:rPr>
          <w:w w:val="95"/>
        </w:rPr>
        <w:t>本公司对持有至到期投资，在取得时按公允价值（扣除已到付息期但尚未领取的债券利息）和相关交</w:t>
      </w:r>
      <w:r>
        <w:rPr>
          <w:w w:val="99"/>
        </w:rPr>
        <w:t> </w:t>
      </w:r>
      <w:r>
        <w:rPr>
          <w:w w:val="95"/>
        </w:rPr>
        <w:t>易费用之和作为初始确认金额。持有期间按照摊余成本和实际利率计算确认利息收入，计入投资收益。实</w:t>
      </w:r>
      <w:r>
        <w:rPr>
          <w:spacing w:val="40"/>
          <w:w w:val="95"/>
        </w:rPr>
        <w:t> </w:t>
      </w:r>
      <w:r>
        <w:rPr>
          <w:spacing w:val="40"/>
          <w:w w:val="95"/>
        </w:rPr>
      </w:r>
      <w:r>
        <w:rPr>
          <w:w w:val="95"/>
        </w:rPr>
        <w:t>际利率在取得时确定，在该预期存续期间或适用的更短期间内保持不变。处置时，将所取得价款与该投资</w:t>
      </w:r>
      <w:r>
        <w:rPr>
          <w:spacing w:val="37"/>
          <w:w w:val="95"/>
        </w:rPr>
        <w:t> </w:t>
      </w:r>
      <w:r>
        <w:rPr>
          <w:spacing w:val="37"/>
          <w:w w:val="95"/>
        </w:rPr>
      </w:r>
      <w:r>
        <w:rPr/>
        <w:t>账面价值之间的差额计入投资收益。</w:t>
      </w:r>
    </w:p>
    <w:p>
      <w:pPr>
        <w:pStyle w:val="BodyText"/>
        <w:spacing w:line="273" w:lineRule="auto" w:before="8"/>
        <w:ind w:right="132" w:firstLine="420"/>
        <w:jc w:val="both"/>
      </w:pPr>
      <w:r>
        <w:rPr>
          <w:w w:val="95"/>
        </w:rPr>
        <w:t>如果持有至到期投资处置或重分类为其他类金融资产的金额，相对于本公司全部持有至到期投资在出</w:t>
      </w:r>
      <w:r>
        <w:rPr>
          <w:w w:val="99"/>
        </w:rPr>
        <w:t> </w:t>
      </w:r>
      <w:r>
        <w:rPr>
          <w:w w:val="95"/>
        </w:rPr>
        <w:t>售或重分类前的总额较大，在处置或重分类后应立即将其剩余的持有至到期投资重分类为可供出售金融资</w:t>
      </w:r>
      <w:r>
        <w:rPr>
          <w:spacing w:val="37"/>
          <w:w w:val="95"/>
        </w:rPr>
        <w:t> </w:t>
      </w:r>
      <w:r>
        <w:rPr>
          <w:spacing w:val="37"/>
          <w:w w:val="95"/>
        </w:rPr>
      </w:r>
      <w:r>
        <w:rPr>
          <w:w w:val="95"/>
        </w:rPr>
        <w:t>产；重分类日，该投资的账面价值与其公允价值之间的差额计入其他综合收益，在该可供出售金融资产发</w:t>
      </w:r>
      <w:r>
        <w:rPr>
          <w:spacing w:val="40"/>
          <w:w w:val="95"/>
        </w:rPr>
        <w:t> </w:t>
      </w:r>
      <w:r>
        <w:rPr>
          <w:spacing w:val="40"/>
          <w:w w:val="95"/>
        </w:rPr>
      </w:r>
      <w:r>
        <w:rPr/>
        <w:t>生减值或终止确认时转出，计入当期损益。但是，遇到下列情况可以除外：</w:t>
      </w:r>
    </w:p>
    <w:p>
      <w:pPr>
        <w:pStyle w:val="BodyText"/>
        <w:spacing w:line="273" w:lineRule="auto"/>
        <w:ind w:right="135" w:firstLine="420"/>
        <w:jc w:val="both"/>
      </w:pPr>
      <w:r>
        <w:rPr>
          <w:w w:val="95"/>
        </w:rPr>
        <w:t>①出售日或重分类日距离该项投资到期日或赎回日较近(如到期前三个月内)，且市场利率变化对该项</w:t>
      </w:r>
      <w:r>
        <w:rPr>
          <w:w w:val="99"/>
        </w:rPr>
        <w:t> </w:t>
      </w:r>
      <w:r>
        <w:rPr/>
        <w:t>投资的公允价值没有显著影响。</w:t>
      </w:r>
    </w:p>
    <w:p>
      <w:pPr>
        <w:spacing w:after="0" w:line="273" w:lineRule="auto"/>
        <w:jc w:val="both"/>
        <w:sectPr>
          <w:pgSz w:w="11910" w:h="16840"/>
          <w:pgMar w:header="746" w:footer="937" w:top="1040" w:bottom="1120" w:left="1020" w:right="1000"/>
        </w:sectPr>
      </w:pPr>
    </w:p>
    <w:p>
      <w:pPr>
        <w:spacing w:line="240" w:lineRule="auto" w:before="6"/>
        <w:rPr>
          <w:rFonts w:ascii="宋体" w:hAnsi="宋体" w:cs="宋体" w:eastAsia="宋体" w:hint="default"/>
          <w:sz w:val="25"/>
          <w:szCs w:val="25"/>
        </w:rPr>
      </w:pPr>
    </w:p>
    <w:p>
      <w:pPr>
        <w:pStyle w:val="BodyText"/>
        <w:spacing w:line="240" w:lineRule="auto" w:before="34"/>
        <w:ind w:left="532" w:right="0"/>
        <w:jc w:val="left"/>
      </w:pPr>
      <w:r>
        <w:rPr/>
        <w:t>②根据合同约定的偿付方式，企业已收回几乎所有初始本金。</w:t>
      </w:r>
    </w:p>
    <w:p>
      <w:pPr>
        <w:pStyle w:val="BodyText"/>
        <w:spacing w:line="273" w:lineRule="auto" w:before="37"/>
        <w:ind w:left="532" w:right="0"/>
        <w:jc w:val="left"/>
      </w:pPr>
      <w:r>
        <w:rPr/>
        <w:t>③出售或重分类是由于企业无法控制、预期不会重复发生且难以合理预计的独立事件所引起。</w:t>
      </w:r>
      <w:r>
        <w:rPr>
          <w:w w:val="99"/>
        </w:rPr>
        <w:t> </w:t>
      </w:r>
      <w:r>
        <w:rPr/>
        <w:t>4）可供出售金融资产</w:t>
      </w:r>
      <w:r>
        <w:rPr>
          <w:w w:val="99"/>
        </w:rPr>
        <w:t> </w:t>
      </w:r>
      <w:r>
        <w:rPr>
          <w:w w:val="95"/>
        </w:rPr>
        <w:t>可供出售金融资产，是指初始确认时即指定为可供出售的非衍生金融资产，以及除其他金融资产类别</w:t>
      </w:r>
      <w:r>
        <w:rPr/>
      </w:r>
    </w:p>
    <w:p>
      <w:pPr>
        <w:pStyle w:val="BodyText"/>
        <w:spacing w:line="273" w:lineRule="auto"/>
        <w:ind w:left="532" w:right="0" w:hanging="420"/>
        <w:jc w:val="left"/>
      </w:pPr>
      <w:r>
        <w:rPr/>
        <w:t>以外的金融资产。</w:t>
      </w:r>
      <w:r>
        <w:rPr>
          <w:w w:val="99"/>
        </w:rPr>
        <w:t> </w:t>
      </w:r>
      <w:r>
        <w:rPr>
          <w:w w:val="95"/>
        </w:rPr>
        <w:t>本公司对可供出售金融资产，在取得时按公允价值（扣除已宣告但尚未发放的现金股利或已到付息期</w:t>
      </w:r>
      <w:r>
        <w:rPr/>
      </w:r>
    </w:p>
    <w:p>
      <w:pPr>
        <w:pStyle w:val="BodyText"/>
        <w:spacing w:line="273" w:lineRule="auto"/>
        <w:ind w:right="112"/>
        <w:jc w:val="both"/>
      </w:pPr>
      <w:r>
        <w:rPr>
          <w:w w:val="95"/>
        </w:rPr>
        <w:t>但尚未领取的债券利息）和相关交易费用之和作为初始确认金额。持有期间将取得的利息或现金股利确认</w:t>
      </w:r>
      <w:r>
        <w:rPr>
          <w:spacing w:val="40"/>
          <w:w w:val="95"/>
        </w:rPr>
        <w:t> </w:t>
      </w:r>
      <w:r>
        <w:rPr>
          <w:spacing w:val="40"/>
          <w:w w:val="95"/>
        </w:rPr>
      </w:r>
      <w:r>
        <w:rPr>
          <w:w w:val="95"/>
        </w:rPr>
        <w:t>为投资收益。可供出售金融资产的公允价值变动形成的利得或损失，除减值损失和外币货币性金融资产形</w:t>
      </w:r>
      <w:r>
        <w:rPr>
          <w:spacing w:val="38"/>
          <w:w w:val="95"/>
        </w:rPr>
        <w:t> </w:t>
      </w:r>
      <w:r>
        <w:rPr>
          <w:spacing w:val="38"/>
          <w:w w:val="95"/>
        </w:rPr>
      </w:r>
      <w:r>
        <w:rPr>
          <w:w w:val="95"/>
        </w:rPr>
        <w:t>成的汇兑差额外，直接计入其他综合收益。处置可供出售金融资产时，将取得的价款与该金融资产账面价</w:t>
      </w:r>
      <w:r>
        <w:rPr>
          <w:spacing w:val="40"/>
          <w:w w:val="95"/>
        </w:rPr>
        <w:t> </w:t>
      </w:r>
      <w:r>
        <w:rPr>
          <w:spacing w:val="40"/>
          <w:w w:val="95"/>
        </w:rPr>
      </w:r>
      <w:r>
        <w:rPr>
          <w:w w:val="95"/>
        </w:rPr>
        <w:t>值之间的差额，计入投资损益；同时，将原直接计入其他综合收益的公允价值变动累计额对应处置部分的</w:t>
      </w:r>
      <w:r>
        <w:rPr>
          <w:spacing w:val="40"/>
          <w:w w:val="95"/>
        </w:rPr>
        <w:t> </w:t>
      </w:r>
      <w:r>
        <w:rPr>
          <w:spacing w:val="40"/>
          <w:w w:val="95"/>
        </w:rPr>
      </w:r>
      <w:r>
        <w:rPr/>
        <w:t>金额转出，计入投资损益。</w:t>
      </w:r>
    </w:p>
    <w:p>
      <w:pPr>
        <w:pStyle w:val="BodyText"/>
        <w:spacing w:line="273" w:lineRule="auto"/>
        <w:ind w:right="0" w:firstLine="420"/>
        <w:jc w:val="left"/>
      </w:pPr>
      <w:r>
        <w:rPr>
          <w:w w:val="95"/>
        </w:rPr>
        <w:t>本公司对在活跃市场中没有报价且其公允价值不能可靠计量的权益工具投资，以及与该权益工具挂钩</w:t>
      </w:r>
      <w:r>
        <w:rPr>
          <w:w w:val="99"/>
        </w:rPr>
        <w:t> </w:t>
      </w:r>
      <w:r>
        <w:rPr/>
        <w:t>并须通过交付该权益工具结算的衍生金融资产，按照成本计量。</w:t>
      </w:r>
    </w:p>
    <w:p>
      <w:pPr>
        <w:pStyle w:val="BodyText"/>
        <w:spacing w:line="273" w:lineRule="auto"/>
        <w:ind w:left="532" w:right="1634"/>
        <w:jc w:val="left"/>
      </w:pPr>
      <w:r>
        <w:rPr/>
        <w:t>5）其他金融负债</w:t>
      </w:r>
      <w:r>
        <w:rPr>
          <w:w w:val="99"/>
        </w:rPr>
        <w:t> </w:t>
      </w:r>
      <w:r>
        <w:rPr>
          <w:w w:val="95"/>
        </w:rPr>
        <w:t>按其公允价值和相关交易费用之和作为初始确认金额。采用摊余成本进行后续计量。</w:t>
      </w:r>
      <w:r>
        <w:rPr/>
      </w:r>
    </w:p>
    <w:p>
      <w:pPr>
        <w:spacing w:line="273" w:lineRule="auto" w:before="7"/>
        <w:ind w:left="532" w:right="0" w:hanging="104"/>
        <w:jc w:val="left"/>
        <w:rPr>
          <w:rFonts w:ascii="宋体" w:hAnsi="宋体" w:cs="宋体" w:eastAsia="宋体" w:hint="default"/>
          <w:sz w:val="21"/>
          <w:szCs w:val="21"/>
        </w:rPr>
      </w:pPr>
      <w:r>
        <w:rPr>
          <w:rFonts w:ascii="宋体" w:hAnsi="宋体" w:cs="宋体" w:eastAsia="宋体" w:hint="default"/>
          <w:b/>
          <w:bCs/>
          <w:sz w:val="21"/>
          <w:szCs w:val="21"/>
        </w:rPr>
        <w:t>（3）金融资产转移的确认依据和计量方法</w:t>
      </w:r>
      <w:r>
        <w:rPr>
          <w:rFonts w:ascii="宋体" w:hAnsi="宋体" w:cs="宋体" w:eastAsia="宋体" w:hint="default"/>
          <w:b/>
          <w:bCs/>
          <w:w w:val="99"/>
          <w:sz w:val="21"/>
          <w:szCs w:val="21"/>
        </w:rPr>
        <w:t> </w:t>
      </w:r>
      <w:r>
        <w:rPr>
          <w:rFonts w:ascii="宋体" w:hAnsi="宋体" w:cs="宋体" w:eastAsia="宋体" w:hint="default"/>
          <w:w w:val="95"/>
          <w:sz w:val="21"/>
          <w:szCs w:val="21"/>
        </w:rPr>
        <w:t>公司发生金融资产转移时，如已将金融资产所有权上几乎所有的风险和报酬转移给转入方，则终止确</w:t>
      </w:r>
      <w:r>
        <w:rPr>
          <w:rFonts w:ascii="宋体" w:hAnsi="宋体" w:cs="宋体" w:eastAsia="宋体" w:hint="default"/>
          <w:sz w:val="21"/>
          <w:szCs w:val="21"/>
        </w:rPr>
      </w:r>
    </w:p>
    <w:p>
      <w:pPr>
        <w:pStyle w:val="BodyText"/>
        <w:spacing w:line="273" w:lineRule="auto" w:before="8"/>
        <w:ind w:left="532" w:right="0" w:hanging="420"/>
        <w:jc w:val="left"/>
      </w:pPr>
      <w:r>
        <w:rPr/>
        <w:t>认该金融资产；如保留了金融资产所有权上几乎所有的风险和报酬的，则不终止确认该金融资产。</w:t>
      </w:r>
      <w:r>
        <w:rPr>
          <w:w w:val="99"/>
        </w:rPr>
        <w:t> </w:t>
      </w:r>
      <w:r>
        <w:rPr>
          <w:w w:val="95"/>
        </w:rPr>
        <w:t>在判断金融资产转移是否满足上述金融资产终止确认条件时，采用实质重于形式的原则。公司将金融</w:t>
      </w:r>
      <w:r>
        <w:rPr/>
      </w:r>
    </w:p>
    <w:p>
      <w:pPr>
        <w:pStyle w:val="BodyText"/>
        <w:spacing w:line="273" w:lineRule="auto"/>
        <w:ind w:right="112"/>
        <w:jc w:val="both"/>
      </w:pPr>
      <w:r>
        <w:rPr>
          <w:w w:val="95"/>
        </w:rPr>
        <w:t>资产转移区分为金融资产整体转移和部分转移。金融资产整体转移满足终止确认条件的，将下列两项金额</w:t>
      </w:r>
      <w:r>
        <w:rPr>
          <w:spacing w:val="40"/>
          <w:w w:val="95"/>
        </w:rPr>
        <w:t> </w:t>
      </w:r>
      <w:r>
        <w:rPr>
          <w:spacing w:val="40"/>
          <w:w w:val="95"/>
        </w:rPr>
      </w:r>
      <w:r>
        <w:rPr/>
        <w:t>的差额计入当期损益：</w:t>
      </w:r>
    </w:p>
    <w:p>
      <w:pPr>
        <w:pStyle w:val="BodyText"/>
        <w:spacing w:line="240" w:lineRule="auto"/>
        <w:ind w:left="532" w:right="0"/>
        <w:jc w:val="left"/>
      </w:pPr>
      <w:r>
        <w:rPr/>
        <w:t>1）所转移金融资产的账面价值；</w:t>
      </w:r>
    </w:p>
    <w:p>
      <w:pPr>
        <w:pStyle w:val="BodyText"/>
        <w:spacing w:line="273" w:lineRule="auto" w:before="37"/>
        <w:ind w:right="0" w:firstLine="420"/>
        <w:jc w:val="left"/>
      </w:pPr>
      <w:r>
        <w:rPr>
          <w:w w:val="95"/>
        </w:rPr>
        <w:t>2）因转移而收到的对价，与原直接计入所有者权益的公允价值变动累计额（涉及转移的金融资产为</w:t>
      </w:r>
      <w:r>
        <w:rPr>
          <w:spacing w:val="-85"/>
          <w:w w:val="95"/>
        </w:rPr>
        <w:t> </w:t>
      </w:r>
      <w:r>
        <w:rPr>
          <w:spacing w:val="-85"/>
          <w:w w:val="95"/>
        </w:rPr>
      </w:r>
      <w:r>
        <w:rPr/>
        <w:t>可供出售金融资产的情形）之和。</w:t>
      </w:r>
    </w:p>
    <w:p>
      <w:pPr>
        <w:pStyle w:val="BodyText"/>
        <w:spacing w:line="273" w:lineRule="auto"/>
        <w:ind w:right="0" w:firstLine="420"/>
        <w:jc w:val="left"/>
      </w:pPr>
      <w:r>
        <w:rPr>
          <w:w w:val="95"/>
        </w:rPr>
        <w:t>金融资产部分转移满足终止确认条件的，将所转移金融资产整体的账面价值，在终止确认部分和未终</w:t>
      </w:r>
      <w:r>
        <w:rPr>
          <w:w w:val="99"/>
        </w:rPr>
        <w:t> </w:t>
      </w:r>
      <w:r>
        <w:rPr/>
        <w:t>止确认部分之间，按照各自的相对公允价值进行分摊，并将下列两项金额的差额计入当期损益：</w:t>
      </w:r>
    </w:p>
    <w:p>
      <w:pPr>
        <w:pStyle w:val="BodyText"/>
        <w:spacing w:line="240" w:lineRule="auto"/>
        <w:ind w:left="532" w:right="0"/>
        <w:jc w:val="left"/>
      </w:pPr>
      <w:r>
        <w:rPr/>
        <w:t>1）终止确认部分的账面价值；</w:t>
      </w:r>
    </w:p>
    <w:p>
      <w:pPr>
        <w:pStyle w:val="BodyText"/>
        <w:spacing w:line="273" w:lineRule="auto" w:before="37"/>
        <w:ind w:right="0" w:firstLine="420"/>
        <w:jc w:val="left"/>
      </w:pPr>
      <w:r>
        <w:rPr>
          <w:w w:val="95"/>
        </w:rPr>
        <w:t>2）终止确认部分的对价，与原直接计入所有者权益的公允价值变动累计额中对应终止确认部分的金</w:t>
      </w:r>
      <w:r>
        <w:rPr>
          <w:spacing w:val="-85"/>
          <w:w w:val="95"/>
        </w:rPr>
        <w:t> </w:t>
      </w:r>
      <w:r>
        <w:rPr>
          <w:spacing w:val="-85"/>
          <w:w w:val="95"/>
        </w:rPr>
      </w:r>
      <w:r>
        <w:rPr/>
        <w:t>额（涉及转移的金融资产为可供出售金融资产的情形）之和。</w:t>
      </w:r>
    </w:p>
    <w:p>
      <w:pPr>
        <w:pStyle w:val="BodyText"/>
        <w:spacing w:line="240" w:lineRule="auto"/>
        <w:ind w:left="532" w:right="0"/>
        <w:jc w:val="left"/>
      </w:pPr>
      <w:r>
        <w:rPr/>
        <w:t>金融资产转移不满足终止确认条件的，继续确认该金融资产，所收到的对价确认为一项金融负债。</w:t>
      </w:r>
    </w:p>
    <w:p>
      <w:pPr>
        <w:spacing w:line="273" w:lineRule="auto" w:before="37"/>
        <w:ind w:left="532" w:right="0" w:hanging="104"/>
        <w:jc w:val="left"/>
        <w:rPr>
          <w:rFonts w:ascii="宋体" w:hAnsi="宋体" w:cs="宋体" w:eastAsia="宋体" w:hint="default"/>
          <w:sz w:val="21"/>
          <w:szCs w:val="21"/>
        </w:rPr>
      </w:pPr>
      <w:r>
        <w:rPr>
          <w:rFonts w:ascii="宋体" w:hAnsi="宋体" w:cs="宋体" w:eastAsia="宋体" w:hint="default"/>
          <w:b/>
          <w:bCs/>
          <w:sz w:val="21"/>
          <w:szCs w:val="21"/>
        </w:rPr>
        <w:t>（4）金融负债终止确认条件</w:t>
      </w:r>
      <w:r>
        <w:rPr>
          <w:rFonts w:ascii="宋体" w:hAnsi="宋体" w:cs="宋体" w:eastAsia="宋体" w:hint="default"/>
          <w:b/>
          <w:bCs/>
          <w:w w:val="99"/>
          <w:sz w:val="21"/>
          <w:szCs w:val="21"/>
        </w:rPr>
        <w:t> </w:t>
      </w:r>
      <w:r>
        <w:rPr>
          <w:rFonts w:ascii="宋体" w:hAnsi="宋体" w:cs="宋体" w:eastAsia="宋体" w:hint="default"/>
          <w:w w:val="95"/>
          <w:sz w:val="21"/>
          <w:szCs w:val="21"/>
        </w:rPr>
        <w:t>金融负债的现时义务全部或部分已经解除的，则终止确认该金融负债或其一部分；本公司若与债权人</w:t>
      </w:r>
      <w:r>
        <w:rPr>
          <w:rFonts w:ascii="宋体" w:hAnsi="宋体" w:cs="宋体" w:eastAsia="宋体" w:hint="default"/>
          <w:sz w:val="21"/>
          <w:szCs w:val="21"/>
        </w:rPr>
      </w:r>
    </w:p>
    <w:p>
      <w:pPr>
        <w:pStyle w:val="BodyText"/>
        <w:spacing w:line="273" w:lineRule="auto"/>
        <w:ind w:right="115"/>
        <w:jc w:val="both"/>
      </w:pPr>
      <w:r>
        <w:rPr>
          <w:w w:val="95"/>
        </w:rPr>
        <w:t>签定协议，以承担新金融负债方式替换现存金融负债，且新金融负债与现存金融负债的合同条款实质上不</w:t>
      </w:r>
      <w:r>
        <w:rPr>
          <w:spacing w:val="37"/>
          <w:w w:val="95"/>
        </w:rPr>
        <w:t> </w:t>
      </w:r>
      <w:r>
        <w:rPr>
          <w:spacing w:val="37"/>
          <w:w w:val="95"/>
        </w:rPr>
      </w:r>
      <w:r>
        <w:rPr/>
        <w:t>同的，则终止确认现存金融负债，并同时确认新金融负债。</w:t>
      </w:r>
    </w:p>
    <w:p>
      <w:pPr>
        <w:pStyle w:val="BodyText"/>
        <w:spacing w:line="273" w:lineRule="auto"/>
        <w:ind w:right="0" w:firstLine="420"/>
        <w:jc w:val="left"/>
      </w:pPr>
      <w:r>
        <w:rPr>
          <w:w w:val="95"/>
        </w:rPr>
        <w:t>对现存金融负债全部或部分合同条款作出实质性修改的，则终止确认现存金融负债或其一部分，同时</w:t>
      </w:r>
      <w:r>
        <w:rPr>
          <w:w w:val="99"/>
        </w:rPr>
        <w:t> </w:t>
      </w:r>
      <w:r>
        <w:rPr/>
        <w:t>将修改条款后的金融负债确认为一项新金融负债。</w:t>
      </w:r>
    </w:p>
    <w:p>
      <w:pPr>
        <w:pStyle w:val="BodyText"/>
        <w:spacing w:line="273" w:lineRule="auto"/>
        <w:ind w:right="0" w:firstLine="420"/>
        <w:jc w:val="left"/>
      </w:pPr>
      <w:r>
        <w:rPr>
          <w:w w:val="95"/>
        </w:rPr>
        <w:t>金融负债全部或部分终止确认时，终止确认的金融负债账面价值与支付对价（包括转出的非现金资产</w:t>
      </w:r>
      <w:r>
        <w:rPr>
          <w:w w:val="99"/>
        </w:rPr>
        <w:t> </w:t>
      </w:r>
      <w:r>
        <w:rPr/>
        <w:t>或承担的新金融负债）之间的差额，计入当期损益。</w:t>
      </w:r>
    </w:p>
    <w:p>
      <w:pPr>
        <w:pStyle w:val="BodyText"/>
        <w:spacing w:line="273" w:lineRule="auto" w:before="8"/>
        <w:ind w:right="112" w:firstLine="420"/>
        <w:jc w:val="both"/>
      </w:pPr>
      <w:r>
        <w:rPr>
          <w:w w:val="95"/>
        </w:rPr>
        <w:t>本公司若回购部分金融负债的，在回购日按照继续确认部分与终止确认部分的相对公允价值，将该金</w:t>
      </w:r>
      <w:r>
        <w:rPr>
          <w:w w:val="99"/>
        </w:rPr>
        <w:t> </w:t>
      </w:r>
      <w:r>
        <w:rPr>
          <w:w w:val="95"/>
        </w:rPr>
        <w:t>融负债整体的账面价值进行分配。分配给终止确认部分的账面价值与支付的对价（包括转出的非现金资产</w:t>
      </w:r>
      <w:r>
        <w:rPr>
          <w:spacing w:val="36"/>
          <w:w w:val="95"/>
        </w:rPr>
        <w:t> </w:t>
      </w:r>
      <w:r>
        <w:rPr>
          <w:spacing w:val="36"/>
          <w:w w:val="95"/>
        </w:rPr>
      </w:r>
      <w:r>
        <w:rPr/>
        <w:t>或承担的新金融负债）之间的差额，计入当期损益。</w:t>
      </w:r>
    </w:p>
    <w:p>
      <w:pPr>
        <w:spacing w:line="273" w:lineRule="auto" w:before="7"/>
        <w:ind w:left="532" w:right="0" w:hanging="104"/>
        <w:jc w:val="left"/>
        <w:rPr>
          <w:rFonts w:ascii="宋体" w:hAnsi="宋体" w:cs="宋体" w:eastAsia="宋体" w:hint="default"/>
          <w:sz w:val="21"/>
          <w:szCs w:val="21"/>
        </w:rPr>
      </w:pPr>
      <w:r>
        <w:rPr>
          <w:rFonts w:ascii="宋体" w:hAnsi="宋体" w:cs="宋体" w:eastAsia="宋体" w:hint="default"/>
          <w:b/>
          <w:bCs/>
          <w:sz w:val="21"/>
          <w:szCs w:val="21"/>
        </w:rPr>
        <w:t>（5）金融资产和金融负债公允价值的确定方法</w:t>
      </w:r>
      <w:r>
        <w:rPr>
          <w:rFonts w:ascii="宋体" w:hAnsi="宋体" w:cs="宋体" w:eastAsia="宋体" w:hint="default"/>
          <w:b/>
          <w:bCs/>
          <w:w w:val="99"/>
          <w:sz w:val="21"/>
          <w:szCs w:val="21"/>
        </w:rPr>
        <w:t> </w:t>
      </w:r>
      <w:r>
        <w:rPr>
          <w:rFonts w:ascii="宋体" w:hAnsi="宋体" w:cs="宋体" w:eastAsia="宋体" w:hint="default"/>
          <w:w w:val="95"/>
          <w:sz w:val="21"/>
          <w:szCs w:val="21"/>
        </w:rPr>
        <w:t>存在活跃市场的金融资产或金融负债，以活跃市场的报价确定其公允价值；活跃市场的报价包括易于</w:t>
      </w:r>
      <w:r>
        <w:rPr>
          <w:rFonts w:ascii="宋体" w:hAnsi="宋体" w:cs="宋体" w:eastAsia="宋体" w:hint="default"/>
          <w:sz w:val="21"/>
          <w:szCs w:val="21"/>
        </w:rPr>
      </w:r>
    </w:p>
    <w:p>
      <w:pPr>
        <w:pStyle w:val="BodyText"/>
        <w:spacing w:line="240" w:lineRule="auto"/>
        <w:ind w:right="0"/>
        <w:jc w:val="left"/>
      </w:pPr>
      <w:r>
        <w:rPr/>
        <w:t>且可定期从交易所、交易商、经纪人、行业集团、定价机构或监管机构等获得相关资产或负债的报价，且</w:t>
      </w:r>
    </w:p>
    <w:p>
      <w:pPr>
        <w:spacing w:after="0" w:line="240" w:lineRule="auto"/>
        <w:jc w:val="left"/>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BodyText"/>
        <w:spacing w:line="273" w:lineRule="auto" w:before="34"/>
        <w:ind w:left="532" w:right="94" w:hanging="420"/>
        <w:jc w:val="left"/>
      </w:pPr>
      <w:r>
        <w:rPr/>
        <w:t>能代表在公平交易基础上实际并经常发生的市场交易。</w:t>
      </w:r>
      <w:r>
        <w:rPr>
          <w:w w:val="99"/>
        </w:rPr>
        <w:t> </w:t>
      </w:r>
      <w:r>
        <w:rPr/>
        <w:t>初始取得或衍生的金融资产或承担的金融负债，以市场交易价格作为确定其公允价值的基础。</w:t>
      </w:r>
      <w:r>
        <w:rPr>
          <w:w w:val="99"/>
        </w:rPr>
        <w:t> </w:t>
      </w:r>
      <w:r>
        <w:rPr>
          <w:w w:val="95"/>
        </w:rPr>
        <w:t>不存在活跃市场的金融资产或金融负债，采用估值技术确定其公允价值。在估值时，本公司采用在当</w:t>
      </w:r>
      <w:r>
        <w:rPr/>
      </w:r>
    </w:p>
    <w:p>
      <w:pPr>
        <w:pStyle w:val="BodyText"/>
        <w:spacing w:line="273" w:lineRule="auto"/>
        <w:ind w:right="212"/>
        <w:jc w:val="both"/>
      </w:pPr>
      <w:r>
        <w:rPr>
          <w:w w:val="95"/>
        </w:rPr>
        <w:t>前情况下适用并且有足够可利用数据和其他信息支持的估值技术，选择与市场参与者在相关资产或负债的</w:t>
      </w:r>
      <w:r>
        <w:rPr>
          <w:spacing w:val="39"/>
          <w:w w:val="95"/>
        </w:rPr>
        <w:t> </w:t>
      </w:r>
      <w:r>
        <w:rPr>
          <w:spacing w:val="39"/>
          <w:w w:val="95"/>
        </w:rPr>
      </w:r>
      <w:r>
        <w:rPr>
          <w:w w:val="95"/>
        </w:rPr>
        <w:t>交易中所考虑的资产或负债特征相一致的输入值，并尽可能优先使用相关可观察输入值。在相关可观察输</w:t>
      </w:r>
      <w:r>
        <w:rPr>
          <w:spacing w:val="40"/>
          <w:w w:val="95"/>
        </w:rPr>
        <w:t> </w:t>
      </w:r>
      <w:r>
        <w:rPr>
          <w:spacing w:val="40"/>
          <w:w w:val="95"/>
        </w:rPr>
      </w:r>
      <w:r>
        <w:rPr/>
        <w:t>入值无法取得或取得不切实可行的情况下，使用不可观察输入值。</w:t>
      </w:r>
    </w:p>
    <w:p>
      <w:pPr>
        <w:spacing w:line="273" w:lineRule="auto" w:before="7"/>
        <w:ind w:left="532" w:right="94" w:hanging="104"/>
        <w:jc w:val="left"/>
        <w:rPr>
          <w:rFonts w:ascii="宋体" w:hAnsi="宋体" w:cs="宋体" w:eastAsia="宋体" w:hint="default"/>
          <w:sz w:val="21"/>
          <w:szCs w:val="21"/>
        </w:rPr>
      </w:pPr>
      <w:r>
        <w:rPr>
          <w:rFonts w:ascii="宋体" w:hAnsi="宋体" w:cs="宋体" w:eastAsia="宋体" w:hint="default"/>
          <w:b/>
          <w:bCs/>
          <w:sz w:val="21"/>
          <w:szCs w:val="21"/>
        </w:rPr>
        <w:t>（6）金融资产（不含应收款项）减值准备计提</w:t>
      </w:r>
      <w:r>
        <w:rPr>
          <w:rFonts w:ascii="宋体" w:hAnsi="宋体" w:cs="宋体" w:eastAsia="宋体" w:hint="default"/>
          <w:b/>
          <w:bCs/>
          <w:w w:val="99"/>
          <w:sz w:val="21"/>
          <w:szCs w:val="21"/>
        </w:rPr>
        <w:t> </w:t>
      </w:r>
      <w:r>
        <w:rPr>
          <w:rFonts w:ascii="宋体" w:hAnsi="宋体" w:cs="宋体" w:eastAsia="宋体" w:hint="default"/>
          <w:w w:val="95"/>
          <w:sz w:val="21"/>
          <w:szCs w:val="21"/>
        </w:rPr>
        <w:t>资产负债表日对以公允价值计量且其变动计入当期损益的金融资产以外的金融资产的账面价值进行</w:t>
      </w:r>
      <w:r>
        <w:rPr>
          <w:rFonts w:ascii="宋体" w:hAnsi="宋体" w:cs="宋体" w:eastAsia="宋体" w:hint="default"/>
          <w:sz w:val="21"/>
          <w:szCs w:val="21"/>
        </w:rPr>
      </w:r>
    </w:p>
    <w:p>
      <w:pPr>
        <w:pStyle w:val="BodyText"/>
        <w:spacing w:line="273" w:lineRule="auto"/>
        <w:ind w:left="532" w:right="2634" w:hanging="420"/>
        <w:jc w:val="left"/>
      </w:pPr>
      <w:r>
        <w:rPr>
          <w:w w:val="95"/>
        </w:rPr>
        <w:t>检查，如有客观证据表明该金融资产发生减值的，计提减值准备。</w:t>
      </w:r>
      <w:r>
        <w:rPr>
          <w:spacing w:val="89"/>
          <w:w w:val="95"/>
        </w:rPr>
        <w:t> </w:t>
      </w:r>
      <w:r>
        <w:rPr>
          <w:spacing w:val="89"/>
          <w:w w:val="95"/>
        </w:rPr>
      </w:r>
      <w:r>
        <w:rPr/>
        <w:t>金融资产发生减值的客观证据，包括但不限于：</w:t>
      </w:r>
      <w:r>
        <w:rPr>
          <w:w w:val="99"/>
        </w:rPr>
        <w:t> </w:t>
      </w:r>
      <w:r>
        <w:rPr/>
        <w:t>1）发行方或债务人发生严重财务困难；</w:t>
      </w:r>
    </w:p>
    <w:p>
      <w:pPr>
        <w:pStyle w:val="BodyText"/>
        <w:spacing w:line="240" w:lineRule="auto"/>
        <w:ind w:left="532" w:right="94"/>
        <w:jc w:val="left"/>
      </w:pPr>
      <w:r>
        <w:rPr/>
        <w:t>2）债务人违反了合同条款，如偿付利息或本金发生违约或逾期等；</w:t>
      </w:r>
    </w:p>
    <w:p>
      <w:pPr>
        <w:pStyle w:val="BodyText"/>
        <w:spacing w:line="240" w:lineRule="auto" w:before="37"/>
        <w:ind w:left="532" w:right="94"/>
        <w:jc w:val="left"/>
      </w:pPr>
      <w:r>
        <w:rPr/>
        <w:t>3）债权人出于经济或法律等方面因素的考虑，对发生财务困难的债务人作出让步；</w:t>
      </w:r>
    </w:p>
    <w:p>
      <w:pPr>
        <w:pStyle w:val="BodyText"/>
        <w:spacing w:line="240" w:lineRule="auto" w:before="37"/>
        <w:ind w:left="532" w:right="94"/>
        <w:jc w:val="left"/>
      </w:pPr>
      <w:r>
        <w:rPr/>
        <w:t>4）债务人很可能倒闭或进行其他财务重组；</w:t>
      </w:r>
    </w:p>
    <w:p>
      <w:pPr>
        <w:pStyle w:val="BodyText"/>
        <w:spacing w:line="240" w:lineRule="auto" w:before="37"/>
        <w:ind w:left="532" w:right="94"/>
        <w:jc w:val="left"/>
      </w:pPr>
      <w:r>
        <w:rPr/>
        <w:t>5）因发行方发生重大财务困难，该金融资产无法在活跃市场继续交易；</w:t>
      </w:r>
    </w:p>
    <w:p>
      <w:pPr>
        <w:pStyle w:val="BodyText"/>
        <w:spacing w:line="273" w:lineRule="auto" w:before="37"/>
        <w:ind w:right="105" w:firstLine="840"/>
        <w:jc w:val="left"/>
      </w:pPr>
      <w:r>
        <w:rPr/>
        <w:t>6）无法辨认一组金融资产中的某项资产的现金流量是否已经减少，但根据公开的数据对其进行</w:t>
      </w:r>
      <w:r>
        <w:rPr>
          <w:w w:val="99"/>
        </w:rPr>
        <w:t> </w:t>
      </w:r>
      <w:r>
        <w:rPr/>
        <w:t>总体评价后发现，该组金融资产自初始确认以来的预计未来现金流量确已减少且可计量，如该组金融资产</w:t>
      </w:r>
      <w:r>
        <w:rPr>
          <w:w w:val="99"/>
        </w:rPr>
        <w:t> </w:t>
      </w:r>
      <w:r>
        <w:rPr>
          <w:spacing w:val="-3"/>
        </w:rPr>
        <w:t>的债务人支付能力逐步恶化，或债务人所在国家或地区失业率提高、担保物在其所在地区的价格明显下降、</w:t>
      </w:r>
      <w:r>
        <w:rPr>
          <w:w w:val="99"/>
        </w:rPr>
        <w:t> </w:t>
      </w:r>
      <w:r>
        <w:rPr/>
        <w:t>所处行业不景气等；</w:t>
      </w:r>
    </w:p>
    <w:p>
      <w:pPr>
        <w:pStyle w:val="BodyText"/>
        <w:spacing w:line="273" w:lineRule="auto"/>
        <w:ind w:right="94" w:firstLine="420"/>
        <w:jc w:val="left"/>
      </w:pPr>
      <w:r>
        <w:rPr>
          <w:w w:val="95"/>
        </w:rPr>
        <w:t>7）权益工具发行方经营所处的技术、市场、经济或法律环境等发生重大不利变化，使权益工具投资</w:t>
      </w:r>
      <w:r>
        <w:rPr>
          <w:spacing w:val="-85"/>
          <w:w w:val="95"/>
        </w:rPr>
        <w:t> </w:t>
      </w:r>
      <w:r>
        <w:rPr>
          <w:spacing w:val="-85"/>
          <w:w w:val="95"/>
        </w:rPr>
      </w:r>
      <w:r>
        <w:rPr/>
        <w:t>人可能无法收回投资成本；</w:t>
      </w:r>
    </w:p>
    <w:p>
      <w:pPr>
        <w:pStyle w:val="BodyText"/>
        <w:spacing w:line="273" w:lineRule="auto"/>
        <w:ind w:left="532" w:right="3720"/>
        <w:jc w:val="left"/>
      </w:pPr>
      <w:r>
        <w:rPr>
          <w:w w:val="95"/>
        </w:rPr>
        <w:t>8）权益工具投资的公允价值发生严重或非暂时性下跌；</w:t>
      </w:r>
      <w:r>
        <w:rPr>
          <w:spacing w:val="44"/>
          <w:w w:val="95"/>
        </w:rPr>
        <w:t> </w:t>
      </w:r>
      <w:r>
        <w:rPr>
          <w:spacing w:val="44"/>
          <w:w w:val="95"/>
        </w:rPr>
      </w:r>
      <w:r>
        <w:rPr/>
        <w:t>金融资产的具体减值方法如下：</w:t>
      </w:r>
      <w:r>
        <w:rPr>
          <w:w w:val="99"/>
        </w:rPr>
        <w:t> </w:t>
      </w:r>
      <w:r>
        <w:rPr/>
        <w:t>1）可供出售金融资产减值准备</w:t>
      </w:r>
    </w:p>
    <w:p>
      <w:pPr>
        <w:pStyle w:val="BodyText"/>
        <w:spacing w:line="273" w:lineRule="auto"/>
        <w:ind w:right="94" w:firstLine="420"/>
        <w:jc w:val="left"/>
      </w:pPr>
      <w:r>
        <w:rPr>
          <w:w w:val="95"/>
        </w:rPr>
        <w:t>本公司于资产负债表日对各项可供出售权益工具投资单独进行检查，若该权益工具投资于资产负债表</w:t>
      </w:r>
      <w:r>
        <w:rPr>
          <w:w w:val="99"/>
        </w:rPr>
        <w:t> </w:t>
      </w:r>
      <w:r>
        <w:rPr>
          <w:w w:val="95"/>
        </w:rPr>
        <w:t>日的公允价值低于其成本超过50%（含50%）或低于其成本持续时间超过一年（含一年）的，则表明其发生</w:t>
      </w:r>
      <w:r>
        <w:rPr>
          <w:spacing w:val="35"/>
          <w:w w:val="95"/>
        </w:rPr>
        <w:t> </w:t>
      </w:r>
      <w:r>
        <w:rPr>
          <w:spacing w:val="35"/>
          <w:w w:val="95"/>
        </w:rPr>
      </w:r>
      <w:r>
        <w:rPr/>
        <w:t>减值；若该权益工具投资于资产负债表日的公允价值低于其成本超过20%（含20%）但尚未达到50%的，本</w:t>
      </w:r>
      <w:r>
        <w:rPr>
          <w:w w:val="99"/>
        </w:rPr>
        <w:t> </w:t>
      </w:r>
      <w:r>
        <w:rPr/>
        <w:t>公司会综合考虑其他相关因素诸如价格波动率等，判断该权益工具投资是否发生减值。</w:t>
      </w:r>
    </w:p>
    <w:p>
      <w:pPr>
        <w:pStyle w:val="BodyText"/>
        <w:spacing w:line="273" w:lineRule="auto"/>
        <w:ind w:right="212" w:firstLine="420"/>
        <w:jc w:val="both"/>
      </w:pPr>
      <w:r>
        <w:rPr>
          <w:w w:val="95"/>
        </w:rPr>
        <w:t>上段所述成本按照可供出售权益工具投资的初始取得成本扣除已收回本金和已摊销金额、原已计入损</w:t>
      </w:r>
      <w:r>
        <w:rPr>
          <w:w w:val="99"/>
        </w:rPr>
        <w:t> </w:t>
      </w:r>
      <w:r>
        <w:rPr>
          <w:w w:val="95"/>
        </w:rPr>
        <w:t>益的减值损失确定；不存在活跃市场的可供出售权益工具投资的公允价值，按照类似金融资产当时市场收</w:t>
      </w:r>
      <w:r>
        <w:rPr>
          <w:spacing w:val="40"/>
          <w:w w:val="95"/>
        </w:rPr>
        <w:t> </w:t>
      </w:r>
      <w:r>
        <w:rPr>
          <w:spacing w:val="40"/>
          <w:w w:val="95"/>
        </w:rPr>
      </w:r>
      <w:r>
        <w:rPr>
          <w:w w:val="95"/>
        </w:rPr>
        <w:t>益率对未来现金流量折现确定的现值确定；在活跃市场有报价的可供出售权益工具投资的公允价值根据证</w:t>
      </w:r>
      <w:r>
        <w:rPr>
          <w:spacing w:val="39"/>
          <w:w w:val="95"/>
        </w:rPr>
        <w:t> </w:t>
      </w:r>
      <w:r>
        <w:rPr>
          <w:spacing w:val="39"/>
          <w:w w:val="95"/>
        </w:rPr>
      </w:r>
      <w:r>
        <w:rPr>
          <w:w w:val="95"/>
        </w:rPr>
        <w:t>券交易所期末收盘价确定，除非该项可供出售权益工具投资存在限售期。对于存在限售期的可供出售权益</w:t>
      </w:r>
      <w:r>
        <w:rPr>
          <w:spacing w:val="37"/>
          <w:w w:val="95"/>
        </w:rPr>
        <w:t> </w:t>
      </w:r>
      <w:r>
        <w:rPr>
          <w:spacing w:val="37"/>
          <w:w w:val="95"/>
        </w:rPr>
      </w:r>
      <w:r>
        <w:rPr>
          <w:w w:val="95"/>
        </w:rPr>
        <w:t>工具投资，按照证券交易所期末收盘价扣除市场参与者因承担指定期间内无法在公开市场上出售该权益工</w:t>
      </w:r>
      <w:r>
        <w:rPr>
          <w:spacing w:val="39"/>
          <w:w w:val="95"/>
        </w:rPr>
        <w:t> </w:t>
      </w:r>
      <w:r>
        <w:rPr>
          <w:spacing w:val="39"/>
          <w:w w:val="95"/>
        </w:rPr>
      </w:r>
      <w:r>
        <w:rPr/>
        <w:t>具的风险而要求获得的补偿金额后确定。</w:t>
      </w:r>
    </w:p>
    <w:p>
      <w:pPr>
        <w:pStyle w:val="BodyText"/>
        <w:spacing w:line="273" w:lineRule="auto"/>
        <w:ind w:right="212" w:firstLine="420"/>
        <w:jc w:val="both"/>
      </w:pPr>
      <w:r>
        <w:rPr>
          <w:w w:val="95"/>
        </w:rPr>
        <w:t>可供出售金融资产发生减值时，即使该金融资产没有终止确认，本公司将原直接计入其他综合收益的</w:t>
      </w:r>
      <w:r>
        <w:rPr>
          <w:w w:val="99"/>
        </w:rPr>
        <w:t> </w:t>
      </w:r>
      <w:r>
        <w:rPr>
          <w:w w:val="95"/>
        </w:rPr>
        <w:t>因公允价值下降形成的累计损失从其他综合收益转出，计入当期损益。该转出的累计损失，等于可供出售</w:t>
      </w:r>
      <w:r>
        <w:rPr>
          <w:spacing w:val="37"/>
          <w:w w:val="95"/>
        </w:rPr>
        <w:t> </w:t>
      </w:r>
      <w:r>
        <w:rPr>
          <w:spacing w:val="37"/>
          <w:w w:val="95"/>
        </w:rPr>
      </w:r>
      <w:r>
        <w:rPr>
          <w:w w:val="95"/>
        </w:rPr>
        <w:t>金融资产的初始取得成本扣除已收回本金和已摊余金额、当前公允价值和原已计入损益的减值损失后的余   </w:t>
      </w:r>
      <w:r>
        <w:rPr>
          <w:spacing w:val="39"/>
          <w:w w:val="95"/>
        </w:rPr>
        <w:t> </w:t>
      </w:r>
      <w:r>
        <w:rPr>
          <w:spacing w:val="39"/>
          <w:w w:val="95"/>
        </w:rPr>
      </w:r>
      <w:r>
        <w:rPr/>
        <w:t>额。</w:t>
      </w:r>
    </w:p>
    <w:p>
      <w:pPr>
        <w:pStyle w:val="BodyText"/>
        <w:spacing w:line="273" w:lineRule="auto" w:before="8"/>
        <w:ind w:right="212" w:firstLine="420"/>
        <w:jc w:val="both"/>
      </w:pPr>
      <w:r>
        <w:rPr>
          <w:w w:val="95"/>
        </w:rPr>
        <w:t>对于已确认减值损失的可供出售债务工具，在随后的会计期间公允价值已上升且客观上与确认原减值</w:t>
      </w:r>
      <w:r>
        <w:rPr>
          <w:w w:val="99"/>
        </w:rPr>
        <w:t> </w:t>
      </w:r>
      <w:r>
        <w:rPr>
          <w:w w:val="95"/>
        </w:rPr>
        <w:t>损失后发生的事项有关的，原确认的减值损失予以转回计入当期损益；对于可供出售权益工具投资发生的</w:t>
      </w:r>
      <w:r>
        <w:rPr>
          <w:spacing w:val="40"/>
          <w:w w:val="95"/>
        </w:rPr>
        <w:t> </w:t>
      </w:r>
      <w:r>
        <w:rPr>
          <w:spacing w:val="40"/>
          <w:w w:val="95"/>
        </w:rPr>
      </w:r>
      <w:r>
        <w:rPr>
          <w:w w:val="95"/>
        </w:rPr>
        <w:t>减值损失，在该权益工具价值回升时通过权益转回；但在活跃市场中没有报价且其公允价值不能可靠计量</w:t>
      </w:r>
      <w:r>
        <w:rPr>
          <w:spacing w:val="40"/>
          <w:w w:val="95"/>
        </w:rPr>
        <w:t> </w:t>
      </w:r>
      <w:r>
        <w:rPr>
          <w:spacing w:val="40"/>
          <w:w w:val="95"/>
        </w:rPr>
      </w:r>
      <w:r>
        <w:rPr>
          <w:w w:val="95"/>
        </w:rPr>
        <w:t>的权益工具投资，或与该权益工具挂钩并须通过交付该权益工具结算的衍生金融资产发生的减值损失，不</w:t>
      </w:r>
      <w:r>
        <w:rPr>
          <w:spacing w:val="40"/>
          <w:w w:val="95"/>
        </w:rPr>
        <w:t> </w:t>
      </w:r>
      <w:r>
        <w:rPr>
          <w:spacing w:val="40"/>
          <w:w w:val="95"/>
        </w:rPr>
      </w:r>
      <w:r>
        <w:rPr/>
        <w:t>得转回。</w:t>
      </w:r>
    </w:p>
    <w:p>
      <w:pPr>
        <w:pStyle w:val="BodyText"/>
        <w:spacing w:line="240" w:lineRule="auto"/>
        <w:ind w:left="532" w:right="94"/>
        <w:jc w:val="left"/>
      </w:pPr>
      <w:r>
        <w:rPr/>
        <w:t>2）持有至到期投资减值准备</w:t>
      </w:r>
    </w:p>
    <w:p>
      <w:pPr>
        <w:spacing w:after="0" w:line="240" w:lineRule="auto"/>
        <w:jc w:val="left"/>
        <w:sectPr>
          <w:pgSz w:w="11910" w:h="16840"/>
          <w:pgMar w:header="746" w:footer="937" w:top="1040" w:bottom="1120" w:left="1020" w:right="920"/>
        </w:sectPr>
      </w:pPr>
    </w:p>
    <w:p>
      <w:pPr>
        <w:spacing w:line="240" w:lineRule="auto" w:before="6"/>
        <w:rPr>
          <w:rFonts w:ascii="宋体" w:hAnsi="宋体" w:cs="宋体" w:eastAsia="宋体" w:hint="default"/>
          <w:sz w:val="25"/>
          <w:szCs w:val="25"/>
        </w:rPr>
      </w:pPr>
    </w:p>
    <w:p>
      <w:pPr>
        <w:pStyle w:val="BodyText"/>
        <w:spacing w:line="273" w:lineRule="auto" w:before="34"/>
        <w:ind w:right="112" w:firstLine="420"/>
        <w:jc w:val="both"/>
      </w:pPr>
      <w:r>
        <w:rPr>
          <w:w w:val="95"/>
        </w:rPr>
        <w:t>对于持有至到期投资，有客观证据表明其发生了减值的，根据其账面价值与预计未来现金流量现值之</w:t>
      </w:r>
      <w:r>
        <w:rPr>
          <w:w w:val="99"/>
        </w:rPr>
        <w:t> </w:t>
      </w:r>
      <w:r>
        <w:rPr>
          <w:w w:val="95"/>
        </w:rPr>
        <w:t>间差额计算确认减值损失；计提后如有证据表明其价值已恢复，原确认的减值损失可予以转回，记入当期</w:t>
      </w:r>
      <w:r>
        <w:rPr>
          <w:spacing w:val="37"/>
          <w:w w:val="95"/>
        </w:rPr>
        <w:t> </w:t>
      </w:r>
      <w:r>
        <w:rPr>
          <w:spacing w:val="37"/>
          <w:w w:val="95"/>
        </w:rPr>
      </w:r>
      <w:r>
        <w:rPr/>
        <w:t>损益，但该转回的账面价值不超过假定不计提减值准备情况下该金融资产在转回日的摊余成本。</w:t>
      </w:r>
    </w:p>
    <w:p>
      <w:pPr>
        <w:spacing w:line="273" w:lineRule="auto" w:before="7"/>
        <w:ind w:left="532" w:right="0" w:hanging="104"/>
        <w:jc w:val="left"/>
        <w:rPr>
          <w:rFonts w:ascii="宋体" w:hAnsi="宋体" w:cs="宋体" w:eastAsia="宋体" w:hint="default"/>
          <w:sz w:val="21"/>
          <w:szCs w:val="21"/>
        </w:rPr>
      </w:pPr>
      <w:r>
        <w:rPr>
          <w:rFonts w:ascii="宋体" w:hAnsi="宋体" w:cs="宋体" w:eastAsia="宋体" w:hint="default"/>
          <w:b/>
          <w:bCs/>
          <w:sz w:val="21"/>
          <w:szCs w:val="21"/>
        </w:rPr>
        <w:t>（7）金融资产及金融负债的抵销</w:t>
      </w:r>
      <w:r>
        <w:rPr>
          <w:rFonts w:ascii="宋体" w:hAnsi="宋体" w:cs="宋体" w:eastAsia="宋体" w:hint="default"/>
          <w:b/>
          <w:bCs/>
          <w:w w:val="99"/>
          <w:sz w:val="21"/>
          <w:szCs w:val="21"/>
        </w:rPr>
        <w:t> </w:t>
      </w:r>
      <w:r>
        <w:rPr>
          <w:rFonts w:ascii="宋体" w:hAnsi="宋体" w:cs="宋体" w:eastAsia="宋体" w:hint="default"/>
          <w:w w:val="95"/>
          <w:sz w:val="21"/>
          <w:szCs w:val="21"/>
        </w:rPr>
        <w:t>金融资产和金融负债在资产负债表内分别列示，没有相互抵销。但是，同时满足下列条件的，以相互</w:t>
      </w:r>
      <w:r>
        <w:rPr>
          <w:rFonts w:ascii="宋体" w:hAnsi="宋体" w:cs="宋体" w:eastAsia="宋体" w:hint="default"/>
          <w:sz w:val="21"/>
          <w:szCs w:val="21"/>
        </w:rPr>
      </w:r>
    </w:p>
    <w:p>
      <w:pPr>
        <w:pStyle w:val="BodyText"/>
        <w:spacing w:line="273" w:lineRule="auto"/>
        <w:ind w:left="532" w:right="0" w:hanging="420"/>
        <w:jc w:val="left"/>
      </w:pPr>
      <w:r>
        <w:rPr/>
        <w:t>抵销后的净额在资产负债表内列示：</w:t>
      </w:r>
      <w:r>
        <w:rPr>
          <w:w w:val="99"/>
        </w:rPr>
        <w:t> </w:t>
      </w:r>
      <w:r>
        <w:rPr>
          <w:w w:val="95"/>
        </w:rPr>
        <w:t>1）本公司具有抵销已确认金额的法定权利，且该种法定权利是当前可执行的；</w:t>
      </w:r>
      <w:r>
        <w:rPr/>
      </w:r>
    </w:p>
    <w:p>
      <w:pPr>
        <w:pStyle w:val="BodyText"/>
        <w:spacing w:line="240" w:lineRule="auto"/>
        <w:ind w:left="532" w:right="0"/>
        <w:jc w:val="left"/>
      </w:pPr>
      <w:r>
        <w:rPr/>
        <w:t>2）本公司计划以净额结算，或同时变现该金融资产和清偿该金融负债。</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11、应收款项</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（1）单项金额重大并单独计提坏账准备的应收款项</w:t>
      </w:r>
      <w:r>
        <w:rPr>
          <w:b w:val="0"/>
          <w:bCs w:val="0"/>
        </w:rPr>
      </w:r>
    </w:p>
    <w:p>
      <w:pPr>
        <w:spacing w:line="240" w:lineRule="auto" w:before="11"/>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0"/>
              <w:jc w:val="left"/>
              <w:rPr>
                <w:rFonts w:ascii="宋体" w:hAnsi="宋体" w:cs="宋体" w:eastAsia="宋体" w:hint="default"/>
                <w:sz w:val="18"/>
                <w:szCs w:val="18"/>
              </w:rPr>
            </w:pPr>
            <w:r>
              <w:rPr>
                <w:rFonts w:ascii="宋体" w:hAnsi="宋体" w:cs="宋体" w:eastAsia="宋体" w:hint="default"/>
                <w:sz w:val="18"/>
                <w:szCs w:val="18"/>
              </w:rPr>
              <w:t>本公司将单项金额超过</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万元的应收账款和其他应收款，</w:t>
            </w:r>
            <w:r>
              <w:rPr>
                <w:rFonts w:ascii="宋体" w:hAnsi="宋体" w:cs="宋体" w:eastAsia="宋体" w:hint="default"/>
                <w:sz w:val="18"/>
                <w:szCs w:val="18"/>
              </w:rPr>
              <w:t> 确定为单项金额重大的应收款项。</w:t>
            </w:r>
          </w:p>
        </w:tc>
      </w:tr>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0"/>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3"/>
        <w:rPr>
          <w:rFonts w:ascii="宋体" w:hAnsi="宋体" w:cs="宋体" w:eastAsia="宋体" w:hint="default"/>
          <w:b/>
          <w:bCs/>
          <w:sz w:val="19"/>
          <w:szCs w:val="19"/>
        </w:rPr>
      </w:pPr>
    </w:p>
    <w:p>
      <w:pPr>
        <w:pStyle w:val="Heading5"/>
        <w:spacing w:line="240" w:lineRule="auto" w:before="34"/>
        <w:ind w:right="0"/>
        <w:jc w:val="left"/>
        <w:rPr>
          <w:b w:val="0"/>
          <w:bCs w:val="0"/>
        </w:rPr>
      </w:pPr>
      <w:r>
        <w:rPr/>
        <w:t>（2）按信用风险特征组合计提坏账准备的应收款项</w:t>
      </w:r>
      <w:r>
        <w:rPr>
          <w:b w:val="0"/>
          <w:bCs w:val="0"/>
        </w:rPr>
      </w:r>
    </w:p>
    <w:p>
      <w:pPr>
        <w:spacing w:line="240" w:lineRule="auto" w:before="13"/>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其中：1-6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57" w:lineRule="auto" w:before="117"/>
        <w:ind w:left="112" w:right="6494"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w:t>
      </w:r>
    </w:p>
    <w:p>
      <w:pPr>
        <w:spacing w:before="29"/>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footerReference w:type="default" r:id="rId26"/>
          <w:pgSz w:w="11910" w:h="16840"/>
          <w:pgMar w:footer="937" w:header="746" w:top="1040" w:bottom="1120" w:left="1020" w:right="1020"/>
          <w:pgNumType w:start="10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（3）单项金额不重大但单独计提坏账准备的应收款项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0"/>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5"/>
        <w:rPr>
          <w:rFonts w:ascii="宋体" w:hAnsi="宋体" w:cs="宋体" w:eastAsia="宋体" w:hint="default"/>
          <w:b/>
          <w:bCs/>
          <w:sz w:val="19"/>
          <w:szCs w:val="19"/>
        </w:rPr>
      </w:pPr>
    </w:p>
    <w:p>
      <w:pPr>
        <w:pStyle w:val="Heading5"/>
        <w:spacing w:line="240" w:lineRule="auto" w:before="34"/>
        <w:ind w:right="0"/>
        <w:jc w:val="both"/>
        <w:rPr>
          <w:b w:val="0"/>
          <w:bCs w:val="0"/>
        </w:rPr>
      </w:pPr>
      <w:r>
        <w:rPr/>
        <w:t>12、存货</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66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40" w:lineRule="auto" w:before="2"/>
        <w:rPr>
          <w:rFonts w:ascii="宋体" w:hAnsi="宋体" w:cs="宋体" w:eastAsia="宋体" w:hint="default"/>
          <w:sz w:val="24"/>
          <w:szCs w:val="24"/>
        </w:rPr>
      </w:pPr>
    </w:p>
    <w:p>
      <w:pPr>
        <w:pStyle w:val="BodyText"/>
        <w:spacing w:line="273" w:lineRule="auto" w:before="0"/>
        <w:ind w:left="532" w:right="0" w:hanging="104"/>
        <w:jc w:val="left"/>
      </w:pPr>
      <w:r>
        <w:rPr>
          <w:rFonts w:ascii="宋体" w:hAnsi="宋体" w:cs="宋体" w:eastAsia="宋体" w:hint="default"/>
          <w:b/>
          <w:bCs/>
        </w:rPr>
        <w:t>（1）存货的分类</w:t>
      </w:r>
      <w:r>
        <w:rPr>
          <w:rFonts w:ascii="宋体" w:hAnsi="宋体" w:cs="宋体" w:eastAsia="宋体" w:hint="default"/>
          <w:b/>
          <w:bCs/>
          <w:w w:val="99"/>
        </w:rPr>
        <w:t> </w:t>
      </w:r>
      <w:r>
        <w:rPr>
          <w:w w:val="95"/>
        </w:rPr>
        <w:t>存货是指本公司在日常活动中持有以备出售的产成品或商品、处在生产过程中的在产品、在生产过程</w:t>
      </w:r>
      <w:r>
        <w:rPr/>
      </w:r>
    </w:p>
    <w:p>
      <w:pPr>
        <w:pStyle w:val="BodyText"/>
        <w:spacing w:line="273" w:lineRule="auto"/>
        <w:ind w:right="0"/>
        <w:jc w:val="left"/>
      </w:pPr>
      <w:r>
        <w:rPr>
          <w:w w:val="95"/>
        </w:rPr>
        <w:t>或提供劳务过程中耗用的材料和物料等。主要包括原材料、周转材料、委托加工材料、在产品、自制半成</w:t>
      </w:r>
      <w:r>
        <w:rPr>
          <w:spacing w:val="38"/>
          <w:w w:val="95"/>
        </w:rPr>
        <w:t> </w:t>
      </w:r>
      <w:r>
        <w:rPr>
          <w:spacing w:val="38"/>
          <w:w w:val="95"/>
        </w:rPr>
      </w:r>
      <w:r>
        <w:rPr/>
        <w:t>品、产成品（库存商品）、工程成本等。</w:t>
      </w:r>
    </w:p>
    <w:p>
      <w:pPr>
        <w:pStyle w:val="BodyText"/>
        <w:spacing w:line="273" w:lineRule="auto"/>
        <w:ind w:left="532" w:right="0" w:hanging="104"/>
        <w:jc w:val="left"/>
      </w:pPr>
      <w:r>
        <w:rPr>
          <w:rFonts w:ascii="宋体" w:hAnsi="宋体" w:cs="宋体" w:eastAsia="宋体" w:hint="default"/>
          <w:b/>
          <w:bCs/>
        </w:rPr>
        <w:t>（2）存货的计价方法</w:t>
      </w:r>
      <w:r>
        <w:rPr>
          <w:rFonts w:ascii="宋体" w:hAnsi="宋体" w:cs="宋体" w:eastAsia="宋体" w:hint="default"/>
          <w:b/>
          <w:bCs/>
          <w:w w:val="99"/>
        </w:rPr>
        <w:t> </w:t>
      </w:r>
      <w:r>
        <w:rPr>
          <w:w w:val="95"/>
        </w:rPr>
        <w:t>存货在取得时，按成本进行初始计量，包括采购成本、加工成本和其他成本。能直接对应工程成本项</w:t>
      </w:r>
      <w:r>
        <w:rPr/>
      </w:r>
    </w:p>
    <w:p>
      <w:pPr>
        <w:pStyle w:val="BodyText"/>
        <w:spacing w:line="273" w:lineRule="auto"/>
        <w:ind w:right="0"/>
        <w:jc w:val="left"/>
      </w:pPr>
      <w:r>
        <w:rPr>
          <w:w w:val="95"/>
        </w:rPr>
        <w:t>目的原材料、库存商品按个别计价法，其余按加权平均法；低值易耗品领用时采用一次摊销法；工程成本</w:t>
      </w:r>
      <w:r>
        <w:rPr>
          <w:spacing w:val="39"/>
          <w:w w:val="95"/>
        </w:rPr>
        <w:t> </w:t>
      </w:r>
      <w:r>
        <w:rPr>
          <w:spacing w:val="39"/>
          <w:w w:val="95"/>
        </w:rPr>
      </w:r>
      <w:r>
        <w:rPr/>
        <w:t>按工程结算进度相应结转成本。</w:t>
      </w:r>
    </w:p>
    <w:p>
      <w:pPr>
        <w:spacing w:line="273" w:lineRule="auto" w:before="7"/>
        <w:ind w:left="532" w:right="0" w:hanging="104"/>
        <w:jc w:val="left"/>
        <w:rPr>
          <w:rFonts w:ascii="宋体" w:hAnsi="宋体" w:cs="宋体" w:eastAsia="宋体" w:hint="default"/>
          <w:sz w:val="21"/>
          <w:szCs w:val="21"/>
        </w:rPr>
      </w:pPr>
      <w:r>
        <w:rPr>
          <w:rFonts w:ascii="宋体" w:hAnsi="宋体" w:cs="宋体" w:eastAsia="宋体" w:hint="default"/>
          <w:b/>
          <w:bCs/>
          <w:sz w:val="21"/>
          <w:szCs w:val="21"/>
        </w:rPr>
        <w:t>（3）存货可变现净值的确定依据及存货跌价准备的计提方法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w w:val="95"/>
          <w:sz w:val="21"/>
          <w:szCs w:val="21"/>
        </w:rPr>
        <w:t>期末对存货进行全面清查后，按存货的成本与可变现净值孰低提取或调整存货跌价准备。产成品、库</w:t>
      </w:r>
      <w:r>
        <w:rPr>
          <w:rFonts w:ascii="宋体" w:hAnsi="宋体" w:cs="宋体" w:eastAsia="宋体" w:hint="default"/>
          <w:sz w:val="21"/>
          <w:szCs w:val="21"/>
        </w:rPr>
      </w:r>
    </w:p>
    <w:p>
      <w:pPr>
        <w:pStyle w:val="BodyText"/>
        <w:spacing w:line="273" w:lineRule="auto"/>
        <w:ind w:right="112"/>
        <w:jc w:val="both"/>
      </w:pPr>
      <w:r>
        <w:rPr>
          <w:w w:val="95"/>
        </w:rPr>
        <w:t>存商品和用于出售的材料等直接用于出售的商品存货，在正常生产经营过程中，以该存货的估计售价减去</w:t>
      </w:r>
      <w:r>
        <w:rPr>
          <w:spacing w:val="40"/>
          <w:w w:val="95"/>
        </w:rPr>
        <w:t> </w:t>
      </w:r>
      <w:r>
        <w:rPr>
          <w:spacing w:val="40"/>
          <w:w w:val="95"/>
        </w:rPr>
      </w:r>
      <w:r>
        <w:rPr>
          <w:w w:val="95"/>
        </w:rPr>
        <w:t>估计的销售费用和相关税费后的金额，确定其可变现净值；需要经过加工的材料存货，在正常生产经营过</w:t>
      </w:r>
      <w:r>
        <w:rPr>
          <w:spacing w:val="37"/>
          <w:w w:val="95"/>
        </w:rPr>
        <w:t> </w:t>
      </w:r>
      <w:r>
        <w:rPr>
          <w:spacing w:val="37"/>
          <w:w w:val="95"/>
        </w:rPr>
      </w:r>
      <w:r>
        <w:rPr>
          <w:w w:val="95"/>
        </w:rPr>
        <w:t>程中，以所生产的产成品的估计售价减去至完工时估计将要发生的成本、估计的销售费用和相关税费后的</w:t>
      </w:r>
      <w:r>
        <w:rPr>
          <w:spacing w:val="37"/>
          <w:w w:val="95"/>
        </w:rPr>
        <w:t> </w:t>
      </w:r>
      <w:r>
        <w:rPr>
          <w:spacing w:val="37"/>
          <w:w w:val="95"/>
        </w:rPr>
      </w:r>
      <w:r>
        <w:rPr>
          <w:w w:val="95"/>
        </w:rPr>
        <w:t>金额，确定其可变现净值；为执行销售合同或者劳务合同而持有的存货，其可变现净值以合同价格为基础</w:t>
      </w:r>
      <w:r>
        <w:rPr>
          <w:spacing w:val="37"/>
          <w:w w:val="95"/>
        </w:rPr>
        <w:t> </w:t>
      </w:r>
      <w:r>
        <w:rPr>
          <w:spacing w:val="37"/>
          <w:w w:val="95"/>
        </w:rPr>
      </w:r>
      <w:r>
        <w:rPr>
          <w:w w:val="95"/>
        </w:rPr>
        <w:t>计算，若持有存货的数量多于销售合同订购数量的，超出部分的存货的可变现净值以一般销售价格为基础  </w:t>
      </w:r>
      <w:r>
        <w:rPr>
          <w:spacing w:val="40"/>
          <w:w w:val="95"/>
        </w:rPr>
        <w:t> </w:t>
      </w:r>
      <w:r>
        <w:rPr>
          <w:spacing w:val="40"/>
          <w:w w:val="95"/>
        </w:rPr>
      </w:r>
      <w:r>
        <w:rPr/>
        <w:t>计算。</w:t>
      </w:r>
    </w:p>
    <w:p>
      <w:pPr>
        <w:pStyle w:val="BodyText"/>
        <w:spacing w:line="273" w:lineRule="auto"/>
        <w:ind w:right="112" w:firstLine="420"/>
        <w:jc w:val="both"/>
      </w:pPr>
      <w:r>
        <w:rPr>
          <w:w w:val="95"/>
        </w:rPr>
        <w:t>期末按照单个存货项目计提存货跌价准备；但对于数量繁多、单价较低的存货，按照存货类别计提存</w:t>
      </w:r>
      <w:r>
        <w:rPr>
          <w:w w:val="99"/>
        </w:rPr>
        <w:t> </w:t>
      </w:r>
      <w:r>
        <w:rPr>
          <w:w w:val="95"/>
        </w:rPr>
        <w:t>货跌价准备；与在同一地区生产和销售的产品系列相关、具有相同或类似最终用途或目的，且难以与其他</w:t>
      </w:r>
      <w:r>
        <w:rPr>
          <w:spacing w:val="37"/>
          <w:w w:val="95"/>
        </w:rPr>
        <w:t> </w:t>
      </w:r>
      <w:r>
        <w:rPr>
          <w:spacing w:val="37"/>
          <w:w w:val="95"/>
        </w:rPr>
      </w:r>
      <w:r>
        <w:rPr/>
        <w:t>项目分开计量的存货，则合并计提存货跌价准备。</w:t>
      </w:r>
    </w:p>
    <w:p>
      <w:pPr>
        <w:pStyle w:val="BodyText"/>
        <w:spacing w:line="273" w:lineRule="auto"/>
        <w:ind w:right="112" w:firstLine="420"/>
        <w:jc w:val="both"/>
      </w:pPr>
      <w:r>
        <w:rPr>
          <w:w w:val="95"/>
        </w:rPr>
        <w:t>以前减记存货价值的影响因素已经消失的，减记的金额予以恢复，并在原已计提的存货跌价准备金额</w:t>
      </w:r>
      <w:r>
        <w:rPr>
          <w:w w:val="99"/>
        </w:rPr>
        <w:t> </w:t>
      </w:r>
      <w:r>
        <w:rPr/>
        <w:t>内转回，转回的金额计入当期损益。</w:t>
      </w:r>
    </w:p>
    <w:p>
      <w:pPr>
        <w:spacing w:line="273" w:lineRule="auto" w:before="7"/>
        <w:ind w:left="532" w:right="4904" w:hanging="104"/>
        <w:jc w:val="left"/>
        <w:rPr>
          <w:rFonts w:ascii="宋体" w:hAnsi="宋体" w:cs="宋体" w:eastAsia="宋体" w:hint="default"/>
          <w:sz w:val="21"/>
          <w:szCs w:val="21"/>
        </w:rPr>
      </w:pPr>
      <w:r>
        <w:rPr>
          <w:rFonts w:ascii="宋体" w:hAnsi="宋体" w:cs="宋体" w:eastAsia="宋体" w:hint="default"/>
          <w:b/>
          <w:bCs/>
          <w:sz w:val="21"/>
          <w:szCs w:val="21"/>
        </w:rPr>
        <w:t>（4）存货的盘存制度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采用永续盘存制低值易耗品和包装物的摊销方法</w:t>
      </w:r>
      <w:r>
        <w:rPr>
          <w:rFonts w:ascii="宋体" w:hAnsi="宋体" w:cs="宋体" w:eastAsia="宋体" w:hint="default"/>
          <w:w w:val="99"/>
          <w:sz w:val="21"/>
          <w:szCs w:val="21"/>
        </w:rPr>
        <w:t> </w:t>
      </w:r>
      <w:r>
        <w:rPr>
          <w:rFonts w:ascii="宋体" w:hAnsi="宋体" w:cs="宋体" w:eastAsia="宋体" w:hint="default"/>
          <w:sz w:val="21"/>
          <w:szCs w:val="21"/>
        </w:rPr>
        <w:t>1）低值易耗品采用一次转销法；</w:t>
      </w:r>
    </w:p>
    <w:p>
      <w:pPr>
        <w:pStyle w:val="BodyText"/>
        <w:spacing w:line="240" w:lineRule="auto"/>
        <w:ind w:left="532" w:right="0"/>
        <w:jc w:val="left"/>
      </w:pPr>
      <w:r>
        <w:rPr/>
        <w:t>2）包装物采用一次转销法；</w:t>
      </w:r>
    </w:p>
    <w:p>
      <w:pPr>
        <w:pStyle w:val="BodyText"/>
        <w:spacing w:line="240" w:lineRule="auto" w:before="37"/>
        <w:ind w:left="532" w:right="0"/>
        <w:jc w:val="left"/>
      </w:pPr>
      <w:r>
        <w:rPr/>
        <w:t>3）其他周转材料采用一次转销法摊销。</w:t>
      </w:r>
    </w:p>
    <w:p>
      <w:pPr>
        <w:spacing w:line="240" w:lineRule="auto" w:before="12"/>
        <w:rPr>
          <w:rFonts w:ascii="宋体" w:hAnsi="宋体" w:cs="宋体" w:eastAsia="宋体" w:hint="default"/>
          <w:sz w:val="25"/>
          <w:szCs w:val="25"/>
        </w:rPr>
      </w:pPr>
    </w:p>
    <w:p>
      <w:pPr>
        <w:pStyle w:val="Heading5"/>
        <w:spacing w:line="240" w:lineRule="auto"/>
        <w:ind w:right="0"/>
        <w:jc w:val="both"/>
        <w:rPr>
          <w:b w:val="0"/>
          <w:bCs w:val="0"/>
        </w:rPr>
      </w:pPr>
      <w:r>
        <w:rPr/>
        <w:t>13、持有待售资产</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0" w:hanging="104"/>
        <w:jc w:val="left"/>
      </w:pPr>
      <w:r>
        <w:rPr>
          <w:rFonts w:ascii="宋体" w:hAnsi="宋体" w:cs="宋体" w:eastAsia="宋体" w:hint="default"/>
          <w:b/>
          <w:bCs/>
        </w:rPr>
        <w:t>（1）划分为持有待售确认标准</w:t>
      </w:r>
      <w:r>
        <w:rPr>
          <w:rFonts w:ascii="宋体" w:hAnsi="宋体" w:cs="宋体" w:eastAsia="宋体" w:hint="default"/>
          <w:b/>
          <w:bCs/>
          <w:w w:val="99"/>
        </w:rPr>
        <w:t> </w:t>
      </w:r>
      <w:r>
        <w:rPr/>
        <w:t>本公司将同时满足下列条件的非流动资产或处置组确认为持有待售组成部分：</w:t>
      </w:r>
      <w:r>
        <w:rPr>
          <w:w w:val="99"/>
        </w:rPr>
        <w:t> </w:t>
      </w:r>
      <w:r>
        <w:rPr>
          <w:w w:val="95"/>
        </w:rPr>
        <w:t>1）根据类似交易中出售此类资产或处置组的惯例，在当前状况下即可立即出售；</w:t>
      </w:r>
      <w:r>
        <w:rPr/>
      </w:r>
    </w:p>
    <w:p>
      <w:pPr>
        <w:spacing w:after="0" w:line="273" w:lineRule="auto"/>
        <w:jc w:val="left"/>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BodyText"/>
        <w:spacing w:line="273" w:lineRule="auto" w:before="34"/>
        <w:ind w:right="296" w:firstLine="420"/>
        <w:jc w:val="both"/>
      </w:pPr>
      <w:r>
        <w:rPr>
          <w:w w:val="95"/>
        </w:rPr>
        <w:t>2）出售极可能发生，即本公司已经就一项出售计划作出决议，且获得确定的购买承诺，预计出售将</w:t>
      </w:r>
      <w:r>
        <w:rPr>
          <w:spacing w:val="-85"/>
          <w:w w:val="95"/>
        </w:rPr>
        <w:t> </w:t>
      </w:r>
      <w:r>
        <w:rPr>
          <w:spacing w:val="-85"/>
          <w:w w:val="95"/>
        </w:rPr>
      </w:r>
      <w:r>
        <w:rPr/>
        <w:t>在一年内完成。</w:t>
      </w:r>
    </w:p>
    <w:p>
      <w:pPr>
        <w:pStyle w:val="BodyText"/>
        <w:spacing w:line="273" w:lineRule="auto"/>
        <w:ind w:right="212" w:firstLine="420"/>
        <w:jc w:val="both"/>
      </w:pPr>
      <w:r>
        <w:rPr>
          <w:w w:val="95"/>
        </w:rPr>
        <w:t>确定的购买承诺，是指本公司与其他方签订的具有法律约束力的购买协议，该协议包含交易价格、时</w:t>
      </w:r>
      <w:r>
        <w:rPr>
          <w:w w:val="99"/>
        </w:rPr>
        <w:t> </w:t>
      </w:r>
      <w:r>
        <w:rPr/>
        <w:t>间和足够严厉的违约惩罚等重要条款，使协议出现重大调整或者撤销的可能性极小。</w:t>
      </w:r>
    </w:p>
    <w:p>
      <w:pPr>
        <w:spacing w:line="273" w:lineRule="auto" w:before="7"/>
        <w:ind w:left="532" w:right="94" w:hanging="104"/>
        <w:jc w:val="left"/>
        <w:rPr>
          <w:rFonts w:ascii="宋体" w:hAnsi="宋体" w:cs="宋体" w:eastAsia="宋体" w:hint="default"/>
          <w:sz w:val="21"/>
          <w:szCs w:val="21"/>
        </w:rPr>
      </w:pPr>
      <w:r>
        <w:rPr>
          <w:rFonts w:ascii="宋体" w:hAnsi="宋体" w:cs="宋体" w:eastAsia="宋体" w:hint="default"/>
          <w:b/>
          <w:bCs/>
          <w:sz w:val="21"/>
          <w:szCs w:val="21"/>
        </w:rPr>
        <w:t>（2）持有待售核算方法</w:t>
      </w:r>
      <w:r>
        <w:rPr>
          <w:rFonts w:ascii="宋体" w:hAnsi="宋体" w:cs="宋体" w:eastAsia="宋体" w:hint="default"/>
          <w:b/>
          <w:bCs/>
          <w:w w:val="99"/>
          <w:sz w:val="21"/>
          <w:szCs w:val="21"/>
        </w:rPr>
        <w:t> </w:t>
      </w:r>
      <w:r>
        <w:rPr>
          <w:rFonts w:ascii="宋体" w:hAnsi="宋体" w:cs="宋体" w:eastAsia="宋体" w:hint="default"/>
          <w:w w:val="95"/>
          <w:sz w:val="21"/>
          <w:szCs w:val="21"/>
        </w:rPr>
        <w:t>本公司对于持有待售的非流动资产或处置组不计提折旧或摊销，其账面价值高于公允价值减去出售费</w:t>
      </w:r>
      <w:r>
        <w:rPr>
          <w:rFonts w:ascii="宋体" w:hAnsi="宋体" w:cs="宋体" w:eastAsia="宋体" w:hint="default"/>
          <w:sz w:val="21"/>
          <w:szCs w:val="21"/>
        </w:rPr>
      </w:r>
    </w:p>
    <w:p>
      <w:pPr>
        <w:pStyle w:val="BodyText"/>
        <w:spacing w:line="273" w:lineRule="auto"/>
        <w:ind w:right="105"/>
        <w:jc w:val="left"/>
      </w:pPr>
      <w:r>
        <w:rPr>
          <w:spacing w:val="-3"/>
        </w:rPr>
        <w:t>用后的净额的，应当将账面价值减记至公允价值减去出售费用后的净额，减记的金额确认为资产减值损失，</w:t>
      </w:r>
      <w:r>
        <w:rPr>
          <w:w w:val="99"/>
        </w:rPr>
        <w:t> </w:t>
      </w:r>
      <w:r>
        <w:rPr/>
        <w:t>计入当期损益，同时计提持有待售资产减值准备。</w:t>
      </w:r>
    </w:p>
    <w:p>
      <w:pPr>
        <w:pStyle w:val="BodyText"/>
        <w:spacing w:line="273" w:lineRule="auto"/>
        <w:ind w:right="212" w:firstLine="420"/>
        <w:jc w:val="both"/>
      </w:pPr>
      <w:r>
        <w:rPr>
          <w:w w:val="95"/>
        </w:rPr>
        <w:t>对于取得日划分为持有待售类别的非流动资产或处置组，在初始计量时比较假定其不划分为持有待售</w:t>
      </w:r>
      <w:r>
        <w:rPr>
          <w:w w:val="99"/>
        </w:rPr>
        <w:t> </w:t>
      </w:r>
      <w:r>
        <w:rPr/>
        <w:t>类别情况下的初始计量金额和公允价值减去出售费用后的净额，以两者孰低计量。</w:t>
      </w:r>
    </w:p>
    <w:p>
      <w:pPr>
        <w:pStyle w:val="BodyText"/>
        <w:spacing w:line="273" w:lineRule="auto"/>
        <w:ind w:right="212" w:firstLine="420"/>
        <w:jc w:val="both"/>
      </w:pPr>
      <w:r>
        <w:rPr>
          <w:w w:val="95"/>
        </w:rPr>
        <w:t>上述原则适用于所有非流动资产，但不包括采用公允价值模式进行后续计量的投资性房地产、采用公</w:t>
      </w:r>
      <w:r>
        <w:rPr>
          <w:w w:val="99"/>
        </w:rPr>
        <w:t> </w:t>
      </w:r>
      <w:r>
        <w:rPr>
          <w:w w:val="95"/>
        </w:rPr>
        <w:t>允价值减去出售费用后的净额计量的生物资产、职工薪酬形成的资产、递延所得税资产、由金融工具相关</w:t>
      </w:r>
      <w:r>
        <w:rPr>
          <w:spacing w:val="40"/>
          <w:w w:val="95"/>
        </w:rPr>
        <w:t> </w:t>
      </w:r>
      <w:r>
        <w:rPr>
          <w:spacing w:val="40"/>
          <w:w w:val="95"/>
        </w:rPr>
      </w:r>
      <w:r>
        <w:rPr/>
        <w:t>会计准则规范的金融资产、由保险合同相关会计准则规范的保险合同所产生的权利。</w:t>
      </w:r>
    </w:p>
    <w:p>
      <w:pPr>
        <w:spacing w:line="240" w:lineRule="auto" w:before="7"/>
        <w:rPr>
          <w:rFonts w:ascii="宋体" w:hAnsi="宋体" w:cs="宋体" w:eastAsia="宋体" w:hint="default"/>
          <w:sz w:val="23"/>
          <w:szCs w:val="23"/>
        </w:rPr>
      </w:pPr>
    </w:p>
    <w:p>
      <w:pPr>
        <w:pStyle w:val="Heading5"/>
        <w:spacing w:line="240" w:lineRule="auto"/>
        <w:ind w:right="94"/>
        <w:jc w:val="left"/>
        <w:rPr>
          <w:b w:val="0"/>
          <w:bCs w:val="0"/>
        </w:rPr>
      </w:pPr>
      <w:r>
        <w:rPr/>
        <w:t>14、长期股权投资</w:t>
      </w:r>
      <w:r>
        <w:rPr>
          <w:b w:val="0"/>
          <w:bCs w:val="0"/>
        </w:rPr>
      </w:r>
    </w:p>
    <w:p>
      <w:pPr>
        <w:spacing w:line="240" w:lineRule="auto" w:before="10"/>
        <w:rPr>
          <w:rFonts w:ascii="宋体" w:hAnsi="宋体" w:cs="宋体" w:eastAsia="宋体" w:hint="default"/>
          <w:b/>
          <w:bCs/>
          <w:sz w:val="25"/>
          <w:szCs w:val="25"/>
        </w:rPr>
      </w:pPr>
    </w:p>
    <w:p>
      <w:pPr>
        <w:spacing w:line="273" w:lineRule="auto" w:before="0"/>
        <w:ind w:left="532" w:right="94" w:hanging="104"/>
        <w:jc w:val="left"/>
        <w:rPr>
          <w:rFonts w:ascii="宋体" w:hAnsi="宋体" w:cs="宋体" w:eastAsia="宋体" w:hint="default"/>
          <w:sz w:val="21"/>
          <w:szCs w:val="21"/>
        </w:rPr>
      </w:pPr>
      <w:r>
        <w:rPr>
          <w:rFonts w:ascii="宋体" w:hAnsi="宋体" w:cs="宋体" w:eastAsia="宋体" w:hint="default"/>
          <w:b/>
          <w:bCs/>
          <w:sz w:val="21"/>
          <w:szCs w:val="21"/>
        </w:rPr>
        <w:t>（1）初始投资成本的确定</w:t>
      </w:r>
      <w:r>
        <w:rPr>
          <w:rFonts w:ascii="宋体" w:hAnsi="宋体" w:cs="宋体" w:eastAsia="宋体" w:hint="default"/>
          <w:b/>
          <w:bCs/>
          <w:w w:val="99"/>
          <w:sz w:val="21"/>
          <w:szCs w:val="21"/>
        </w:rPr>
        <w:t> </w:t>
      </w:r>
      <w:r>
        <w:rPr>
          <w:rFonts w:ascii="宋体" w:hAnsi="宋体" w:cs="宋体" w:eastAsia="宋体" w:hint="default"/>
          <w:w w:val="95"/>
          <w:sz w:val="21"/>
          <w:szCs w:val="21"/>
        </w:rPr>
        <w:t>1）企业合并形成的长期股权投资，具体会计政策详见本附注四／（五）同一控制下和非同一控制下</w:t>
      </w:r>
      <w:r>
        <w:rPr>
          <w:rFonts w:ascii="宋体" w:hAnsi="宋体" w:cs="宋体" w:eastAsia="宋体" w:hint="default"/>
          <w:sz w:val="21"/>
          <w:szCs w:val="21"/>
        </w:rPr>
      </w:r>
    </w:p>
    <w:p>
      <w:pPr>
        <w:pStyle w:val="BodyText"/>
        <w:spacing w:line="273" w:lineRule="auto"/>
        <w:ind w:left="532" w:right="6369" w:hanging="420"/>
        <w:jc w:val="left"/>
      </w:pPr>
      <w:r>
        <w:rPr/>
        <w:t>企业合并的会计处理方法</w:t>
      </w:r>
      <w:r>
        <w:rPr>
          <w:w w:val="99"/>
        </w:rPr>
        <w:t> </w:t>
      </w:r>
      <w:r>
        <w:rPr/>
        <w:t>2）其他方式取得的长期股权投资</w:t>
      </w:r>
    </w:p>
    <w:p>
      <w:pPr>
        <w:pStyle w:val="BodyText"/>
        <w:spacing w:line="273" w:lineRule="auto"/>
        <w:ind w:right="212" w:firstLine="420"/>
        <w:jc w:val="both"/>
      </w:pPr>
      <w:r>
        <w:rPr>
          <w:w w:val="95"/>
        </w:rPr>
        <w:t>以支付现金方式取得的长期股权投资，按照实际支付的购买价款作为初始投资成本。初始投资成本包</w:t>
      </w:r>
      <w:r>
        <w:rPr>
          <w:w w:val="99"/>
        </w:rPr>
        <w:t> </w:t>
      </w:r>
      <w:r>
        <w:rPr/>
        <w:t>括与取得长期股权投资直接相关的费用、税金及其他必要支出。</w:t>
      </w:r>
    </w:p>
    <w:p>
      <w:pPr>
        <w:pStyle w:val="BodyText"/>
        <w:spacing w:line="273" w:lineRule="auto"/>
        <w:ind w:right="212" w:firstLine="420"/>
        <w:jc w:val="both"/>
      </w:pPr>
      <w:r>
        <w:rPr>
          <w:w w:val="95"/>
        </w:rPr>
        <w:t>以发行权益性证券取得的长期股权投资，按照发行权益性证券的公允价值作为初始投资成本；发行或</w:t>
      </w:r>
      <w:r>
        <w:rPr>
          <w:w w:val="99"/>
        </w:rPr>
        <w:t> </w:t>
      </w:r>
      <w:r>
        <w:rPr/>
        <w:t>取得自身权益工具时发生的交易费用，可直接归属于权益性交易的从权益中扣减。</w:t>
      </w:r>
    </w:p>
    <w:p>
      <w:pPr>
        <w:pStyle w:val="BodyText"/>
        <w:spacing w:line="273" w:lineRule="auto" w:before="8"/>
        <w:ind w:right="212" w:firstLine="420"/>
        <w:jc w:val="both"/>
      </w:pPr>
      <w:r>
        <w:rPr>
          <w:w w:val="95"/>
        </w:rPr>
        <w:t>在非货币性资产交换具备商业实质和换入资产或换出资产的公允价值能够可靠计量的前提下，非货币</w:t>
      </w:r>
      <w:r>
        <w:rPr>
          <w:w w:val="99"/>
        </w:rPr>
        <w:t> </w:t>
      </w:r>
      <w:r>
        <w:rPr>
          <w:w w:val="95"/>
        </w:rPr>
        <w:t>性资产交换换入的长期股权投资以换出资产的公允价值为基础确定其初始投资成本，除非有确凿证据表明</w:t>
      </w:r>
      <w:r>
        <w:rPr>
          <w:spacing w:val="39"/>
          <w:w w:val="95"/>
        </w:rPr>
        <w:t> </w:t>
      </w:r>
      <w:r>
        <w:rPr>
          <w:spacing w:val="39"/>
          <w:w w:val="95"/>
        </w:rPr>
      </w:r>
      <w:r>
        <w:rPr>
          <w:w w:val="95"/>
        </w:rPr>
        <w:t>换入资产的公允价值更加可靠；不满足上述前提的非货币性资产交换，以换出资产的账面价值和应支付的</w:t>
      </w:r>
      <w:r>
        <w:rPr>
          <w:spacing w:val="40"/>
          <w:w w:val="95"/>
        </w:rPr>
        <w:t> </w:t>
      </w:r>
      <w:r>
        <w:rPr>
          <w:spacing w:val="40"/>
          <w:w w:val="95"/>
        </w:rPr>
      </w:r>
      <w:r>
        <w:rPr/>
        <w:t>相关税费作为换入长期股权投资的初始投资成本。</w:t>
      </w:r>
    </w:p>
    <w:p>
      <w:pPr>
        <w:pStyle w:val="BodyText"/>
        <w:spacing w:line="240" w:lineRule="auto"/>
        <w:ind w:left="532" w:right="94"/>
        <w:jc w:val="left"/>
      </w:pPr>
      <w:r>
        <w:rPr/>
        <w:t>通过债务重组取得的长期股权投资，其初始投资成本按照公允价值为基础确定。</w:t>
      </w:r>
    </w:p>
    <w:p>
      <w:pPr>
        <w:spacing w:line="273" w:lineRule="auto" w:before="37"/>
        <w:ind w:left="532" w:right="7093" w:hanging="104"/>
        <w:jc w:val="left"/>
        <w:rPr>
          <w:rFonts w:ascii="宋体" w:hAnsi="宋体" w:cs="宋体" w:eastAsia="宋体" w:hint="default"/>
          <w:sz w:val="21"/>
          <w:szCs w:val="21"/>
        </w:rPr>
      </w:pPr>
      <w:r>
        <w:rPr>
          <w:rFonts w:ascii="宋体" w:hAnsi="宋体" w:cs="宋体" w:eastAsia="宋体" w:hint="default"/>
          <w:b/>
          <w:bCs/>
          <w:sz w:val="21"/>
          <w:szCs w:val="21"/>
        </w:rPr>
        <w:t>（2）后续计量及损益确认</w:t>
      </w:r>
      <w:r>
        <w:rPr>
          <w:rFonts w:ascii="宋体" w:hAnsi="宋体" w:cs="宋体" w:eastAsia="宋体" w:hint="default"/>
          <w:b/>
          <w:bCs/>
          <w:w w:val="99"/>
          <w:sz w:val="21"/>
          <w:szCs w:val="21"/>
        </w:rPr>
        <w:t> </w:t>
      </w:r>
      <w:r>
        <w:rPr>
          <w:rFonts w:ascii="宋体" w:hAnsi="宋体" w:cs="宋体" w:eastAsia="宋体" w:hint="default"/>
          <w:sz w:val="21"/>
          <w:szCs w:val="21"/>
        </w:rPr>
        <w:t>1）成本法</w:t>
      </w:r>
    </w:p>
    <w:p>
      <w:pPr>
        <w:pStyle w:val="BodyText"/>
        <w:spacing w:line="273" w:lineRule="auto"/>
        <w:ind w:right="215" w:firstLine="420"/>
        <w:jc w:val="both"/>
      </w:pPr>
      <w:r>
        <w:rPr>
          <w:w w:val="95"/>
        </w:rPr>
        <w:t>本公司能够对被投资单位实施控制的长期股权投资采用成本法核算，并按照初始投资成本计价，追加</w:t>
      </w:r>
      <w:r>
        <w:rPr>
          <w:w w:val="99"/>
        </w:rPr>
        <w:t> </w:t>
      </w:r>
      <w:r>
        <w:rPr/>
        <w:t>或收回投资调整长期股权投资的成本。</w:t>
      </w:r>
    </w:p>
    <w:p>
      <w:pPr>
        <w:pStyle w:val="BodyText"/>
        <w:spacing w:line="273" w:lineRule="auto"/>
        <w:ind w:right="215" w:firstLine="420"/>
        <w:jc w:val="both"/>
      </w:pPr>
      <w:r>
        <w:rPr>
          <w:w w:val="95"/>
        </w:rPr>
        <w:t>除取得投资时实际支付的价款或对价中包含的已宣告但尚未发放的现金股利或利润外，本公司按照享</w:t>
      </w:r>
      <w:r>
        <w:rPr>
          <w:w w:val="99"/>
        </w:rPr>
        <w:t> </w:t>
      </w:r>
      <w:r>
        <w:rPr/>
        <w:t>有被投资单位宣告分派的现金股利或利润确认为当期投资收益。</w:t>
      </w:r>
    </w:p>
    <w:p>
      <w:pPr>
        <w:pStyle w:val="BodyText"/>
        <w:spacing w:line="273" w:lineRule="auto" w:before="8"/>
        <w:ind w:left="532" w:right="94"/>
        <w:jc w:val="left"/>
      </w:pPr>
      <w:r>
        <w:rPr/>
        <w:t>2）权益法</w:t>
      </w:r>
      <w:r>
        <w:rPr>
          <w:w w:val="99"/>
        </w:rPr>
        <w:t> </w:t>
      </w:r>
      <w:r>
        <w:rPr>
          <w:w w:val="95"/>
        </w:rPr>
        <w:t>本公司对联营企业和合营企业的长期股权投资采用权益法核算；对于其中一部分通过风险投资机构、</w:t>
      </w:r>
      <w:r>
        <w:rPr/>
      </w:r>
    </w:p>
    <w:p>
      <w:pPr>
        <w:pStyle w:val="BodyText"/>
        <w:spacing w:line="273" w:lineRule="auto"/>
        <w:ind w:right="94"/>
        <w:jc w:val="left"/>
      </w:pPr>
      <w:r>
        <w:rPr>
          <w:w w:val="95"/>
        </w:rPr>
        <w:t>共同基金、信托公司或包括投连险基金在内的类似主体间接持有的联营企业的权益性投资，采用公允价值</w:t>
      </w:r>
      <w:r>
        <w:rPr>
          <w:spacing w:val="37"/>
          <w:w w:val="95"/>
        </w:rPr>
        <w:t> </w:t>
      </w:r>
      <w:r>
        <w:rPr>
          <w:spacing w:val="37"/>
          <w:w w:val="95"/>
        </w:rPr>
      </w:r>
      <w:r>
        <w:rPr/>
        <w:t>计量且其变动计入损益。</w:t>
      </w:r>
    </w:p>
    <w:p>
      <w:pPr>
        <w:pStyle w:val="BodyText"/>
        <w:spacing w:line="273" w:lineRule="auto"/>
        <w:ind w:right="212" w:firstLine="420"/>
        <w:jc w:val="both"/>
      </w:pPr>
      <w:r>
        <w:rPr>
          <w:w w:val="95"/>
        </w:rPr>
        <w:t>长期股权投资的初始投资成本大于投资时应享有被投资单位可辨认净资产公允价值份额的差额，不调</w:t>
      </w:r>
      <w:r>
        <w:rPr>
          <w:w w:val="99"/>
        </w:rPr>
        <w:t> </w:t>
      </w:r>
      <w:r>
        <w:rPr>
          <w:w w:val="95"/>
        </w:rPr>
        <w:t>整长期股权投资的初始投资成本；初始投资成本小于投资时应享有被投资单位可辨认净资产公允价值份额</w:t>
      </w:r>
      <w:r>
        <w:rPr>
          <w:spacing w:val="39"/>
          <w:w w:val="95"/>
        </w:rPr>
        <w:t> </w:t>
      </w:r>
      <w:r>
        <w:rPr>
          <w:spacing w:val="39"/>
          <w:w w:val="95"/>
        </w:rPr>
      </w:r>
      <w:r>
        <w:rPr/>
        <w:t>的差额，计入当期损益。</w:t>
      </w:r>
    </w:p>
    <w:p>
      <w:pPr>
        <w:pStyle w:val="BodyText"/>
        <w:spacing w:line="273" w:lineRule="auto"/>
        <w:ind w:right="215" w:firstLine="420"/>
        <w:jc w:val="both"/>
      </w:pPr>
      <w:r>
        <w:rPr/>
        <w:t>本公司取得长期股权投资后，按照应享有或应分担的被投资单位实现的净损益和其他综合收益的份</w:t>
      </w:r>
      <w:r>
        <w:rPr>
          <w:w w:val="99"/>
        </w:rPr>
        <w:t> </w:t>
      </w:r>
      <w:r>
        <w:rPr>
          <w:w w:val="95"/>
        </w:rPr>
        <w:t>额，分别确认投资收益和其他综合收益，同时调整长期股权投资的账面价值；并按照被投资单位宣告分派</w:t>
      </w:r>
      <w:r>
        <w:rPr/>
      </w:r>
    </w:p>
    <w:p>
      <w:pPr>
        <w:spacing w:after="0" w:line="273" w:lineRule="auto"/>
        <w:jc w:val="both"/>
        <w:sectPr>
          <w:pgSz w:w="11910" w:h="16840"/>
          <w:pgMar w:header="746" w:footer="937" w:top="1040" w:bottom="1120" w:left="1020" w:right="920"/>
        </w:sectPr>
      </w:pPr>
    </w:p>
    <w:p>
      <w:pPr>
        <w:spacing w:line="240" w:lineRule="auto" w:before="6"/>
        <w:rPr>
          <w:rFonts w:ascii="宋体" w:hAnsi="宋体" w:cs="宋体" w:eastAsia="宋体" w:hint="default"/>
          <w:sz w:val="25"/>
          <w:szCs w:val="25"/>
        </w:rPr>
      </w:pPr>
    </w:p>
    <w:p>
      <w:pPr>
        <w:pStyle w:val="BodyText"/>
        <w:spacing w:line="273" w:lineRule="auto" w:before="34"/>
        <w:ind w:right="0"/>
        <w:jc w:val="left"/>
      </w:pPr>
      <w:r>
        <w:rPr>
          <w:w w:val="95"/>
        </w:rPr>
        <w:t>的利润或现金股利计算应享有的部分，相应减少长期股权投资的账面价值；对于被投资单位除净损益、其</w:t>
      </w:r>
      <w:r>
        <w:rPr>
          <w:spacing w:val="40"/>
          <w:w w:val="95"/>
        </w:rPr>
        <w:t> </w:t>
      </w:r>
      <w:r>
        <w:rPr>
          <w:spacing w:val="40"/>
          <w:w w:val="95"/>
        </w:rPr>
      </w:r>
      <w:r>
        <w:rPr/>
        <w:t>他综合收益和利润分配以外所有者权益的其他变动，调整长期股权投资的账面价值并计入所有者权益。</w:t>
      </w:r>
    </w:p>
    <w:p>
      <w:pPr>
        <w:pStyle w:val="BodyText"/>
        <w:spacing w:line="273" w:lineRule="auto"/>
        <w:ind w:right="112" w:firstLine="420"/>
        <w:jc w:val="both"/>
      </w:pPr>
      <w:r>
        <w:rPr>
          <w:w w:val="95"/>
        </w:rPr>
        <w:t>本公司在确认应享有被投资单位净损益的份额时，以取得投资时被投资单位各项可辨认资产等的公允</w:t>
      </w:r>
      <w:r>
        <w:rPr>
          <w:w w:val="99"/>
        </w:rPr>
        <w:t> </w:t>
      </w:r>
      <w:r>
        <w:rPr>
          <w:w w:val="95"/>
        </w:rPr>
        <w:t>价值为基础，对被投资单位的净利润进行调整后确认。本公司与联营企业、合营企业之间发生的未实现内</w:t>
      </w:r>
      <w:r>
        <w:rPr>
          <w:spacing w:val="40"/>
          <w:w w:val="95"/>
        </w:rPr>
        <w:t> </w:t>
      </w:r>
      <w:r>
        <w:rPr>
          <w:spacing w:val="40"/>
          <w:w w:val="95"/>
        </w:rPr>
      </w:r>
      <w:r>
        <w:rPr/>
        <w:t>部交易损益按照应享有的比例计算归属于本公司的部分予以抵销，在此基础上确认投资损益。</w:t>
      </w:r>
    </w:p>
    <w:p>
      <w:pPr>
        <w:pStyle w:val="BodyText"/>
        <w:spacing w:line="273" w:lineRule="auto"/>
        <w:ind w:right="112" w:firstLine="420"/>
        <w:jc w:val="both"/>
      </w:pPr>
      <w:r>
        <w:rPr>
          <w:w w:val="95"/>
        </w:rPr>
        <w:t>本公司确认应分担被投资单位发生的亏损时，按照以下顺序进行处理：首先，冲减长期股权投资的账</w:t>
      </w:r>
      <w:r>
        <w:rPr>
          <w:w w:val="99"/>
        </w:rPr>
        <w:t> </w:t>
      </w:r>
      <w:r>
        <w:rPr>
          <w:w w:val="95"/>
        </w:rPr>
        <w:t>面价值。其次，长期股权投资的账面价值不足以冲减的，以其他实质上构成对被投资单位净投资的长期权</w:t>
      </w:r>
      <w:r>
        <w:rPr>
          <w:spacing w:val="37"/>
          <w:w w:val="95"/>
        </w:rPr>
        <w:t> </w:t>
      </w:r>
      <w:r>
        <w:rPr>
          <w:spacing w:val="37"/>
          <w:w w:val="95"/>
        </w:rPr>
      </w:r>
      <w:r>
        <w:rPr>
          <w:w w:val="95"/>
        </w:rPr>
        <w:t>益账面价值为限继续确认投资损失，冲减长期应收项目等的账面价值。最后，经过上述处理，按照投资合</w:t>
      </w:r>
      <w:r>
        <w:rPr>
          <w:spacing w:val="41"/>
          <w:w w:val="95"/>
        </w:rPr>
        <w:t> </w:t>
      </w:r>
      <w:r>
        <w:rPr>
          <w:spacing w:val="41"/>
          <w:w w:val="95"/>
        </w:rPr>
      </w:r>
      <w:r>
        <w:rPr/>
        <w:t>同或协议约定企业仍承担额外义务的，按预计承担的义务确认预计负债，计入当期投资损失。</w:t>
      </w:r>
    </w:p>
    <w:p>
      <w:pPr>
        <w:pStyle w:val="BodyText"/>
        <w:spacing w:line="273" w:lineRule="auto"/>
        <w:ind w:right="112" w:firstLine="420"/>
        <w:jc w:val="both"/>
      </w:pPr>
      <w:r>
        <w:rPr>
          <w:w w:val="95"/>
        </w:rPr>
        <w:t>被投资单位以后期间实现盈利的，公司在扣除未确认的亏损分担额后，按与上述相反的顺序处理，减</w:t>
      </w:r>
      <w:r>
        <w:rPr>
          <w:w w:val="99"/>
        </w:rPr>
        <w:t> </w:t>
      </w:r>
      <w:r>
        <w:rPr>
          <w:w w:val="95"/>
        </w:rPr>
        <w:t>记已确认预计负债的账面余额、恢复其他实质上构成对被投资单位净投资的长期权益及长期股权投资的账</w:t>
      </w:r>
      <w:r>
        <w:rPr>
          <w:spacing w:val="37"/>
          <w:w w:val="95"/>
        </w:rPr>
        <w:t> </w:t>
      </w:r>
      <w:r>
        <w:rPr>
          <w:spacing w:val="37"/>
          <w:w w:val="95"/>
        </w:rPr>
      </w:r>
      <w:r>
        <w:rPr/>
        <w:t>面价值后，恢复确认投资收益。</w:t>
      </w:r>
    </w:p>
    <w:p>
      <w:pPr>
        <w:spacing w:line="273" w:lineRule="auto" w:before="7"/>
        <w:ind w:left="532" w:right="6149" w:hanging="104"/>
        <w:jc w:val="left"/>
        <w:rPr>
          <w:rFonts w:ascii="宋体" w:hAnsi="宋体" w:cs="宋体" w:eastAsia="宋体" w:hint="default"/>
          <w:sz w:val="21"/>
          <w:szCs w:val="21"/>
        </w:rPr>
      </w:pPr>
      <w:r>
        <w:rPr>
          <w:rFonts w:ascii="宋体" w:hAnsi="宋体" w:cs="宋体" w:eastAsia="宋体" w:hint="default"/>
          <w:b/>
          <w:bCs/>
          <w:sz w:val="21"/>
          <w:szCs w:val="21"/>
        </w:rPr>
        <w:t>（3）长期股权投资核算方法的转换</w:t>
      </w:r>
      <w:r>
        <w:rPr>
          <w:rFonts w:ascii="宋体" w:hAnsi="宋体" w:cs="宋体" w:eastAsia="宋体" w:hint="default"/>
          <w:b/>
          <w:bCs/>
          <w:w w:val="99"/>
          <w:sz w:val="21"/>
          <w:szCs w:val="21"/>
        </w:rPr>
        <w:t> </w:t>
      </w:r>
      <w:r>
        <w:rPr>
          <w:rFonts w:ascii="宋体" w:hAnsi="宋体" w:cs="宋体" w:eastAsia="宋体" w:hint="default"/>
          <w:sz w:val="21"/>
          <w:szCs w:val="21"/>
        </w:rPr>
        <w:t>1）公允价值计量转权益法核算</w:t>
      </w:r>
    </w:p>
    <w:p>
      <w:pPr>
        <w:pStyle w:val="BodyText"/>
        <w:spacing w:line="273" w:lineRule="auto"/>
        <w:ind w:right="0" w:firstLine="420"/>
        <w:jc w:val="left"/>
      </w:pPr>
      <w:r>
        <w:rPr>
          <w:w w:val="95"/>
        </w:rPr>
        <w:t>本公司原持有的对被投资单位不具有控制、共同控制或重大影响的按金融工具确认和计量准则进行会</w:t>
      </w:r>
      <w:r>
        <w:rPr>
          <w:w w:val="99"/>
        </w:rPr>
        <w:t> </w:t>
      </w:r>
      <w:r>
        <w:rPr/>
        <w:t>计处理的权益性投资，因追加投资等原因能够对被投资单位施加重大影响或实施共同控制但不构成控制</w:t>
      </w:r>
      <w:r>
        <w:rPr>
          <w:w w:val="99"/>
        </w:rPr>
        <w:t> </w:t>
      </w:r>
      <w:r>
        <w:rPr>
          <w:w w:val="95"/>
        </w:rPr>
        <w:t>的，按照《企业会计准则第22号——金融工具确认和计量》确定的原持有的股权投资的公允价值加上新增</w:t>
      </w:r>
      <w:r>
        <w:rPr>
          <w:spacing w:val="37"/>
          <w:w w:val="95"/>
        </w:rPr>
        <w:t> </w:t>
      </w:r>
      <w:r>
        <w:rPr>
          <w:spacing w:val="37"/>
          <w:w w:val="95"/>
        </w:rPr>
      </w:r>
      <w:r>
        <w:rPr/>
        <w:t>投资成本之和，作为改按权益法核算的初始投资成本。</w:t>
      </w:r>
    </w:p>
    <w:p>
      <w:pPr>
        <w:pStyle w:val="BodyText"/>
        <w:spacing w:line="273" w:lineRule="auto"/>
        <w:ind w:right="112" w:firstLine="420"/>
        <w:jc w:val="both"/>
      </w:pPr>
      <w:r>
        <w:rPr>
          <w:w w:val="95"/>
        </w:rPr>
        <w:t>原持有的股权投资分类为可供出售金融资产的，其公允价值与账面价值之间的差额，以及原计入其他</w:t>
      </w:r>
      <w:r>
        <w:rPr>
          <w:w w:val="99"/>
        </w:rPr>
        <w:t> </w:t>
      </w:r>
      <w:r>
        <w:rPr/>
        <w:t>综合收益的累计公允价值变动转入改按权益法核算的当期损益。</w:t>
      </w:r>
    </w:p>
    <w:p>
      <w:pPr>
        <w:pStyle w:val="BodyText"/>
        <w:spacing w:line="273" w:lineRule="auto"/>
        <w:ind w:right="159" w:firstLine="420"/>
        <w:jc w:val="left"/>
      </w:pPr>
      <w:r>
        <w:rPr/>
        <w:t>按权益法核算的初始投资成本小于按照追加投资后全新的持股比例计算确定的应享有被投资单位在</w:t>
      </w:r>
      <w:r>
        <w:rPr>
          <w:w w:val="99"/>
        </w:rPr>
        <w:t> </w:t>
      </w:r>
      <w:r>
        <w:rPr>
          <w:w w:val="95"/>
        </w:rPr>
        <w:t>追加投资日可辨认净资产公允价值份额之间的差额，调整长期股权投资的账面价值，并计入当期营业外收   </w:t>
      </w:r>
      <w:r>
        <w:rPr>
          <w:spacing w:val="40"/>
          <w:w w:val="95"/>
        </w:rPr>
        <w:t> </w:t>
      </w:r>
      <w:r>
        <w:rPr>
          <w:spacing w:val="40"/>
          <w:w w:val="95"/>
        </w:rPr>
      </w:r>
      <w:r>
        <w:rPr/>
        <w:t>入。</w:t>
      </w:r>
    </w:p>
    <w:p>
      <w:pPr>
        <w:pStyle w:val="BodyText"/>
        <w:spacing w:line="273" w:lineRule="auto"/>
        <w:ind w:left="532" w:right="0"/>
        <w:jc w:val="left"/>
      </w:pPr>
      <w:r>
        <w:rPr/>
        <w:t>2）公允价值计量或权益法核算转成本法核算</w:t>
      </w:r>
      <w:r>
        <w:rPr>
          <w:w w:val="99"/>
        </w:rPr>
        <w:t> </w:t>
      </w:r>
      <w:r>
        <w:rPr>
          <w:w w:val="95"/>
        </w:rPr>
        <w:t>本公司原持有的对被投资单位不具有控制、共同控制或重大影响的按金融工具确认和计量准则进行会</w:t>
      </w:r>
      <w:r>
        <w:rPr/>
      </w:r>
    </w:p>
    <w:p>
      <w:pPr>
        <w:pStyle w:val="BodyText"/>
        <w:spacing w:line="273" w:lineRule="auto"/>
        <w:ind w:right="115"/>
        <w:jc w:val="both"/>
      </w:pPr>
      <w:r>
        <w:rPr>
          <w:w w:val="95"/>
        </w:rPr>
        <w:t>计处理的权益性投资，或原持有对联营企业、合营企业的长期股权投资，因追加投资等原因能够对非同一</w:t>
      </w:r>
      <w:r>
        <w:rPr>
          <w:spacing w:val="37"/>
          <w:w w:val="95"/>
        </w:rPr>
        <w:t> </w:t>
      </w:r>
      <w:r>
        <w:rPr>
          <w:spacing w:val="37"/>
          <w:w w:val="95"/>
        </w:rPr>
      </w:r>
      <w:r>
        <w:rPr>
          <w:w w:val="95"/>
        </w:rPr>
        <w:t>控制下的被投资单位实施控制的，在编制个别财务报表时，按照原持有的股权投资账面价值加上新增投资</w:t>
      </w:r>
      <w:r>
        <w:rPr>
          <w:spacing w:val="37"/>
          <w:w w:val="95"/>
        </w:rPr>
        <w:t> </w:t>
      </w:r>
      <w:r>
        <w:rPr>
          <w:spacing w:val="37"/>
          <w:w w:val="95"/>
        </w:rPr>
      </w:r>
      <w:r>
        <w:rPr/>
        <w:t>成本之和，作为改按成本法核算的初始投资成本。</w:t>
      </w:r>
    </w:p>
    <w:p>
      <w:pPr>
        <w:pStyle w:val="BodyText"/>
        <w:spacing w:line="273" w:lineRule="auto"/>
        <w:ind w:right="0" w:firstLine="420"/>
        <w:jc w:val="left"/>
      </w:pPr>
      <w:r>
        <w:rPr>
          <w:w w:val="95"/>
        </w:rPr>
        <w:t>购买日之前持有的股权投资因采用权益法核算而确认的其他综合收益，在处置该项投资时采用与被投</w:t>
      </w:r>
      <w:r>
        <w:rPr>
          <w:w w:val="99"/>
        </w:rPr>
        <w:t> </w:t>
      </w:r>
      <w:r>
        <w:rPr/>
        <w:t>资单位直接处置相关资产或负债相同的基础进行会计处理。</w:t>
      </w:r>
    </w:p>
    <w:p>
      <w:pPr>
        <w:pStyle w:val="BodyText"/>
        <w:spacing w:line="273" w:lineRule="auto"/>
        <w:ind w:right="0" w:firstLine="420"/>
        <w:jc w:val="left"/>
      </w:pPr>
      <w:r>
        <w:rPr>
          <w:w w:val="95"/>
        </w:rPr>
        <w:t>购买日之前持有的股权投资按照《企业会计准则第22号——金融工具确认和计量》的有关规定进行会</w:t>
      </w:r>
      <w:r>
        <w:rPr>
          <w:w w:val="99"/>
        </w:rPr>
        <w:t> </w:t>
      </w:r>
      <w:r>
        <w:rPr/>
        <w:t>计处理的，原计入其他综合收益的累计公允价值变动在改按成本法核算时转入当期损益。</w:t>
      </w:r>
    </w:p>
    <w:p>
      <w:pPr>
        <w:pStyle w:val="BodyText"/>
        <w:spacing w:line="273" w:lineRule="auto"/>
        <w:ind w:left="532" w:right="0"/>
        <w:jc w:val="left"/>
      </w:pPr>
      <w:r>
        <w:rPr/>
        <w:t>3）权益法核算转公允价值计量</w:t>
      </w:r>
      <w:r>
        <w:rPr>
          <w:w w:val="99"/>
        </w:rPr>
        <w:t> </w:t>
      </w:r>
      <w:r>
        <w:rPr>
          <w:w w:val="95"/>
        </w:rPr>
        <w:t>本公司因处置部分股权投资等原因丧失了对被投资单位的共同控制或重大影响的，处置后的剩余股权</w:t>
      </w:r>
      <w:r>
        <w:rPr/>
      </w:r>
    </w:p>
    <w:p>
      <w:pPr>
        <w:pStyle w:val="BodyText"/>
        <w:spacing w:line="273" w:lineRule="auto"/>
        <w:ind w:right="115"/>
        <w:jc w:val="both"/>
      </w:pPr>
      <w:r>
        <w:rPr>
          <w:w w:val="95"/>
        </w:rPr>
        <w:t>改按《企业会计准则第22号——金融工具确认和计量》核算，其在丧失共同控制或重大影响之日的公允价</w:t>
      </w:r>
      <w:r>
        <w:rPr>
          <w:spacing w:val="36"/>
          <w:w w:val="95"/>
        </w:rPr>
        <w:t> </w:t>
      </w:r>
      <w:r>
        <w:rPr>
          <w:spacing w:val="36"/>
          <w:w w:val="95"/>
        </w:rPr>
      </w:r>
      <w:r>
        <w:rPr/>
        <w:t>值与账面价值之间的差额计入当期损益。</w:t>
      </w:r>
    </w:p>
    <w:p>
      <w:pPr>
        <w:pStyle w:val="BodyText"/>
        <w:spacing w:line="273" w:lineRule="auto"/>
        <w:ind w:right="0" w:firstLine="420"/>
        <w:jc w:val="left"/>
      </w:pPr>
      <w:r>
        <w:rPr>
          <w:w w:val="95"/>
        </w:rPr>
        <w:t>原股权投资因采用权益法核算而确认的其他综合收益，在终止采用权益法核算时采用与被投资单位直</w:t>
      </w:r>
      <w:r>
        <w:rPr>
          <w:w w:val="99"/>
        </w:rPr>
        <w:t> </w:t>
      </w:r>
      <w:r>
        <w:rPr/>
        <w:t>接处置相关资产或负债相同的基础进行会计处理。</w:t>
      </w:r>
    </w:p>
    <w:p>
      <w:pPr>
        <w:pStyle w:val="BodyText"/>
        <w:spacing w:line="273" w:lineRule="auto" w:before="8"/>
        <w:ind w:left="532" w:right="0"/>
        <w:jc w:val="left"/>
      </w:pPr>
      <w:r>
        <w:rPr/>
        <w:t>4）成本法转权益法</w:t>
      </w:r>
      <w:r>
        <w:rPr>
          <w:w w:val="99"/>
        </w:rPr>
        <w:t> </w:t>
      </w:r>
      <w:r>
        <w:rPr>
          <w:w w:val="95"/>
        </w:rPr>
        <w:t>本公司因处置部分权益性投资等原因丧失了对被投资单位的控制的，在编制个别财务报表时，处置后</w:t>
      </w:r>
      <w:r>
        <w:rPr/>
      </w:r>
    </w:p>
    <w:p>
      <w:pPr>
        <w:pStyle w:val="BodyText"/>
        <w:spacing w:line="273" w:lineRule="auto"/>
        <w:ind w:right="115"/>
        <w:jc w:val="both"/>
      </w:pPr>
      <w:r>
        <w:rPr>
          <w:w w:val="95"/>
        </w:rPr>
        <w:t>的剩余股权能够对被投资单位实施共同控制或施加重大影响的，改按权益法核算，并对该剩余股权视同自</w:t>
      </w:r>
      <w:r>
        <w:rPr>
          <w:spacing w:val="37"/>
          <w:w w:val="95"/>
        </w:rPr>
        <w:t> </w:t>
      </w:r>
      <w:r>
        <w:rPr>
          <w:spacing w:val="37"/>
          <w:w w:val="95"/>
        </w:rPr>
      </w:r>
      <w:r>
        <w:rPr/>
        <w:t>取得时即采用权益法核算进行调整。</w:t>
      </w:r>
    </w:p>
    <w:p>
      <w:pPr>
        <w:pStyle w:val="BodyText"/>
        <w:spacing w:line="273" w:lineRule="auto"/>
        <w:ind w:left="532" w:right="0"/>
        <w:jc w:val="left"/>
      </w:pPr>
      <w:r>
        <w:rPr/>
        <w:t>5）成本法转公允价值计量</w:t>
      </w:r>
      <w:r>
        <w:rPr>
          <w:w w:val="99"/>
        </w:rPr>
        <w:t> </w:t>
      </w:r>
      <w:r>
        <w:rPr>
          <w:w w:val="95"/>
        </w:rPr>
        <w:t>本公司因处置部分权益性投资等原因丧失了对被投资单位的控制的，在编制个别财务报表时，处置后</w:t>
      </w:r>
      <w:r>
        <w:rPr/>
      </w:r>
    </w:p>
    <w:p>
      <w:pPr>
        <w:spacing w:after="0" w:line="273" w:lineRule="auto"/>
        <w:jc w:val="left"/>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BodyText"/>
        <w:spacing w:line="273" w:lineRule="auto" w:before="34"/>
        <w:ind w:right="125"/>
        <w:jc w:val="left"/>
      </w:pPr>
      <w:r>
        <w:rPr/>
        <w:t>的剩余股权不能对被投资单位实施共同控制或施加重大影响的，改按《企业会计准则第22号——金融工具</w:t>
      </w:r>
      <w:r>
        <w:rPr>
          <w:w w:val="99"/>
        </w:rPr>
        <w:t> </w:t>
      </w:r>
      <w:r>
        <w:rPr>
          <w:spacing w:val="-3"/>
        </w:rPr>
        <w:t>确认和计量》的有关规定进行会计处理，其在丧失控制之日的公允价值与账面价值间的差额计入当期损益。</w:t>
      </w:r>
    </w:p>
    <w:p>
      <w:pPr>
        <w:spacing w:line="273" w:lineRule="auto" w:before="7"/>
        <w:ind w:left="532" w:right="105" w:hanging="104"/>
        <w:jc w:val="left"/>
        <w:rPr>
          <w:rFonts w:ascii="宋体" w:hAnsi="宋体" w:cs="宋体" w:eastAsia="宋体" w:hint="default"/>
          <w:sz w:val="21"/>
          <w:szCs w:val="21"/>
        </w:rPr>
      </w:pPr>
      <w:r>
        <w:rPr>
          <w:rFonts w:ascii="宋体" w:hAnsi="宋体" w:cs="宋体" w:eastAsia="宋体" w:hint="default"/>
          <w:b/>
          <w:bCs/>
          <w:sz w:val="21"/>
          <w:szCs w:val="21"/>
        </w:rPr>
        <w:t>（4）长期股权投资的处置</w:t>
      </w:r>
      <w:r>
        <w:rPr>
          <w:rFonts w:ascii="宋体" w:hAnsi="宋体" w:cs="宋体" w:eastAsia="宋体" w:hint="default"/>
          <w:b/>
          <w:bCs/>
          <w:w w:val="99"/>
          <w:sz w:val="21"/>
          <w:szCs w:val="21"/>
        </w:rPr>
        <w:t> </w:t>
      </w:r>
      <w:r>
        <w:rPr>
          <w:rFonts w:ascii="宋体" w:hAnsi="宋体" w:cs="宋体" w:eastAsia="宋体" w:hint="default"/>
          <w:w w:val="95"/>
          <w:sz w:val="21"/>
          <w:szCs w:val="21"/>
        </w:rPr>
        <w:t>处置长期股权投资，其账面价值与实际取得价款之间的差额，应当计入当期损益。采用权益法核算的</w:t>
      </w:r>
      <w:r>
        <w:rPr>
          <w:rFonts w:ascii="宋体" w:hAnsi="宋体" w:cs="宋体" w:eastAsia="宋体" w:hint="default"/>
          <w:sz w:val="21"/>
          <w:szCs w:val="21"/>
        </w:rPr>
      </w:r>
    </w:p>
    <w:p>
      <w:pPr>
        <w:pStyle w:val="BodyText"/>
        <w:spacing w:line="273" w:lineRule="auto"/>
        <w:ind w:right="232"/>
        <w:jc w:val="both"/>
      </w:pPr>
      <w:r>
        <w:rPr>
          <w:w w:val="95"/>
        </w:rPr>
        <w:t>长期股权投资，在处置该项投资时，采用与被投资单位直接处置相关资产或负债相同的基础，按相应比例</w:t>
      </w:r>
      <w:r>
        <w:rPr>
          <w:spacing w:val="40"/>
          <w:w w:val="95"/>
        </w:rPr>
        <w:t> </w:t>
      </w:r>
      <w:r>
        <w:rPr>
          <w:spacing w:val="40"/>
          <w:w w:val="95"/>
        </w:rPr>
      </w:r>
      <w:r>
        <w:rPr/>
        <w:t>对原计入其他综合收益的部分进行会计处理。</w:t>
      </w:r>
    </w:p>
    <w:p>
      <w:pPr>
        <w:pStyle w:val="BodyText"/>
        <w:spacing w:line="273" w:lineRule="auto"/>
        <w:ind w:right="105" w:firstLine="420"/>
        <w:jc w:val="left"/>
      </w:pPr>
      <w:r>
        <w:rPr>
          <w:w w:val="95"/>
        </w:rPr>
        <w:t>处置对子公司股权投资的各项交易的条款、条件以及经济影响符合以下一种或多种情况，将多次交易</w:t>
      </w:r>
      <w:r>
        <w:rPr>
          <w:w w:val="99"/>
        </w:rPr>
        <w:t> </w:t>
      </w:r>
      <w:r>
        <w:rPr/>
        <w:t>事项作为一揽子交易进行会计处理：</w:t>
      </w:r>
    </w:p>
    <w:p>
      <w:pPr>
        <w:pStyle w:val="BodyText"/>
        <w:spacing w:line="240" w:lineRule="auto"/>
        <w:ind w:left="532" w:right="105"/>
        <w:jc w:val="left"/>
      </w:pPr>
      <w:r>
        <w:rPr/>
        <w:t>1）这些交易是同时或者在考虑了彼此影响的情况下订立的；</w:t>
      </w:r>
    </w:p>
    <w:p>
      <w:pPr>
        <w:pStyle w:val="BodyText"/>
        <w:spacing w:line="240" w:lineRule="auto" w:before="37"/>
        <w:ind w:left="532" w:right="105"/>
        <w:jc w:val="left"/>
      </w:pPr>
      <w:r>
        <w:rPr/>
        <w:t>2）这些交易整体才能达成一项完整的商业结果；</w:t>
      </w:r>
    </w:p>
    <w:p>
      <w:pPr>
        <w:pStyle w:val="BodyText"/>
        <w:spacing w:line="240" w:lineRule="auto" w:before="37"/>
        <w:ind w:left="532" w:right="105"/>
        <w:jc w:val="left"/>
      </w:pPr>
      <w:r>
        <w:rPr/>
        <w:t>3）一项交易的发生取决于其他至少一项交易的发生；</w:t>
      </w:r>
    </w:p>
    <w:p>
      <w:pPr>
        <w:pStyle w:val="BodyText"/>
        <w:spacing w:line="273" w:lineRule="auto" w:before="37"/>
        <w:ind w:left="532" w:right="105"/>
        <w:jc w:val="left"/>
      </w:pPr>
      <w:r>
        <w:rPr/>
        <w:t>4）一项交易单独看是不经济的，但是和其他交易一并考虑时是经济的。</w:t>
      </w:r>
      <w:r>
        <w:rPr>
          <w:w w:val="99"/>
        </w:rPr>
        <w:t> </w:t>
      </w:r>
      <w:r>
        <w:rPr>
          <w:w w:val="95"/>
        </w:rPr>
        <w:t>因处置部分股权投资或其他原因丧失了对原有子公司控制权的，不属于一揽子交易的，区分个别财务</w:t>
      </w:r>
      <w:r>
        <w:rPr/>
      </w:r>
    </w:p>
    <w:p>
      <w:pPr>
        <w:pStyle w:val="BodyText"/>
        <w:spacing w:line="273" w:lineRule="auto"/>
        <w:ind w:left="532" w:right="105" w:hanging="420"/>
        <w:jc w:val="left"/>
      </w:pPr>
      <w:r>
        <w:rPr/>
        <w:t>报表和合并财务报表进行相关会计处理：</w:t>
      </w:r>
      <w:r>
        <w:rPr>
          <w:w w:val="99"/>
        </w:rPr>
        <w:t> </w:t>
      </w:r>
      <w:r>
        <w:rPr>
          <w:w w:val="95"/>
        </w:rPr>
        <w:t>1）在个别财务报表中，对于处置的股权，其账面价值与实际取得价款之间的差额计入当期损益。处</w:t>
      </w:r>
      <w:r>
        <w:rPr/>
      </w:r>
    </w:p>
    <w:p>
      <w:pPr>
        <w:pStyle w:val="BodyText"/>
        <w:spacing w:line="273" w:lineRule="auto"/>
        <w:ind w:right="232"/>
        <w:jc w:val="both"/>
      </w:pPr>
      <w:r>
        <w:rPr>
          <w:w w:val="95"/>
        </w:rPr>
        <w:t>置后的剩余股权能够对被投资单位实施共同控制或施加重大影响的，改按权益法核算，并对该剩余股权视</w:t>
      </w:r>
      <w:r>
        <w:rPr>
          <w:spacing w:val="37"/>
          <w:w w:val="95"/>
        </w:rPr>
        <w:t> </w:t>
      </w:r>
      <w:r>
        <w:rPr>
          <w:spacing w:val="37"/>
          <w:w w:val="95"/>
        </w:rPr>
      </w:r>
      <w:r>
        <w:rPr>
          <w:w w:val="95"/>
        </w:rPr>
        <w:t>同自取得时即采用权益法核算进行调整；处置后的剩余股权不能对被投资单位实施共同控制或施加重大影</w:t>
      </w:r>
      <w:r>
        <w:rPr>
          <w:spacing w:val="37"/>
          <w:w w:val="95"/>
        </w:rPr>
        <w:t> </w:t>
      </w:r>
      <w:r>
        <w:rPr>
          <w:spacing w:val="37"/>
          <w:w w:val="95"/>
        </w:rPr>
      </w:r>
      <w:r>
        <w:rPr>
          <w:w w:val="95"/>
        </w:rPr>
        <w:t>响的，改按《企业会计准则第22号——金融工具确认和计量》的有关规定进行会计处理，其在丧失控制之</w:t>
      </w:r>
      <w:r>
        <w:rPr>
          <w:spacing w:val="40"/>
          <w:w w:val="95"/>
        </w:rPr>
        <w:t> </w:t>
      </w:r>
      <w:r>
        <w:rPr>
          <w:spacing w:val="40"/>
          <w:w w:val="95"/>
        </w:rPr>
      </w:r>
      <w:r>
        <w:rPr/>
        <w:t>日的公允价值与账面价值间的差额计入当期损益。</w:t>
      </w:r>
    </w:p>
    <w:p>
      <w:pPr>
        <w:pStyle w:val="BodyText"/>
        <w:spacing w:line="273" w:lineRule="auto"/>
        <w:ind w:right="105" w:firstLine="420"/>
        <w:jc w:val="left"/>
      </w:pPr>
      <w:r>
        <w:rPr/>
        <w:t>2）在合并财务报表中，对于在丧失对子公司控制权以前的各项交易，处置价款与处置长期股权投资</w:t>
      </w:r>
      <w:r>
        <w:rPr>
          <w:w w:val="99"/>
        </w:rPr>
        <w:t> </w:t>
      </w:r>
      <w:r>
        <w:rPr>
          <w:spacing w:val="-2"/>
          <w:w w:val="95"/>
        </w:rPr>
        <w:t>相应对享有子公司自购买日或合并日开始持续计算的净资产份额之间的差额，调整资本公积（股本溢价），</w:t>
      </w:r>
      <w:r>
        <w:rPr>
          <w:spacing w:val="62"/>
          <w:w w:val="95"/>
        </w:rPr>
        <w:t> </w:t>
      </w:r>
      <w:r>
        <w:rPr>
          <w:spacing w:val="62"/>
          <w:w w:val="95"/>
        </w:rPr>
      </w:r>
      <w:r>
        <w:rPr/>
        <w:t>资本公积不足冲减的，调整留存收益；在丧失对子公司控制权时，对于剩余股权，按照其在丧失控制权日</w:t>
      </w:r>
      <w:r>
        <w:rPr>
          <w:w w:val="99"/>
        </w:rPr>
        <w:t> </w:t>
      </w:r>
      <w:r>
        <w:rPr/>
        <w:t>的公允价值进行重新计量。处置股权取得的对价与剩余股权公允价值之和，减去按原持股比例计算应享有</w:t>
      </w:r>
      <w:r>
        <w:rPr>
          <w:w w:val="99"/>
        </w:rPr>
        <w:t> </w:t>
      </w:r>
      <w:r>
        <w:rPr/>
        <w:t>原有子公司自购买日开始持续计算的净资产的份额之间的差额，计入丧失控制权当期的投资收益，同时冲</w:t>
      </w:r>
      <w:r>
        <w:rPr>
          <w:w w:val="99"/>
        </w:rPr>
        <w:t> </w:t>
      </w:r>
      <w:r>
        <w:rPr/>
        <w:t>减商誉。与原有子公司股权投资相关的其他综合收益等，在丧失控制权时转为当期投资收益。</w:t>
      </w:r>
    </w:p>
    <w:p>
      <w:pPr>
        <w:pStyle w:val="BodyText"/>
        <w:spacing w:line="273" w:lineRule="auto"/>
        <w:ind w:right="105" w:firstLine="420"/>
        <w:jc w:val="left"/>
      </w:pPr>
      <w:r>
        <w:rPr>
          <w:w w:val="95"/>
        </w:rPr>
        <w:t>处置对子公司股权投资直至丧失控制权的各项交易属于一揽子交易的，将各项交易作为一项处置子公</w:t>
      </w:r>
      <w:r>
        <w:rPr>
          <w:w w:val="99"/>
        </w:rPr>
        <w:t> </w:t>
      </w:r>
      <w:r>
        <w:rPr/>
        <w:t>司股权投资并丧失控制权的交易进行会计处理，区分个别财务报表和合并财务报表进行相关会计处理：</w:t>
      </w:r>
    </w:p>
    <w:p>
      <w:pPr>
        <w:pStyle w:val="BodyText"/>
        <w:spacing w:line="273" w:lineRule="auto" w:before="8"/>
        <w:ind w:right="105" w:firstLine="420"/>
        <w:jc w:val="left"/>
      </w:pPr>
      <w:r>
        <w:rPr>
          <w:w w:val="95"/>
        </w:rPr>
        <w:t>1）在个别财务报表中，在丧失控制权之前每一次处置价款与处置的股权对应的长期股权投资账面价</w:t>
      </w:r>
      <w:r>
        <w:rPr>
          <w:spacing w:val="-85"/>
          <w:w w:val="95"/>
        </w:rPr>
        <w:t> </w:t>
      </w:r>
      <w:r>
        <w:rPr>
          <w:spacing w:val="-85"/>
          <w:w w:val="95"/>
        </w:rPr>
      </w:r>
      <w:r>
        <w:rPr/>
        <w:t>值之间的差额，确认为其他综合收益，在丧失控制权时一并转入丧失控制权当期的损益。</w:t>
      </w:r>
    </w:p>
    <w:p>
      <w:pPr>
        <w:pStyle w:val="BodyText"/>
        <w:spacing w:line="273" w:lineRule="auto"/>
        <w:ind w:right="105" w:firstLine="420"/>
        <w:jc w:val="left"/>
      </w:pPr>
      <w:r>
        <w:rPr>
          <w:w w:val="95"/>
        </w:rPr>
        <w:t>2）在合并财务报表中，在丧失控制权之前每一次处置价款与处置投资对应的享有该子公司净资产份</w:t>
      </w:r>
      <w:r>
        <w:rPr>
          <w:spacing w:val="-85"/>
          <w:w w:val="95"/>
        </w:rPr>
        <w:t> </w:t>
      </w:r>
      <w:r>
        <w:rPr>
          <w:spacing w:val="-85"/>
          <w:w w:val="95"/>
        </w:rPr>
      </w:r>
      <w:r>
        <w:rPr/>
        <w:t>额的差额，确认为其他综合收益，在丧失控制权时一并转入丧失控制权当期的损益。</w:t>
      </w:r>
    </w:p>
    <w:p>
      <w:pPr>
        <w:spacing w:line="273" w:lineRule="auto" w:before="7"/>
        <w:ind w:left="532" w:right="105" w:hanging="104"/>
        <w:jc w:val="left"/>
        <w:rPr>
          <w:rFonts w:ascii="宋体" w:hAnsi="宋体" w:cs="宋体" w:eastAsia="宋体" w:hint="default"/>
          <w:sz w:val="21"/>
          <w:szCs w:val="21"/>
        </w:rPr>
      </w:pPr>
      <w:r>
        <w:rPr>
          <w:rFonts w:ascii="宋体" w:hAnsi="宋体" w:cs="宋体" w:eastAsia="宋体" w:hint="default"/>
          <w:b/>
          <w:bCs/>
          <w:sz w:val="21"/>
          <w:szCs w:val="21"/>
        </w:rPr>
        <w:t>（5）共同控制、重大影响的判断标准</w:t>
      </w:r>
      <w:r>
        <w:rPr>
          <w:rFonts w:ascii="宋体" w:hAnsi="宋体" w:cs="宋体" w:eastAsia="宋体" w:hint="default"/>
          <w:b/>
          <w:bCs/>
          <w:w w:val="99"/>
          <w:sz w:val="21"/>
          <w:szCs w:val="21"/>
        </w:rPr>
        <w:t> </w:t>
      </w:r>
      <w:r>
        <w:rPr>
          <w:rFonts w:ascii="宋体" w:hAnsi="宋体" w:cs="宋体" w:eastAsia="宋体" w:hint="default"/>
          <w:w w:val="95"/>
          <w:sz w:val="21"/>
          <w:szCs w:val="21"/>
        </w:rPr>
        <w:t>如果本公司按照相关约定与其他参与方集体控制某项安排，并且对该安排回报具有重大影响的活动决</w:t>
      </w:r>
      <w:r>
        <w:rPr>
          <w:rFonts w:ascii="宋体" w:hAnsi="宋体" w:cs="宋体" w:eastAsia="宋体" w:hint="default"/>
          <w:sz w:val="21"/>
          <w:szCs w:val="21"/>
        </w:rPr>
      </w:r>
    </w:p>
    <w:p>
      <w:pPr>
        <w:pStyle w:val="BodyText"/>
        <w:spacing w:line="273" w:lineRule="auto" w:before="8"/>
        <w:ind w:right="232"/>
        <w:jc w:val="both"/>
      </w:pPr>
      <w:r>
        <w:rPr>
          <w:w w:val="95"/>
        </w:rPr>
        <w:t>策，需要经过分享控制权的参与方一致同意时才存在，则视为本公司与其他参与方共同控制某项安排，该</w:t>
      </w:r>
      <w:r>
        <w:rPr>
          <w:spacing w:val="40"/>
          <w:w w:val="95"/>
        </w:rPr>
        <w:t> </w:t>
      </w:r>
      <w:r>
        <w:rPr>
          <w:spacing w:val="40"/>
          <w:w w:val="95"/>
        </w:rPr>
      </w:r>
      <w:r>
        <w:rPr/>
        <w:t>安排即属于合营安排。</w:t>
      </w:r>
    </w:p>
    <w:p>
      <w:pPr>
        <w:pStyle w:val="BodyText"/>
        <w:spacing w:line="273" w:lineRule="auto"/>
        <w:ind w:right="232" w:firstLine="420"/>
        <w:jc w:val="both"/>
      </w:pPr>
      <w:r>
        <w:rPr>
          <w:w w:val="95"/>
        </w:rPr>
        <w:t>合营安排通过单独主体达成的，根据相关约定判断本公司对该单独主体的净资产享有权利时，将该单</w:t>
      </w:r>
      <w:r>
        <w:rPr>
          <w:w w:val="99"/>
        </w:rPr>
        <w:t> </w:t>
      </w:r>
      <w:r>
        <w:rPr>
          <w:w w:val="95"/>
        </w:rPr>
        <w:t>独主体作为合营企业，采用权益法核算。若根据相关约定判断本公司并非对该单独主体的净资产享有权利</w:t>
      </w:r>
      <w:r>
        <w:rPr>
          <w:spacing w:val="37"/>
          <w:w w:val="95"/>
        </w:rPr>
        <w:t> </w:t>
      </w:r>
      <w:r>
        <w:rPr>
          <w:spacing w:val="37"/>
          <w:w w:val="95"/>
        </w:rPr>
      </w:r>
      <w:r>
        <w:rPr>
          <w:w w:val="95"/>
        </w:rPr>
        <w:t>时，该单独主体作为共同经营，本公司确认与共同经营利益份额相关的项目，并按照相关企业会计准则的</w:t>
      </w:r>
      <w:r>
        <w:rPr>
          <w:spacing w:val="37"/>
          <w:w w:val="95"/>
        </w:rPr>
        <w:t> </w:t>
      </w:r>
      <w:r>
        <w:rPr>
          <w:spacing w:val="37"/>
          <w:w w:val="95"/>
        </w:rPr>
      </w:r>
      <w:r>
        <w:rPr/>
        <w:t>规定进行会计处理。</w:t>
      </w:r>
    </w:p>
    <w:p>
      <w:pPr>
        <w:pStyle w:val="BodyText"/>
        <w:spacing w:line="273" w:lineRule="auto"/>
        <w:ind w:right="105" w:firstLine="420"/>
        <w:jc w:val="left"/>
      </w:pPr>
      <w:r>
        <w:rPr>
          <w:w w:val="95"/>
        </w:rPr>
        <w:t>重大影响，是指投资方对被投资单位的财务和经营政策有参与决策的权力，但并不能够控制或者与其</w:t>
      </w:r>
      <w:r>
        <w:rPr>
          <w:w w:val="99"/>
        </w:rPr>
        <w:t> </w:t>
      </w:r>
      <w:r>
        <w:rPr>
          <w:w w:val="95"/>
        </w:rPr>
        <w:t>他方一起共同控制这些政策的制定。本公司通过以下一种或多种情形，并综合考虑所有事实和情况后，判</w:t>
      </w:r>
      <w:r>
        <w:rPr>
          <w:spacing w:val="40"/>
          <w:w w:val="95"/>
        </w:rPr>
        <w:t> </w:t>
      </w:r>
      <w:r>
        <w:rPr>
          <w:spacing w:val="40"/>
          <w:w w:val="95"/>
        </w:rPr>
      </w:r>
      <w:r>
        <w:rPr>
          <w:w w:val="95"/>
        </w:rPr>
        <w:t>断对被投资单位具有重大影响。1）在被投资单位的董事会或类似权力机构中派有代表；2）参与被投资单</w:t>
      </w:r>
      <w:r>
        <w:rPr>
          <w:spacing w:val="39"/>
          <w:w w:val="95"/>
        </w:rPr>
        <w:t> </w:t>
      </w:r>
      <w:r>
        <w:rPr>
          <w:spacing w:val="39"/>
          <w:w w:val="95"/>
        </w:rPr>
      </w:r>
      <w:r>
        <w:rPr/>
        <w:t>位财务和经营政策制定过程；3）与被投资单位之间发生重要交易；4）向被投资单位派出管理人员；5）</w:t>
      </w:r>
      <w:r>
        <w:rPr>
          <w:w w:val="99"/>
        </w:rPr>
        <w:t> </w:t>
      </w:r>
      <w:r>
        <w:rPr/>
        <w:t>向被投资单位提供关键技术资料。</w:t>
      </w:r>
    </w:p>
    <w:p>
      <w:pPr>
        <w:spacing w:after="0" w:line="273" w:lineRule="auto"/>
        <w:jc w:val="left"/>
        <w:sectPr>
          <w:pgSz w:w="11910" w:h="16840"/>
          <w:pgMar w:header="746" w:footer="937" w:top="1040" w:bottom="1120" w:left="1020" w:right="90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15、投资性房地产</w:t>
      </w:r>
      <w:r>
        <w:rPr>
          <w:b w:val="0"/>
          <w:bCs w:val="0"/>
        </w:rPr>
      </w:r>
    </w:p>
    <w:p>
      <w:pPr>
        <w:spacing w:line="240" w:lineRule="auto" w:before="9"/>
        <w:rPr>
          <w:rFonts w:ascii="宋体" w:hAnsi="宋体" w:cs="宋体" w:eastAsia="宋体" w:hint="default"/>
          <w:b/>
          <w:bCs/>
          <w:sz w:val="27"/>
          <w:szCs w:val="27"/>
        </w:rPr>
      </w:pPr>
    </w:p>
    <w:p>
      <w:pPr>
        <w:spacing w:line="357" w:lineRule="auto" w:before="0"/>
        <w:ind w:left="112" w:right="7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3"/>
        <w:ind w:right="112" w:firstLine="420"/>
        <w:jc w:val="both"/>
      </w:pPr>
      <w:r>
        <w:rPr>
          <w:w w:val="95"/>
        </w:rPr>
        <w:t>投资性房地产是指为赚取租金或资本增值，或两者兼有而持有的房地产，包括已出租的土地使用权、</w:t>
      </w:r>
      <w:r>
        <w:rPr>
          <w:spacing w:val="-79"/>
          <w:w w:val="95"/>
        </w:rPr>
        <w:t> </w:t>
      </w:r>
      <w:r>
        <w:rPr>
          <w:spacing w:val="-79"/>
          <w:w w:val="95"/>
        </w:rPr>
      </w:r>
      <w:r>
        <w:rPr>
          <w:w w:val="95"/>
        </w:rPr>
        <w:t>持有并准备增值后转让的土地使用权、已出租的建筑物。此外，对于本公司持有以备经营出租的空置建筑</w:t>
      </w:r>
      <w:r>
        <w:rPr>
          <w:spacing w:val="37"/>
          <w:w w:val="95"/>
        </w:rPr>
        <w:t> </w:t>
      </w:r>
      <w:r>
        <w:rPr>
          <w:spacing w:val="37"/>
          <w:w w:val="95"/>
        </w:rPr>
      </w:r>
      <w:r>
        <w:rPr>
          <w:w w:val="95"/>
        </w:rPr>
        <w:t>物，若董事会作出书面决议，明确表示将其用于经营出租且持有意图短期内不再发生变化的，也作为投资</w:t>
      </w:r>
      <w:r>
        <w:rPr>
          <w:spacing w:val="40"/>
          <w:w w:val="95"/>
        </w:rPr>
        <w:t> </w:t>
      </w:r>
      <w:r>
        <w:rPr>
          <w:spacing w:val="40"/>
          <w:w w:val="95"/>
        </w:rPr>
      </w:r>
      <w:r>
        <w:rPr/>
        <w:t>性房地产列报。</w:t>
      </w:r>
    </w:p>
    <w:p>
      <w:pPr>
        <w:pStyle w:val="BodyText"/>
        <w:spacing w:line="273" w:lineRule="auto"/>
        <w:ind w:right="132" w:firstLine="420"/>
        <w:jc w:val="both"/>
      </w:pPr>
      <w:r>
        <w:rPr>
          <w:w w:val="95"/>
        </w:rPr>
        <w:t>本公司的投资性房地产按其成本作为入账价值，外购投资性房地产的成本包括购买价款、相关税费和</w:t>
      </w:r>
      <w:r>
        <w:rPr>
          <w:w w:val="99"/>
        </w:rPr>
        <w:t> </w:t>
      </w:r>
      <w:r>
        <w:rPr>
          <w:w w:val="95"/>
        </w:rPr>
        <w:t>可直接归属于该资产的其他支出；自行建造投资性房地产的成本，由建造该项资产达到预定可使用状态前</w:t>
      </w:r>
      <w:r>
        <w:rPr>
          <w:spacing w:val="40"/>
          <w:w w:val="95"/>
        </w:rPr>
        <w:t> </w:t>
      </w:r>
      <w:r>
        <w:rPr>
          <w:spacing w:val="40"/>
          <w:w w:val="95"/>
        </w:rPr>
      </w:r>
      <w:r>
        <w:rPr/>
        <w:t>所发生的必要支出构成。</w:t>
      </w:r>
    </w:p>
    <w:p>
      <w:pPr>
        <w:pStyle w:val="BodyText"/>
        <w:spacing w:line="273" w:lineRule="auto"/>
        <w:ind w:right="132" w:firstLine="420"/>
        <w:jc w:val="both"/>
      </w:pPr>
      <w:r>
        <w:rPr>
          <w:w w:val="95"/>
        </w:rPr>
        <w:t>本公司对投资性房地产采用成本模式进行后续计量，按其预计使用寿命及净残值率对建筑物和土地使</w:t>
      </w:r>
      <w:r>
        <w:rPr>
          <w:w w:val="99"/>
        </w:rPr>
        <w:t> </w:t>
      </w:r>
      <w:r>
        <w:rPr/>
        <w:t>用权计提折旧或摊销。投资性房地产的预计使用寿命、净残值率及年折旧（摊销）率列示如下：</w:t>
      </w:r>
    </w:p>
    <w:tbl>
      <w:tblPr>
        <w:tblW w:w="0" w:type="auto"/>
        <w:jc w:val="left"/>
        <w:tblInd w:w="106" w:type="dxa"/>
        <w:tblLayout w:type="fixed"/>
        <w:tblCellMar>
          <w:top w:w="0" w:type="dxa"/>
          <w:left w:w="0" w:type="dxa"/>
          <w:bottom w:w="0" w:type="dxa"/>
          <w:right w:w="0" w:type="dxa"/>
        </w:tblCellMar>
        <w:tblLook w:val="01E0"/>
      </w:tblPr>
      <w:tblGrid>
        <w:gridCol w:w="2404"/>
        <w:gridCol w:w="2404"/>
        <w:gridCol w:w="2404"/>
        <w:gridCol w:w="2407"/>
      </w:tblGrid>
      <w:tr>
        <w:trPr>
          <w:trHeight w:val="347" w:hRule="exact"/>
        </w:trPr>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年折旧（摊销）率（%）</w:t>
            </w:r>
          </w:p>
        </w:tc>
      </w:tr>
      <w:tr>
        <w:trPr>
          <w:trHeight w:val="347" w:hRule="exact"/>
        </w:trPr>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30</w:t>
            </w:r>
          </w:p>
        </w:tc>
        <w:tc>
          <w:tcPr>
            <w:tcW w:w="2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3.17</w:t>
            </w:r>
          </w:p>
        </w:tc>
      </w:tr>
    </w:tbl>
    <w:p>
      <w:pPr>
        <w:spacing w:line="240" w:lineRule="auto" w:before="4"/>
        <w:rPr>
          <w:rFonts w:ascii="宋体" w:hAnsi="宋体" w:cs="宋体" w:eastAsia="宋体" w:hint="default"/>
          <w:sz w:val="7"/>
          <w:szCs w:val="7"/>
        </w:rPr>
      </w:pPr>
    </w:p>
    <w:p>
      <w:pPr>
        <w:pStyle w:val="BodyText"/>
        <w:spacing w:line="273" w:lineRule="auto" w:before="34"/>
        <w:ind w:right="132" w:firstLine="420"/>
        <w:jc w:val="both"/>
      </w:pPr>
      <w:r>
        <w:rPr>
          <w:w w:val="95"/>
        </w:rPr>
        <w:t>投资性房地产的用途改变为自用时，自改变之日起，本公司将该投资性房地产转换为固定资产或无形</w:t>
      </w:r>
      <w:r>
        <w:rPr>
          <w:w w:val="99"/>
        </w:rPr>
        <w:t> </w:t>
      </w:r>
      <w:r>
        <w:rPr>
          <w:w w:val="95"/>
        </w:rPr>
        <w:t>资产。自用房地产的用途改变为赚取租金或资本增值时，自改变之日起，本公司将固定资产或无形资产转</w:t>
      </w:r>
      <w:r>
        <w:rPr>
          <w:spacing w:val="37"/>
          <w:w w:val="95"/>
        </w:rPr>
        <w:t> </w:t>
      </w:r>
      <w:r>
        <w:rPr>
          <w:spacing w:val="37"/>
          <w:w w:val="95"/>
        </w:rPr>
      </w:r>
      <w:r>
        <w:rPr/>
        <w:t>换为投资性房地产。发生转换时，以转换前的账面价值作为转换后的入账价值。</w:t>
      </w:r>
    </w:p>
    <w:p>
      <w:pPr>
        <w:pStyle w:val="BodyText"/>
        <w:spacing w:line="273" w:lineRule="auto"/>
        <w:ind w:right="132" w:firstLine="420"/>
        <w:jc w:val="both"/>
      </w:pPr>
      <w:r>
        <w:rPr>
          <w:w w:val="95"/>
        </w:rPr>
        <w:t>当投资性房地产被处置，或者永久退出使用且预计不能从其处置中取得经济利益时，终止确认该项投</w:t>
      </w:r>
      <w:r>
        <w:rPr>
          <w:w w:val="99"/>
        </w:rPr>
        <w:t> </w:t>
      </w:r>
      <w:r>
        <w:rPr>
          <w:w w:val="95"/>
        </w:rPr>
        <w:t>资性房地产。投资性房地产出售、转让、报废或毁损的处置收入扣除其账面价值和相关税费后的金额计入</w:t>
      </w:r>
      <w:r>
        <w:rPr>
          <w:spacing w:val="37"/>
          <w:w w:val="95"/>
        </w:rPr>
        <w:t> </w:t>
      </w:r>
      <w:r>
        <w:rPr>
          <w:spacing w:val="37"/>
          <w:w w:val="95"/>
        </w:rPr>
      </w:r>
      <w:r>
        <w:rPr/>
        <w:t>当期损益。</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16、固定资产</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（1）确认条件</w:t>
      </w:r>
      <w:r>
        <w:rPr>
          <w:b w:val="0"/>
          <w:bCs w:val="0"/>
        </w:rPr>
      </w:r>
    </w:p>
    <w:p>
      <w:pPr>
        <w:spacing w:line="240" w:lineRule="auto" w:before="9"/>
        <w:rPr>
          <w:rFonts w:ascii="宋体" w:hAnsi="宋体" w:cs="宋体" w:eastAsia="宋体" w:hint="default"/>
          <w:b/>
          <w:bCs/>
          <w:sz w:val="27"/>
          <w:szCs w:val="27"/>
        </w:rPr>
      </w:pPr>
    </w:p>
    <w:p>
      <w:pPr>
        <w:spacing w:line="316" w:lineRule="auto" w:before="0"/>
        <w:ind w:left="112" w:right="132" w:firstLine="360"/>
        <w:jc w:val="both"/>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w:t>
      </w:r>
      <w:r>
        <w:rPr>
          <w:rFonts w:ascii="宋体" w:hAnsi="宋体" w:cs="宋体" w:eastAsia="宋体" w:hint="default"/>
          <w:sz w:val="18"/>
          <w:szCs w:val="18"/>
        </w:rPr>
        <w:t> 同时满足下列条件时予以确认：</w:t>
      </w:r>
    </w:p>
    <w:p>
      <w:pPr>
        <w:spacing w:before="59"/>
        <w:ind w:left="564" w:right="0" w:firstLine="0"/>
        <w:jc w:val="left"/>
        <w:rPr>
          <w:rFonts w:ascii="宋体" w:hAnsi="宋体" w:cs="宋体" w:eastAsia="宋体" w:hint="default"/>
          <w:sz w:val="18"/>
          <w:szCs w:val="18"/>
        </w:rPr>
      </w:pPr>
      <w:r>
        <w:rPr>
          <w:rFonts w:ascii="宋体" w:hAnsi="宋体" w:cs="宋体" w:eastAsia="宋体" w:hint="default"/>
          <w:sz w:val="18"/>
          <w:szCs w:val="18"/>
        </w:rPr>
        <w:t>1）与该固定资产有关的经济利益很可能流入企业；</w:t>
      </w:r>
    </w:p>
    <w:p>
      <w:pPr>
        <w:spacing w:before="117"/>
        <w:ind w:left="564" w:right="0" w:firstLine="0"/>
        <w:jc w:val="left"/>
        <w:rPr>
          <w:rFonts w:ascii="宋体" w:hAnsi="宋体" w:cs="宋体" w:eastAsia="宋体" w:hint="default"/>
          <w:sz w:val="18"/>
          <w:szCs w:val="18"/>
        </w:rPr>
      </w:pPr>
      <w:r>
        <w:rPr>
          <w:rFonts w:ascii="宋体" w:hAnsi="宋体" w:cs="宋体" w:eastAsia="宋体" w:hint="default"/>
          <w:sz w:val="18"/>
          <w:szCs w:val="18"/>
        </w:rPr>
        <w:t>2）该固定资产的成本能够可靠地计量。</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（2）折旧方法</w:t>
      </w:r>
      <w:r>
        <w:rPr>
          <w:b w:val="0"/>
          <w:bCs w:val="0"/>
        </w:rPr>
      </w:r>
    </w:p>
    <w:p>
      <w:pPr>
        <w:spacing w:line="240" w:lineRule="auto" w:before="13"/>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20-50</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sz w:val="18"/>
              </w:rPr>
              <w:t>4.75%-1.90%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5-8</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sz w:val="18"/>
              </w:rPr>
              <w:t>19.00%-11.88%</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00"/>
        </w:sectPr>
      </w:pPr>
    </w:p>
    <w:p>
      <w:pPr>
        <w:spacing w:line="240" w:lineRule="auto" w:before="6"/>
        <w:rPr>
          <w:rFonts w:ascii="宋体" w:hAnsi="宋体" w:cs="宋体" w:eastAsia="宋体" w:hint="default"/>
          <w:b/>
          <w:bCs/>
          <w:sz w:val="25"/>
          <w:szCs w:val="25"/>
        </w:rPr>
      </w:pPr>
    </w:p>
    <w:p>
      <w:pPr>
        <w:pStyle w:val="Heading5"/>
        <w:spacing w:line="240" w:lineRule="auto" w:before="34"/>
        <w:ind w:right="0"/>
        <w:jc w:val="left"/>
        <w:rPr>
          <w:b w:val="0"/>
          <w:bCs w:val="0"/>
        </w:rPr>
      </w:pPr>
      <w:r>
        <w:rPr/>
        <w:t>（3）融资租入固定资产的认定依据、计价和折旧方法</w:t>
      </w:r>
      <w:r>
        <w:rPr>
          <w:b w:val="0"/>
          <w:bCs w:val="0"/>
        </w:rPr>
      </w:r>
    </w:p>
    <w:p>
      <w:pPr>
        <w:spacing w:line="240" w:lineRule="auto" w:before="9"/>
        <w:rPr>
          <w:rFonts w:ascii="宋体" w:hAnsi="宋体" w:cs="宋体" w:eastAsia="宋体" w:hint="default"/>
          <w:b/>
          <w:bCs/>
          <w:sz w:val="27"/>
          <w:szCs w:val="27"/>
        </w:rPr>
      </w:pPr>
    </w:p>
    <w:p>
      <w:pPr>
        <w:spacing w:line="360" w:lineRule="auto" w:before="0"/>
        <w:ind w:left="472" w:right="2914" w:firstLine="0"/>
        <w:jc w:val="left"/>
        <w:rPr>
          <w:rFonts w:ascii="宋体" w:hAnsi="宋体" w:cs="宋体" w:eastAsia="宋体" w:hint="default"/>
          <w:sz w:val="18"/>
          <w:szCs w:val="18"/>
        </w:rPr>
      </w:pPr>
      <w:r>
        <w:rPr>
          <w:rFonts w:ascii="宋体" w:hAnsi="宋体" w:cs="宋体" w:eastAsia="宋体" w:hint="default"/>
          <w:sz w:val="18"/>
          <w:szCs w:val="18"/>
        </w:rPr>
        <w:t>当本公司租入的固定资产符合下列一项或数项标准时，确认为融资租入固定资产： 1）在租赁期届满时，租赁资产的所有权转移给本公司。</w:t>
      </w:r>
    </w:p>
    <w:p>
      <w:pPr>
        <w:spacing w:line="316" w:lineRule="auto" w:before="25"/>
        <w:ind w:left="112" w:right="141" w:firstLine="360"/>
        <w:jc w:val="both"/>
        <w:rPr>
          <w:rFonts w:ascii="宋体" w:hAnsi="宋体" w:cs="宋体" w:eastAsia="宋体" w:hint="default"/>
          <w:sz w:val="18"/>
          <w:szCs w:val="18"/>
        </w:rPr>
      </w:pPr>
      <w:r>
        <w:rPr>
          <w:rFonts w:ascii="宋体" w:hAnsi="宋体" w:cs="宋体" w:eastAsia="宋体" w:hint="default"/>
          <w:sz w:val="18"/>
          <w:szCs w:val="18"/>
        </w:rPr>
        <w:t>2）本公司有购买租赁资产的选择权，所订立的购买价款预计将远低于行使选择权时租赁资产的公允价值，因而在租赁 开始日就可以合理确定本公司将会行使这种选择权。</w:t>
      </w:r>
    </w:p>
    <w:p>
      <w:pPr>
        <w:spacing w:before="59"/>
        <w:ind w:left="472" w:right="0" w:firstLine="0"/>
        <w:jc w:val="left"/>
        <w:rPr>
          <w:rFonts w:ascii="宋体" w:hAnsi="宋体" w:cs="宋体" w:eastAsia="宋体" w:hint="default"/>
          <w:sz w:val="18"/>
          <w:szCs w:val="18"/>
        </w:rPr>
      </w:pPr>
      <w:r>
        <w:rPr>
          <w:rFonts w:ascii="宋体" w:hAnsi="宋体" w:cs="宋体" w:eastAsia="宋体" w:hint="default"/>
          <w:sz w:val="18"/>
          <w:szCs w:val="18"/>
        </w:rPr>
        <w:t>3）即使资产的所有权不转移，但租赁期占租赁资产使用寿命的大部分。</w:t>
      </w:r>
    </w:p>
    <w:p>
      <w:pPr>
        <w:spacing w:before="117"/>
        <w:ind w:left="472" w:right="0" w:firstLine="0"/>
        <w:jc w:val="left"/>
        <w:rPr>
          <w:rFonts w:ascii="宋体" w:hAnsi="宋体" w:cs="宋体" w:eastAsia="宋体" w:hint="default"/>
          <w:sz w:val="18"/>
          <w:szCs w:val="18"/>
        </w:rPr>
      </w:pPr>
      <w:r>
        <w:rPr>
          <w:rFonts w:ascii="宋体" w:hAnsi="宋体" w:cs="宋体" w:eastAsia="宋体" w:hint="default"/>
          <w:sz w:val="18"/>
          <w:szCs w:val="18"/>
        </w:rPr>
        <w:t>4）本公司在租赁开始日的最低租赁付款额现值，几乎相当于租赁开始日租赁资产公允价值。</w:t>
      </w:r>
    </w:p>
    <w:p>
      <w:pPr>
        <w:spacing w:line="360" w:lineRule="auto" w:before="115"/>
        <w:ind w:left="472" w:right="0" w:firstLine="0"/>
        <w:jc w:val="left"/>
        <w:rPr>
          <w:rFonts w:ascii="宋体" w:hAnsi="宋体" w:cs="宋体" w:eastAsia="宋体" w:hint="default"/>
          <w:sz w:val="18"/>
          <w:szCs w:val="18"/>
        </w:rPr>
      </w:pPr>
      <w:r>
        <w:rPr>
          <w:rFonts w:ascii="宋体" w:hAnsi="宋体" w:cs="宋体" w:eastAsia="宋体" w:hint="default"/>
          <w:sz w:val="18"/>
          <w:szCs w:val="18"/>
        </w:rPr>
        <w:t>5）租赁资产性质特殊，如果不作较大改造，只有本公司才能使用。 </w:t>
      </w:r>
      <w:r>
        <w:rPr>
          <w:rFonts w:ascii="宋体" w:hAnsi="宋体" w:cs="宋体" w:eastAsia="宋体" w:hint="default"/>
          <w:spacing w:val="-2"/>
          <w:sz w:val="18"/>
          <w:szCs w:val="18"/>
        </w:rPr>
        <w:t>融资租赁租入的固定资产，按租赁开始日租赁资产公允价值与最低租赁付款额的现值两者中较低者，作为入账价值。最</w:t>
      </w:r>
    </w:p>
    <w:p>
      <w:pPr>
        <w:spacing w:line="222" w:lineRule="exact"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低租赁付款额作为长期应付款的入账价值，其差额作为未确认融资费用。在租赁谈判和签订租赁合同过程中发生的，可归属</w:t>
      </w:r>
    </w:p>
    <w:p>
      <w:pPr>
        <w:spacing w:line="316" w:lineRule="auto" w:before="76"/>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于租赁项目的手续费、律师费、差旅费、印花税等初始直接费用，计入租入资产价值。未确认融资费用在租赁期内各个期间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采用实际利率法进行分摊。</w:t>
      </w:r>
    </w:p>
    <w:p>
      <w:pPr>
        <w:spacing w:line="316" w:lineRule="auto" w:before="59"/>
        <w:ind w:left="112" w:right="132" w:firstLine="360"/>
        <w:jc w:val="both"/>
        <w:rPr>
          <w:rFonts w:ascii="宋体" w:hAnsi="宋体" w:cs="宋体" w:eastAsia="宋体" w:hint="default"/>
          <w:sz w:val="18"/>
          <w:szCs w:val="18"/>
        </w:rPr>
      </w:pPr>
      <w:r>
        <w:rPr>
          <w:rFonts w:ascii="宋体" w:hAnsi="宋体" w:cs="宋体" w:eastAsia="宋体" w:hint="default"/>
          <w:spacing w:val="-2"/>
          <w:sz w:val="18"/>
          <w:szCs w:val="18"/>
        </w:rPr>
        <w:t>本公司采用与自有固定资产相一致的折旧政策计提融资租入固定资产折旧。能够合理确定租赁期届满时取得租赁资产所</w:t>
      </w:r>
      <w:r>
        <w:rPr>
          <w:rFonts w:ascii="宋体" w:hAnsi="宋体" w:cs="宋体" w:eastAsia="宋体" w:hint="default"/>
          <w:sz w:val="18"/>
          <w:szCs w:val="18"/>
        </w:rPr>
        <w:t> </w:t>
      </w:r>
      <w:r>
        <w:rPr>
          <w:rFonts w:ascii="宋体" w:hAnsi="宋体" w:cs="宋体" w:eastAsia="宋体" w:hint="default"/>
          <w:spacing w:val="-2"/>
          <w:sz w:val="18"/>
          <w:szCs w:val="18"/>
        </w:rPr>
        <w:t>有权的，在租赁资产使用寿命内计提折旧。无法合理确定租赁期届满时能够取得租赁资产所有权的，在租赁期与租赁资产使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用寿命两者中较短的期间内计提折旧。</w:t>
      </w:r>
    </w:p>
    <w:p>
      <w:pPr>
        <w:spacing w:line="240" w:lineRule="auto" w:before="6"/>
        <w:rPr>
          <w:rFonts w:ascii="宋体" w:hAnsi="宋体" w:cs="宋体" w:eastAsia="宋体" w:hint="default"/>
          <w:sz w:val="22"/>
          <w:szCs w:val="22"/>
        </w:rPr>
      </w:pPr>
    </w:p>
    <w:p>
      <w:pPr>
        <w:pStyle w:val="Heading5"/>
        <w:spacing w:line="240" w:lineRule="auto"/>
        <w:ind w:right="0"/>
        <w:jc w:val="left"/>
        <w:rPr>
          <w:b w:val="0"/>
          <w:bCs w:val="0"/>
        </w:rPr>
      </w:pPr>
      <w:r>
        <w:rPr/>
        <w:t>17、在建工程</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6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73" w:lineRule="auto" w:before="2"/>
        <w:ind w:left="532" w:right="0" w:hanging="104"/>
        <w:jc w:val="left"/>
        <w:rPr>
          <w:rFonts w:ascii="宋体" w:hAnsi="宋体" w:cs="宋体" w:eastAsia="宋体" w:hint="default"/>
          <w:sz w:val="21"/>
          <w:szCs w:val="21"/>
        </w:rPr>
      </w:pPr>
      <w:r>
        <w:rPr>
          <w:rFonts w:ascii="宋体" w:hAnsi="宋体" w:cs="宋体" w:eastAsia="宋体" w:hint="default"/>
          <w:b/>
          <w:bCs/>
          <w:sz w:val="21"/>
          <w:szCs w:val="21"/>
        </w:rPr>
        <w:t>（1）在建工程初始计量</w:t>
      </w:r>
      <w:r>
        <w:rPr>
          <w:rFonts w:ascii="宋体" w:hAnsi="宋体" w:cs="宋体" w:eastAsia="宋体" w:hint="default"/>
          <w:b/>
          <w:bCs/>
          <w:w w:val="99"/>
          <w:sz w:val="21"/>
          <w:szCs w:val="21"/>
        </w:rPr>
        <w:t> </w:t>
      </w:r>
      <w:r>
        <w:rPr>
          <w:rFonts w:ascii="宋体" w:hAnsi="宋体" w:cs="宋体" w:eastAsia="宋体" w:hint="default"/>
          <w:w w:val="95"/>
          <w:sz w:val="21"/>
          <w:szCs w:val="21"/>
        </w:rPr>
        <w:t>本公司自行建造的在建工程按实际成本计价，实际成本由建造该项资产达到预定可使用状态前所发生</w:t>
      </w:r>
      <w:r>
        <w:rPr>
          <w:rFonts w:ascii="宋体" w:hAnsi="宋体" w:cs="宋体" w:eastAsia="宋体" w:hint="default"/>
          <w:sz w:val="21"/>
          <w:szCs w:val="21"/>
        </w:rPr>
      </w:r>
    </w:p>
    <w:p>
      <w:pPr>
        <w:pStyle w:val="BodyText"/>
        <w:spacing w:line="273" w:lineRule="auto"/>
        <w:ind w:right="132"/>
        <w:jc w:val="both"/>
      </w:pPr>
      <w:r>
        <w:rPr>
          <w:w w:val="95"/>
        </w:rPr>
        <w:t>的必要支出构成，包括工程用物资成本、人工成本、交纳的相关税费、应予资本化的借款费用以及应分摊</w:t>
      </w:r>
      <w:r>
        <w:rPr>
          <w:spacing w:val="40"/>
          <w:w w:val="95"/>
        </w:rPr>
        <w:t> </w:t>
      </w:r>
      <w:r>
        <w:rPr>
          <w:spacing w:val="40"/>
          <w:w w:val="95"/>
        </w:rPr>
      </w:r>
      <w:r>
        <w:rPr/>
        <w:t>的间接费用等。</w:t>
      </w:r>
    </w:p>
    <w:p>
      <w:pPr>
        <w:spacing w:line="273" w:lineRule="auto" w:before="7"/>
        <w:ind w:left="532" w:right="0" w:hanging="104"/>
        <w:jc w:val="left"/>
        <w:rPr>
          <w:rFonts w:ascii="宋体" w:hAnsi="宋体" w:cs="宋体" w:eastAsia="宋体" w:hint="default"/>
          <w:sz w:val="21"/>
          <w:szCs w:val="21"/>
        </w:rPr>
      </w:pPr>
      <w:r>
        <w:rPr>
          <w:rFonts w:ascii="宋体" w:hAnsi="宋体" w:cs="宋体" w:eastAsia="宋体" w:hint="default"/>
          <w:b/>
          <w:bCs/>
          <w:sz w:val="21"/>
          <w:szCs w:val="21"/>
        </w:rPr>
        <w:t>（2）在建工程结转为固定资产的标准和时点</w:t>
      </w:r>
      <w:r>
        <w:rPr>
          <w:rFonts w:ascii="宋体" w:hAnsi="宋体" w:cs="宋体" w:eastAsia="宋体" w:hint="default"/>
          <w:b/>
          <w:bCs/>
          <w:w w:val="99"/>
          <w:sz w:val="21"/>
          <w:szCs w:val="21"/>
        </w:rPr>
        <w:t> </w:t>
      </w:r>
      <w:r>
        <w:rPr>
          <w:rFonts w:ascii="宋体" w:hAnsi="宋体" w:cs="宋体" w:eastAsia="宋体" w:hint="default"/>
          <w:w w:val="95"/>
          <w:sz w:val="21"/>
          <w:szCs w:val="21"/>
        </w:rPr>
        <w:t>在建工程项目按建造该项资产达到预定可使用状态前所发生的全部支出，作为固定资产的入账价值。</w:t>
      </w:r>
      <w:r>
        <w:rPr>
          <w:rFonts w:ascii="宋体" w:hAnsi="宋体" w:cs="宋体" w:eastAsia="宋体" w:hint="default"/>
          <w:sz w:val="21"/>
          <w:szCs w:val="21"/>
        </w:rPr>
      </w:r>
    </w:p>
    <w:p>
      <w:pPr>
        <w:pStyle w:val="BodyText"/>
        <w:spacing w:line="273" w:lineRule="auto"/>
        <w:ind w:right="135"/>
        <w:jc w:val="both"/>
      </w:pPr>
      <w:r>
        <w:rPr>
          <w:w w:val="95"/>
        </w:rPr>
        <w:t>所建造的在建工程已达到预定可使用状态，但尚未办理竣工决算的，自达到预定可使用状态之日起，根据</w:t>
      </w:r>
      <w:r>
        <w:rPr>
          <w:spacing w:val="37"/>
          <w:w w:val="95"/>
        </w:rPr>
        <w:t> </w:t>
      </w:r>
      <w:r>
        <w:rPr>
          <w:spacing w:val="37"/>
          <w:w w:val="95"/>
        </w:rPr>
      </w:r>
      <w:r>
        <w:rPr>
          <w:w w:val="95"/>
        </w:rPr>
        <w:t>工程预算、造价或者工程实际成本等，按估计的价值转入固定资产，并按本公司固定资产折旧政策计提固</w:t>
      </w:r>
      <w:r>
        <w:rPr>
          <w:spacing w:val="37"/>
          <w:w w:val="95"/>
        </w:rPr>
        <w:t> </w:t>
      </w:r>
      <w:r>
        <w:rPr>
          <w:spacing w:val="37"/>
          <w:w w:val="95"/>
        </w:rPr>
      </w:r>
      <w:r>
        <w:rPr/>
        <w:t>定资产的折旧，待办理竣工决算后，再按实际成本调整原来的暂估价值，但不调整原已计提的折旧额。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r>
        <w:rPr/>
        <w:t>18、借款费用</w:t>
      </w:r>
      <w:r>
        <w:rPr>
          <w:b w:val="0"/>
          <w:bCs w:val="0"/>
        </w:rPr>
      </w:r>
    </w:p>
    <w:p>
      <w:pPr>
        <w:spacing w:line="240" w:lineRule="auto" w:before="10"/>
        <w:rPr>
          <w:rFonts w:ascii="宋体" w:hAnsi="宋体" w:cs="宋体" w:eastAsia="宋体" w:hint="default"/>
          <w:b/>
          <w:bCs/>
          <w:sz w:val="25"/>
          <w:szCs w:val="25"/>
        </w:rPr>
      </w:pPr>
    </w:p>
    <w:p>
      <w:pPr>
        <w:spacing w:line="273" w:lineRule="auto" w:before="0"/>
        <w:ind w:left="532" w:right="0" w:hanging="104"/>
        <w:jc w:val="left"/>
        <w:rPr>
          <w:rFonts w:ascii="宋体" w:hAnsi="宋体" w:cs="宋体" w:eastAsia="宋体" w:hint="default"/>
          <w:sz w:val="21"/>
          <w:szCs w:val="21"/>
        </w:rPr>
      </w:pPr>
      <w:r>
        <w:rPr>
          <w:rFonts w:ascii="宋体" w:hAnsi="宋体" w:cs="宋体" w:eastAsia="宋体" w:hint="default"/>
          <w:b/>
          <w:bCs/>
          <w:sz w:val="21"/>
          <w:szCs w:val="21"/>
        </w:rPr>
        <w:t>（1）借款费用资本化的确认原则</w:t>
      </w:r>
      <w:r>
        <w:rPr>
          <w:rFonts w:ascii="宋体" w:hAnsi="宋体" w:cs="宋体" w:eastAsia="宋体" w:hint="default"/>
          <w:b/>
          <w:bCs/>
          <w:w w:val="99"/>
          <w:sz w:val="21"/>
          <w:szCs w:val="21"/>
        </w:rPr>
        <w:t> </w:t>
      </w:r>
      <w:r>
        <w:rPr>
          <w:rFonts w:ascii="宋体" w:hAnsi="宋体" w:cs="宋体" w:eastAsia="宋体" w:hint="default"/>
          <w:w w:val="95"/>
          <w:sz w:val="21"/>
          <w:szCs w:val="21"/>
        </w:rPr>
        <w:t>本公司发生的借款费用，可直接归属于符合资本化条件的资产的购建或者生产的，予以资本化，计入</w:t>
      </w:r>
      <w:r>
        <w:rPr>
          <w:rFonts w:ascii="宋体" w:hAnsi="宋体" w:cs="宋体" w:eastAsia="宋体" w:hint="default"/>
          <w:sz w:val="21"/>
          <w:szCs w:val="21"/>
        </w:rPr>
      </w:r>
    </w:p>
    <w:p>
      <w:pPr>
        <w:pStyle w:val="BodyText"/>
        <w:spacing w:line="273" w:lineRule="auto"/>
        <w:ind w:left="532" w:right="0" w:hanging="420"/>
        <w:jc w:val="left"/>
      </w:pPr>
      <w:r>
        <w:rPr/>
        <w:t>相关资产成本；其他借款费用，在发生时根据其发生额确认为费用，计入当期损益。</w:t>
      </w:r>
      <w:r>
        <w:rPr>
          <w:w w:val="99"/>
        </w:rPr>
        <w:t> </w:t>
      </w:r>
      <w:r>
        <w:rPr>
          <w:w w:val="95"/>
        </w:rPr>
        <w:t>符合资本化条件的资产，是指需要经过相当长时间的购建或者生产活动才能达到预定可使用或者可销</w:t>
      </w:r>
      <w:r>
        <w:rPr/>
      </w:r>
    </w:p>
    <w:p>
      <w:pPr>
        <w:pStyle w:val="BodyText"/>
        <w:spacing w:line="273" w:lineRule="auto"/>
        <w:ind w:left="532" w:right="1946" w:hanging="420"/>
        <w:jc w:val="left"/>
      </w:pPr>
      <w:r>
        <w:rPr>
          <w:w w:val="95"/>
        </w:rPr>
        <w:t>售状态的固定资产、投资性房地产和存货等资产。</w:t>
      </w:r>
      <w:r>
        <w:rPr>
          <w:spacing w:val="18"/>
          <w:w w:val="95"/>
        </w:rPr>
        <w:t> </w:t>
      </w:r>
      <w:r>
        <w:rPr>
          <w:spacing w:val="18"/>
          <w:w w:val="95"/>
        </w:rPr>
      </w:r>
      <w:r>
        <w:rPr/>
        <w:t>借款费用同时满足下列条件时开始资本化：</w:t>
      </w:r>
    </w:p>
    <w:p>
      <w:pPr>
        <w:pStyle w:val="BodyText"/>
        <w:spacing w:line="273" w:lineRule="auto"/>
        <w:ind w:right="0" w:firstLine="420"/>
        <w:jc w:val="left"/>
      </w:pPr>
      <w:r>
        <w:rPr>
          <w:w w:val="95"/>
        </w:rPr>
        <w:t>1）资产支出已经发生，资产支出包括为购建或者生产符合资本化条件的资产而以支付现金、转移非</w:t>
      </w:r>
      <w:r>
        <w:rPr>
          <w:spacing w:val="-85"/>
          <w:w w:val="95"/>
        </w:rPr>
        <w:t> </w:t>
      </w:r>
      <w:r>
        <w:rPr>
          <w:spacing w:val="-85"/>
          <w:w w:val="95"/>
        </w:rPr>
      </w:r>
      <w:r>
        <w:rPr/>
        <w:t>现金资产或者承担带息债务形式发生的支出；</w:t>
      </w:r>
    </w:p>
    <w:p>
      <w:pPr>
        <w:pStyle w:val="BodyText"/>
        <w:spacing w:line="240" w:lineRule="auto"/>
        <w:ind w:left="532" w:right="0"/>
        <w:jc w:val="left"/>
      </w:pPr>
      <w:r>
        <w:rPr/>
        <w:t>2）借款费用已经发生；</w:t>
      </w:r>
    </w:p>
    <w:p>
      <w:pPr>
        <w:spacing w:after="0" w:line="240" w:lineRule="auto"/>
        <w:jc w:val="left"/>
        <w:sectPr>
          <w:pgSz w:w="11910" w:h="16840"/>
          <w:pgMar w:header="746" w:footer="937" w:top="1040" w:bottom="1120" w:left="1020" w:right="1000"/>
        </w:sectPr>
      </w:pPr>
    </w:p>
    <w:p>
      <w:pPr>
        <w:spacing w:line="240" w:lineRule="auto" w:before="6"/>
        <w:rPr>
          <w:rFonts w:ascii="宋体" w:hAnsi="宋体" w:cs="宋体" w:eastAsia="宋体" w:hint="default"/>
          <w:sz w:val="25"/>
          <w:szCs w:val="25"/>
        </w:rPr>
      </w:pPr>
    </w:p>
    <w:p>
      <w:pPr>
        <w:pStyle w:val="BodyText"/>
        <w:spacing w:line="240" w:lineRule="auto" w:before="34"/>
        <w:ind w:left="532" w:right="0"/>
        <w:jc w:val="left"/>
      </w:pPr>
      <w:r>
        <w:rPr/>
        <w:t>3）为使资产达到预定可使用或者可销售状态所必要的购建或者生产活动已经开始。</w:t>
      </w:r>
    </w:p>
    <w:p>
      <w:pPr>
        <w:spacing w:line="273" w:lineRule="auto" w:before="37"/>
        <w:ind w:left="532" w:right="0" w:hanging="104"/>
        <w:jc w:val="left"/>
        <w:rPr>
          <w:rFonts w:ascii="宋体" w:hAnsi="宋体" w:cs="宋体" w:eastAsia="宋体" w:hint="default"/>
          <w:sz w:val="21"/>
          <w:szCs w:val="21"/>
        </w:rPr>
      </w:pPr>
      <w:r>
        <w:rPr>
          <w:rFonts w:ascii="宋体" w:hAnsi="宋体" w:cs="宋体" w:eastAsia="宋体" w:hint="default"/>
          <w:b/>
          <w:bCs/>
          <w:sz w:val="21"/>
          <w:szCs w:val="21"/>
        </w:rPr>
        <w:t>（2）借款费用资本化期间</w:t>
      </w:r>
      <w:r>
        <w:rPr>
          <w:rFonts w:ascii="宋体" w:hAnsi="宋体" w:cs="宋体" w:eastAsia="宋体" w:hint="default"/>
          <w:b/>
          <w:bCs/>
          <w:w w:val="99"/>
          <w:sz w:val="21"/>
          <w:szCs w:val="21"/>
        </w:rPr>
        <w:t> </w:t>
      </w:r>
      <w:r>
        <w:rPr>
          <w:rFonts w:ascii="宋体" w:hAnsi="宋体" w:cs="宋体" w:eastAsia="宋体" w:hint="default"/>
          <w:w w:val="95"/>
          <w:sz w:val="21"/>
          <w:szCs w:val="21"/>
        </w:rPr>
        <w:t>资本化期间，指从借款费用开始资本化时点到停止资本化时点的期间，借款费用暂停资本化的期间不</w:t>
      </w:r>
      <w:r>
        <w:rPr>
          <w:rFonts w:ascii="宋体" w:hAnsi="宋体" w:cs="宋体" w:eastAsia="宋体" w:hint="default"/>
          <w:sz w:val="21"/>
          <w:szCs w:val="21"/>
        </w:rPr>
      </w:r>
    </w:p>
    <w:p>
      <w:pPr>
        <w:pStyle w:val="BodyText"/>
        <w:spacing w:line="240" w:lineRule="auto"/>
        <w:ind w:right="0"/>
        <w:jc w:val="left"/>
      </w:pPr>
      <w:r>
        <w:rPr/>
        <w:t>包括在内。</w:t>
      </w:r>
    </w:p>
    <w:p>
      <w:pPr>
        <w:pStyle w:val="BodyText"/>
        <w:spacing w:line="273" w:lineRule="auto" w:before="37"/>
        <w:ind w:left="532" w:right="0"/>
        <w:jc w:val="left"/>
      </w:pPr>
      <w:r>
        <w:rPr/>
        <w:t>当购建或者生产符合资本化条件的资产达到预定可使用或者可销售状态时，借款费用停止资本化。</w:t>
      </w:r>
      <w:r>
        <w:rPr>
          <w:w w:val="99"/>
        </w:rPr>
        <w:t> </w:t>
      </w:r>
      <w:r>
        <w:rPr>
          <w:w w:val="95"/>
        </w:rPr>
        <w:t>当购建或者生产符合资本化条件的资产中部分项目分别完工且可单独使用时，该部分资产借款费用停</w:t>
      </w:r>
      <w:r>
        <w:rPr/>
      </w:r>
    </w:p>
    <w:p>
      <w:pPr>
        <w:pStyle w:val="BodyText"/>
        <w:spacing w:line="240" w:lineRule="auto"/>
        <w:ind w:right="0"/>
        <w:jc w:val="left"/>
      </w:pPr>
      <w:r>
        <w:rPr/>
        <w:t>止资本化。</w:t>
      </w:r>
    </w:p>
    <w:p>
      <w:pPr>
        <w:pStyle w:val="BodyText"/>
        <w:spacing w:line="273" w:lineRule="auto" w:before="37"/>
        <w:ind w:right="135" w:firstLine="420"/>
        <w:jc w:val="both"/>
      </w:pPr>
      <w:r>
        <w:rPr>
          <w:w w:val="95"/>
        </w:rPr>
        <w:t>购建或者生产的资产的各部分分别完工，但必须等到整体完工后才可使用或可对外销售的，在该资产</w:t>
      </w:r>
      <w:r>
        <w:rPr>
          <w:w w:val="99"/>
        </w:rPr>
        <w:t> </w:t>
      </w:r>
      <w:r>
        <w:rPr/>
        <w:t>整体完工时停止借款费用资本化。</w:t>
      </w:r>
    </w:p>
    <w:p>
      <w:pPr>
        <w:pStyle w:val="BodyText"/>
        <w:spacing w:line="273" w:lineRule="auto"/>
        <w:ind w:left="532" w:right="0" w:hanging="104"/>
        <w:jc w:val="left"/>
      </w:pPr>
      <w:r>
        <w:rPr>
          <w:rFonts w:ascii="宋体" w:hAnsi="宋体" w:cs="宋体" w:eastAsia="宋体" w:hint="default"/>
          <w:b/>
          <w:bCs/>
        </w:rPr>
        <w:t>（3）暂停资本化期间</w:t>
      </w:r>
      <w:r>
        <w:rPr>
          <w:rFonts w:ascii="宋体" w:hAnsi="宋体" w:cs="宋体" w:eastAsia="宋体" w:hint="default"/>
          <w:b/>
          <w:bCs/>
          <w:w w:val="99"/>
        </w:rPr>
        <w:t> </w:t>
      </w:r>
      <w:r>
        <w:rPr>
          <w:w w:val="95"/>
        </w:rPr>
        <w:t>符合资本化条件的资产在购建或生产过程中发生的非正常中断、且中断时间连续超过3个月的，则借</w:t>
      </w:r>
      <w:r>
        <w:rPr/>
      </w:r>
    </w:p>
    <w:p>
      <w:pPr>
        <w:pStyle w:val="BodyText"/>
        <w:spacing w:line="273" w:lineRule="auto"/>
        <w:ind w:right="132"/>
        <w:jc w:val="both"/>
      </w:pPr>
      <w:r>
        <w:rPr>
          <w:w w:val="95"/>
        </w:rPr>
        <w:t>款费用暂停资本化；该项中断如是所购建或生产的符合资本化条件的资产达到预定可使用状态或者可销售</w:t>
      </w:r>
      <w:r>
        <w:rPr>
          <w:spacing w:val="39"/>
          <w:w w:val="95"/>
        </w:rPr>
        <w:t> </w:t>
      </w:r>
      <w:r>
        <w:rPr>
          <w:spacing w:val="39"/>
          <w:w w:val="95"/>
        </w:rPr>
      </w:r>
      <w:r>
        <w:rPr>
          <w:w w:val="95"/>
        </w:rPr>
        <w:t>状态必要的程序，则借款费用继续资本化。在中断期间发生的借款费用确认为当期损益，直至资产的购建</w:t>
      </w:r>
      <w:r>
        <w:rPr>
          <w:spacing w:val="40"/>
          <w:w w:val="95"/>
        </w:rPr>
        <w:t> </w:t>
      </w:r>
      <w:r>
        <w:rPr>
          <w:spacing w:val="40"/>
          <w:w w:val="95"/>
        </w:rPr>
      </w:r>
      <w:r>
        <w:rPr/>
        <w:t>或者生产活动重新开始后借款费用继续资本化。</w:t>
      </w:r>
    </w:p>
    <w:p>
      <w:pPr>
        <w:spacing w:line="273" w:lineRule="auto" w:before="7"/>
        <w:ind w:left="532" w:right="0" w:hanging="104"/>
        <w:jc w:val="left"/>
        <w:rPr>
          <w:rFonts w:ascii="宋体" w:hAnsi="宋体" w:cs="宋体" w:eastAsia="宋体" w:hint="default"/>
          <w:sz w:val="21"/>
          <w:szCs w:val="21"/>
        </w:rPr>
      </w:pPr>
      <w:r>
        <w:rPr>
          <w:rFonts w:ascii="宋体" w:hAnsi="宋体" w:cs="宋体" w:eastAsia="宋体" w:hint="default"/>
          <w:b/>
          <w:bCs/>
          <w:sz w:val="21"/>
          <w:szCs w:val="21"/>
        </w:rPr>
        <w:t>（4）借款费用资本化金额的计算方法</w:t>
      </w:r>
      <w:r>
        <w:rPr>
          <w:rFonts w:ascii="宋体" w:hAnsi="宋体" w:cs="宋体" w:eastAsia="宋体" w:hint="default"/>
          <w:b/>
          <w:bCs/>
          <w:w w:val="99"/>
          <w:sz w:val="21"/>
          <w:szCs w:val="21"/>
        </w:rPr>
        <w:t> </w:t>
      </w:r>
      <w:r>
        <w:rPr>
          <w:rFonts w:ascii="宋体" w:hAnsi="宋体" w:cs="宋体" w:eastAsia="宋体" w:hint="default"/>
          <w:w w:val="95"/>
          <w:sz w:val="21"/>
          <w:szCs w:val="21"/>
        </w:rPr>
        <w:t>资本化期间，指从借款费用开始资本化时点到停止资本化时点的期间，借款费用暂停资本化的期间不</w:t>
      </w:r>
      <w:r>
        <w:rPr>
          <w:rFonts w:ascii="宋体" w:hAnsi="宋体" w:cs="宋体" w:eastAsia="宋体" w:hint="default"/>
          <w:sz w:val="21"/>
          <w:szCs w:val="21"/>
        </w:rPr>
      </w:r>
    </w:p>
    <w:p>
      <w:pPr>
        <w:pStyle w:val="BodyText"/>
        <w:spacing w:line="240" w:lineRule="auto"/>
        <w:ind w:right="0"/>
        <w:jc w:val="left"/>
      </w:pPr>
      <w:r>
        <w:rPr/>
        <w:t>包括在内。</w:t>
      </w:r>
    </w:p>
    <w:p>
      <w:pPr>
        <w:pStyle w:val="BodyText"/>
        <w:spacing w:line="273" w:lineRule="auto" w:before="37"/>
        <w:ind w:left="532" w:right="0"/>
        <w:jc w:val="left"/>
      </w:pPr>
      <w:r>
        <w:rPr/>
        <w:t>当购建或者生产符合资本化条件的资产达到预定可使用或者可销售状态时，借款费用停止资本化。</w:t>
      </w:r>
      <w:r>
        <w:rPr>
          <w:w w:val="99"/>
        </w:rPr>
        <w:t> </w:t>
      </w:r>
      <w:r>
        <w:rPr>
          <w:w w:val="95"/>
        </w:rPr>
        <w:t>当购建或者生产符合资本化条件的资产中部分项目分别完工且可单独使用时，该部分资产借款费用停</w:t>
      </w:r>
      <w:r>
        <w:rPr/>
      </w:r>
    </w:p>
    <w:p>
      <w:pPr>
        <w:pStyle w:val="BodyText"/>
        <w:spacing w:line="240" w:lineRule="auto"/>
        <w:ind w:right="0"/>
        <w:jc w:val="left"/>
      </w:pPr>
      <w:r>
        <w:rPr/>
        <w:t>止资本化。</w:t>
      </w:r>
    </w:p>
    <w:p>
      <w:pPr>
        <w:pStyle w:val="BodyText"/>
        <w:spacing w:line="273" w:lineRule="auto" w:before="37"/>
        <w:ind w:right="132" w:firstLine="420"/>
        <w:jc w:val="both"/>
      </w:pPr>
      <w:r>
        <w:rPr>
          <w:w w:val="95"/>
        </w:rPr>
        <w:t>购建或者生产的资产的各部分分别完工，但必须等到整体完工后才可使用或可对外销售的，在该资产</w:t>
      </w:r>
      <w:r>
        <w:rPr>
          <w:w w:val="99"/>
        </w:rPr>
        <w:t> </w:t>
      </w:r>
      <w:r>
        <w:rPr>
          <w:w w:val="95"/>
        </w:rPr>
        <w:t>整体完工时停止借款费用资本化门借款的利息费用（扣除尚未动用的借款资金存入银行取得的利息收入或</w:t>
      </w:r>
      <w:r>
        <w:rPr>
          <w:spacing w:val="39"/>
          <w:w w:val="95"/>
        </w:rPr>
        <w:t> </w:t>
      </w:r>
      <w:r>
        <w:rPr>
          <w:spacing w:val="39"/>
          <w:w w:val="95"/>
        </w:rPr>
      </w:r>
      <w:r>
        <w:rPr>
          <w:w w:val="95"/>
        </w:rPr>
        <w:t>者进行暂时性投资取得的投资收益）及其辅助费用在所购建或者生产的符合资本化条件的资产达到预定可</w:t>
      </w:r>
      <w:r>
        <w:rPr>
          <w:spacing w:val="37"/>
          <w:w w:val="95"/>
        </w:rPr>
        <w:t> </w:t>
      </w:r>
      <w:r>
        <w:rPr>
          <w:spacing w:val="37"/>
          <w:w w:val="95"/>
        </w:rPr>
      </w:r>
      <w:r>
        <w:rPr/>
        <w:t>使用或者可销售状态前，予以资本化。</w:t>
      </w:r>
    </w:p>
    <w:p>
      <w:pPr>
        <w:pStyle w:val="BodyText"/>
        <w:spacing w:line="273" w:lineRule="auto"/>
        <w:ind w:right="0" w:firstLine="420"/>
        <w:jc w:val="left"/>
      </w:pPr>
      <w:r>
        <w:rPr/>
        <w:t>符合资本化条件的资产在购建或生产过程中发生的非正常中断、且中断时间连续超过3个月的，则借</w:t>
      </w:r>
      <w:r>
        <w:rPr>
          <w:w w:val="99"/>
        </w:rPr>
        <w:t> </w:t>
      </w:r>
      <w:r>
        <w:rPr>
          <w:w w:val="95"/>
        </w:rPr>
        <w:t>款费用暂停资本化；该项中断如是所购建或生产的符合资本化条件的资产达到预定可使用状态或者可销售</w:t>
      </w:r>
      <w:r>
        <w:rPr>
          <w:spacing w:val="39"/>
          <w:w w:val="95"/>
        </w:rPr>
        <w:t> </w:t>
      </w:r>
      <w:r>
        <w:rPr>
          <w:spacing w:val="39"/>
          <w:w w:val="95"/>
        </w:rPr>
      </w:r>
      <w:r>
        <w:rPr>
          <w:w w:val="95"/>
        </w:rPr>
        <w:t>状态必要的程序，则借款费用继续资本化。在中断期间发生的借款费用确认为当期损益，直至资产的购建</w:t>
      </w:r>
      <w:r>
        <w:rPr>
          <w:spacing w:val="40"/>
          <w:w w:val="95"/>
        </w:rPr>
        <w:t> </w:t>
      </w:r>
      <w:r>
        <w:rPr>
          <w:spacing w:val="40"/>
          <w:w w:val="95"/>
        </w:rPr>
      </w:r>
      <w:r>
        <w:rPr/>
        <w:t>或者生产活动重新开始后借款费用继续资本化。</w:t>
      </w:r>
    </w:p>
    <w:p>
      <w:pPr>
        <w:pStyle w:val="BodyText"/>
        <w:spacing w:line="273" w:lineRule="auto"/>
        <w:ind w:right="112" w:firstLine="420"/>
        <w:jc w:val="both"/>
      </w:pPr>
      <w:r>
        <w:rPr>
          <w:w w:val="95"/>
        </w:rPr>
        <w:t>专门借款的利息费用（扣除尚未动用的借款资金存入银行取得的利息收入或者进行暂时性投资取得的</w:t>
      </w:r>
      <w:r>
        <w:rPr>
          <w:w w:val="99"/>
        </w:rPr>
        <w:t> </w:t>
      </w:r>
      <w:r>
        <w:rPr>
          <w:w w:val="95"/>
        </w:rPr>
        <w:t>投资收益）及其辅助费用在所购建或者生产的符合资本化条件的资产达到预定可使用或者可销售状态前，</w:t>
      </w:r>
      <w:r>
        <w:rPr>
          <w:spacing w:val="61"/>
          <w:w w:val="95"/>
        </w:rPr>
        <w:t> </w:t>
      </w:r>
      <w:r>
        <w:rPr>
          <w:spacing w:val="61"/>
          <w:w w:val="95"/>
        </w:rPr>
      </w:r>
      <w:r>
        <w:rPr/>
        <w:t>予以资本化。</w:t>
      </w:r>
    </w:p>
    <w:p>
      <w:pPr>
        <w:pStyle w:val="BodyText"/>
        <w:spacing w:line="273" w:lineRule="auto"/>
        <w:ind w:right="132" w:firstLine="420"/>
        <w:jc w:val="both"/>
      </w:pPr>
      <w:r>
        <w:rPr>
          <w:w w:val="95"/>
        </w:rPr>
        <w:t>根据累计资产支出超过专门借款部分的资产支出加权平均数乘以所占用一般借款的资本化率，计算确</w:t>
      </w:r>
      <w:r>
        <w:rPr>
          <w:w w:val="99"/>
        </w:rPr>
        <w:t> </w:t>
      </w:r>
      <w:r>
        <w:rPr/>
        <w:t>定一般借款应予资本化的利息金额。资本化率根据一般借款加权平均利率计算确定。</w:t>
      </w:r>
    </w:p>
    <w:p>
      <w:pPr>
        <w:pStyle w:val="BodyText"/>
        <w:spacing w:line="273" w:lineRule="auto" w:before="8"/>
        <w:ind w:right="135" w:firstLine="420"/>
        <w:jc w:val="both"/>
      </w:pPr>
      <w:r>
        <w:rPr>
          <w:w w:val="95"/>
        </w:rPr>
        <w:t>借款存在折价或者溢价的，按照实际利率法确定每一会计期间应摊销的折价或者溢价金额，调整每期</w:t>
      </w:r>
      <w:r>
        <w:rPr>
          <w:w w:val="99"/>
        </w:rPr>
        <w:t> </w:t>
      </w:r>
      <w:r>
        <w:rPr/>
        <w:t>利息金额。</w:t>
      </w:r>
    </w:p>
    <w:p>
      <w:pPr>
        <w:spacing w:line="240" w:lineRule="auto" w:before="7"/>
        <w:rPr>
          <w:rFonts w:ascii="宋体" w:hAnsi="宋体" w:cs="宋体" w:eastAsia="宋体" w:hint="default"/>
          <w:sz w:val="23"/>
          <w:szCs w:val="23"/>
        </w:rPr>
      </w:pPr>
    </w:p>
    <w:p>
      <w:pPr>
        <w:pStyle w:val="Heading5"/>
        <w:spacing w:line="578" w:lineRule="auto"/>
        <w:ind w:right="8488"/>
        <w:jc w:val="left"/>
        <w:rPr>
          <w:b w:val="0"/>
          <w:bCs w:val="0"/>
        </w:rPr>
      </w:pPr>
      <w:r>
        <w:rPr/>
        <w:t>19、生物资产</w:t>
      </w:r>
      <w:r>
        <w:rPr>
          <w:w w:val="99"/>
        </w:rPr>
        <w:t> </w:t>
      </w:r>
      <w:r>
        <w:rPr>
          <w:rFonts w:ascii="宋体" w:hAnsi="宋体" w:cs="宋体" w:eastAsia="宋体" w:hint="default"/>
          <w:b w:val="0"/>
          <w:bCs w:val="0"/>
          <w:sz w:val="18"/>
          <w:szCs w:val="18"/>
        </w:rPr>
        <w:t>无 </w:t>
      </w:r>
      <w:r>
        <w:rPr/>
        <w:t>20、油气资产</w:t>
      </w:r>
      <w:r>
        <w:rPr>
          <w:b w:val="0"/>
          <w:bCs w:val="0"/>
        </w:rPr>
      </w:r>
    </w:p>
    <w:p>
      <w:pPr>
        <w:spacing w:before="64"/>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6" w:footer="937" w:top="1040" w:bottom="1120" w:left="1020" w:right="100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21、无形资产</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（1）计价方法、使用寿命、减值测试</w:t>
      </w:r>
      <w:r>
        <w:rPr>
          <w:b w:val="0"/>
          <w:bCs w:val="0"/>
        </w:rPr>
      </w:r>
    </w:p>
    <w:p>
      <w:pPr>
        <w:spacing w:line="240" w:lineRule="auto" w:before="10"/>
        <w:rPr>
          <w:rFonts w:ascii="宋体" w:hAnsi="宋体" w:cs="宋体" w:eastAsia="宋体" w:hint="default"/>
          <w:b/>
          <w:bCs/>
          <w:sz w:val="25"/>
          <w:szCs w:val="25"/>
        </w:rPr>
      </w:pPr>
    </w:p>
    <w:p>
      <w:pPr>
        <w:spacing w:line="273" w:lineRule="auto" w:before="0"/>
        <w:ind w:left="535" w:right="1946" w:hanging="3"/>
        <w:jc w:val="left"/>
        <w:rPr>
          <w:rFonts w:ascii="宋体" w:hAnsi="宋体" w:cs="宋体" w:eastAsia="宋体" w:hint="default"/>
          <w:sz w:val="21"/>
          <w:szCs w:val="21"/>
        </w:rPr>
      </w:pPr>
      <w:r>
        <w:rPr>
          <w:rFonts w:ascii="宋体" w:hAnsi="宋体" w:cs="宋体" w:eastAsia="宋体" w:hint="default"/>
          <w:w w:val="95"/>
          <w:sz w:val="21"/>
          <w:szCs w:val="21"/>
        </w:rPr>
        <w:t>无形资产是指本公司拥有或者控制的没有实物形态的可辨认非货币性资产。</w:t>
      </w:r>
      <w:r>
        <w:rPr>
          <w:rFonts w:ascii="宋体" w:hAnsi="宋体" w:cs="宋体" w:eastAsia="宋体" w:hint="default"/>
          <w:spacing w:val="30"/>
          <w:w w:val="95"/>
          <w:sz w:val="21"/>
          <w:szCs w:val="21"/>
        </w:rPr>
        <w:t> </w:t>
      </w:r>
      <w:r>
        <w:rPr>
          <w:rFonts w:ascii="宋体" w:hAnsi="宋体" w:cs="宋体" w:eastAsia="宋体" w:hint="default"/>
          <w:spacing w:val="30"/>
          <w:w w:val="95"/>
          <w:sz w:val="21"/>
          <w:szCs w:val="21"/>
        </w:rPr>
      </w:r>
      <w:r>
        <w:rPr>
          <w:rFonts w:ascii="宋体" w:hAnsi="宋体" w:cs="宋体" w:eastAsia="宋体" w:hint="default"/>
          <w:b/>
          <w:bCs/>
          <w:sz w:val="21"/>
          <w:szCs w:val="21"/>
        </w:rPr>
        <w:t>1）无形资产的初始计量</w:t>
      </w:r>
      <w:r>
        <w:rPr>
          <w:rFonts w:ascii="宋体" w:hAnsi="宋体" w:cs="宋体" w:eastAsia="宋体" w:hint="default"/>
          <w:sz w:val="21"/>
          <w:szCs w:val="21"/>
        </w:rPr>
      </w:r>
    </w:p>
    <w:p>
      <w:pPr>
        <w:pStyle w:val="BodyText"/>
        <w:spacing w:line="273" w:lineRule="auto"/>
        <w:ind w:right="132" w:firstLine="420"/>
        <w:jc w:val="both"/>
      </w:pPr>
      <w:r>
        <w:rPr>
          <w:w w:val="95"/>
        </w:rPr>
        <w:t>外购无形资产的成本，包括购买价款、相关税费以及直接归属于使该项资产达到预定用途所发生的其</w:t>
      </w:r>
      <w:r>
        <w:rPr>
          <w:w w:val="99"/>
        </w:rPr>
        <w:t> </w:t>
      </w:r>
      <w:r>
        <w:rPr>
          <w:w w:val="95"/>
        </w:rPr>
        <w:t>他支出。购买无形资产的价款超过正常信用条件延期支付，实质上具有融资性质的，无形资产的成本以购</w:t>
      </w:r>
      <w:r>
        <w:rPr>
          <w:spacing w:val="40"/>
          <w:w w:val="95"/>
        </w:rPr>
        <w:t> </w:t>
      </w:r>
      <w:r>
        <w:rPr>
          <w:spacing w:val="40"/>
          <w:w w:val="95"/>
        </w:rPr>
      </w:r>
      <w:r>
        <w:rPr/>
        <w:t>买价款的现值为基础确定。</w:t>
      </w:r>
    </w:p>
    <w:p>
      <w:pPr>
        <w:pStyle w:val="BodyText"/>
        <w:spacing w:line="273" w:lineRule="auto"/>
        <w:ind w:right="132" w:firstLine="420"/>
        <w:jc w:val="both"/>
      </w:pPr>
      <w:r>
        <w:rPr>
          <w:w w:val="95"/>
        </w:rPr>
        <w:t>债务重组取得债务人用以抵债的无形资产，以该无形资产的公允价值为基础确定其入账价值，并将重</w:t>
      </w:r>
      <w:r>
        <w:rPr>
          <w:w w:val="99"/>
        </w:rPr>
        <w:t> </w:t>
      </w:r>
      <w:r>
        <w:rPr/>
        <w:t>组债务的账面价值与该用以抵债的无形资产公允价值之间的差额，计入当期损益。</w:t>
      </w:r>
    </w:p>
    <w:p>
      <w:pPr>
        <w:pStyle w:val="BodyText"/>
        <w:spacing w:line="273" w:lineRule="auto"/>
        <w:ind w:right="132" w:firstLine="420"/>
        <w:jc w:val="both"/>
      </w:pPr>
      <w:r>
        <w:rPr>
          <w:w w:val="95"/>
        </w:rPr>
        <w:t>在非货币性资产交换具备商业实质且换入资产或换出资产的公允价值能够可靠计量的前提下，非货币</w:t>
      </w:r>
      <w:r>
        <w:rPr>
          <w:w w:val="99"/>
        </w:rPr>
        <w:t> </w:t>
      </w:r>
      <w:r>
        <w:rPr>
          <w:w w:val="95"/>
        </w:rPr>
        <w:t>性资产交换换入的无形资产以换出资产的公允价值为基础确定其入账价值，除非有确凿证据表明换入资产</w:t>
      </w:r>
      <w:r>
        <w:rPr>
          <w:spacing w:val="39"/>
          <w:w w:val="95"/>
        </w:rPr>
        <w:t> </w:t>
      </w:r>
      <w:r>
        <w:rPr>
          <w:spacing w:val="39"/>
          <w:w w:val="95"/>
        </w:rPr>
      </w:r>
      <w:r>
        <w:rPr>
          <w:w w:val="95"/>
        </w:rPr>
        <w:t>的公允价值更加可靠；不满足上述前提的非货币性资产交换，以换出资产的账面价值和应支付的相关税费</w:t>
      </w:r>
      <w:r>
        <w:rPr>
          <w:spacing w:val="40"/>
          <w:w w:val="95"/>
        </w:rPr>
        <w:t> </w:t>
      </w:r>
      <w:r>
        <w:rPr>
          <w:spacing w:val="40"/>
          <w:w w:val="95"/>
        </w:rPr>
      </w:r>
      <w:r>
        <w:rPr/>
        <w:t>作为换入无形资产的成本，不确认损益。</w:t>
      </w:r>
    </w:p>
    <w:p>
      <w:pPr>
        <w:pStyle w:val="BodyText"/>
        <w:spacing w:line="273" w:lineRule="auto"/>
        <w:ind w:right="135" w:firstLine="420"/>
        <w:jc w:val="both"/>
      </w:pPr>
      <w:r>
        <w:rPr>
          <w:w w:val="95"/>
        </w:rPr>
        <w:t>以同一控制下的企业吸收合并方式取得的无形资产按被合并方的账面价值确定其入账价值；以非同一</w:t>
      </w:r>
      <w:r>
        <w:rPr>
          <w:w w:val="99"/>
        </w:rPr>
        <w:t> </w:t>
      </w:r>
      <w:r>
        <w:rPr/>
        <w:t>控制下的企业吸收合并方式取得的无形资产按公允价值确定其入账价值。</w:t>
      </w:r>
    </w:p>
    <w:p>
      <w:pPr>
        <w:pStyle w:val="BodyText"/>
        <w:spacing w:line="273" w:lineRule="auto"/>
        <w:ind w:right="132" w:firstLine="420"/>
        <w:jc w:val="both"/>
      </w:pPr>
      <w:r>
        <w:rPr>
          <w:w w:val="95"/>
        </w:rPr>
        <w:t>内部自行开发的无形资产，其成本包括：开发该无形资产时耗用的材料、劳务成本、注册费、在开发</w:t>
      </w:r>
      <w:r>
        <w:rPr>
          <w:w w:val="99"/>
        </w:rPr>
        <w:t> </w:t>
      </w:r>
      <w:r>
        <w:rPr>
          <w:w w:val="95"/>
        </w:rPr>
        <w:t>过程中使用的其他专利权和特许权的摊销以及满足资本化条件的利息费用，以及为使该无形资产达到预定</w:t>
      </w:r>
      <w:r>
        <w:rPr>
          <w:spacing w:val="39"/>
          <w:w w:val="95"/>
        </w:rPr>
        <w:t> </w:t>
      </w:r>
      <w:r>
        <w:rPr>
          <w:spacing w:val="39"/>
          <w:w w:val="95"/>
        </w:rPr>
      </w:r>
      <w:r>
        <w:rPr/>
        <w:t>用途前所发生的其他直接费用。</w:t>
      </w:r>
    </w:p>
    <w:p>
      <w:pPr>
        <w:spacing w:line="273" w:lineRule="auto" w:before="7"/>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2）无形资产的后续计量</w:t>
      </w:r>
      <w:r>
        <w:rPr>
          <w:rFonts w:ascii="宋体" w:hAnsi="宋体" w:cs="宋体" w:eastAsia="宋体" w:hint="default"/>
          <w:b/>
          <w:bCs/>
          <w:w w:val="99"/>
          <w:sz w:val="21"/>
          <w:szCs w:val="21"/>
        </w:rPr>
        <w:t> </w:t>
      </w:r>
      <w:r>
        <w:rPr>
          <w:rFonts w:ascii="宋体" w:hAnsi="宋体" w:cs="宋体" w:eastAsia="宋体" w:hint="default"/>
          <w:w w:val="95"/>
          <w:sz w:val="21"/>
          <w:szCs w:val="21"/>
        </w:rPr>
        <w:t>本公司在取得无形资产时分析判断其使用寿命，划分为使用寿命有限和使用寿命不确定的无形资产，</w:t>
      </w:r>
      <w:r>
        <w:rPr>
          <w:rFonts w:ascii="宋体" w:hAnsi="宋体" w:cs="宋体" w:eastAsia="宋体" w:hint="default"/>
          <w:sz w:val="21"/>
          <w:szCs w:val="21"/>
        </w:rPr>
      </w:r>
    </w:p>
    <w:p>
      <w:pPr>
        <w:pStyle w:val="BodyText"/>
        <w:spacing w:line="240" w:lineRule="auto"/>
        <w:ind w:right="0"/>
        <w:jc w:val="left"/>
      </w:pPr>
      <w:r>
        <w:rPr/>
        <w:t>包括土地使用权、计算机软件、专利等。</w:t>
      </w:r>
    </w:p>
    <w:p>
      <w:pPr>
        <w:pStyle w:val="BodyText"/>
        <w:spacing w:line="273" w:lineRule="auto" w:before="37"/>
        <w:ind w:left="532" w:right="0"/>
        <w:jc w:val="left"/>
      </w:pPr>
      <w:r>
        <w:rPr/>
        <w:t>①使用寿命有限的无形资产</w:t>
      </w:r>
      <w:r>
        <w:rPr>
          <w:w w:val="99"/>
        </w:rPr>
        <w:t> </w:t>
      </w:r>
      <w:r>
        <w:rPr>
          <w:w w:val="95"/>
        </w:rPr>
        <w:t>对于使用寿命有限的无形资产，在为企业带来经济利益的期限内按直线法摊销。使用寿命有限的无形</w:t>
      </w:r>
      <w:r>
        <w:rPr/>
      </w:r>
    </w:p>
    <w:p>
      <w:pPr>
        <w:pStyle w:val="BodyText"/>
        <w:spacing w:line="240" w:lineRule="auto"/>
        <w:ind w:right="0"/>
        <w:jc w:val="left"/>
      </w:pPr>
      <w:r>
        <w:rPr/>
        <w:t>资产预计寿命及依据如下：</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806"/>
        <w:gridCol w:w="1872"/>
        <w:gridCol w:w="4956"/>
      </w:tblGrid>
      <w:tr>
        <w:trPr>
          <w:trHeight w:val="3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工业出让地</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50年</w:t>
            </w:r>
          </w:p>
        </w:tc>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依权属有效期内</w:t>
            </w:r>
          </w:p>
        </w:tc>
      </w:tr>
      <w:tr>
        <w:trPr>
          <w:trHeight w:val="3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内部开发形成的无形资产</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5-10年</w:t>
            </w:r>
          </w:p>
        </w:tc>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依技术进步、权属有效内使用</w:t>
            </w:r>
          </w:p>
        </w:tc>
      </w:tr>
    </w:tbl>
    <w:p>
      <w:pPr>
        <w:spacing w:line="240" w:lineRule="auto" w:before="2"/>
        <w:rPr>
          <w:rFonts w:ascii="宋体" w:hAnsi="宋体" w:cs="宋体" w:eastAsia="宋体" w:hint="default"/>
          <w:sz w:val="20"/>
          <w:szCs w:val="20"/>
        </w:rPr>
      </w:pPr>
    </w:p>
    <w:p>
      <w:pPr>
        <w:pStyle w:val="BodyText"/>
        <w:spacing w:line="273" w:lineRule="auto" w:before="34"/>
        <w:ind w:right="0" w:firstLine="420"/>
        <w:jc w:val="left"/>
      </w:pPr>
      <w:r>
        <w:rPr>
          <w:w w:val="95"/>
        </w:rPr>
        <w:t>每期末，对使用寿命有限的无形资产的使用寿命及摊销方法进行复核，如与原先估计数存在差异的，</w:t>
      </w:r>
      <w:r>
        <w:rPr>
          <w:spacing w:val="-79"/>
          <w:w w:val="95"/>
        </w:rPr>
        <w:t> </w:t>
      </w:r>
      <w:r>
        <w:rPr>
          <w:spacing w:val="-79"/>
          <w:w w:val="95"/>
        </w:rPr>
      </w:r>
      <w:r>
        <w:rPr/>
        <w:t>进行相应的调整。</w:t>
      </w:r>
    </w:p>
    <w:p>
      <w:pPr>
        <w:pStyle w:val="BodyText"/>
        <w:spacing w:line="240" w:lineRule="auto"/>
        <w:ind w:left="532" w:right="0"/>
        <w:jc w:val="left"/>
      </w:pPr>
      <w:r>
        <w:rPr/>
        <w:t>经复核，本期期末无形资产的使用寿命及摊销方法与以前估计未有不同。</w:t>
      </w:r>
    </w:p>
    <w:p>
      <w:pPr>
        <w:pStyle w:val="BodyText"/>
        <w:spacing w:line="273" w:lineRule="auto" w:before="37"/>
        <w:ind w:left="532" w:right="0"/>
        <w:jc w:val="left"/>
      </w:pPr>
      <w:r>
        <w:rPr/>
        <w:t>②使用寿命不确定的无形资产</w:t>
      </w:r>
      <w:r>
        <w:rPr>
          <w:w w:val="99"/>
        </w:rPr>
        <w:t> </w:t>
      </w:r>
      <w:r>
        <w:rPr>
          <w:w w:val="95"/>
        </w:rPr>
        <w:t>无法预见无形资产为企业带来经济利益期限的，视为使用寿命不确定的无形资产。本报告期内公司无</w:t>
      </w:r>
      <w:r>
        <w:rPr/>
      </w:r>
    </w:p>
    <w:p>
      <w:pPr>
        <w:pStyle w:val="BodyText"/>
        <w:spacing w:line="240" w:lineRule="auto"/>
        <w:ind w:right="0"/>
        <w:jc w:val="left"/>
      </w:pPr>
      <w:r>
        <w:rPr/>
        <w:t>使用寿命不确定的无形资产。</w:t>
      </w:r>
    </w:p>
    <w:p>
      <w:pPr>
        <w:pStyle w:val="Heading5"/>
        <w:spacing w:line="610" w:lineRule="atLeast" w:before="2"/>
        <w:ind w:left="535" w:right="3533" w:hanging="423"/>
        <w:jc w:val="left"/>
        <w:rPr>
          <w:b w:val="0"/>
          <w:bCs w:val="0"/>
        </w:rPr>
      </w:pPr>
      <w:r>
        <w:rPr/>
        <w:t>（2）内部研究开发支出会计政策</w:t>
      </w:r>
      <w:r>
        <w:rPr>
          <w:w w:val="99"/>
        </w:rPr>
        <w:t> </w:t>
      </w:r>
      <w:r>
        <w:rPr/>
        <w:t>1）划分公司内部研究开发项目的研究阶段和开发阶段具体标准</w:t>
      </w:r>
      <w:r>
        <w:rPr>
          <w:b w:val="0"/>
          <w:bCs w:val="0"/>
        </w:rPr>
      </w:r>
    </w:p>
    <w:p>
      <w:pPr>
        <w:pStyle w:val="BodyText"/>
        <w:spacing w:line="273" w:lineRule="auto" w:before="37"/>
        <w:ind w:left="532" w:right="0"/>
        <w:jc w:val="left"/>
      </w:pPr>
      <w:r>
        <w:rPr/>
        <w:t>研究阶段：为获取并理解新的科学或技术知识等而进行的独创性的有计划调查、研究活动的阶段。</w:t>
      </w:r>
      <w:r>
        <w:rPr>
          <w:w w:val="99"/>
        </w:rPr>
        <w:t> </w:t>
      </w:r>
      <w:r>
        <w:rPr>
          <w:w w:val="95"/>
        </w:rPr>
        <w:t>开发阶段：在进行商业性生产或使用前，将研究成果或其他知识应用于某项计划或设计，以生产出新</w:t>
      </w:r>
      <w:r>
        <w:rPr/>
      </w:r>
    </w:p>
    <w:p>
      <w:pPr>
        <w:pStyle w:val="BodyText"/>
        <w:spacing w:line="273" w:lineRule="auto"/>
        <w:ind w:left="532" w:right="0" w:hanging="420"/>
        <w:jc w:val="left"/>
      </w:pPr>
      <w:r>
        <w:rPr/>
        <w:t>的或具有实质性改进的材料、装置、产品等活动的阶段。</w:t>
      </w:r>
      <w:r>
        <w:rPr>
          <w:w w:val="99"/>
        </w:rPr>
        <w:t> </w:t>
      </w:r>
      <w:r>
        <w:rPr>
          <w:w w:val="95"/>
        </w:rPr>
        <w:t>内部研究开发项目研究阶段的支出，在发生时计入当期损益。</w:t>
      </w:r>
      <w:r>
        <w:rPr/>
      </w:r>
    </w:p>
    <w:p>
      <w:pPr>
        <w:spacing w:after="0" w:line="273" w:lineRule="auto"/>
        <w:jc w:val="left"/>
        <w:sectPr>
          <w:pgSz w:w="11910" w:h="16840"/>
          <w:pgMar w:header="746" w:footer="937" w:top="1040" w:bottom="1120" w:left="1020" w:right="1000"/>
        </w:sectPr>
      </w:pPr>
    </w:p>
    <w:p>
      <w:pPr>
        <w:spacing w:line="240" w:lineRule="auto" w:before="6"/>
        <w:rPr>
          <w:rFonts w:ascii="宋体" w:hAnsi="宋体" w:cs="宋体" w:eastAsia="宋体" w:hint="default"/>
          <w:sz w:val="25"/>
          <w:szCs w:val="25"/>
        </w:rPr>
      </w:pPr>
    </w:p>
    <w:p>
      <w:pPr>
        <w:spacing w:line="273" w:lineRule="auto" w:before="34"/>
        <w:ind w:left="532" w:right="0" w:firstLine="2"/>
        <w:jc w:val="left"/>
        <w:rPr>
          <w:rFonts w:ascii="宋体" w:hAnsi="宋体" w:cs="宋体" w:eastAsia="宋体" w:hint="default"/>
          <w:sz w:val="21"/>
          <w:szCs w:val="21"/>
        </w:rPr>
      </w:pPr>
      <w:r>
        <w:rPr>
          <w:rFonts w:ascii="宋体" w:hAnsi="宋体" w:cs="宋体" w:eastAsia="宋体" w:hint="default"/>
          <w:b/>
          <w:bCs/>
          <w:sz w:val="21"/>
          <w:szCs w:val="21"/>
        </w:rPr>
        <w:t>2）开发阶段支出符合资本化的具体标准</w:t>
      </w:r>
      <w:r>
        <w:rPr>
          <w:rFonts w:ascii="宋体" w:hAnsi="宋体" w:cs="宋体" w:eastAsia="宋体" w:hint="default"/>
          <w:b/>
          <w:bCs/>
          <w:w w:val="99"/>
          <w:sz w:val="21"/>
          <w:szCs w:val="21"/>
        </w:rPr>
        <w:t> </w:t>
      </w:r>
      <w:r>
        <w:rPr>
          <w:rFonts w:ascii="宋体" w:hAnsi="宋体" w:cs="宋体" w:eastAsia="宋体" w:hint="default"/>
          <w:w w:val="95"/>
          <w:sz w:val="21"/>
          <w:szCs w:val="21"/>
        </w:rPr>
        <w:t>内部研究开发项目开发阶段的支出，同时满足下列条件时确认为无形资产：</w:t>
      </w:r>
      <w:r>
        <w:rPr>
          <w:rFonts w:ascii="宋体" w:hAnsi="宋体" w:cs="宋体" w:eastAsia="宋体" w:hint="default"/>
          <w:sz w:val="21"/>
          <w:szCs w:val="21"/>
        </w:rPr>
      </w:r>
    </w:p>
    <w:p>
      <w:pPr>
        <w:pStyle w:val="BodyText"/>
        <w:spacing w:line="240" w:lineRule="auto"/>
        <w:ind w:left="532" w:right="0"/>
        <w:jc w:val="left"/>
      </w:pPr>
      <w:r>
        <w:rPr/>
        <w:t>①完成该无形资产以使其能够使用或出售在技术上具有可行性；</w:t>
      </w:r>
    </w:p>
    <w:p>
      <w:pPr>
        <w:pStyle w:val="BodyText"/>
        <w:spacing w:line="240" w:lineRule="auto" w:before="37"/>
        <w:ind w:left="532" w:right="0"/>
        <w:jc w:val="left"/>
      </w:pPr>
      <w:r>
        <w:rPr/>
        <w:t>②具有完成该无形资产并使用或出售的意图；</w:t>
      </w:r>
    </w:p>
    <w:p>
      <w:pPr>
        <w:pStyle w:val="BodyText"/>
        <w:spacing w:line="273" w:lineRule="auto" w:before="37"/>
        <w:ind w:right="0" w:firstLine="420"/>
        <w:jc w:val="left"/>
      </w:pPr>
      <w:r>
        <w:rPr>
          <w:w w:val="95"/>
        </w:rPr>
        <w:t>③无形资产产生经济利益的方式，包括能够证明运用该无形资产生产的产品存在市场或无形资产自身</w:t>
      </w:r>
      <w:r>
        <w:rPr>
          <w:w w:val="99"/>
        </w:rPr>
        <w:t> </w:t>
      </w:r>
      <w:r>
        <w:rPr/>
        <w:t>存在市场，无形资产将在内部使用的，能够证明其有用性；</w:t>
      </w:r>
    </w:p>
    <w:p>
      <w:pPr>
        <w:pStyle w:val="BodyText"/>
        <w:spacing w:line="273" w:lineRule="auto"/>
        <w:ind w:right="0" w:firstLine="420"/>
        <w:jc w:val="left"/>
      </w:pPr>
      <w:r>
        <w:rPr>
          <w:w w:val="95"/>
        </w:rPr>
        <w:t>④有足够的技术、财务资源和其他资源支持，以完成该无形资产的开发，并有能力使用或出售该无形</w:t>
      </w:r>
      <w:r>
        <w:rPr>
          <w:w w:val="99"/>
        </w:rPr>
        <w:t> </w:t>
      </w:r>
      <w:r>
        <w:rPr/>
        <w:t>资产；</w:t>
      </w:r>
    </w:p>
    <w:p>
      <w:pPr>
        <w:pStyle w:val="BodyText"/>
        <w:spacing w:line="273" w:lineRule="auto"/>
        <w:ind w:left="532" w:right="0"/>
        <w:jc w:val="left"/>
      </w:pPr>
      <w:r>
        <w:rPr/>
        <w:t>⑤归属于该无形资产开发阶段的支出能够可靠地计量。</w:t>
      </w:r>
      <w:r>
        <w:rPr>
          <w:w w:val="99"/>
        </w:rPr>
        <w:t> </w:t>
      </w:r>
      <w:r>
        <w:rPr>
          <w:w w:val="95"/>
        </w:rPr>
        <w:t>不满足上述条件的开发阶段的支出，于发生时计入当期损益。以前期间已计入损益的开发支出不在以</w:t>
      </w:r>
      <w:r>
        <w:rPr/>
      </w:r>
    </w:p>
    <w:p>
      <w:pPr>
        <w:pStyle w:val="BodyText"/>
        <w:spacing w:line="273" w:lineRule="auto"/>
        <w:ind w:right="0"/>
        <w:jc w:val="left"/>
      </w:pPr>
      <w:r>
        <w:rPr>
          <w:w w:val="95"/>
        </w:rPr>
        <w:t>后期间重新确认为资产。已资本化的开发阶段的支出在资产负债表上列示为开发支出，自该项目达到预定</w:t>
      </w:r>
      <w:r>
        <w:rPr>
          <w:spacing w:val="37"/>
          <w:w w:val="95"/>
        </w:rPr>
        <w:t> </w:t>
      </w:r>
      <w:r>
        <w:rPr>
          <w:spacing w:val="37"/>
          <w:w w:val="95"/>
        </w:rPr>
      </w:r>
      <w:r>
        <w:rPr/>
        <w:t>用途之日起转为无形资产。</w:t>
      </w:r>
    </w:p>
    <w:p>
      <w:pPr>
        <w:pStyle w:val="BodyText"/>
        <w:spacing w:line="612" w:lineRule="exact" w:before="63"/>
        <w:ind w:left="532" w:right="0" w:hanging="420"/>
        <w:jc w:val="left"/>
      </w:pPr>
      <w:r>
        <w:rPr>
          <w:rFonts w:ascii="宋体" w:hAnsi="宋体" w:cs="宋体" w:eastAsia="宋体" w:hint="default"/>
          <w:b/>
          <w:bCs/>
        </w:rPr>
        <w:t>22、长期资产减值</w:t>
      </w:r>
      <w:r>
        <w:rPr>
          <w:rFonts w:ascii="宋体" w:hAnsi="宋体" w:cs="宋体" w:eastAsia="宋体" w:hint="default"/>
          <w:b/>
          <w:bCs/>
          <w:w w:val="99"/>
        </w:rPr>
        <w:t> </w:t>
      </w:r>
      <w:r>
        <w:rPr>
          <w:w w:val="95"/>
        </w:rPr>
        <w:t>本公司在资产负债表日判断长期资产是否存在可能发生减值的迹象。如果长期资产存在减值迹象的，</w:t>
      </w:r>
      <w:r>
        <w:rPr/>
      </w:r>
    </w:p>
    <w:p>
      <w:pPr>
        <w:pStyle w:val="BodyText"/>
        <w:spacing w:line="219" w:lineRule="exact" w:before="0"/>
        <w:ind w:right="0"/>
        <w:jc w:val="left"/>
      </w:pPr>
      <w:r>
        <w:rPr/>
        <w:t>以单项资产为基础估计其可收回金额；难以对单项资产的可收回金额进行估计的，以该资产所属的资产组</w:t>
      </w:r>
    </w:p>
    <w:p>
      <w:pPr>
        <w:pStyle w:val="BodyText"/>
        <w:spacing w:line="273" w:lineRule="auto" w:before="37"/>
        <w:ind w:left="532" w:right="0" w:hanging="420"/>
        <w:jc w:val="left"/>
      </w:pPr>
      <w:r>
        <w:rPr/>
        <w:t>为基础确定资产组的可收回金额。</w:t>
      </w:r>
      <w:r>
        <w:rPr>
          <w:w w:val="99"/>
        </w:rPr>
        <w:t> </w:t>
      </w:r>
      <w:r>
        <w:rPr>
          <w:w w:val="95"/>
        </w:rPr>
        <w:t>资产可收回金额的估计，根据其公允价值减去处置费用后的净额与资产预计未来现金流量的现值两者</w:t>
      </w:r>
      <w:r>
        <w:rPr/>
      </w:r>
    </w:p>
    <w:p>
      <w:pPr>
        <w:pStyle w:val="BodyText"/>
        <w:spacing w:line="273" w:lineRule="auto" w:before="8"/>
        <w:ind w:left="532" w:right="0" w:hanging="420"/>
        <w:jc w:val="left"/>
      </w:pPr>
      <w:r>
        <w:rPr/>
        <w:t>之间较高者确定。</w:t>
      </w:r>
      <w:r>
        <w:rPr>
          <w:w w:val="99"/>
        </w:rPr>
        <w:t> </w:t>
      </w:r>
      <w:r>
        <w:rPr>
          <w:w w:val="95"/>
        </w:rPr>
        <w:t>可收回金额的计量结果表明，长期资产的可收回金额低于其账面价值的，将长期资产的账面价值减记</w:t>
      </w:r>
      <w:r>
        <w:rPr/>
      </w:r>
    </w:p>
    <w:p>
      <w:pPr>
        <w:pStyle w:val="BodyText"/>
        <w:spacing w:line="273" w:lineRule="auto"/>
        <w:ind w:right="0"/>
        <w:jc w:val="left"/>
      </w:pPr>
      <w:r>
        <w:rPr>
          <w:w w:val="95"/>
        </w:rPr>
        <w:t>至可收回金额，减记的金额确认为资产减值损失，计入当期损益，同时计提相应的资产减值准备。资产减</w:t>
      </w:r>
      <w:r>
        <w:rPr>
          <w:spacing w:val="40"/>
          <w:w w:val="95"/>
        </w:rPr>
        <w:t> </w:t>
      </w:r>
      <w:r>
        <w:rPr>
          <w:spacing w:val="40"/>
          <w:w w:val="95"/>
        </w:rPr>
      </w:r>
      <w:r>
        <w:rPr/>
        <w:t>值损失一经确认，在以后会计期间不得转回。</w:t>
      </w:r>
    </w:p>
    <w:p>
      <w:pPr>
        <w:pStyle w:val="BodyText"/>
        <w:spacing w:line="273" w:lineRule="auto"/>
        <w:ind w:right="0" w:firstLine="420"/>
        <w:jc w:val="left"/>
      </w:pPr>
      <w:r>
        <w:rPr>
          <w:w w:val="95"/>
        </w:rPr>
        <w:t>资产减值损失确认后，减值资产的折旧或者摊销费用在未来期间作相应调整，以使该资产在剩余使用</w:t>
      </w:r>
      <w:r>
        <w:rPr>
          <w:w w:val="99"/>
        </w:rPr>
        <w:t> </w:t>
      </w:r>
      <w:r>
        <w:rPr/>
        <w:t>寿命内，系统地分摊调整后的资产账面价值（扣除预计净残值）。</w:t>
      </w:r>
    </w:p>
    <w:p>
      <w:pPr>
        <w:pStyle w:val="BodyText"/>
        <w:spacing w:line="240" w:lineRule="auto"/>
        <w:ind w:left="532" w:right="0"/>
        <w:jc w:val="left"/>
      </w:pPr>
      <w:r>
        <w:rPr/>
        <w:t>因企业合并所形成的商誉和使用寿命不确定的无形资产，无论是否存在减值迹象，每年都进行减值测</w:t>
      </w:r>
    </w:p>
    <w:p>
      <w:pPr>
        <w:pStyle w:val="BodyText"/>
        <w:spacing w:line="240" w:lineRule="auto" w:before="37"/>
        <w:ind w:right="0"/>
        <w:jc w:val="left"/>
      </w:pPr>
      <w:r>
        <w:rPr/>
        <w:t>试。</w:t>
      </w:r>
    </w:p>
    <w:p>
      <w:pPr>
        <w:pStyle w:val="BodyText"/>
        <w:spacing w:line="240" w:lineRule="auto" w:before="37"/>
        <w:ind w:left="532" w:right="0"/>
        <w:jc w:val="left"/>
      </w:pPr>
      <w:r>
        <w:rPr/>
        <w:t>在对商誉进行减值测试时，将商誉的账面价值分摊至预期从企业合并的协同效应中受益的资产组或资</w:t>
      </w:r>
    </w:p>
    <w:p>
      <w:pPr>
        <w:pStyle w:val="BodyText"/>
        <w:spacing w:line="273" w:lineRule="auto" w:before="37"/>
        <w:ind w:right="135"/>
        <w:jc w:val="both"/>
      </w:pPr>
      <w:r>
        <w:rPr>
          <w:w w:val="95"/>
        </w:rPr>
        <w:t>产组组合。在对包含商誉的相关资产组或者资产组组合进行减值测试时，如与商誉相关的资产组或者资产</w:t>
      </w:r>
      <w:r>
        <w:rPr>
          <w:spacing w:val="37"/>
          <w:w w:val="95"/>
        </w:rPr>
        <w:t> </w:t>
      </w:r>
      <w:r>
        <w:rPr>
          <w:spacing w:val="37"/>
          <w:w w:val="95"/>
        </w:rPr>
      </w:r>
      <w:r>
        <w:rPr>
          <w:w w:val="95"/>
        </w:rPr>
        <w:t>组组合存在减值迹象的，先对不包含商誉的资产组或者资产组组合进行减值测试，计算可收回金额，并与</w:t>
      </w:r>
      <w:r>
        <w:rPr>
          <w:spacing w:val="37"/>
          <w:w w:val="95"/>
        </w:rPr>
        <w:t> </w:t>
      </w:r>
      <w:r>
        <w:rPr>
          <w:spacing w:val="37"/>
          <w:w w:val="95"/>
        </w:rPr>
      </w:r>
      <w:r>
        <w:rPr>
          <w:w w:val="95"/>
        </w:rPr>
        <w:t>相关账面价值相比较，确认相应的减值损失。再对包含商誉的资产组或者资产组组合进行减值测试，比较</w:t>
      </w:r>
      <w:r>
        <w:rPr>
          <w:spacing w:val="37"/>
          <w:w w:val="95"/>
        </w:rPr>
        <w:t> </w:t>
      </w:r>
      <w:r>
        <w:rPr>
          <w:spacing w:val="37"/>
          <w:w w:val="95"/>
        </w:rPr>
      </w:r>
      <w:r>
        <w:rPr>
          <w:w w:val="95"/>
        </w:rPr>
        <w:t>这些相关资产组或者资产组组合的账面价值（包括所分摊的商誉的账面价值部分）与其可收回金额，如相</w:t>
      </w:r>
      <w:r>
        <w:rPr>
          <w:spacing w:val="37"/>
          <w:w w:val="95"/>
        </w:rPr>
        <w:t> </w:t>
      </w:r>
      <w:r>
        <w:rPr>
          <w:spacing w:val="37"/>
          <w:w w:val="95"/>
        </w:rPr>
      </w:r>
      <w:r>
        <w:rPr/>
        <w:t>关资产组或者资产组组合的可收回金额低于其账面价值的，确认商誉的减值损失。</w:t>
      </w:r>
    </w:p>
    <w:p>
      <w:pPr>
        <w:spacing w:line="240" w:lineRule="auto" w:before="9"/>
        <w:rPr>
          <w:rFonts w:ascii="宋体" w:hAnsi="宋体" w:cs="宋体" w:eastAsia="宋体" w:hint="default"/>
          <w:sz w:val="23"/>
          <w:szCs w:val="23"/>
        </w:rPr>
      </w:pPr>
    </w:p>
    <w:p>
      <w:pPr>
        <w:pStyle w:val="Heading5"/>
        <w:spacing w:line="240" w:lineRule="auto"/>
        <w:ind w:right="0"/>
        <w:jc w:val="both"/>
        <w:rPr>
          <w:b w:val="0"/>
          <w:bCs w:val="0"/>
        </w:rPr>
      </w:pPr>
      <w:r>
        <w:rPr/>
        <w:t>23、长期待摊费用</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0" w:hanging="104"/>
        <w:jc w:val="left"/>
      </w:pPr>
      <w:r>
        <w:rPr>
          <w:rFonts w:ascii="宋体" w:hAnsi="宋体" w:cs="宋体" w:eastAsia="宋体" w:hint="default"/>
          <w:b/>
          <w:bCs/>
        </w:rPr>
        <w:t>（1）摊销方法</w:t>
      </w:r>
      <w:r>
        <w:rPr>
          <w:rFonts w:ascii="宋体" w:hAnsi="宋体" w:cs="宋体" w:eastAsia="宋体" w:hint="default"/>
          <w:b/>
          <w:bCs/>
          <w:w w:val="99"/>
        </w:rPr>
        <w:t> </w:t>
      </w:r>
      <w:r>
        <w:rPr>
          <w:w w:val="95"/>
        </w:rPr>
        <w:t>长期待摊费用，是指本公司已经发生但应由本期和以后各期负担的分摊期限在1年以上的各项费用。</w:t>
      </w:r>
      <w:r>
        <w:rPr/>
      </w:r>
    </w:p>
    <w:p>
      <w:pPr>
        <w:pStyle w:val="BodyText"/>
        <w:spacing w:line="240" w:lineRule="auto"/>
        <w:ind w:right="0"/>
        <w:jc w:val="both"/>
      </w:pPr>
      <w:r>
        <w:rPr/>
        <w:t>长期待摊费用在受益期内按直线法分期摊销。</w:t>
      </w:r>
    </w:p>
    <w:p>
      <w:pPr>
        <w:pStyle w:val="Heading5"/>
        <w:spacing w:line="240" w:lineRule="auto" w:before="37"/>
        <w:ind w:left="429" w:right="0"/>
        <w:jc w:val="left"/>
        <w:rPr>
          <w:b w:val="0"/>
          <w:bCs w:val="0"/>
        </w:rPr>
      </w:pPr>
      <w:r>
        <w:rPr/>
        <w:t>（2）摊销年限</w:t>
      </w:r>
      <w:r>
        <w:rPr>
          <w:b w:val="0"/>
          <w:bCs w:val="0"/>
        </w:rPr>
      </w:r>
    </w:p>
    <w:p>
      <w:pPr>
        <w:spacing w:line="240" w:lineRule="auto" w:before="12"/>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3146"/>
        <w:gridCol w:w="3146"/>
        <w:gridCol w:w="3147"/>
      </w:tblGrid>
      <w:tr>
        <w:trPr>
          <w:trHeight w:val="347" w:hRule="exact"/>
        </w:trPr>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7" w:hRule="exact"/>
        </w:trPr>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3-5年</w:t>
            </w:r>
          </w:p>
        </w:tc>
        <w:tc>
          <w:tcPr>
            <w:tcW w:w="314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6" w:footer="937" w:top="1040" w:bottom="1120" w:left="1020" w:right="1000"/>
        </w:sectPr>
      </w:pPr>
    </w:p>
    <w:p>
      <w:pPr>
        <w:spacing w:line="240" w:lineRule="auto" w:before="6"/>
        <w:rPr>
          <w:rFonts w:ascii="宋体" w:hAnsi="宋体" w:cs="宋体" w:eastAsia="宋体" w:hint="default"/>
          <w:b/>
          <w:bCs/>
          <w:sz w:val="25"/>
          <w:szCs w:val="25"/>
        </w:rPr>
      </w:pPr>
    </w:p>
    <w:p>
      <w:pPr>
        <w:pStyle w:val="Heading5"/>
        <w:spacing w:line="240" w:lineRule="auto" w:before="34"/>
        <w:ind w:right="94"/>
        <w:jc w:val="left"/>
        <w:rPr>
          <w:b w:val="0"/>
          <w:bCs w:val="0"/>
        </w:rPr>
      </w:pPr>
      <w:r>
        <w:rPr/>
        <w:t>24、职工薪酬</w:t>
      </w:r>
      <w:r>
        <w:rPr>
          <w:b w:val="0"/>
          <w:bCs w:val="0"/>
        </w:rPr>
      </w:r>
    </w:p>
    <w:p>
      <w:pPr>
        <w:spacing w:line="610" w:lineRule="atLeast" w:before="4"/>
        <w:ind w:left="532" w:right="94" w:hanging="420"/>
        <w:jc w:val="left"/>
        <w:rPr>
          <w:rFonts w:ascii="宋体" w:hAnsi="宋体" w:cs="宋体" w:eastAsia="宋体" w:hint="default"/>
          <w:sz w:val="21"/>
          <w:szCs w:val="21"/>
        </w:rPr>
      </w:pPr>
      <w:r>
        <w:rPr>
          <w:rFonts w:ascii="宋体" w:hAnsi="宋体" w:cs="宋体" w:eastAsia="宋体" w:hint="default"/>
          <w:b/>
          <w:bCs/>
          <w:sz w:val="21"/>
          <w:szCs w:val="21"/>
        </w:rPr>
        <w:t>（1）短期薪酬的会计处理方法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短期薪酬是指本公司在职工提供相关服务的年度报告期间结束后十二个月内需要全部予以支付的职</w:t>
      </w:r>
      <w:r>
        <w:rPr>
          <w:rFonts w:ascii="宋体" w:hAnsi="宋体" w:cs="宋体" w:eastAsia="宋体" w:hint="default"/>
          <w:sz w:val="21"/>
          <w:szCs w:val="21"/>
        </w:rPr>
      </w:r>
    </w:p>
    <w:p>
      <w:pPr>
        <w:pStyle w:val="BodyText"/>
        <w:spacing w:line="273" w:lineRule="auto" w:before="37"/>
        <w:ind w:right="105"/>
        <w:jc w:val="left"/>
      </w:pPr>
      <w:r>
        <w:rPr>
          <w:spacing w:val="-3"/>
        </w:rPr>
        <w:t>工薪酬，离职后福利和辞退福利除外。本公司在职工提供服务的会计期间，将应付的短期薪酬确认为负债，</w:t>
      </w:r>
      <w:r>
        <w:rPr>
          <w:w w:val="99"/>
        </w:rPr>
        <w:t> </w:t>
      </w:r>
      <w:r>
        <w:rPr/>
        <w:t>并根据职工提供服务的受益对象计入相关资产成本和费用。</w:t>
      </w:r>
    </w:p>
    <w:p>
      <w:pPr>
        <w:spacing w:line="612" w:lineRule="exact" w:before="63"/>
        <w:ind w:left="532" w:right="94" w:hanging="420"/>
        <w:jc w:val="left"/>
        <w:rPr>
          <w:rFonts w:ascii="宋体" w:hAnsi="宋体" w:cs="宋体" w:eastAsia="宋体" w:hint="default"/>
          <w:sz w:val="21"/>
          <w:szCs w:val="21"/>
        </w:rPr>
      </w:pPr>
      <w:r>
        <w:rPr>
          <w:rFonts w:ascii="宋体" w:hAnsi="宋体" w:cs="宋体" w:eastAsia="宋体" w:hint="default"/>
          <w:b/>
          <w:bCs/>
          <w:sz w:val="21"/>
          <w:szCs w:val="21"/>
        </w:rPr>
        <w:t>（2）离职后福利的会计处理方法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离职后福利是指本公司为获得职工提供的服务而在职工退休或与企业解除劳动关系后，提供的各种形</w:t>
      </w:r>
      <w:r>
        <w:rPr>
          <w:rFonts w:ascii="宋体" w:hAnsi="宋体" w:cs="宋体" w:eastAsia="宋体" w:hint="default"/>
          <w:sz w:val="21"/>
          <w:szCs w:val="21"/>
        </w:rPr>
      </w:r>
    </w:p>
    <w:p>
      <w:pPr>
        <w:pStyle w:val="BodyText"/>
        <w:spacing w:line="219" w:lineRule="exact" w:before="0"/>
        <w:ind w:right="94"/>
        <w:jc w:val="left"/>
      </w:pPr>
      <w:r>
        <w:rPr/>
        <w:t>式的报酬和福利，短期薪酬和辞退福利除外。</w:t>
      </w:r>
    </w:p>
    <w:p>
      <w:pPr>
        <w:pStyle w:val="BodyText"/>
        <w:spacing w:line="273" w:lineRule="auto" w:before="37"/>
        <w:ind w:left="532" w:right="94"/>
        <w:jc w:val="left"/>
      </w:pPr>
      <w:r>
        <w:rPr/>
        <w:t>本公司的离职后福利计划分类为设定提存计划和设定受益计划。</w:t>
      </w:r>
      <w:r>
        <w:rPr>
          <w:w w:val="99"/>
        </w:rPr>
        <w:t> </w:t>
      </w:r>
      <w:r>
        <w:rPr>
          <w:w w:val="95"/>
        </w:rPr>
        <w:t>离职后福利设定提存计划主要为参加由各地劳动及社会保障机构组织实施的社会基本养老保险、失业</w:t>
      </w:r>
      <w:r>
        <w:rPr/>
      </w:r>
    </w:p>
    <w:p>
      <w:pPr>
        <w:pStyle w:val="BodyText"/>
        <w:spacing w:line="273" w:lineRule="auto"/>
        <w:ind w:right="94"/>
        <w:jc w:val="left"/>
      </w:pPr>
      <w:r>
        <w:rPr>
          <w:w w:val="95"/>
        </w:rPr>
        <w:t>保险等；在职工为本公司提供服务的会计期间，将根据设定提存计划计算的应缴存金额确认为负债，并计</w:t>
      </w:r>
      <w:r>
        <w:rPr>
          <w:spacing w:val="37"/>
          <w:w w:val="95"/>
        </w:rPr>
        <w:t> </w:t>
      </w:r>
      <w:r>
        <w:rPr>
          <w:spacing w:val="37"/>
          <w:w w:val="95"/>
        </w:rPr>
      </w:r>
      <w:r>
        <w:rPr/>
        <w:t>入当期损益或相关资产成本。</w:t>
      </w:r>
    </w:p>
    <w:p>
      <w:pPr>
        <w:pStyle w:val="BodyText"/>
        <w:spacing w:line="240" w:lineRule="auto"/>
        <w:ind w:left="532" w:right="94"/>
        <w:jc w:val="left"/>
      </w:pPr>
      <w:r>
        <w:rPr/>
        <w:t>本公司按照国家规定的标准定期缴付上述款项后，不再有其他的支付义务。</w:t>
      </w:r>
    </w:p>
    <w:p>
      <w:pPr>
        <w:spacing w:line="614" w:lineRule="exact" w:before="91"/>
        <w:ind w:left="532" w:right="94" w:hanging="420"/>
        <w:jc w:val="left"/>
        <w:rPr>
          <w:rFonts w:ascii="宋体" w:hAnsi="宋体" w:cs="宋体" w:eastAsia="宋体" w:hint="default"/>
          <w:sz w:val="21"/>
          <w:szCs w:val="21"/>
        </w:rPr>
      </w:pPr>
      <w:r>
        <w:rPr>
          <w:rFonts w:ascii="宋体" w:hAnsi="宋体" w:cs="宋体" w:eastAsia="宋体" w:hint="default"/>
          <w:b/>
          <w:bCs/>
          <w:sz w:val="21"/>
          <w:szCs w:val="21"/>
        </w:rPr>
        <w:t>（3）辞退福利的会计处理方法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辞退福利是指本公司在职工劳动合同到期之前解除与职工的劳动关系，或者为鼓励职工自愿接受裁减</w:t>
      </w:r>
      <w:r>
        <w:rPr>
          <w:rFonts w:ascii="宋体" w:hAnsi="宋体" w:cs="宋体" w:eastAsia="宋体" w:hint="default"/>
          <w:sz w:val="21"/>
          <w:szCs w:val="21"/>
        </w:rPr>
      </w:r>
    </w:p>
    <w:p>
      <w:pPr>
        <w:pStyle w:val="BodyText"/>
        <w:spacing w:line="219" w:lineRule="exact" w:before="0"/>
        <w:ind w:right="94"/>
        <w:jc w:val="left"/>
      </w:pPr>
      <w:r>
        <w:rPr/>
        <w:t>而给予职工的补偿，在本公司不能单方面撤回解除劳动关系计划或裁减建议时和确认与涉及支付辞退福利</w:t>
      </w:r>
    </w:p>
    <w:p>
      <w:pPr>
        <w:pStyle w:val="BodyText"/>
        <w:spacing w:line="273" w:lineRule="auto" w:before="37"/>
        <w:ind w:right="94"/>
        <w:jc w:val="left"/>
      </w:pPr>
      <w:r>
        <w:rPr>
          <w:w w:val="95"/>
        </w:rPr>
        <w:t>的重组相关的成本费用时两者孰早日，确认因解除与职工的劳动关系给予补偿而产生的负债，同时计入当</w:t>
      </w:r>
      <w:r>
        <w:rPr>
          <w:spacing w:val="40"/>
          <w:w w:val="95"/>
        </w:rPr>
        <w:t> </w:t>
      </w:r>
      <w:r>
        <w:rPr>
          <w:spacing w:val="40"/>
          <w:w w:val="95"/>
        </w:rPr>
      </w:r>
      <w:r>
        <w:rPr/>
        <w:t>期损益。</w:t>
      </w:r>
    </w:p>
    <w:p>
      <w:pPr>
        <w:pStyle w:val="BodyText"/>
        <w:spacing w:line="273" w:lineRule="auto"/>
        <w:ind w:right="212" w:firstLine="420"/>
        <w:jc w:val="both"/>
      </w:pPr>
      <w:r>
        <w:rPr>
          <w:w w:val="95"/>
        </w:rPr>
        <w:t>本公司向接受内部退休安排的职工提供内退福利。内退福利是指，向未达到国家规定的退休年龄、经</w:t>
      </w:r>
      <w:r>
        <w:rPr>
          <w:w w:val="99"/>
        </w:rPr>
        <w:t> </w:t>
      </w:r>
      <w:r>
        <w:rPr>
          <w:w w:val="95"/>
        </w:rPr>
        <w:t>本公司管理层批准自愿退出工作岗位的职工支付的工资及为其缴纳的社会保险费等。本公司自内部退休安</w:t>
      </w:r>
      <w:r>
        <w:rPr>
          <w:spacing w:val="39"/>
          <w:w w:val="95"/>
        </w:rPr>
        <w:t> </w:t>
      </w:r>
      <w:r>
        <w:rPr>
          <w:spacing w:val="39"/>
          <w:w w:val="95"/>
        </w:rPr>
      </w:r>
      <w:r>
        <w:rPr>
          <w:w w:val="95"/>
        </w:rPr>
        <w:t>排开始之日起至职工达到正常退休年龄止，向内退职工支付内部退养福利。对于内退福利，本公司比照辞</w:t>
      </w:r>
      <w:r>
        <w:rPr>
          <w:spacing w:val="37"/>
          <w:w w:val="95"/>
        </w:rPr>
        <w:t> </w:t>
      </w:r>
      <w:r>
        <w:rPr>
          <w:spacing w:val="37"/>
          <w:w w:val="95"/>
        </w:rPr>
      </w:r>
      <w:r>
        <w:rPr>
          <w:w w:val="95"/>
        </w:rPr>
        <w:t>退福利进行会计处理，在符合辞退福利相关确认条件时，将自职工停止提供服务日至正常退休日期间拟支</w:t>
      </w:r>
      <w:r>
        <w:rPr>
          <w:spacing w:val="40"/>
          <w:w w:val="95"/>
        </w:rPr>
        <w:t> </w:t>
      </w:r>
      <w:r>
        <w:rPr>
          <w:spacing w:val="40"/>
          <w:w w:val="95"/>
        </w:rPr>
      </w:r>
      <w:r>
        <w:rPr>
          <w:w w:val="95"/>
        </w:rPr>
        <w:t>付的内退职工工资和缴纳的社会保险费等，确认为负债，一次性计入当期损益。内退福利的精算假设变化</w:t>
      </w:r>
      <w:r>
        <w:rPr>
          <w:spacing w:val="40"/>
          <w:w w:val="95"/>
        </w:rPr>
        <w:t> </w:t>
      </w:r>
      <w:r>
        <w:rPr>
          <w:spacing w:val="40"/>
          <w:w w:val="95"/>
        </w:rPr>
      </w:r>
      <w:r>
        <w:rPr/>
        <w:t>及福利标准调整引起的差异于发生时计入当期损益。</w:t>
      </w:r>
    </w:p>
    <w:p>
      <w:pPr>
        <w:spacing w:line="240" w:lineRule="auto" w:before="7"/>
        <w:rPr>
          <w:rFonts w:ascii="宋体" w:hAnsi="宋体" w:cs="宋体" w:eastAsia="宋体" w:hint="default"/>
          <w:sz w:val="23"/>
          <w:szCs w:val="23"/>
        </w:rPr>
      </w:pPr>
    </w:p>
    <w:p>
      <w:pPr>
        <w:pStyle w:val="Heading5"/>
        <w:spacing w:line="240" w:lineRule="auto"/>
        <w:ind w:right="94"/>
        <w:jc w:val="left"/>
        <w:rPr>
          <w:b w:val="0"/>
          <w:bCs w:val="0"/>
        </w:rPr>
      </w:pPr>
      <w:r>
        <w:rPr/>
        <w:t>（4）其他长期职工福利的会计处理方法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94"/>
        <w:jc w:val="left"/>
      </w:pPr>
      <w:r>
        <w:rPr/>
        <w:t>其他长期职工福利是指除短期薪酬、离职后福利、辞退福利之外的其他所有职工福利。</w:t>
      </w:r>
      <w:r>
        <w:rPr>
          <w:w w:val="99"/>
        </w:rPr>
        <w:t> </w:t>
      </w:r>
      <w:r>
        <w:rPr>
          <w:w w:val="95"/>
        </w:rPr>
        <w:t>对符合设定提存计划条件的其他长期职工福利，在职工为本公司提供服务的会计期间，将应缴存金额</w:t>
      </w:r>
      <w:r>
        <w:rPr/>
      </w:r>
    </w:p>
    <w:p>
      <w:pPr>
        <w:pStyle w:val="BodyText"/>
        <w:spacing w:line="273" w:lineRule="auto"/>
        <w:ind w:right="94"/>
        <w:jc w:val="left"/>
      </w:pPr>
      <w:r>
        <w:rPr>
          <w:w w:val="95"/>
        </w:rPr>
        <w:t>确认为负债，并计入当期损益或相关资产成本；除上述情形外的其他长期职工福利，在资产负债表日将设</w:t>
      </w:r>
      <w:r>
        <w:rPr>
          <w:spacing w:val="40"/>
          <w:w w:val="95"/>
        </w:rPr>
        <w:t> </w:t>
      </w:r>
      <w:r>
        <w:rPr>
          <w:spacing w:val="40"/>
          <w:w w:val="95"/>
        </w:rPr>
      </w:r>
      <w:r>
        <w:rPr/>
        <w:t>定受益计划产生的福利义务归属于职工提供服务的期间，并计入当期损益或相关资产成本。</w:t>
      </w:r>
    </w:p>
    <w:p>
      <w:pPr>
        <w:spacing w:line="240" w:lineRule="auto" w:before="9"/>
        <w:rPr>
          <w:rFonts w:ascii="宋体" w:hAnsi="宋体" w:cs="宋体" w:eastAsia="宋体" w:hint="default"/>
          <w:sz w:val="23"/>
          <w:szCs w:val="23"/>
        </w:rPr>
      </w:pPr>
    </w:p>
    <w:p>
      <w:pPr>
        <w:pStyle w:val="Heading5"/>
        <w:spacing w:line="240" w:lineRule="auto"/>
        <w:ind w:right="94"/>
        <w:jc w:val="left"/>
        <w:rPr>
          <w:b w:val="0"/>
          <w:bCs w:val="0"/>
        </w:rPr>
      </w:pPr>
      <w:r>
        <w:rPr/>
        <w:t>25、预计负债</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2634" w:hanging="104"/>
        <w:jc w:val="left"/>
      </w:pPr>
      <w:r>
        <w:rPr>
          <w:rFonts w:ascii="宋体" w:hAnsi="宋体" w:cs="宋体" w:eastAsia="宋体" w:hint="default"/>
          <w:b/>
          <w:bCs/>
        </w:rPr>
        <w:t>（1）预计负债的确认标准</w:t>
      </w:r>
      <w:r>
        <w:rPr>
          <w:rFonts w:ascii="宋体" w:hAnsi="宋体" w:cs="宋体" w:eastAsia="宋体" w:hint="default"/>
          <w:b/>
          <w:bCs/>
          <w:w w:val="99"/>
        </w:rPr>
        <w:t> </w:t>
      </w:r>
      <w:r>
        <w:rPr>
          <w:w w:val="95"/>
        </w:rPr>
        <w:t>与或有事项相关的义务同时满足下列条件时，本公司确认为预计负债：</w:t>
      </w:r>
      <w:r>
        <w:rPr>
          <w:spacing w:val="5"/>
          <w:w w:val="95"/>
        </w:rPr>
        <w:t> </w:t>
      </w:r>
      <w:r>
        <w:rPr>
          <w:spacing w:val="5"/>
          <w:w w:val="95"/>
        </w:rPr>
      </w:r>
      <w:r>
        <w:rPr/>
        <w:t>该义务是本公司承担的现时义务；</w:t>
      </w:r>
      <w:r>
        <w:rPr>
          <w:w w:val="99"/>
        </w:rPr>
        <w:t> </w:t>
      </w:r>
      <w:r>
        <w:rPr/>
        <w:t>履行该义务很可能导致经济利益流出本公司；</w:t>
      </w:r>
      <w:r>
        <w:rPr>
          <w:w w:val="99"/>
        </w:rPr>
        <w:t> </w:t>
      </w:r>
      <w:r>
        <w:rPr/>
        <w:t>该义务的金额能够可靠地计量。</w:t>
      </w:r>
    </w:p>
    <w:p>
      <w:pPr>
        <w:spacing w:after="0" w:line="273" w:lineRule="auto"/>
        <w:jc w:val="left"/>
        <w:sectPr>
          <w:footerReference w:type="default" r:id="rId27"/>
          <w:pgSz w:w="11910" w:h="16840"/>
          <w:pgMar w:footer="937" w:header="746" w:top="1040" w:bottom="1120" w:left="1020" w:right="920"/>
          <w:pgNumType w:start="110"/>
        </w:sectPr>
      </w:pPr>
    </w:p>
    <w:p>
      <w:pPr>
        <w:spacing w:line="240" w:lineRule="auto" w:before="6"/>
        <w:rPr>
          <w:rFonts w:ascii="宋体" w:hAnsi="宋体" w:cs="宋体" w:eastAsia="宋体" w:hint="default"/>
          <w:sz w:val="25"/>
          <w:szCs w:val="25"/>
        </w:rPr>
      </w:pPr>
    </w:p>
    <w:p>
      <w:pPr>
        <w:pStyle w:val="BodyText"/>
        <w:spacing w:line="273" w:lineRule="auto" w:before="34"/>
        <w:ind w:left="532" w:right="94" w:hanging="104"/>
        <w:jc w:val="left"/>
      </w:pPr>
      <w:r>
        <w:rPr>
          <w:rFonts w:ascii="宋体" w:hAnsi="宋体" w:cs="宋体" w:eastAsia="宋体" w:hint="default"/>
          <w:b/>
          <w:bCs/>
        </w:rPr>
        <w:t>（2）预计负债的计量方法</w:t>
      </w:r>
      <w:r>
        <w:rPr>
          <w:rFonts w:ascii="宋体" w:hAnsi="宋体" w:cs="宋体" w:eastAsia="宋体" w:hint="default"/>
          <w:b/>
          <w:bCs/>
          <w:w w:val="99"/>
        </w:rPr>
        <w:t> </w:t>
      </w:r>
      <w:r>
        <w:rPr/>
        <w:t>本公司预计负债按履行相关现时义务所需的支出的最佳估计数进行初始计量。</w:t>
      </w:r>
      <w:r>
        <w:rPr>
          <w:w w:val="99"/>
        </w:rPr>
        <w:t> </w:t>
      </w:r>
      <w:r>
        <w:rPr>
          <w:w w:val="95"/>
        </w:rPr>
        <w:t>本公司在确定最佳估计数时，综合考虑与或有事项有关的风险、不确定性和货币时间价值等因素。对</w:t>
      </w:r>
      <w:r>
        <w:rPr/>
      </w:r>
    </w:p>
    <w:p>
      <w:pPr>
        <w:pStyle w:val="BodyText"/>
        <w:spacing w:line="273" w:lineRule="auto"/>
        <w:ind w:left="532" w:right="94" w:hanging="420"/>
        <w:jc w:val="left"/>
      </w:pPr>
      <w:r>
        <w:rPr/>
        <w:t>于货币时间价值影响重大的，通过对相关未来现金流出进行折现后确定最佳估计数。</w:t>
      </w:r>
      <w:r>
        <w:rPr>
          <w:w w:val="99"/>
        </w:rPr>
        <w:t> </w:t>
      </w:r>
      <w:r>
        <w:rPr/>
        <w:t>最佳估计数分别以下情况处理：</w:t>
      </w:r>
      <w:r>
        <w:rPr>
          <w:w w:val="99"/>
        </w:rPr>
        <w:t> </w:t>
      </w:r>
      <w:r>
        <w:rPr>
          <w:w w:val="95"/>
        </w:rPr>
        <w:t>所需支出存在一个连续范围（或区间），且该范围内各种结果发生的可能性相同的，则最佳估计数按</w:t>
      </w:r>
      <w:r>
        <w:rPr/>
      </w:r>
    </w:p>
    <w:p>
      <w:pPr>
        <w:pStyle w:val="BodyText"/>
        <w:spacing w:line="273" w:lineRule="auto"/>
        <w:ind w:left="532" w:right="94" w:hanging="420"/>
        <w:jc w:val="left"/>
      </w:pPr>
      <w:r>
        <w:rPr/>
        <w:t>照该范围的中间值即上下限金额的平均数确定。</w:t>
      </w:r>
      <w:r>
        <w:rPr>
          <w:w w:val="99"/>
        </w:rPr>
        <w:t> </w:t>
      </w:r>
      <w:r>
        <w:rPr>
          <w:w w:val="95"/>
        </w:rPr>
        <w:t>所需支出不存在一个连续范围（或区间），或虽然存在一个连续范围但该范围内各种结果发生的可能</w:t>
      </w:r>
      <w:r>
        <w:rPr/>
      </w:r>
    </w:p>
    <w:p>
      <w:pPr>
        <w:pStyle w:val="BodyText"/>
        <w:spacing w:line="273" w:lineRule="auto"/>
        <w:ind w:right="94"/>
        <w:jc w:val="left"/>
      </w:pPr>
      <w:r>
        <w:rPr>
          <w:w w:val="95"/>
        </w:rPr>
        <w:t>性不相同的，如或有事项涉及单个项目的，则最佳估计数按照最可能发生金额确定；如或有事项涉及多个</w:t>
      </w:r>
      <w:r>
        <w:rPr>
          <w:spacing w:val="40"/>
          <w:w w:val="95"/>
        </w:rPr>
        <w:t> </w:t>
      </w:r>
      <w:r>
        <w:rPr>
          <w:spacing w:val="40"/>
          <w:w w:val="95"/>
        </w:rPr>
      </w:r>
      <w:r>
        <w:rPr/>
        <w:t>项目的，则最佳估计数按各种可能结果及相关概率计算确定。</w:t>
      </w:r>
    </w:p>
    <w:p>
      <w:pPr>
        <w:pStyle w:val="BodyText"/>
        <w:spacing w:line="273" w:lineRule="auto"/>
        <w:ind w:right="212" w:firstLine="420"/>
        <w:jc w:val="both"/>
      </w:pPr>
      <w:r>
        <w:rPr>
          <w:w w:val="95"/>
        </w:rPr>
        <w:t>本公司清偿预计负债所需支出全部或部分预期由第三方补偿的，补偿金额在基本确定能够收到时，作</w:t>
      </w:r>
      <w:r>
        <w:rPr>
          <w:w w:val="99"/>
        </w:rPr>
        <w:t> </w:t>
      </w:r>
      <w:r>
        <w:rPr/>
        <w:t>为资产单独确认，确认的补偿金额不超过预计负债的账面价值。</w:t>
      </w:r>
    </w:p>
    <w:p>
      <w:pPr>
        <w:spacing w:line="240" w:lineRule="auto" w:before="7"/>
        <w:rPr>
          <w:rFonts w:ascii="宋体" w:hAnsi="宋体" w:cs="宋体" w:eastAsia="宋体" w:hint="default"/>
          <w:sz w:val="23"/>
          <w:szCs w:val="23"/>
        </w:rPr>
      </w:pPr>
    </w:p>
    <w:p>
      <w:pPr>
        <w:pStyle w:val="Heading5"/>
        <w:spacing w:line="240" w:lineRule="auto"/>
        <w:ind w:right="94"/>
        <w:jc w:val="left"/>
        <w:rPr>
          <w:b w:val="0"/>
          <w:bCs w:val="0"/>
        </w:rPr>
      </w:pPr>
      <w:r>
        <w:rPr/>
        <w:t>26、股份支付</w:t>
      </w:r>
      <w:r>
        <w:rPr>
          <w:b w:val="0"/>
          <w:bCs w:val="0"/>
        </w:rPr>
      </w:r>
    </w:p>
    <w:p>
      <w:pPr>
        <w:spacing w:line="240" w:lineRule="auto" w:before="10"/>
        <w:rPr>
          <w:rFonts w:ascii="宋体" w:hAnsi="宋体" w:cs="宋体" w:eastAsia="宋体" w:hint="default"/>
          <w:b/>
          <w:bCs/>
          <w:sz w:val="25"/>
          <w:szCs w:val="25"/>
        </w:rPr>
      </w:pPr>
    </w:p>
    <w:p>
      <w:pPr>
        <w:spacing w:line="273" w:lineRule="auto" w:before="0"/>
        <w:ind w:left="532" w:right="2634" w:hanging="104"/>
        <w:jc w:val="left"/>
        <w:rPr>
          <w:rFonts w:ascii="宋体" w:hAnsi="宋体" w:cs="宋体" w:eastAsia="宋体" w:hint="default"/>
          <w:sz w:val="21"/>
          <w:szCs w:val="21"/>
        </w:rPr>
      </w:pPr>
      <w:r>
        <w:rPr>
          <w:rFonts w:ascii="宋体" w:hAnsi="宋体" w:cs="宋体" w:eastAsia="宋体" w:hint="default"/>
          <w:b/>
          <w:bCs/>
          <w:sz w:val="21"/>
          <w:szCs w:val="21"/>
        </w:rPr>
        <w:t>（1）股份支付的种类</w:t>
      </w:r>
      <w:r>
        <w:rPr>
          <w:rFonts w:ascii="宋体" w:hAnsi="宋体" w:cs="宋体" w:eastAsia="宋体" w:hint="default"/>
          <w:b/>
          <w:bCs/>
          <w:w w:val="99"/>
          <w:sz w:val="21"/>
          <w:szCs w:val="21"/>
        </w:rPr>
        <w:t> </w:t>
      </w:r>
      <w:r>
        <w:rPr>
          <w:rFonts w:ascii="宋体" w:hAnsi="宋体" w:cs="宋体" w:eastAsia="宋体" w:hint="default"/>
          <w:w w:val="95"/>
          <w:sz w:val="21"/>
          <w:szCs w:val="21"/>
        </w:rPr>
        <w:t>本公司的股份支付分为以权益结算的股份支付和以现金结算的股份支付。</w:t>
      </w:r>
      <w:r>
        <w:rPr>
          <w:rFonts w:ascii="宋体" w:hAnsi="宋体" w:cs="宋体" w:eastAsia="宋体" w:hint="default"/>
          <w:sz w:val="21"/>
          <w:szCs w:val="21"/>
        </w:rPr>
      </w:r>
    </w:p>
    <w:p>
      <w:pPr>
        <w:spacing w:line="273" w:lineRule="auto" w:before="7"/>
        <w:ind w:left="532" w:right="94" w:hanging="104"/>
        <w:jc w:val="left"/>
        <w:rPr>
          <w:rFonts w:ascii="宋体" w:hAnsi="宋体" w:cs="宋体" w:eastAsia="宋体" w:hint="default"/>
          <w:sz w:val="21"/>
          <w:szCs w:val="21"/>
        </w:rPr>
      </w:pPr>
      <w:r>
        <w:rPr>
          <w:rFonts w:ascii="宋体" w:hAnsi="宋体" w:cs="宋体" w:eastAsia="宋体" w:hint="default"/>
          <w:b/>
          <w:bCs/>
          <w:sz w:val="21"/>
          <w:szCs w:val="21"/>
        </w:rPr>
        <w:t>（2）权益工具公允价值的确定方法</w:t>
      </w:r>
      <w:r>
        <w:rPr>
          <w:rFonts w:ascii="宋体" w:hAnsi="宋体" w:cs="宋体" w:eastAsia="宋体" w:hint="default"/>
          <w:b/>
          <w:bCs/>
          <w:w w:val="99"/>
          <w:sz w:val="21"/>
          <w:szCs w:val="21"/>
        </w:rPr>
        <w:t> </w:t>
      </w:r>
      <w:r>
        <w:rPr>
          <w:rFonts w:ascii="宋体" w:hAnsi="宋体" w:cs="宋体" w:eastAsia="宋体" w:hint="default"/>
          <w:w w:val="95"/>
          <w:sz w:val="21"/>
          <w:szCs w:val="21"/>
        </w:rPr>
        <w:t>对于授予的存在活跃市场的期权等权益工具，按照活跃市场中的报价确定其公允价值。对于授予的不</w:t>
      </w:r>
      <w:r>
        <w:rPr>
          <w:rFonts w:ascii="宋体" w:hAnsi="宋体" w:cs="宋体" w:eastAsia="宋体" w:hint="default"/>
          <w:sz w:val="21"/>
          <w:szCs w:val="21"/>
        </w:rPr>
      </w:r>
    </w:p>
    <w:p>
      <w:pPr>
        <w:pStyle w:val="BodyText"/>
        <w:spacing w:line="273" w:lineRule="auto" w:before="8"/>
        <w:ind w:right="94"/>
        <w:jc w:val="left"/>
      </w:pPr>
      <w:r>
        <w:rPr>
          <w:w w:val="95"/>
        </w:rPr>
        <w:t>存在活跃市场的期权等权益工具，采用期权定价模型等确定其公允价值，选用的期权定价模型考虑以下因</w:t>
      </w:r>
      <w:r>
        <w:rPr>
          <w:spacing w:val="37"/>
          <w:w w:val="95"/>
        </w:rPr>
        <w:t> </w:t>
      </w:r>
      <w:r>
        <w:rPr>
          <w:spacing w:val="37"/>
          <w:w w:val="95"/>
        </w:rPr>
      </w:r>
      <w:r>
        <w:rPr/>
        <w:t>素：1）期权的行权价格；2）期权的有效期；3）标的股份的现行价格；4）股价预计波动率；5）股份的</w:t>
      </w:r>
      <w:r>
        <w:rPr>
          <w:w w:val="99"/>
        </w:rPr>
        <w:t> </w:t>
      </w:r>
      <w:r>
        <w:rPr/>
        <w:t>预计股利；6）期权有效期内的无风险利率。</w:t>
      </w:r>
    </w:p>
    <w:p>
      <w:pPr>
        <w:pStyle w:val="BodyText"/>
        <w:spacing w:line="273" w:lineRule="auto"/>
        <w:ind w:right="212" w:firstLine="420"/>
        <w:jc w:val="both"/>
      </w:pPr>
      <w:r>
        <w:rPr>
          <w:w w:val="95"/>
        </w:rPr>
        <w:t>在确定权益工具授予日的公允价值时，考虑股份支付协议规定的可行权条件中的市场条件和非可行权</w:t>
      </w:r>
      <w:r>
        <w:rPr>
          <w:w w:val="99"/>
        </w:rPr>
        <w:t> </w:t>
      </w:r>
      <w:r>
        <w:rPr>
          <w:spacing w:val="-5"/>
        </w:rPr>
        <w:t>条件的影响。股份支付存在非可行权条件的，只要职工或其他方满足了所有可行权条件中的非市场条件（如</w:t>
      </w:r>
      <w:r>
        <w:rPr>
          <w:w w:val="99"/>
        </w:rPr>
        <w:t> </w:t>
      </w:r>
      <w:r>
        <w:rPr/>
        <w:t>服务期限等），即确认已得到服务相对应的成本费用。</w:t>
      </w:r>
    </w:p>
    <w:p>
      <w:pPr>
        <w:spacing w:line="273" w:lineRule="auto" w:before="7"/>
        <w:ind w:left="532" w:right="94" w:hanging="104"/>
        <w:jc w:val="left"/>
        <w:rPr>
          <w:rFonts w:ascii="宋体" w:hAnsi="宋体" w:cs="宋体" w:eastAsia="宋体" w:hint="default"/>
          <w:sz w:val="21"/>
          <w:szCs w:val="21"/>
        </w:rPr>
      </w:pPr>
      <w:r>
        <w:rPr>
          <w:rFonts w:ascii="宋体" w:hAnsi="宋体" w:cs="宋体" w:eastAsia="宋体" w:hint="default"/>
          <w:b/>
          <w:bCs/>
          <w:sz w:val="21"/>
          <w:szCs w:val="21"/>
        </w:rPr>
        <w:t>（3）确定可行权权益工具最佳估计的依据</w:t>
      </w:r>
      <w:r>
        <w:rPr>
          <w:rFonts w:ascii="宋体" w:hAnsi="宋体" w:cs="宋体" w:eastAsia="宋体" w:hint="default"/>
          <w:b/>
          <w:bCs/>
          <w:w w:val="99"/>
          <w:sz w:val="21"/>
          <w:szCs w:val="21"/>
        </w:rPr>
        <w:t> </w:t>
      </w:r>
      <w:r>
        <w:rPr>
          <w:rFonts w:ascii="宋体" w:hAnsi="宋体" w:cs="宋体" w:eastAsia="宋体" w:hint="default"/>
          <w:w w:val="95"/>
          <w:sz w:val="21"/>
          <w:szCs w:val="21"/>
        </w:rPr>
        <w:t>等待期内每个资产负债表日，根据最新取得的可行权职工人数变动等后续信息作出最佳估计，修正预</w:t>
      </w:r>
      <w:r>
        <w:rPr>
          <w:rFonts w:ascii="宋体" w:hAnsi="宋体" w:cs="宋体" w:eastAsia="宋体" w:hint="default"/>
          <w:sz w:val="21"/>
          <w:szCs w:val="21"/>
        </w:rPr>
      </w:r>
    </w:p>
    <w:p>
      <w:pPr>
        <w:pStyle w:val="BodyText"/>
        <w:spacing w:line="240" w:lineRule="auto"/>
        <w:ind w:right="94"/>
        <w:jc w:val="left"/>
      </w:pPr>
      <w:r>
        <w:rPr/>
        <w:t>计可行权的权益工具数量。在可行权日，最终预计可行权权益工具的数量与实际可行权数量一致。</w:t>
      </w:r>
    </w:p>
    <w:p>
      <w:pPr>
        <w:pStyle w:val="BodyText"/>
        <w:spacing w:line="273" w:lineRule="auto" w:before="37"/>
        <w:ind w:left="532" w:right="94" w:hanging="104"/>
        <w:jc w:val="left"/>
      </w:pPr>
      <w:r>
        <w:rPr>
          <w:rFonts w:ascii="宋体" w:hAnsi="宋体" w:cs="宋体" w:eastAsia="宋体" w:hint="default"/>
          <w:b/>
          <w:bCs/>
        </w:rPr>
        <w:t>（4）会计处理方法</w:t>
      </w:r>
      <w:r>
        <w:rPr>
          <w:rFonts w:ascii="宋体" w:hAnsi="宋体" w:cs="宋体" w:eastAsia="宋体" w:hint="default"/>
          <w:b/>
          <w:bCs/>
          <w:w w:val="99"/>
        </w:rPr>
        <w:t> </w:t>
      </w:r>
      <w:r>
        <w:rPr>
          <w:w w:val="95"/>
        </w:rPr>
        <w:t>以权益结算的股份支付，按授予职工权益工具的公允价值计量。授予后立即可行权的，在授予日按照</w:t>
      </w:r>
      <w:r>
        <w:rPr/>
      </w:r>
    </w:p>
    <w:p>
      <w:pPr>
        <w:pStyle w:val="BodyText"/>
        <w:spacing w:line="273" w:lineRule="auto" w:before="8"/>
        <w:ind w:right="215"/>
        <w:jc w:val="both"/>
      </w:pPr>
      <w:r>
        <w:rPr>
          <w:w w:val="95"/>
        </w:rPr>
        <w:t>权益工具的公允价值计入相关成本或费用，相应增加资本公积。在完成等待期内的服务或达到规定业绩条</w:t>
      </w:r>
      <w:r>
        <w:rPr>
          <w:spacing w:val="37"/>
          <w:w w:val="95"/>
        </w:rPr>
        <w:t> </w:t>
      </w:r>
      <w:r>
        <w:rPr>
          <w:spacing w:val="37"/>
          <w:w w:val="95"/>
        </w:rPr>
      </w:r>
      <w:r>
        <w:rPr>
          <w:w w:val="95"/>
        </w:rPr>
        <w:t>件才可行权的，在等待期内的每个资产负债表日，以对可行权权益工具数量的最佳估计为基础，按照权益</w:t>
      </w:r>
      <w:r>
        <w:rPr>
          <w:spacing w:val="37"/>
          <w:w w:val="95"/>
        </w:rPr>
        <w:t> </w:t>
      </w:r>
      <w:r>
        <w:rPr>
          <w:spacing w:val="37"/>
          <w:w w:val="95"/>
        </w:rPr>
      </w:r>
      <w:r>
        <w:rPr>
          <w:w w:val="95"/>
        </w:rPr>
        <w:t>工具授予日的公允价值，将当期取得的服务计入相关成本或费用和资本公积。在可行权日之后不再对已确</w:t>
      </w:r>
      <w:r>
        <w:rPr>
          <w:spacing w:val="37"/>
          <w:w w:val="95"/>
        </w:rPr>
        <w:t> </w:t>
      </w:r>
      <w:r>
        <w:rPr>
          <w:spacing w:val="37"/>
          <w:w w:val="95"/>
        </w:rPr>
      </w:r>
      <w:r>
        <w:rPr/>
        <w:t>认的相关成本或费用和所有者权益总额进行调整。</w:t>
      </w:r>
    </w:p>
    <w:p>
      <w:pPr>
        <w:pStyle w:val="BodyText"/>
        <w:spacing w:line="273" w:lineRule="auto"/>
        <w:ind w:right="105" w:firstLine="420"/>
        <w:jc w:val="left"/>
      </w:pPr>
      <w:r>
        <w:rPr/>
        <w:t>以现金结算的股份支付，按照本公司承担的以股份或其他权益工具为基础计算确定的负债的公允价值</w:t>
      </w:r>
      <w:r>
        <w:rPr>
          <w:w w:val="99"/>
        </w:rPr>
        <w:t> </w:t>
      </w:r>
      <w:r>
        <w:rPr>
          <w:spacing w:val="-3"/>
        </w:rPr>
        <w:t>计量。授予后立即可行权的，在授予日以本公司承担负债的公允价值计入相关成本或费用，相应增加负债。</w:t>
      </w:r>
      <w:r>
        <w:rPr>
          <w:w w:val="99"/>
        </w:rPr>
        <w:t> </w:t>
      </w:r>
      <w:r>
        <w:rPr/>
        <w:t>在完成等待期内的服务或达到规定业绩条件以后才可行权的以现金结算的股份支付，在等待期内的每个资</w:t>
      </w:r>
      <w:r>
        <w:rPr>
          <w:w w:val="99"/>
        </w:rPr>
        <w:t> </w:t>
      </w:r>
      <w:r>
        <w:rPr/>
        <w:t>产负债表日，以对可行权情况的最佳估计为基础，按照本公司承担负债的公允价值金额，将当期取得的服</w:t>
      </w:r>
      <w:r>
        <w:rPr>
          <w:w w:val="99"/>
        </w:rPr>
        <w:t> </w:t>
      </w:r>
      <w:r>
        <w:rPr/>
        <w:t>务计入成本或费用和相应的负债。在相关负债结算前的每个资产负债表日以及结算日，对负债的公允价值</w:t>
      </w:r>
      <w:r>
        <w:rPr>
          <w:w w:val="99"/>
        </w:rPr>
        <w:t> </w:t>
      </w:r>
      <w:r>
        <w:rPr/>
        <w:t>重新计量，其变动计入当期损益。</w:t>
      </w:r>
    </w:p>
    <w:p>
      <w:pPr>
        <w:pStyle w:val="BodyText"/>
        <w:spacing w:line="273" w:lineRule="auto" w:before="8"/>
        <w:ind w:right="212" w:firstLine="420"/>
        <w:jc w:val="both"/>
      </w:pPr>
      <w:r>
        <w:rPr>
          <w:w w:val="95"/>
        </w:rPr>
        <w:t>若在等待期内取消了授予的权益工具，本公司对取消所授予的权益性工具作为加速行权处理，将剩余</w:t>
      </w:r>
      <w:r>
        <w:rPr>
          <w:w w:val="99"/>
        </w:rPr>
        <w:t> </w:t>
      </w:r>
      <w:r>
        <w:rPr>
          <w:w w:val="95"/>
        </w:rPr>
        <w:t>等待期内应确认的金额立即计入当期损益，同时确认资本公积。职工或其他方能够选择满足非可行权条件</w:t>
      </w:r>
      <w:r>
        <w:rPr>
          <w:spacing w:val="37"/>
          <w:w w:val="95"/>
        </w:rPr>
        <w:t> </w:t>
      </w:r>
      <w:r>
        <w:rPr>
          <w:spacing w:val="37"/>
          <w:w w:val="95"/>
        </w:rPr>
      </w:r>
      <w:r>
        <w:rPr/>
        <w:t>但在等待期内未满足的，本公司将其作为授予权益工具的取消处理。</w:t>
      </w:r>
    </w:p>
    <w:p>
      <w:pPr>
        <w:spacing w:after="0" w:line="273" w:lineRule="auto"/>
        <w:jc w:val="both"/>
        <w:sectPr>
          <w:pgSz w:w="11910" w:h="16840"/>
          <w:pgMar w:header="746" w:footer="937" w:top="1040" w:bottom="1120" w:left="1020" w:right="920"/>
        </w:sectPr>
      </w:pPr>
    </w:p>
    <w:p>
      <w:pPr>
        <w:spacing w:line="240" w:lineRule="auto" w:before="6"/>
        <w:rPr>
          <w:rFonts w:ascii="宋体" w:hAnsi="宋体" w:cs="宋体" w:eastAsia="宋体" w:hint="default"/>
          <w:sz w:val="25"/>
          <w:szCs w:val="25"/>
        </w:rPr>
      </w:pPr>
    </w:p>
    <w:p>
      <w:pPr>
        <w:pStyle w:val="Heading5"/>
        <w:spacing w:line="240" w:lineRule="auto" w:before="34"/>
        <w:ind w:right="94"/>
        <w:jc w:val="left"/>
        <w:rPr>
          <w:b w:val="0"/>
          <w:bCs w:val="0"/>
        </w:rPr>
      </w:pPr>
      <w:r>
        <w:rPr/>
        <w:t>27、优先股、永续债等其他金融工具</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right="212" w:firstLine="420"/>
        <w:jc w:val="both"/>
      </w:pPr>
      <w:r>
        <w:rPr>
          <w:w w:val="95"/>
        </w:rPr>
        <w:t>本公司按照金融工具准则的规定，根据所发行优先股、永续债等金融工具的合同条款及其所反映的经</w:t>
      </w:r>
      <w:r>
        <w:rPr>
          <w:w w:val="99"/>
        </w:rPr>
        <w:t> </w:t>
      </w:r>
      <w:r>
        <w:rPr>
          <w:w w:val="95"/>
        </w:rPr>
        <w:t>济实质而非仅以法律形式，结合金融负债和权益工具的定义，在初始确认时将该金融工具或其组成部分分</w:t>
      </w:r>
      <w:r>
        <w:rPr>
          <w:spacing w:val="40"/>
          <w:w w:val="95"/>
        </w:rPr>
        <w:t> </w:t>
      </w:r>
      <w:r>
        <w:rPr>
          <w:spacing w:val="40"/>
          <w:w w:val="95"/>
        </w:rPr>
      </w:r>
      <w:r>
        <w:rPr/>
        <w:t>类为金融负债或权益工具：</w:t>
      </w:r>
    </w:p>
    <w:p>
      <w:pPr>
        <w:spacing w:line="273" w:lineRule="auto" w:before="7"/>
        <w:ind w:left="532" w:right="3720" w:hanging="104"/>
        <w:jc w:val="left"/>
        <w:rPr>
          <w:rFonts w:ascii="宋体" w:hAnsi="宋体" w:cs="宋体" w:eastAsia="宋体" w:hint="default"/>
          <w:sz w:val="21"/>
          <w:szCs w:val="21"/>
        </w:rPr>
      </w:pPr>
      <w:r>
        <w:rPr>
          <w:rFonts w:ascii="宋体" w:hAnsi="宋体" w:cs="宋体" w:eastAsia="宋体" w:hint="default"/>
          <w:b/>
          <w:bCs/>
          <w:sz w:val="21"/>
          <w:szCs w:val="21"/>
        </w:rPr>
        <w:t>（1）符合下列条件之一，将发行的金融工具分类为金融负债：</w:t>
      </w:r>
      <w:r>
        <w:rPr>
          <w:rFonts w:ascii="宋体" w:hAnsi="宋体" w:cs="宋体" w:eastAsia="宋体" w:hint="default"/>
          <w:b/>
          <w:bCs/>
          <w:w w:val="99"/>
          <w:sz w:val="21"/>
          <w:szCs w:val="21"/>
        </w:rPr>
        <w:t> </w:t>
      </w:r>
      <w:r>
        <w:rPr>
          <w:rFonts w:ascii="宋体" w:hAnsi="宋体" w:cs="宋体" w:eastAsia="宋体" w:hint="default"/>
          <w:sz w:val="21"/>
          <w:szCs w:val="21"/>
        </w:rPr>
        <w:t>1）向其他方交付现金或其他金融资产的合同义务；</w:t>
      </w:r>
    </w:p>
    <w:p>
      <w:pPr>
        <w:pStyle w:val="BodyText"/>
        <w:spacing w:line="240" w:lineRule="auto"/>
        <w:ind w:left="532" w:right="94"/>
        <w:jc w:val="left"/>
      </w:pPr>
      <w:r>
        <w:rPr/>
        <w:t>2）在潜在不利条件下，与其他方交换金融资产或金融负债的合同义务；</w:t>
      </w:r>
    </w:p>
    <w:p>
      <w:pPr>
        <w:pStyle w:val="BodyText"/>
        <w:spacing w:line="273" w:lineRule="auto" w:before="37"/>
        <w:ind w:right="296" w:firstLine="420"/>
        <w:jc w:val="both"/>
      </w:pPr>
      <w:r>
        <w:rPr>
          <w:w w:val="95"/>
        </w:rPr>
        <w:t>3）将来须用或可用企业自身权益工具进行结算的非衍生工具合同，且企业根据该合同将交付可变数</w:t>
      </w:r>
      <w:r>
        <w:rPr>
          <w:spacing w:val="-85"/>
          <w:w w:val="95"/>
        </w:rPr>
        <w:t> </w:t>
      </w:r>
      <w:r>
        <w:rPr>
          <w:spacing w:val="-85"/>
          <w:w w:val="95"/>
        </w:rPr>
      </w:r>
      <w:r>
        <w:rPr/>
        <w:t>量的自身权益工具；</w:t>
      </w:r>
    </w:p>
    <w:p>
      <w:pPr>
        <w:pStyle w:val="BodyText"/>
        <w:spacing w:line="273" w:lineRule="auto"/>
        <w:ind w:right="296" w:firstLine="420"/>
        <w:jc w:val="both"/>
      </w:pPr>
      <w:r>
        <w:rPr>
          <w:w w:val="95"/>
        </w:rPr>
        <w:t>4）将来须用或可用企业自身权益工具进行结算的衍生工具合同，但以固定数量的自身权益工具交换</w:t>
      </w:r>
      <w:r>
        <w:rPr>
          <w:spacing w:val="-85"/>
          <w:w w:val="95"/>
        </w:rPr>
        <w:t> </w:t>
      </w:r>
      <w:r>
        <w:rPr>
          <w:spacing w:val="-85"/>
          <w:w w:val="95"/>
        </w:rPr>
      </w:r>
      <w:r>
        <w:rPr/>
        <w:t>固定金额的现金或其他金融资产的衍生工具合同除外。</w:t>
      </w:r>
    </w:p>
    <w:p>
      <w:pPr>
        <w:spacing w:line="273" w:lineRule="auto" w:before="7"/>
        <w:ind w:left="532" w:right="94" w:hanging="104"/>
        <w:jc w:val="left"/>
        <w:rPr>
          <w:rFonts w:ascii="宋体" w:hAnsi="宋体" w:cs="宋体" w:eastAsia="宋体" w:hint="default"/>
          <w:sz w:val="21"/>
          <w:szCs w:val="21"/>
        </w:rPr>
      </w:pPr>
      <w:r>
        <w:rPr>
          <w:rFonts w:ascii="宋体" w:hAnsi="宋体" w:cs="宋体" w:eastAsia="宋体" w:hint="default"/>
          <w:b/>
          <w:bCs/>
          <w:sz w:val="21"/>
          <w:szCs w:val="21"/>
        </w:rPr>
        <w:t>（2）同时满足下列条件的，将发行的金融工具分类为权益工具：</w:t>
      </w:r>
      <w:r>
        <w:rPr>
          <w:rFonts w:ascii="宋体" w:hAnsi="宋体" w:cs="宋体" w:eastAsia="宋体" w:hint="default"/>
          <w:b/>
          <w:bCs/>
          <w:w w:val="99"/>
          <w:sz w:val="21"/>
          <w:szCs w:val="21"/>
        </w:rPr>
        <w:t> </w:t>
      </w:r>
      <w:r>
        <w:rPr>
          <w:rFonts w:ascii="宋体" w:hAnsi="宋体" w:cs="宋体" w:eastAsia="宋体" w:hint="default"/>
          <w:w w:val="95"/>
          <w:sz w:val="21"/>
          <w:szCs w:val="21"/>
        </w:rPr>
        <w:t>1）该金融工具不包括交付现金或其他金融资产给其他方，或在潜在不利条件下与其他方交换金融资</w:t>
      </w:r>
      <w:r>
        <w:rPr>
          <w:rFonts w:ascii="宋体" w:hAnsi="宋体" w:cs="宋体" w:eastAsia="宋体" w:hint="default"/>
          <w:sz w:val="21"/>
          <w:szCs w:val="21"/>
        </w:rPr>
      </w:r>
    </w:p>
    <w:p>
      <w:pPr>
        <w:pStyle w:val="BodyText"/>
        <w:spacing w:line="273" w:lineRule="auto"/>
        <w:ind w:left="532" w:right="94" w:hanging="420"/>
        <w:jc w:val="left"/>
      </w:pPr>
      <w:r>
        <w:rPr/>
        <w:t>产或金融负债的合同义务；</w:t>
      </w:r>
      <w:r>
        <w:rPr>
          <w:w w:val="99"/>
        </w:rPr>
        <w:t> </w:t>
      </w:r>
      <w:r>
        <w:rPr>
          <w:w w:val="95"/>
        </w:rPr>
        <w:t>2）将来须用或可用企业自身权益工具结算该金融工具的，如该金融工具为非衍生工具，不包括交付</w:t>
      </w:r>
      <w:r>
        <w:rPr/>
      </w:r>
    </w:p>
    <w:p>
      <w:pPr>
        <w:pStyle w:val="BodyText"/>
        <w:spacing w:line="273" w:lineRule="auto"/>
        <w:ind w:right="94"/>
        <w:jc w:val="left"/>
      </w:pPr>
      <w:r>
        <w:rPr>
          <w:w w:val="95"/>
        </w:rPr>
        <w:t>可变数量的自身权益工具进行结算的合同义务；如为衍生工具，企业只能通过以固定数量的自身权益工具</w:t>
      </w:r>
      <w:r>
        <w:rPr>
          <w:spacing w:val="37"/>
          <w:w w:val="95"/>
        </w:rPr>
        <w:t> </w:t>
      </w:r>
      <w:r>
        <w:rPr>
          <w:spacing w:val="37"/>
          <w:w w:val="95"/>
        </w:rPr>
      </w:r>
      <w:r>
        <w:rPr/>
        <w:t>交换固定金额的现金或其他金融资产结算该金融工具。</w:t>
      </w:r>
    </w:p>
    <w:p>
      <w:pPr>
        <w:pStyle w:val="BodyText"/>
        <w:spacing w:line="273" w:lineRule="auto" w:before="8"/>
        <w:ind w:left="532" w:right="94" w:hanging="104"/>
        <w:jc w:val="left"/>
      </w:pPr>
      <w:r>
        <w:rPr>
          <w:rFonts w:ascii="宋体" w:hAnsi="宋体" w:cs="宋体" w:eastAsia="宋体" w:hint="default"/>
          <w:b/>
          <w:bCs/>
        </w:rPr>
        <w:t>（3）会计处理方法</w:t>
      </w:r>
      <w:r>
        <w:rPr>
          <w:rFonts w:ascii="宋体" w:hAnsi="宋体" w:cs="宋体" w:eastAsia="宋体" w:hint="default"/>
          <w:b/>
          <w:bCs/>
          <w:w w:val="99"/>
        </w:rPr>
        <w:t> </w:t>
      </w:r>
      <w:r>
        <w:rPr>
          <w:w w:val="95"/>
        </w:rPr>
        <w:t>对于归类为权益工具的金融工具，其利息支出或股利分配都应当作为发行企业的利润分配，其回购、</w:t>
      </w:r>
      <w:r>
        <w:rPr/>
      </w:r>
    </w:p>
    <w:p>
      <w:pPr>
        <w:pStyle w:val="BodyText"/>
        <w:spacing w:line="273" w:lineRule="auto"/>
        <w:ind w:right="94"/>
        <w:jc w:val="left"/>
      </w:pPr>
      <w:r>
        <w:rPr/>
        <w:t>注销等作为权益的变动处理，手续费、佣金等交易费用从权益中扣除；</w:t>
      </w:r>
      <w:r>
        <w:rPr>
          <w:w w:val="99"/>
        </w:rPr>
        <w:t> </w:t>
      </w:r>
      <w:r>
        <w:rPr>
          <w:w w:val="95"/>
        </w:rPr>
        <w:t>对于归类为金融负债的金融工具，其利息支出或股利分配原则上按照借款费用进行处理，其回购或赎回产</w:t>
      </w:r>
      <w:r>
        <w:rPr>
          <w:spacing w:val="40"/>
          <w:w w:val="95"/>
        </w:rPr>
        <w:t> </w:t>
      </w:r>
      <w:r>
        <w:rPr>
          <w:spacing w:val="40"/>
          <w:w w:val="95"/>
        </w:rPr>
      </w:r>
      <w:r>
        <w:rPr/>
        <w:t>生的利得或损失等计入当期损益，手续费、佣金等交易费用计入所发行工具的初始计量金额。</w:t>
      </w:r>
    </w:p>
    <w:p>
      <w:pPr>
        <w:spacing w:line="240" w:lineRule="auto" w:before="9"/>
        <w:rPr>
          <w:rFonts w:ascii="宋体" w:hAnsi="宋体" w:cs="宋体" w:eastAsia="宋体" w:hint="default"/>
          <w:sz w:val="23"/>
          <w:szCs w:val="23"/>
        </w:rPr>
      </w:pPr>
    </w:p>
    <w:p>
      <w:pPr>
        <w:pStyle w:val="Heading5"/>
        <w:spacing w:line="240" w:lineRule="auto"/>
        <w:ind w:right="94"/>
        <w:jc w:val="left"/>
        <w:rPr>
          <w:b w:val="0"/>
          <w:bCs w:val="0"/>
        </w:rPr>
      </w:pPr>
      <w:r>
        <w:rPr/>
        <w:t>28、收入</w:t>
      </w:r>
      <w:r>
        <w:rPr>
          <w:b w:val="0"/>
          <w:bCs w:val="0"/>
        </w:rPr>
      </w:r>
    </w:p>
    <w:p>
      <w:pPr>
        <w:spacing w:line="240" w:lineRule="auto" w:before="7"/>
        <w:rPr>
          <w:rFonts w:ascii="宋体" w:hAnsi="宋体" w:cs="宋体" w:eastAsia="宋体" w:hint="default"/>
          <w:b/>
          <w:bCs/>
          <w:sz w:val="27"/>
          <w:szCs w:val="27"/>
        </w:rPr>
      </w:pPr>
    </w:p>
    <w:p>
      <w:pPr>
        <w:spacing w:line="360" w:lineRule="auto" w:before="0"/>
        <w:ind w:left="11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73" w:lineRule="auto" w:before="2"/>
        <w:ind w:left="532" w:right="94" w:hanging="104"/>
        <w:jc w:val="left"/>
        <w:rPr>
          <w:rFonts w:ascii="宋体" w:hAnsi="宋体" w:cs="宋体" w:eastAsia="宋体" w:hint="default"/>
          <w:sz w:val="21"/>
          <w:szCs w:val="21"/>
        </w:rPr>
      </w:pPr>
      <w:r>
        <w:rPr>
          <w:rFonts w:ascii="宋体" w:hAnsi="宋体" w:cs="宋体" w:eastAsia="宋体" w:hint="default"/>
          <w:b/>
          <w:bCs/>
          <w:sz w:val="21"/>
          <w:szCs w:val="21"/>
        </w:rPr>
        <w:t>（1）销售商品收入确认时间的具体判断标准</w:t>
      </w:r>
      <w:r>
        <w:rPr>
          <w:rFonts w:ascii="宋体" w:hAnsi="宋体" w:cs="宋体" w:eastAsia="宋体" w:hint="default"/>
          <w:b/>
          <w:bCs/>
          <w:w w:val="99"/>
          <w:sz w:val="21"/>
          <w:szCs w:val="21"/>
        </w:rPr>
        <w:t> </w:t>
      </w:r>
      <w:r>
        <w:rPr>
          <w:rFonts w:ascii="宋体" w:hAnsi="宋体" w:cs="宋体" w:eastAsia="宋体" w:hint="default"/>
          <w:w w:val="95"/>
          <w:sz w:val="21"/>
          <w:szCs w:val="21"/>
        </w:rPr>
        <w:t>公司已将商品所有权上的主要风险和报酬转移给购买方；公司既没有保留与所有权相联系的继续管理</w:t>
      </w:r>
      <w:r>
        <w:rPr>
          <w:rFonts w:ascii="宋体" w:hAnsi="宋体" w:cs="宋体" w:eastAsia="宋体" w:hint="default"/>
          <w:sz w:val="21"/>
          <w:szCs w:val="21"/>
        </w:rPr>
      </w:r>
    </w:p>
    <w:p>
      <w:pPr>
        <w:pStyle w:val="BodyText"/>
        <w:spacing w:line="273" w:lineRule="auto"/>
        <w:ind w:right="105"/>
        <w:jc w:val="left"/>
      </w:pPr>
      <w:r>
        <w:rPr>
          <w:spacing w:val="-3"/>
        </w:rPr>
        <w:t>权，也没有对已售出的商品实施有效控制；收入的金额能够可靠地计量；相关的经济利益很可能流入企业；</w:t>
      </w:r>
      <w:r>
        <w:rPr>
          <w:w w:val="99"/>
        </w:rPr>
        <w:t> </w:t>
      </w:r>
      <w:r>
        <w:rPr/>
        <w:t>相关的已发生或将发生的成本能够可靠地计量时，确认商品销售收入实现。</w:t>
      </w:r>
    </w:p>
    <w:p>
      <w:pPr>
        <w:pStyle w:val="BodyText"/>
        <w:spacing w:line="273" w:lineRule="auto"/>
        <w:ind w:right="94" w:firstLine="420"/>
        <w:jc w:val="left"/>
      </w:pPr>
      <w:r>
        <w:rPr>
          <w:w w:val="95"/>
        </w:rPr>
        <w:t>合同或协议价款的收取采用递延方式，实质上具有融资性质的，按照应收的合同或协议价款的公允价</w:t>
      </w:r>
      <w:r>
        <w:rPr>
          <w:w w:val="99"/>
        </w:rPr>
        <w:t> </w:t>
      </w:r>
      <w:r>
        <w:rPr/>
        <w:t>值确定销售商品收入金额。</w:t>
      </w:r>
    </w:p>
    <w:p>
      <w:pPr>
        <w:spacing w:line="273" w:lineRule="auto" w:before="7"/>
        <w:ind w:left="532" w:right="94" w:hanging="104"/>
        <w:jc w:val="left"/>
        <w:rPr>
          <w:rFonts w:ascii="宋体" w:hAnsi="宋体" w:cs="宋体" w:eastAsia="宋体" w:hint="default"/>
          <w:sz w:val="21"/>
          <w:szCs w:val="21"/>
        </w:rPr>
      </w:pPr>
      <w:r>
        <w:rPr>
          <w:rFonts w:ascii="宋体" w:hAnsi="宋体" w:cs="宋体" w:eastAsia="宋体" w:hint="default"/>
          <w:b/>
          <w:bCs/>
          <w:sz w:val="21"/>
          <w:szCs w:val="21"/>
        </w:rPr>
        <w:t>（2）确认让渡资产使用权收入的依据</w:t>
      </w:r>
      <w:r>
        <w:rPr>
          <w:rFonts w:ascii="宋体" w:hAnsi="宋体" w:cs="宋体" w:eastAsia="宋体" w:hint="default"/>
          <w:b/>
          <w:bCs/>
          <w:w w:val="99"/>
          <w:sz w:val="21"/>
          <w:szCs w:val="21"/>
        </w:rPr>
        <w:t> </w:t>
      </w:r>
      <w:r>
        <w:rPr>
          <w:rFonts w:ascii="宋体" w:hAnsi="宋体" w:cs="宋体" w:eastAsia="宋体" w:hint="default"/>
          <w:w w:val="95"/>
          <w:sz w:val="21"/>
          <w:szCs w:val="21"/>
        </w:rPr>
        <w:t>与交易相关的经济利益很可能流入企业，收入的金额能够可靠地计量时，分别下列情况确定让渡资产</w:t>
      </w:r>
      <w:r>
        <w:rPr>
          <w:rFonts w:ascii="宋体" w:hAnsi="宋体" w:cs="宋体" w:eastAsia="宋体" w:hint="default"/>
          <w:sz w:val="21"/>
          <w:szCs w:val="21"/>
        </w:rPr>
      </w:r>
    </w:p>
    <w:p>
      <w:pPr>
        <w:pStyle w:val="BodyText"/>
        <w:spacing w:line="273" w:lineRule="auto"/>
        <w:ind w:left="532" w:right="1311" w:hanging="420"/>
        <w:jc w:val="left"/>
      </w:pPr>
      <w:r>
        <w:rPr/>
        <w:t>使用权收入金额：</w:t>
      </w:r>
      <w:r>
        <w:rPr>
          <w:w w:val="99"/>
        </w:rPr>
        <w:t> </w:t>
      </w:r>
      <w:r>
        <w:rPr>
          <w:w w:val="95"/>
        </w:rPr>
        <w:t>1）利息收入金额，按照他人使用本企业货币资金的时间和实际利率计算确定。</w:t>
      </w:r>
      <w:r>
        <w:rPr/>
      </w:r>
    </w:p>
    <w:p>
      <w:pPr>
        <w:pStyle w:val="BodyText"/>
        <w:spacing w:line="240" w:lineRule="auto"/>
        <w:ind w:left="532" w:right="94"/>
        <w:jc w:val="left"/>
      </w:pPr>
      <w:r>
        <w:rPr/>
        <w:t>2）使用费收入金额，按照有关合同或协议约定的收费时间和方法计算确定。</w:t>
      </w:r>
    </w:p>
    <w:p>
      <w:pPr>
        <w:spacing w:line="273" w:lineRule="auto" w:before="37"/>
        <w:ind w:left="532" w:right="94" w:hanging="104"/>
        <w:jc w:val="left"/>
        <w:rPr>
          <w:rFonts w:ascii="宋体" w:hAnsi="宋体" w:cs="宋体" w:eastAsia="宋体" w:hint="default"/>
          <w:sz w:val="21"/>
          <w:szCs w:val="21"/>
        </w:rPr>
      </w:pPr>
      <w:r>
        <w:rPr>
          <w:rFonts w:ascii="宋体" w:hAnsi="宋体" w:cs="宋体" w:eastAsia="宋体" w:hint="default"/>
          <w:b/>
          <w:bCs/>
          <w:sz w:val="21"/>
          <w:szCs w:val="21"/>
        </w:rPr>
        <w:t>（3）提供劳务收入的确认依据和方法</w:t>
      </w:r>
      <w:r>
        <w:rPr>
          <w:rFonts w:ascii="宋体" w:hAnsi="宋体" w:cs="宋体" w:eastAsia="宋体" w:hint="default"/>
          <w:b/>
          <w:bCs/>
          <w:w w:val="99"/>
          <w:sz w:val="21"/>
          <w:szCs w:val="21"/>
        </w:rPr>
        <w:t> </w:t>
      </w:r>
      <w:r>
        <w:rPr>
          <w:rFonts w:ascii="宋体" w:hAnsi="宋体" w:cs="宋体" w:eastAsia="宋体" w:hint="default"/>
          <w:w w:val="95"/>
          <w:sz w:val="21"/>
          <w:szCs w:val="21"/>
        </w:rPr>
        <w:t>在资产负债表日提供劳务交易的结果能够可靠估计的，采用完工百分比法确认提供劳务收入。提供劳</w:t>
      </w:r>
      <w:r>
        <w:rPr>
          <w:rFonts w:ascii="宋体" w:hAnsi="宋体" w:cs="宋体" w:eastAsia="宋体" w:hint="default"/>
          <w:sz w:val="21"/>
          <w:szCs w:val="21"/>
        </w:rPr>
      </w:r>
    </w:p>
    <w:p>
      <w:pPr>
        <w:pStyle w:val="BodyText"/>
        <w:spacing w:line="273" w:lineRule="auto"/>
        <w:ind w:left="532" w:right="94" w:hanging="420"/>
        <w:jc w:val="left"/>
      </w:pPr>
      <w:r>
        <w:rPr/>
        <w:t>务交易的完工进度，依据已完工作的测量确定。</w:t>
      </w:r>
      <w:r>
        <w:rPr>
          <w:w w:val="99"/>
        </w:rPr>
        <w:t> </w:t>
      </w:r>
      <w:r>
        <w:rPr>
          <w:w w:val="95"/>
        </w:rPr>
        <w:t>提供劳务交易的结果能够可靠估计，是指同时满足下列条件：</w:t>
      </w:r>
      <w:r>
        <w:rPr/>
      </w:r>
    </w:p>
    <w:p>
      <w:pPr>
        <w:pStyle w:val="BodyText"/>
        <w:spacing w:line="240" w:lineRule="auto"/>
        <w:ind w:left="532" w:right="94"/>
        <w:jc w:val="left"/>
      </w:pPr>
      <w:r>
        <w:rPr/>
        <w:t>①收入的金额能够可靠地计量；</w:t>
      </w:r>
    </w:p>
    <w:p>
      <w:pPr>
        <w:spacing w:after="0" w:line="240" w:lineRule="auto"/>
        <w:jc w:val="left"/>
        <w:sectPr>
          <w:pgSz w:w="11910" w:h="16840"/>
          <w:pgMar w:header="746" w:footer="937" w:top="1040" w:bottom="1120" w:left="1020" w:right="920"/>
        </w:sectPr>
      </w:pPr>
    </w:p>
    <w:p>
      <w:pPr>
        <w:spacing w:line="240" w:lineRule="auto" w:before="6"/>
        <w:rPr>
          <w:rFonts w:ascii="宋体" w:hAnsi="宋体" w:cs="宋体" w:eastAsia="宋体" w:hint="default"/>
          <w:sz w:val="25"/>
          <w:szCs w:val="25"/>
        </w:rPr>
      </w:pPr>
    </w:p>
    <w:p>
      <w:pPr>
        <w:pStyle w:val="BodyText"/>
        <w:spacing w:line="240" w:lineRule="auto" w:before="34"/>
        <w:ind w:left="532" w:right="0"/>
        <w:jc w:val="left"/>
      </w:pPr>
      <w:r>
        <w:rPr/>
        <w:t>②相关的经济利益很可能流入企业；</w:t>
      </w:r>
    </w:p>
    <w:p>
      <w:pPr>
        <w:pStyle w:val="BodyText"/>
        <w:spacing w:line="240" w:lineRule="auto" w:before="37"/>
        <w:ind w:left="532" w:right="0"/>
        <w:jc w:val="left"/>
      </w:pPr>
      <w:r>
        <w:rPr/>
        <w:t>③交易的完工进度能够可靠地确定；</w:t>
      </w:r>
    </w:p>
    <w:p>
      <w:pPr>
        <w:pStyle w:val="BodyText"/>
        <w:spacing w:line="273" w:lineRule="auto" w:before="37"/>
        <w:ind w:left="532" w:right="0"/>
        <w:jc w:val="left"/>
      </w:pPr>
      <w:r>
        <w:rPr/>
        <w:t>④交易中已发生和将发生的成本能够可靠地计量。</w:t>
      </w:r>
      <w:r>
        <w:rPr>
          <w:w w:val="99"/>
        </w:rPr>
        <w:t> </w:t>
      </w:r>
      <w:r>
        <w:rPr>
          <w:w w:val="95"/>
        </w:rPr>
        <w:t>按照已收或应收的合同或协议价款确定提供劳务收入总额，但已收或应收的合同或协议价款不公允的</w:t>
      </w:r>
      <w:r>
        <w:rPr/>
      </w:r>
    </w:p>
    <w:p>
      <w:pPr>
        <w:pStyle w:val="BodyText"/>
        <w:spacing w:line="273" w:lineRule="auto"/>
        <w:ind w:right="112"/>
        <w:jc w:val="both"/>
      </w:pPr>
      <w:r>
        <w:rPr>
          <w:w w:val="95"/>
        </w:rPr>
        <w:t>除外。资产负债表日按照提供劳务收入总额乘以完工进度扣除以前会计期间累计已确认提供劳务收入后的</w:t>
      </w:r>
      <w:r>
        <w:rPr>
          <w:spacing w:val="39"/>
          <w:w w:val="95"/>
        </w:rPr>
        <w:t> </w:t>
      </w:r>
      <w:r>
        <w:rPr>
          <w:spacing w:val="39"/>
          <w:w w:val="95"/>
        </w:rPr>
      </w:r>
      <w:r>
        <w:rPr>
          <w:w w:val="95"/>
        </w:rPr>
        <w:t>金额，确认当期提供劳务收入；同时，按照提供劳务估计总成本乘以完工进度扣除以前会计期间累计已确</w:t>
      </w:r>
      <w:r>
        <w:rPr>
          <w:spacing w:val="37"/>
          <w:w w:val="95"/>
        </w:rPr>
        <w:t> </w:t>
      </w:r>
      <w:r>
        <w:rPr>
          <w:spacing w:val="37"/>
          <w:w w:val="95"/>
        </w:rPr>
      </w:r>
      <w:r>
        <w:rPr/>
        <w:t>认劳务成本后的金额，结转当期劳务成本。</w:t>
      </w:r>
    </w:p>
    <w:p>
      <w:pPr>
        <w:pStyle w:val="BodyText"/>
        <w:spacing w:line="240" w:lineRule="auto"/>
        <w:ind w:left="532" w:right="0"/>
        <w:jc w:val="left"/>
      </w:pPr>
      <w:r>
        <w:rPr/>
        <w:t>在资产负债表日提供劳务交易结果不能够可靠估计的，分别下列情况处理：</w:t>
      </w:r>
    </w:p>
    <w:p>
      <w:pPr>
        <w:pStyle w:val="BodyText"/>
        <w:spacing w:line="273" w:lineRule="auto" w:before="37"/>
        <w:ind w:right="115" w:firstLine="420"/>
        <w:jc w:val="both"/>
      </w:pPr>
      <w:r>
        <w:rPr>
          <w:w w:val="95"/>
        </w:rPr>
        <w:t>①已经发生的劳务成本预计能够得到补偿的，按照已经发生的劳务成本金额确认提供劳务收入，并按</w:t>
      </w:r>
      <w:r>
        <w:rPr>
          <w:w w:val="99"/>
        </w:rPr>
        <w:t> </w:t>
      </w:r>
      <w:r>
        <w:rPr/>
        <w:t>相同金额结转劳务成本。</w:t>
      </w:r>
    </w:p>
    <w:p>
      <w:pPr>
        <w:pStyle w:val="BodyText"/>
        <w:spacing w:line="273" w:lineRule="auto"/>
        <w:ind w:right="115" w:firstLine="420"/>
        <w:jc w:val="both"/>
      </w:pPr>
      <w:r>
        <w:rPr>
          <w:w w:val="95"/>
        </w:rPr>
        <w:t>②已经发生的劳务成本预计不能够得到补偿的，将已经发生的劳务成本计入当期损益，不确认提供劳</w:t>
      </w:r>
      <w:r>
        <w:rPr>
          <w:w w:val="99"/>
        </w:rPr>
        <w:t> </w:t>
      </w:r>
      <w:r>
        <w:rPr/>
        <w:t>务收入。</w:t>
      </w:r>
    </w:p>
    <w:p>
      <w:pPr>
        <w:pStyle w:val="BodyText"/>
        <w:spacing w:line="273" w:lineRule="auto"/>
        <w:ind w:right="112" w:firstLine="420"/>
        <w:jc w:val="both"/>
      </w:pPr>
      <w:r>
        <w:rPr>
          <w:w w:val="95"/>
        </w:rPr>
        <w:t>本公司与其他企业签订的合同或协议包括销售商品和提供劳务时，销售商品部分和提供劳务部分能够</w:t>
      </w:r>
      <w:r>
        <w:rPr>
          <w:w w:val="99"/>
        </w:rPr>
        <w:t> </w:t>
      </w:r>
      <w:r>
        <w:rPr>
          <w:w w:val="95"/>
        </w:rPr>
        <w:t>区分且能够单独计量的，将销售商品的部分作为销售商品处理，将提供劳务的部分作为提供劳务处理。销</w:t>
      </w:r>
      <w:r>
        <w:rPr>
          <w:spacing w:val="40"/>
          <w:w w:val="95"/>
        </w:rPr>
        <w:t> </w:t>
      </w:r>
      <w:r>
        <w:rPr>
          <w:spacing w:val="40"/>
          <w:w w:val="95"/>
        </w:rPr>
      </w:r>
      <w:r>
        <w:rPr>
          <w:w w:val="95"/>
        </w:rPr>
        <w:t>售商品部分和提供劳务部分不能够区分，或虽能区分但不能够单独计量的，将销售商品部分和提供劳务部</w:t>
      </w:r>
      <w:r>
        <w:rPr>
          <w:spacing w:val="40"/>
          <w:w w:val="95"/>
        </w:rPr>
        <w:t> </w:t>
      </w:r>
      <w:r>
        <w:rPr>
          <w:spacing w:val="40"/>
          <w:w w:val="95"/>
        </w:rPr>
      </w:r>
      <w:r>
        <w:rPr/>
        <w:t>分全部作为销售商品处理。</w:t>
      </w:r>
    </w:p>
    <w:p>
      <w:pPr>
        <w:pStyle w:val="BodyText"/>
        <w:spacing w:line="240" w:lineRule="auto"/>
        <w:ind w:left="532" w:right="0"/>
        <w:jc w:val="left"/>
      </w:pPr>
      <w:r>
        <w:rPr/>
        <w:t>具体地，本公司的收入确认原则方法如下：</w:t>
      </w:r>
    </w:p>
    <w:p>
      <w:pPr>
        <w:pStyle w:val="BodyText"/>
        <w:spacing w:line="273" w:lineRule="auto" w:before="37"/>
        <w:ind w:right="112" w:firstLine="420"/>
        <w:jc w:val="both"/>
      </w:pPr>
      <w:r>
        <w:rPr>
          <w:spacing w:val="2"/>
          <w:w w:val="95"/>
        </w:rPr>
        <w:t>①系统集成项目收入：a一般系统集成项目为一次性确认收入，即服务已经提供，并经接受服务方验</w:t>
      </w:r>
      <w:r>
        <w:rPr>
          <w:spacing w:val="-82"/>
          <w:w w:val="95"/>
        </w:rPr>
        <w:t> </w:t>
      </w:r>
      <w:r>
        <w:rPr>
          <w:spacing w:val="-82"/>
          <w:w w:val="95"/>
        </w:rPr>
      </w:r>
      <w:r>
        <w:rPr>
          <w:spacing w:val="2"/>
          <w:w w:val="95"/>
        </w:rPr>
        <w:t>收合格，取得相关的收款依据时确认为收入的实现。b复杂的系统集成项目，按工程项目服务已提供，接</w:t>
      </w:r>
      <w:r>
        <w:rPr>
          <w:spacing w:val="49"/>
          <w:w w:val="95"/>
        </w:rPr>
        <w:t> </w:t>
      </w:r>
      <w:r>
        <w:rPr>
          <w:spacing w:val="49"/>
          <w:w w:val="95"/>
        </w:rPr>
      </w:r>
      <w:r>
        <w:rPr>
          <w:w w:val="95"/>
        </w:rPr>
        <w:t>受服务方或并工程监理第三方，根据工程进度检验情况确认工程结算报告，公司据此开出结算票据取得相</w:t>
      </w:r>
      <w:r>
        <w:rPr>
          <w:spacing w:val="40"/>
          <w:w w:val="95"/>
        </w:rPr>
        <w:t> </w:t>
      </w:r>
      <w:r>
        <w:rPr>
          <w:spacing w:val="40"/>
          <w:w w:val="95"/>
        </w:rPr>
      </w:r>
      <w:r>
        <w:rPr/>
        <w:t>关的收款依据时确认收入的实现。</w:t>
      </w:r>
    </w:p>
    <w:p>
      <w:pPr>
        <w:pStyle w:val="BodyText"/>
        <w:spacing w:line="273" w:lineRule="auto"/>
        <w:ind w:right="112" w:firstLine="420"/>
        <w:jc w:val="both"/>
      </w:pPr>
      <w:r>
        <w:rPr>
          <w:w w:val="95"/>
        </w:rPr>
        <w:t>②技术服务项目收入：主要是指为各类系统集成项目提供后续的维护、改造及支持服务。收入确认的</w:t>
      </w:r>
      <w:r>
        <w:rPr>
          <w:w w:val="99"/>
        </w:rPr>
        <w:t> </w:t>
      </w:r>
      <w:r>
        <w:rPr>
          <w:w w:val="95"/>
        </w:rPr>
        <w:t>原则方法：根据服务合同，在服务期内维护及支持服务已提供并验收合格，公司开出结算票据或已取得收</w:t>
      </w:r>
      <w:r>
        <w:rPr>
          <w:spacing w:val="40"/>
          <w:w w:val="95"/>
        </w:rPr>
        <w:t> </w:t>
      </w:r>
      <w:r>
        <w:rPr>
          <w:spacing w:val="40"/>
          <w:w w:val="95"/>
        </w:rPr>
      </w:r>
      <w:r>
        <w:rPr/>
        <w:t>款的依据时，确认收入的实现。</w:t>
      </w:r>
    </w:p>
    <w:p>
      <w:pPr>
        <w:pStyle w:val="BodyText"/>
        <w:spacing w:line="273" w:lineRule="auto"/>
        <w:ind w:right="110" w:firstLine="420"/>
        <w:jc w:val="both"/>
      </w:pPr>
      <w:r>
        <w:rPr>
          <w:w w:val="95"/>
        </w:rPr>
        <w:t>③技术转让项目收入：主要是指公司自主或联合研发的软件系统转让项目。收入确认的原则方法：根</w:t>
      </w:r>
      <w:r>
        <w:rPr>
          <w:spacing w:val="-97"/>
          <w:w w:val="95"/>
        </w:rPr>
        <w:t> </w:t>
      </w:r>
      <w:r>
        <w:rPr>
          <w:spacing w:val="-97"/>
          <w:w w:val="95"/>
        </w:rPr>
      </w:r>
      <w:r>
        <w:rPr>
          <w:w w:val="95"/>
        </w:rPr>
        <w:t>据技术转让合同，技术已转让并验收，与合同相关的收入已经取得或取得收款的依据，相关的成本能够可</w:t>
      </w:r>
      <w:r>
        <w:rPr>
          <w:spacing w:val="43"/>
          <w:w w:val="95"/>
        </w:rPr>
        <w:t> </w:t>
      </w:r>
      <w:r>
        <w:rPr>
          <w:spacing w:val="43"/>
          <w:w w:val="95"/>
        </w:rPr>
      </w:r>
      <w:r>
        <w:rPr/>
        <w:t>靠计量时，确认收入的实现。</w:t>
      </w:r>
    </w:p>
    <w:p>
      <w:pPr>
        <w:pStyle w:val="BodyText"/>
        <w:spacing w:line="273" w:lineRule="auto" w:before="8"/>
        <w:ind w:right="112" w:firstLine="420"/>
        <w:jc w:val="both"/>
      </w:pPr>
      <w:r>
        <w:rPr>
          <w:w w:val="95"/>
        </w:rPr>
        <w:t>④商品销售：主要指公司销售的光通讯产品，收入确认的原则方法：公司产品已经发出，已将产品所</w:t>
      </w:r>
      <w:r>
        <w:rPr>
          <w:w w:val="99"/>
        </w:rPr>
        <w:t> </w:t>
      </w:r>
      <w:r>
        <w:rPr>
          <w:w w:val="95"/>
        </w:rPr>
        <w:t>有权上的重要风险和报酬转移给买方，公司不再对该商品实施继续管理权和实际控制权，相关的收入已收</w:t>
      </w:r>
      <w:r>
        <w:rPr>
          <w:spacing w:val="40"/>
          <w:w w:val="95"/>
        </w:rPr>
        <w:t> </w:t>
      </w:r>
      <w:r>
        <w:rPr>
          <w:spacing w:val="40"/>
          <w:w w:val="95"/>
        </w:rPr>
      </w:r>
      <w:r>
        <w:rPr/>
        <w:t>到或取得了收取货款的证据，并且与销售该商品有关的成本能够可靠的计量时，确认收入的实现。</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t>29、政府补助</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both"/>
        <w:rPr>
          <w:b w:val="0"/>
          <w:bCs w:val="0"/>
        </w:rPr>
      </w:pPr>
      <w:r>
        <w:rPr/>
        <w:t>（1）与资产相关的政府补助判断依据及会计处理方法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0"/>
        <w:jc w:val="left"/>
      </w:pPr>
      <w:r>
        <w:rPr/>
        <w:t>与资产相关的政府补助，是指本公司取得的、用于购建或以其他方式形成长期资产的政府补助。</w:t>
      </w:r>
      <w:r>
        <w:rPr>
          <w:w w:val="99"/>
        </w:rPr>
        <w:t> </w:t>
      </w:r>
      <w:r>
        <w:rPr/>
        <w:t>与资产相关的政府补助，确认为递延收益，按照所建造或购买的资产使用年限内分期计入损益；</w:t>
      </w:r>
      <w:r>
        <w:rPr>
          <w:w w:val="99"/>
        </w:rPr>
        <w:t> </w:t>
      </w:r>
      <w:r>
        <w:rPr>
          <w:w w:val="95"/>
        </w:rPr>
        <w:t>已确认的政府补助需要返还时，初始确认时冲减相关资产账面价值的，调整资产账面价值；存在相关</w:t>
      </w:r>
      <w:r>
        <w:rPr/>
      </w:r>
    </w:p>
    <w:p>
      <w:pPr>
        <w:pStyle w:val="BodyText"/>
        <w:spacing w:line="273" w:lineRule="auto"/>
        <w:ind w:right="112"/>
        <w:jc w:val="both"/>
      </w:pPr>
      <w:r>
        <w:rPr>
          <w:w w:val="95"/>
        </w:rPr>
        <w:t>递延收益余额的，冲减相关递延收益账面余额，超出部分计入当期损益；不存在相关递延收益的，直接计</w:t>
      </w:r>
      <w:r>
        <w:rPr>
          <w:spacing w:val="41"/>
          <w:w w:val="95"/>
        </w:rPr>
        <w:t> </w:t>
      </w:r>
      <w:r>
        <w:rPr>
          <w:spacing w:val="41"/>
          <w:w w:val="95"/>
        </w:rPr>
      </w:r>
      <w:r>
        <w:rPr/>
        <w:t>入当期损益。</w:t>
      </w:r>
    </w:p>
    <w:p>
      <w:pPr>
        <w:spacing w:line="240" w:lineRule="auto" w:before="7"/>
        <w:rPr>
          <w:rFonts w:ascii="宋体" w:hAnsi="宋体" w:cs="宋体" w:eastAsia="宋体" w:hint="default"/>
          <w:sz w:val="23"/>
          <w:szCs w:val="23"/>
        </w:rPr>
      </w:pPr>
    </w:p>
    <w:p>
      <w:pPr>
        <w:spacing w:line="535" w:lineRule="auto" w:before="0"/>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（2）与收益相关的政府补助判断依据及会计处理方法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与收益相关的政府补助，是指除与资产相关的政府补助之外的政府补助。</w:t>
      </w:r>
      <w:r>
        <w:rPr>
          <w:rFonts w:ascii="宋体" w:hAnsi="宋体" w:cs="宋体" w:eastAsia="宋体" w:hint="default"/>
          <w:sz w:val="21"/>
          <w:szCs w:val="21"/>
        </w:rPr>
      </w:r>
    </w:p>
    <w:p>
      <w:pPr>
        <w:spacing w:after="0" w:line="535" w:lineRule="auto"/>
        <w:jc w:val="left"/>
        <w:rPr>
          <w:rFonts w:ascii="宋体" w:hAnsi="宋体" w:cs="宋体" w:eastAsia="宋体" w:hint="default"/>
          <w:sz w:val="21"/>
          <w:szCs w:val="21"/>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BodyText"/>
        <w:spacing w:line="273" w:lineRule="auto" w:before="34"/>
        <w:ind w:right="192" w:firstLine="420"/>
        <w:jc w:val="right"/>
      </w:pPr>
      <w:r>
        <w:rPr>
          <w:w w:val="95"/>
        </w:rPr>
        <w:t>与收益相关的政府补助，用于补偿企业以后期间的相关费用或损失的，确认为递延收益，在确认相关</w:t>
      </w:r>
      <w:r>
        <w:rPr>
          <w:w w:val="99"/>
        </w:rPr>
        <w:t> </w:t>
      </w:r>
      <w:r>
        <w:rPr>
          <w:w w:val="95"/>
        </w:rPr>
        <w:t>费用或损失的期间计入当期损益；用于补偿企业已发生的相关费用或损失的，取得时直接计入当期损益。</w:t>
      </w:r>
      <w:r>
        <w:rPr>
          <w:spacing w:val="33"/>
          <w:w w:val="95"/>
        </w:rPr>
        <w:t> </w:t>
      </w:r>
      <w:r>
        <w:rPr>
          <w:spacing w:val="33"/>
          <w:w w:val="95"/>
        </w:rPr>
      </w:r>
      <w:r>
        <w:rPr>
          <w:spacing w:val="-1"/>
          <w:w w:val="95"/>
        </w:rPr>
        <w:t>已确认的政府补助需要返还时，初始确认时冲减相关资产账面价值的，调整资产账面价值；存在相关</w:t>
      </w:r>
      <w:r>
        <w:rPr>
          <w:w w:val="99"/>
        </w:rPr>
        <w:t> </w:t>
      </w:r>
      <w:r>
        <w:rPr>
          <w:w w:val="95"/>
        </w:rPr>
        <w:t>递延收益余额的，冲减相关递延收益账面余额，超出部分计入当期损益；不存在相关递延收益的，直接计</w:t>
      </w:r>
      <w:r>
        <w:rPr/>
      </w:r>
    </w:p>
    <w:p>
      <w:pPr>
        <w:spacing w:line="535" w:lineRule="auto" w:before="7"/>
        <w:ind w:left="112" w:right="6354" w:firstLine="0"/>
        <w:jc w:val="left"/>
        <w:rPr>
          <w:rFonts w:ascii="宋体" w:hAnsi="宋体" w:cs="宋体" w:eastAsia="宋体" w:hint="default"/>
          <w:sz w:val="21"/>
          <w:szCs w:val="21"/>
        </w:rPr>
      </w:pPr>
      <w:r>
        <w:rPr>
          <w:rFonts w:ascii="宋体" w:hAnsi="宋体" w:cs="宋体" w:eastAsia="宋体" w:hint="default"/>
          <w:sz w:val="21"/>
          <w:szCs w:val="21"/>
        </w:rPr>
        <w:t>入当期损益。</w:t>
      </w:r>
      <w:r>
        <w:rPr>
          <w:rFonts w:ascii="宋体" w:hAnsi="宋体" w:cs="宋体" w:eastAsia="宋体" w:hint="default"/>
          <w:w w:val="99"/>
          <w:sz w:val="21"/>
          <w:szCs w:val="21"/>
        </w:rPr>
        <w:t> </w:t>
      </w:r>
      <w:r>
        <w:rPr>
          <w:rFonts w:ascii="宋体" w:hAnsi="宋体" w:cs="宋体" w:eastAsia="宋体" w:hint="default"/>
          <w:b/>
          <w:bCs/>
          <w:sz w:val="21"/>
          <w:szCs w:val="21"/>
        </w:rPr>
        <w:t>30、递延所得税资产/递延所得税负债</w:t>
      </w:r>
      <w:r>
        <w:rPr>
          <w:rFonts w:ascii="宋体" w:hAnsi="宋体" w:cs="宋体" w:eastAsia="宋体" w:hint="default"/>
          <w:sz w:val="21"/>
          <w:szCs w:val="21"/>
        </w:rPr>
      </w:r>
    </w:p>
    <w:p>
      <w:pPr>
        <w:pStyle w:val="BodyText"/>
        <w:spacing w:line="273" w:lineRule="auto" w:before="79"/>
        <w:ind w:right="94" w:firstLine="420"/>
        <w:jc w:val="left"/>
      </w:pPr>
      <w:r>
        <w:rPr/>
        <w:t>递延所得税资产和递延所得税负债根据资产和负债的计税基础与其账面价值的差额(暂时性差异)计</w:t>
      </w:r>
      <w:r>
        <w:rPr>
          <w:w w:val="99"/>
        </w:rPr>
        <w:t> </w:t>
      </w:r>
      <w:r>
        <w:rPr>
          <w:w w:val="95"/>
        </w:rPr>
        <w:t>算确认。于资产负债表日，递延所得税资产和递延所得税负债，按照预期收回该资产或清偿该负债期间的</w:t>
      </w:r>
      <w:r>
        <w:rPr>
          <w:spacing w:val="37"/>
          <w:w w:val="95"/>
        </w:rPr>
        <w:t> </w:t>
      </w:r>
      <w:r>
        <w:rPr>
          <w:spacing w:val="37"/>
          <w:w w:val="95"/>
        </w:rPr>
      </w:r>
      <w:r>
        <w:rPr/>
        <w:t>适用税率计量。</w:t>
      </w:r>
    </w:p>
    <w:p>
      <w:pPr>
        <w:spacing w:line="273" w:lineRule="auto" w:before="7"/>
        <w:ind w:left="532" w:right="94" w:hanging="104"/>
        <w:jc w:val="left"/>
        <w:rPr>
          <w:rFonts w:ascii="宋体" w:hAnsi="宋体" w:cs="宋体" w:eastAsia="宋体" w:hint="default"/>
          <w:sz w:val="21"/>
          <w:szCs w:val="21"/>
        </w:rPr>
      </w:pPr>
      <w:r>
        <w:rPr>
          <w:rFonts w:ascii="宋体" w:hAnsi="宋体" w:cs="宋体" w:eastAsia="宋体" w:hint="default"/>
          <w:b/>
          <w:bCs/>
          <w:sz w:val="21"/>
          <w:szCs w:val="21"/>
        </w:rPr>
        <w:t>（1）确认递延所得税资产的依据</w:t>
      </w:r>
      <w:r>
        <w:rPr>
          <w:rFonts w:ascii="宋体" w:hAnsi="宋体" w:cs="宋体" w:eastAsia="宋体" w:hint="default"/>
          <w:b/>
          <w:bCs/>
          <w:w w:val="99"/>
          <w:sz w:val="21"/>
          <w:szCs w:val="21"/>
        </w:rPr>
        <w:t> </w:t>
      </w:r>
      <w:r>
        <w:rPr>
          <w:rFonts w:ascii="宋体" w:hAnsi="宋体" w:cs="宋体" w:eastAsia="宋体" w:hint="default"/>
          <w:w w:val="95"/>
          <w:sz w:val="21"/>
          <w:szCs w:val="21"/>
        </w:rPr>
        <w:t>本公司以很可能取得用来抵扣可抵扣暂时性差异、能够结转以后年度的可抵扣亏损和税款抵减的应纳</w:t>
      </w:r>
      <w:r>
        <w:rPr>
          <w:rFonts w:ascii="宋体" w:hAnsi="宋体" w:cs="宋体" w:eastAsia="宋体" w:hint="default"/>
          <w:sz w:val="21"/>
          <w:szCs w:val="21"/>
        </w:rPr>
      </w:r>
    </w:p>
    <w:p>
      <w:pPr>
        <w:pStyle w:val="BodyText"/>
        <w:spacing w:line="273" w:lineRule="auto"/>
        <w:ind w:right="215"/>
        <w:jc w:val="both"/>
      </w:pPr>
      <w:r>
        <w:rPr>
          <w:w w:val="95"/>
        </w:rPr>
        <w:t>税所得额为限，确认由可抵扣暂时性差异产生的递延所得税资产。但是，同时具有下列特征的交易中因资</w:t>
      </w:r>
      <w:r>
        <w:rPr>
          <w:spacing w:val="37"/>
          <w:w w:val="95"/>
        </w:rPr>
        <w:t> </w:t>
      </w:r>
      <w:r>
        <w:rPr>
          <w:spacing w:val="37"/>
          <w:w w:val="95"/>
        </w:rPr>
      </w:r>
      <w:r>
        <w:rPr>
          <w:w w:val="95"/>
        </w:rPr>
        <w:t>产或负债的初始确认所产生的递延所得税资产不予确认：1）该交易不是企业合并；2）交易发生时既不影</w:t>
      </w:r>
      <w:r>
        <w:rPr>
          <w:spacing w:val="38"/>
          <w:w w:val="95"/>
        </w:rPr>
        <w:t> </w:t>
      </w:r>
      <w:r>
        <w:rPr>
          <w:spacing w:val="38"/>
          <w:w w:val="95"/>
        </w:rPr>
      </w:r>
      <w:r>
        <w:rPr/>
        <w:t>响会计利润也不影响应纳税所得额或可抵扣亏损。</w:t>
      </w:r>
    </w:p>
    <w:p>
      <w:pPr>
        <w:pStyle w:val="BodyText"/>
        <w:spacing w:line="273" w:lineRule="auto"/>
        <w:ind w:right="94" w:firstLine="420"/>
        <w:jc w:val="left"/>
      </w:pPr>
      <w:r>
        <w:rPr>
          <w:w w:val="95"/>
        </w:rPr>
        <w:t>对于与联营企业投资相关的可抵扣暂时性差异，同时满足下列条件的，确认相应的递延所得税资产：</w:t>
      </w:r>
      <w:r>
        <w:rPr>
          <w:spacing w:val="-79"/>
          <w:w w:val="95"/>
        </w:rPr>
        <w:t> </w:t>
      </w:r>
      <w:r>
        <w:rPr>
          <w:spacing w:val="-79"/>
          <w:w w:val="95"/>
        </w:rPr>
      </w:r>
      <w:r>
        <w:rPr>
          <w:w w:val="95"/>
        </w:rPr>
        <w:t>暂时性差异在可预见的未来很可能转回，且未来很可能获得用来抵扣可抵扣暂时性差异的应纳税所得额。</w:t>
      </w:r>
      <w:r>
        <w:rPr/>
      </w:r>
    </w:p>
    <w:p>
      <w:pPr>
        <w:spacing w:line="273" w:lineRule="auto" w:before="7"/>
        <w:ind w:left="532" w:right="94" w:hanging="104"/>
        <w:jc w:val="left"/>
        <w:rPr>
          <w:rFonts w:ascii="宋体" w:hAnsi="宋体" w:cs="宋体" w:eastAsia="宋体" w:hint="default"/>
          <w:sz w:val="21"/>
          <w:szCs w:val="21"/>
        </w:rPr>
      </w:pPr>
      <w:r>
        <w:rPr>
          <w:rFonts w:ascii="宋体" w:hAnsi="宋体" w:cs="宋体" w:eastAsia="宋体" w:hint="default"/>
          <w:b/>
          <w:bCs/>
          <w:sz w:val="21"/>
          <w:szCs w:val="21"/>
        </w:rPr>
        <w:t>（2）确认递延所得税负债的依据</w:t>
      </w:r>
      <w:r>
        <w:rPr>
          <w:rFonts w:ascii="宋体" w:hAnsi="宋体" w:cs="宋体" w:eastAsia="宋体" w:hint="default"/>
          <w:b/>
          <w:bCs/>
          <w:w w:val="99"/>
          <w:sz w:val="21"/>
          <w:szCs w:val="21"/>
        </w:rPr>
        <w:t> </w:t>
      </w:r>
      <w:r>
        <w:rPr>
          <w:rFonts w:ascii="宋体" w:hAnsi="宋体" w:cs="宋体" w:eastAsia="宋体" w:hint="default"/>
          <w:w w:val="95"/>
          <w:sz w:val="21"/>
          <w:szCs w:val="21"/>
        </w:rPr>
        <w:t>公司将当期与以前期间应交未交的应纳税暂时性差异确认为递延所得税负债。但不包括：</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z w:val="21"/>
          <w:szCs w:val="21"/>
        </w:rPr>
        <w:t>1）商誉的初始确认所形成的暂时性差异；</w:t>
      </w:r>
    </w:p>
    <w:p>
      <w:pPr>
        <w:pStyle w:val="BodyText"/>
        <w:spacing w:line="273" w:lineRule="auto"/>
        <w:ind w:right="94" w:firstLine="420"/>
        <w:jc w:val="left"/>
      </w:pPr>
      <w:r>
        <w:rPr>
          <w:w w:val="95"/>
        </w:rPr>
        <w:t>2）非企业合并形成的交易或事项，且该交易或事项发生时既不影响会计利润，也不影响应纳税所得</w:t>
      </w:r>
      <w:r>
        <w:rPr>
          <w:spacing w:val="-85"/>
          <w:w w:val="95"/>
        </w:rPr>
        <w:t> </w:t>
      </w:r>
      <w:r>
        <w:rPr>
          <w:spacing w:val="-85"/>
          <w:w w:val="95"/>
        </w:rPr>
      </w:r>
      <w:r>
        <w:rPr/>
        <w:t>额（或可抵扣亏损）所形成的暂时性差异；</w:t>
      </w:r>
    </w:p>
    <w:p>
      <w:pPr>
        <w:pStyle w:val="BodyText"/>
        <w:spacing w:line="273" w:lineRule="auto"/>
        <w:ind w:right="94" w:firstLine="420"/>
        <w:jc w:val="left"/>
      </w:pPr>
      <w:r>
        <w:rPr>
          <w:w w:val="95"/>
        </w:rPr>
        <w:t>3）对于与子公司、联营企业投资相关的应纳税暂时性差异，该暂时性差异转回的时间能够控制并且</w:t>
      </w:r>
      <w:r>
        <w:rPr>
          <w:spacing w:val="-85"/>
          <w:w w:val="95"/>
        </w:rPr>
        <w:t> </w:t>
      </w:r>
      <w:r>
        <w:rPr>
          <w:spacing w:val="-85"/>
          <w:w w:val="95"/>
        </w:rPr>
      </w:r>
      <w:r>
        <w:rPr/>
        <w:t>该暂时性差异在可预见的未来很可能不会转回。</w:t>
      </w:r>
    </w:p>
    <w:p>
      <w:pPr>
        <w:spacing w:line="240" w:lineRule="auto" w:before="9"/>
        <w:rPr>
          <w:rFonts w:ascii="宋体" w:hAnsi="宋体" w:cs="宋体" w:eastAsia="宋体" w:hint="default"/>
          <w:sz w:val="23"/>
          <w:szCs w:val="23"/>
        </w:rPr>
      </w:pPr>
    </w:p>
    <w:p>
      <w:pPr>
        <w:pStyle w:val="Heading5"/>
        <w:spacing w:line="240" w:lineRule="auto"/>
        <w:ind w:right="94"/>
        <w:jc w:val="left"/>
        <w:rPr>
          <w:b w:val="0"/>
          <w:bCs w:val="0"/>
        </w:rPr>
      </w:pPr>
      <w:r>
        <w:rPr/>
        <w:t>31、租赁</w:t>
      </w:r>
      <w:r>
        <w:rPr>
          <w:b w:val="0"/>
          <w:bCs w:val="0"/>
        </w:rPr>
      </w:r>
    </w:p>
    <w:p>
      <w:pPr>
        <w:spacing w:line="610" w:lineRule="atLeast" w:before="2"/>
        <w:ind w:left="532" w:right="6987" w:hanging="420"/>
        <w:jc w:val="left"/>
        <w:rPr>
          <w:rFonts w:ascii="宋体" w:hAnsi="宋体" w:cs="宋体" w:eastAsia="宋体" w:hint="default"/>
          <w:sz w:val="21"/>
          <w:szCs w:val="21"/>
        </w:rPr>
      </w:pPr>
      <w:r>
        <w:rPr>
          <w:rFonts w:ascii="宋体" w:hAnsi="宋体" w:cs="宋体" w:eastAsia="宋体" w:hint="default"/>
          <w:b/>
          <w:bCs/>
          <w:sz w:val="21"/>
          <w:szCs w:val="21"/>
        </w:rPr>
        <w:t>（1）经营租赁的会计处理方法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1）经营租入资产</w:t>
      </w:r>
    </w:p>
    <w:p>
      <w:pPr>
        <w:pStyle w:val="BodyText"/>
        <w:spacing w:line="273" w:lineRule="auto" w:before="37"/>
        <w:ind w:right="99" w:firstLine="420"/>
        <w:jc w:val="left"/>
      </w:pPr>
      <w:r>
        <w:rPr>
          <w:spacing w:val="-3"/>
        </w:rPr>
        <w:t>公司租入资产所支付的租赁费，在不扣除免租期的整个租赁期内，按直线法进行分摊，计入当期费用。</w:t>
      </w:r>
      <w:r>
        <w:rPr>
          <w:w w:val="99"/>
        </w:rPr>
        <w:t> </w:t>
      </w:r>
      <w:r>
        <w:rPr/>
        <w:t>公司支付的与租赁交易相关的初始直接费用，计入当期费用。</w:t>
      </w:r>
    </w:p>
    <w:p>
      <w:pPr>
        <w:pStyle w:val="BodyText"/>
        <w:spacing w:line="273" w:lineRule="auto"/>
        <w:ind w:right="94" w:firstLine="420"/>
        <w:jc w:val="left"/>
      </w:pPr>
      <w:r>
        <w:rPr>
          <w:w w:val="95"/>
        </w:rPr>
        <w:t>资产出租方承担了应由公司承担的与租赁相关的费用时，公司将该部分费用从租金总额中扣除，按扣</w:t>
      </w:r>
      <w:r>
        <w:rPr>
          <w:w w:val="99"/>
        </w:rPr>
        <w:t> </w:t>
      </w:r>
      <w:r>
        <w:rPr/>
        <w:t>除后的租金费用在租赁期内分摊，计入当期费用。</w:t>
      </w:r>
    </w:p>
    <w:p>
      <w:pPr>
        <w:pStyle w:val="BodyText"/>
        <w:spacing w:line="273" w:lineRule="auto"/>
        <w:ind w:left="532" w:right="94"/>
        <w:jc w:val="left"/>
      </w:pPr>
      <w:r>
        <w:rPr/>
        <w:t>2）经营租出资产</w:t>
      </w:r>
      <w:r>
        <w:rPr>
          <w:w w:val="99"/>
        </w:rPr>
        <w:t> </w:t>
      </w:r>
      <w:r>
        <w:rPr>
          <w:w w:val="95"/>
        </w:rPr>
        <w:t>公司出租资产所收取的租赁费，在不扣除免租期的整个租赁期内，按直线法进行分摊，确认为租赁收</w:t>
      </w:r>
      <w:r>
        <w:rPr/>
      </w:r>
    </w:p>
    <w:p>
      <w:pPr>
        <w:pStyle w:val="BodyText"/>
        <w:spacing w:line="273" w:lineRule="auto"/>
        <w:ind w:right="212"/>
        <w:jc w:val="both"/>
      </w:pPr>
      <w:r>
        <w:rPr>
          <w:w w:val="95"/>
        </w:rPr>
        <w:t>入。公司支付的与租赁交易相关的初始直接费用，计入当期费用；如金额较大的，则予以资本化，在整个</w:t>
      </w:r>
      <w:r>
        <w:rPr>
          <w:spacing w:val="41"/>
          <w:w w:val="95"/>
        </w:rPr>
        <w:t> </w:t>
      </w:r>
      <w:r>
        <w:rPr>
          <w:spacing w:val="41"/>
          <w:w w:val="95"/>
        </w:rPr>
      </w:r>
      <w:r>
        <w:rPr/>
        <w:t>租赁期间内按照与租赁收入确认相同的基础分期计入当期收益。</w:t>
      </w:r>
    </w:p>
    <w:p>
      <w:pPr>
        <w:pStyle w:val="BodyText"/>
        <w:spacing w:line="273" w:lineRule="auto"/>
        <w:ind w:right="94" w:firstLine="420"/>
        <w:jc w:val="left"/>
      </w:pPr>
      <w:r>
        <w:rPr>
          <w:w w:val="95"/>
        </w:rPr>
        <w:t>公司承担了应由承租方承担的与租赁相关的费用时，公司将该部分费用从租金收入总额中扣除，按扣</w:t>
      </w:r>
      <w:r>
        <w:rPr>
          <w:w w:val="99"/>
        </w:rPr>
        <w:t> </w:t>
      </w:r>
      <w:r>
        <w:rPr/>
        <w:t>除后的租金费用在租赁期内分配。</w:t>
      </w:r>
    </w:p>
    <w:p>
      <w:pPr>
        <w:spacing w:line="240" w:lineRule="auto" w:before="7"/>
        <w:rPr>
          <w:rFonts w:ascii="宋体" w:hAnsi="宋体" w:cs="宋体" w:eastAsia="宋体" w:hint="default"/>
          <w:sz w:val="23"/>
          <w:szCs w:val="23"/>
        </w:rPr>
      </w:pPr>
    </w:p>
    <w:p>
      <w:pPr>
        <w:spacing w:line="537" w:lineRule="auto" w:before="0"/>
        <w:ind w:left="532" w:right="94" w:hanging="420"/>
        <w:jc w:val="left"/>
        <w:rPr>
          <w:rFonts w:ascii="宋体" w:hAnsi="宋体" w:cs="宋体" w:eastAsia="宋体" w:hint="default"/>
          <w:sz w:val="21"/>
          <w:szCs w:val="21"/>
        </w:rPr>
      </w:pPr>
      <w:r>
        <w:rPr>
          <w:rFonts w:ascii="宋体" w:hAnsi="宋体" w:cs="宋体" w:eastAsia="宋体" w:hint="default"/>
          <w:b/>
          <w:bCs/>
          <w:sz w:val="21"/>
          <w:szCs w:val="21"/>
        </w:rPr>
        <w:t>（2）融资租赁的会计处理方法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1）融资租入资产：公司在承租开始日，将租赁资产公允价值与最低租赁付款额现值两者中较低者作</w:t>
      </w:r>
      <w:r>
        <w:rPr>
          <w:rFonts w:ascii="宋体" w:hAnsi="宋体" w:cs="宋体" w:eastAsia="宋体" w:hint="default"/>
          <w:sz w:val="21"/>
          <w:szCs w:val="21"/>
        </w:rPr>
      </w:r>
    </w:p>
    <w:p>
      <w:pPr>
        <w:spacing w:after="0" w:line="537" w:lineRule="auto"/>
        <w:jc w:val="left"/>
        <w:rPr>
          <w:rFonts w:ascii="宋体" w:hAnsi="宋体" w:cs="宋体" w:eastAsia="宋体" w:hint="default"/>
          <w:sz w:val="21"/>
          <w:szCs w:val="21"/>
        </w:rPr>
        <w:sectPr>
          <w:pgSz w:w="11910" w:h="16840"/>
          <w:pgMar w:header="746" w:footer="937" w:top="1040" w:bottom="1120" w:left="1020" w:right="920"/>
        </w:sectPr>
      </w:pPr>
    </w:p>
    <w:p>
      <w:pPr>
        <w:spacing w:line="240" w:lineRule="auto" w:before="6"/>
        <w:rPr>
          <w:rFonts w:ascii="宋体" w:hAnsi="宋体" w:cs="宋体" w:eastAsia="宋体" w:hint="default"/>
          <w:sz w:val="25"/>
          <w:szCs w:val="25"/>
        </w:rPr>
      </w:pPr>
    </w:p>
    <w:p>
      <w:pPr>
        <w:pStyle w:val="BodyText"/>
        <w:spacing w:line="273" w:lineRule="auto" w:before="34"/>
        <w:ind w:left="532" w:right="0" w:hanging="420"/>
        <w:jc w:val="left"/>
      </w:pPr>
      <w:r>
        <w:rPr>
          <w:w w:val="95"/>
        </w:rPr>
        <w:t>为租入资产的入账价值，将最低租赁付款额作为长期应付款的入账价值，其差额作为未确认的融资费用。</w:t>
      </w:r>
      <w:r>
        <w:rPr>
          <w:spacing w:val="61"/>
          <w:w w:val="95"/>
        </w:rPr>
        <w:t> </w:t>
      </w:r>
      <w:r>
        <w:rPr>
          <w:spacing w:val="61"/>
          <w:w w:val="95"/>
        </w:rPr>
      </w:r>
      <w:r>
        <w:rPr/>
        <w:t>融资租入资产的认定依据、计价和折旧方法详见本附注四／（十五）固定资产。</w:t>
      </w:r>
      <w:r>
        <w:rPr>
          <w:w w:val="99"/>
        </w:rPr>
        <w:t> </w:t>
      </w:r>
      <w:r>
        <w:rPr/>
        <w:t>公司采用实际利率法对未确认的融资费用，在资产租赁期间内摊销，计入财务费用。</w:t>
      </w:r>
      <w:r>
        <w:rPr>
          <w:w w:val="99"/>
        </w:rPr>
        <w:t> </w:t>
      </w:r>
      <w:r>
        <w:rPr/>
        <w:t>2）融资租出资产：公司在租赁开始日，将应收融资租赁款，未担保余值之和与其现值的差额确认为</w:t>
      </w:r>
    </w:p>
    <w:p>
      <w:pPr>
        <w:pStyle w:val="BodyText"/>
        <w:spacing w:line="273" w:lineRule="auto"/>
        <w:ind w:right="0"/>
        <w:jc w:val="left"/>
      </w:pPr>
      <w:r>
        <w:rPr>
          <w:w w:val="95"/>
        </w:rPr>
        <w:t>未实现融资收益，在将来收到租金的各期间内确认为租赁收入，公司发生的与出租交易相关的初始直接费</w:t>
      </w:r>
      <w:r>
        <w:rPr>
          <w:spacing w:val="37"/>
          <w:w w:val="95"/>
        </w:rPr>
        <w:t> </w:t>
      </w:r>
      <w:r>
        <w:rPr>
          <w:spacing w:val="37"/>
          <w:w w:val="95"/>
        </w:rPr>
      </w:r>
      <w:r>
        <w:rPr/>
        <w:t>用，计入应收融资租赁款的初始计量中，并减少租赁期内确认的收益金额。</w:t>
      </w:r>
    </w:p>
    <w:p>
      <w:pPr>
        <w:spacing w:line="240" w:lineRule="auto" w:before="7"/>
        <w:rPr>
          <w:rFonts w:ascii="宋体" w:hAnsi="宋体" w:cs="宋体" w:eastAsia="宋体" w:hint="default"/>
          <w:sz w:val="23"/>
          <w:szCs w:val="23"/>
        </w:rPr>
      </w:pPr>
    </w:p>
    <w:p>
      <w:pPr>
        <w:pStyle w:val="Heading5"/>
        <w:spacing w:line="535" w:lineRule="auto"/>
        <w:ind w:right="6380"/>
        <w:jc w:val="left"/>
        <w:rPr>
          <w:b w:val="0"/>
          <w:bCs w:val="0"/>
        </w:rPr>
      </w:pPr>
      <w:r>
        <w:rPr/>
        <w:t>32、其他重要的会计政策和会计估计</w:t>
      </w:r>
      <w:r>
        <w:rPr>
          <w:w w:val="99"/>
        </w:rPr>
        <w:t> </w:t>
      </w:r>
      <w:r>
        <w:rPr/>
        <w:t>无</w:t>
      </w:r>
      <w:r>
        <w:rPr>
          <w:b w:val="0"/>
          <w:bCs w:val="0"/>
        </w:rPr>
      </w:r>
    </w:p>
    <w:p>
      <w:pPr>
        <w:pStyle w:val="Heading5"/>
        <w:spacing w:line="240" w:lineRule="auto" w:before="81"/>
        <w:ind w:right="0"/>
        <w:jc w:val="left"/>
        <w:rPr>
          <w:b w:val="0"/>
          <w:bCs w:val="0"/>
        </w:rPr>
      </w:pPr>
      <w:r>
        <w:rPr/>
        <w:t>33、重要会计政策和会计估计变更</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（1）重要会计政策变更</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59" w:lineRule="exact" w:before="0"/>
        <w:ind w:left="532" w:right="0"/>
        <w:jc w:val="left"/>
      </w:pPr>
      <w:r>
        <w:rPr>
          <w:spacing w:val="-5"/>
        </w:rPr>
        <w:t>1）2017年5月10日，财政部公布了修订后的《企业会计准则第16号——政府补助》，该准则修订自2017</w:t>
      </w:r>
    </w:p>
    <w:p>
      <w:pPr>
        <w:pStyle w:val="BodyText"/>
        <w:spacing w:line="273" w:lineRule="auto" w:before="37"/>
        <w:ind w:right="0"/>
        <w:jc w:val="left"/>
      </w:pPr>
      <w:r>
        <w:rPr>
          <w:w w:val="95"/>
        </w:rPr>
        <w:t>年6月12日起施行，同时要求企业对2017年1月1日存在的政府补助采用未来适用法处理，对2017年1月1日</w:t>
      </w:r>
      <w:r>
        <w:rPr>
          <w:spacing w:val="56"/>
          <w:w w:val="95"/>
        </w:rPr>
        <w:t> </w:t>
      </w:r>
      <w:r>
        <w:rPr>
          <w:spacing w:val="56"/>
          <w:w w:val="95"/>
        </w:rPr>
      </w:r>
      <w:r>
        <w:rPr/>
        <w:t>至该准则施行日之间新增的政府补助根据修订后的准则进行调整。</w:t>
      </w:r>
    </w:p>
    <w:p>
      <w:pPr>
        <w:pStyle w:val="BodyText"/>
        <w:spacing w:line="273" w:lineRule="auto"/>
        <w:ind w:right="0" w:firstLine="420"/>
        <w:jc w:val="left"/>
      </w:pPr>
      <w:r>
        <w:rPr>
          <w:w w:val="95"/>
        </w:rPr>
        <w:t>本公司自2017年6月12日开始采用该修订后的准则，上述会计政策变化的主要内容为：2017年将与企</w:t>
      </w:r>
      <w:r>
        <w:rPr>
          <w:spacing w:val="-85"/>
          <w:w w:val="95"/>
        </w:rPr>
        <w:t> </w:t>
      </w:r>
      <w:r>
        <w:rPr>
          <w:spacing w:val="-85"/>
          <w:w w:val="95"/>
        </w:rPr>
      </w:r>
      <w:r>
        <w:rPr/>
        <w:t>业日常活动有关的政府补助26,306,853.76元计入了“其他收益”。</w:t>
      </w:r>
    </w:p>
    <w:p>
      <w:pPr>
        <w:pStyle w:val="BodyText"/>
        <w:spacing w:line="273" w:lineRule="auto"/>
        <w:ind w:right="0" w:firstLine="420"/>
        <w:jc w:val="left"/>
      </w:pPr>
      <w:r>
        <w:rPr>
          <w:w w:val="95"/>
        </w:rPr>
        <w:t>2）2017年4月28日，财政部发布了《企业会计准则第42号——持有待售的非流动资产、处置组和终止</w:t>
      </w:r>
      <w:r>
        <w:rPr>
          <w:w w:val="99"/>
        </w:rPr>
        <w:t> </w:t>
      </w:r>
      <w:r>
        <w:rPr/>
        <w:t>经营》，该准则自2017年5月28日起施行。本公司根据该准则及财政部《关于修订印发一般企业财务报表</w:t>
      </w:r>
      <w:r>
        <w:rPr>
          <w:w w:val="99"/>
        </w:rPr>
        <w:t> </w:t>
      </w:r>
      <w:r>
        <w:rPr>
          <w:w w:val="95"/>
        </w:rPr>
        <w:t>格式的通知》（财会〔2017〕30号的规定，在利润表中新增了“资产处置收益”项目，并对净利润按经营</w:t>
      </w:r>
      <w:r>
        <w:rPr>
          <w:spacing w:val="36"/>
          <w:w w:val="95"/>
        </w:rPr>
        <w:t> </w:t>
      </w:r>
      <w:r>
        <w:rPr>
          <w:spacing w:val="36"/>
          <w:w w:val="95"/>
        </w:rPr>
      </w:r>
      <w:r>
        <w:rPr>
          <w:w w:val="95"/>
        </w:rPr>
        <w:t>持续性进行分类列报。本公司按照《企业会计准则第30号——财务报表列报》等的相关规定，对可比期间</w:t>
      </w:r>
      <w:r>
        <w:rPr>
          <w:spacing w:val="41"/>
          <w:w w:val="95"/>
        </w:rPr>
        <w:t> </w:t>
      </w:r>
      <w:r>
        <w:rPr>
          <w:spacing w:val="41"/>
          <w:w w:val="95"/>
        </w:rPr>
      </w:r>
      <w:r>
        <w:rPr/>
        <w:t>的比较数据进行调整，该会计政策变更追溯调整影响如下：</w:t>
      </w:r>
    </w:p>
    <w:p>
      <w:pPr>
        <w:spacing w:line="240" w:lineRule="auto" w:before="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129"/>
        <w:gridCol w:w="2477"/>
        <w:gridCol w:w="2985"/>
      </w:tblGrid>
      <w:tr>
        <w:trPr>
          <w:trHeight w:val="347" w:hRule="exact"/>
        </w:trPr>
        <w:tc>
          <w:tcPr>
            <w:tcW w:w="4129"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54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2016年度</w:t>
            </w:r>
          </w:p>
        </w:tc>
      </w:tr>
      <w:tr>
        <w:trPr>
          <w:trHeight w:val="347" w:hRule="exact"/>
        </w:trPr>
        <w:tc>
          <w:tcPr>
            <w:tcW w:w="4129" w:type="dxa"/>
            <w:vMerge/>
            <w:tcBorders>
              <w:left w:val="single" w:sz="6" w:space="0" w:color="000000"/>
              <w:bottom w:val="single" w:sz="6" w:space="0" w:color="000000"/>
              <w:right w:val="single" w:sz="6" w:space="0" w:color="000000"/>
            </w:tcBorders>
          </w:tcPr>
          <w:p>
            <w:pP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510" w:right="0"/>
              <w:jc w:val="left"/>
              <w:rPr>
                <w:rFonts w:ascii="宋体" w:hAnsi="宋体" w:cs="宋体" w:eastAsia="宋体" w:hint="default"/>
                <w:sz w:val="18"/>
                <w:szCs w:val="18"/>
              </w:rPr>
            </w:pPr>
            <w:r>
              <w:rPr>
                <w:rFonts w:ascii="宋体" w:hAnsi="宋体" w:cs="宋体" w:eastAsia="宋体" w:hint="default"/>
                <w:sz w:val="18"/>
                <w:szCs w:val="18"/>
              </w:rPr>
              <w:t>追溯调整前（元）</w:t>
            </w:r>
          </w:p>
        </w:tc>
        <w:tc>
          <w:tcPr>
            <w:tcW w:w="2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764" w:right="0"/>
              <w:jc w:val="left"/>
              <w:rPr>
                <w:rFonts w:ascii="宋体" w:hAnsi="宋体" w:cs="宋体" w:eastAsia="宋体" w:hint="default"/>
                <w:sz w:val="18"/>
                <w:szCs w:val="18"/>
              </w:rPr>
            </w:pPr>
            <w:r>
              <w:rPr>
                <w:rFonts w:ascii="宋体" w:hAnsi="宋体" w:cs="宋体" w:eastAsia="宋体" w:hint="default"/>
                <w:sz w:val="18"/>
                <w:szCs w:val="18"/>
              </w:rPr>
              <w:t>追溯调整后（元）</w:t>
            </w:r>
          </w:p>
        </w:tc>
      </w:tr>
      <w:tr>
        <w:trPr>
          <w:trHeight w:val="347" w:hRule="exact"/>
        </w:trPr>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2477" w:type="dxa"/>
            <w:tcBorders>
              <w:top w:val="single" w:sz="6" w:space="0" w:color="000000"/>
              <w:left w:val="single" w:sz="6" w:space="0" w:color="000000"/>
              <w:bottom w:val="single" w:sz="6" w:space="0" w:color="000000"/>
              <w:right w:val="single" w:sz="6" w:space="0" w:color="000000"/>
            </w:tcBorders>
          </w:tcPr>
          <w:p>
            <w:pPr/>
          </w:p>
        </w:tc>
        <w:tc>
          <w:tcPr>
            <w:tcW w:w="2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76" w:right="0"/>
              <w:jc w:val="left"/>
              <w:rPr>
                <w:rFonts w:ascii="宋体" w:hAnsi="宋体" w:cs="宋体" w:eastAsia="宋体" w:hint="default"/>
                <w:sz w:val="18"/>
                <w:szCs w:val="18"/>
              </w:rPr>
            </w:pPr>
            <w:r>
              <w:rPr>
                <w:rFonts w:ascii="宋体"/>
                <w:sz w:val="18"/>
              </w:rPr>
              <w:t>-288,879.29</w:t>
            </w:r>
          </w:p>
        </w:tc>
      </w:tr>
      <w:tr>
        <w:trPr>
          <w:trHeight w:val="347" w:hRule="exact"/>
        </w:trPr>
        <w:tc>
          <w:tcPr>
            <w:tcW w:w="4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470" w:right="0"/>
              <w:jc w:val="left"/>
              <w:rPr>
                <w:rFonts w:ascii="宋体" w:hAnsi="宋体" w:cs="宋体" w:eastAsia="宋体" w:hint="default"/>
                <w:sz w:val="18"/>
                <w:szCs w:val="18"/>
              </w:rPr>
            </w:pPr>
            <w:r>
              <w:rPr>
                <w:rFonts w:ascii="宋体"/>
                <w:sz w:val="18"/>
              </w:rPr>
              <w:t>-288,879.29</w:t>
            </w:r>
          </w:p>
        </w:tc>
        <w:tc>
          <w:tcPr>
            <w:tcW w:w="298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19"/>
          <w:szCs w:val="19"/>
        </w:rPr>
      </w:pPr>
    </w:p>
    <w:p>
      <w:pPr>
        <w:pStyle w:val="Heading5"/>
        <w:spacing w:line="240" w:lineRule="auto" w:before="34"/>
        <w:ind w:right="0"/>
        <w:jc w:val="left"/>
        <w:rPr>
          <w:b w:val="0"/>
          <w:bCs w:val="0"/>
        </w:rPr>
      </w:pPr>
      <w:r>
        <w:rPr/>
        <w:t>（2）重要会计估计变更</w:t>
      </w:r>
      <w:r>
        <w:rPr>
          <w:b w:val="0"/>
          <w:bCs w:val="0"/>
        </w:rPr>
      </w:r>
    </w:p>
    <w:p>
      <w:pPr>
        <w:spacing w:line="240" w:lineRule="auto" w:before="12"/>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34、其他</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6" w:footer="937" w:top="1040" w:bottom="1120" w:left="1020" w:right="1000"/>
        </w:sectPr>
      </w:pPr>
    </w:p>
    <w:p>
      <w:pPr>
        <w:spacing w:line="240" w:lineRule="auto" w:before="5"/>
        <w:rPr>
          <w:rFonts w:ascii="宋体" w:hAnsi="宋体" w:cs="宋体" w:eastAsia="宋体" w:hint="default"/>
          <w:sz w:val="24"/>
          <w:szCs w:val="24"/>
        </w:rPr>
      </w:pPr>
    </w:p>
    <w:p>
      <w:pPr>
        <w:pStyle w:val="Heading4"/>
        <w:spacing w:line="240" w:lineRule="auto" w:before="26"/>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t>1、主要税种及税率</w:t>
      </w:r>
      <w:r>
        <w:rPr>
          <w:b w:val="0"/>
          <w:bCs w:val="0"/>
        </w:rPr>
      </w:r>
    </w:p>
    <w:p>
      <w:pPr>
        <w:spacing w:line="240" w:lineRule="auto" w:before="11"/>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95"/>
              <w:jc w:val="left"/>
              <w:rPr>
                <w:rFonts w:ascii="宋体" w:hAnsi="宋体" w:cs="宋体" w:eastAsia="宋体" w:hint="default"/>
                <w:sz w:val="18"/>
                <w:szCs w:val="18"/>
              </w:rPr>
            </w:pPr>
            <w:r>
              <w:rPr>
                <w:rFonts w:ascii="宋体" w:hAnsi="宋体" w:cs="宋体" w:eastAsia="宋体" w:hint="default"/>
                <w:sz w:val="18"/>
                <w:szCs w:val="18"/>
              </w:rPr>
              <w:t>销售货物、应税销售服务收入、无形资 产或者不动产</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6%、17%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15%、25%、20%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营改增之前的应纳税营业额</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sz w:val="18"/>
              </w:rPr>
              <w:t>3%</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20"/>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39"/>
                <w:sz w:val="18"/>
                <w:szCs w:val="18"/>
              </w:rPr>
              <w:t> </w:t>
            </w:r>
            <w:r>
              <w:rPr>
                <w:rFonts w:ascii="宋体" w:hAnsi="宋体" w:cs="宋体" w:eastAsia="宋体" w:hint="default"/>
                <w:spacing w:val="-6"/>
                <w:sz w:val="18"/>
                <w:szCs w:val="18"/>
              </w:rPr>
              <w:t>70%（或租金收入）为纳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税基准</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1.2%或</w:t>
            </w:r>
            <w:r>
              <w:rPr>
                <w:rFonts w:ascii="宋体" w:hAnsi="宋体" w:cs="宋体" w:eastAsia="宋体" w:hint="default"/>
                <w:spacing w:val="-48"/>
                <w:sz w:val="18"/>
                <w:szCs w:val="18"/>
              </w:rPr>
              <w:t> </w:t>
            </w:r>
            <w:r>
              <w:rPr>
                <w:rFonts w:ascii="宋体" w:hAnsi="宋体" w:cs="宋体" w:eastAsia="宋体" w:hint="default"/>
                <w:sz w:val="18"/>
                <w:szCs w:val="18"/>
              </w:rPr>
              <w:t>12%</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安徽皖通科技股份有限公司*1</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天津市天安怡和信息技术有限公司*2</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天津信息港甲子科技有限公司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天津市金飞博光通讯技术有限公司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重庆皖通科技有限责任公司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安徽皖通城市智能交通科技有限公司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烟台华东电子软件技术有限公司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烟台华东电子科技有限公司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安徽汉高信息科技有限公司*3</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烟台华东数据科技有限公司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宁波拖柜宝物流科技有限责任公司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上海舶云供应链管理有限公司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浙江自贸区舶云智慧物流有限公司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安徽光大保险代理有限责任公司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上海亲益保网络科技有限公司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sz w:val="18"/>
              </w:rPr>
              <w:t>20%</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2、税收优惠</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32" w:right="0"/>
        <w:jc w:val="left"/>
      </w:pPr>
      <w:r>
        <w:rPr/>
        <w:t>（1）增值税</w:t>
      </w:r>
      <w:r>
        <w:rPr>
          <w:w w:val="99"/>
        </w:rPr>
        <w:t> </w:t>
      </w:r>
      <w:r>
        <w:rPr>
          <w:w w:val="95"/>
        </w:rPr>
        <w:t>主要是系统集成项目配套的机器设备及销售的光通讯产品，按照应税收入的17%税率计算销项税额，</w:t>
      </w:r>
      <w:r>
        <w:rPr/>
      </w:r>
    </w:p>
    <w:p>
      <w:pPr>
        <w:pStyle w:val="BodyText"/>
        <w:spacing w:line="273" w:lineRule="auto"/>
        <w:ind w:right="0"/>
        <w:jc w:val="left"/>
      </w:pPr>
      <w:r>
        <w:rPr>
          <w:w w:val="95"/>
        </w:rPr>
        <w:t>扣除允许在当年抵扣的进项税额后，缴纳增值税。其中，对于自行开发生产的软件产品部分执行财政部国</w:t>
      </w:r>
      <w:r>
        <w:rPr>
          <w:spacing w:val="37"/>
          <w:w w:val="95"/>
        </w:rPr>
        <w:t> </w:t>
      </w:r>
      <w:r>
        <w:rPr>
          <w:spacing w:val="37"/>
          <w:w w:val="95"/>
        </w:rPr>
      </w:r>
      <w:r>
        <w:rPr/>
        <w:t>家税务总局2011年10月13日联合发文《关于软件产品增值税政策的通知》（财税[2011]100号）的规定，</w:t>
      </w:r>
    </w:p>
    <w:p>
      <w:pPr>
        <w:spacing w:after="0" w:line="273" w:lineRule="auto"/>
        <w:jc w:val="left"/>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BodyText"/>
        <w:spacing w:line="273" w:lineRule="auto" w:before="34"/>
        <w:ind w:right="0"/>
        <w:jc w:val="left"/>
      </w:pPr>
      <w:r>
        <w:rPr>
          <w:w w:val="95"/>
        </w:rPr>
        <w:t>即自2011年1月1日起继续“按17%的法定税率征收增值税后，对其增值税实际税负超过3%的部分实行即征</w:t>
      </w:r>
      <w:r>
        <w:rPr>
          <w:spacing w:val="56"/>
          <w:w w:val="95"/>
        </w:rPr>
        <w:t> </w:t>
      </w:r>
      <w:r>
        <w:rPr>
          <w:spacing w:val="56"/>
          <w:w w:val="95"/>
        </w:rPr>
      </w:r>
      <w:r>
        <w:rPr/>
        <w:t>即退政策”。</w:t>
      </w:r>
    </w:p>
    <w:p>
      <w:pPr>
        <w:pStyle w:val="BodyText"/>
        <w:spacing w:line="240" w:lineRule="auto"/>
        <w:ind w:left="532" w:right="0"/>
        <w:jc w:val="left"/>
      </w:pPr>
      <w:r>
        <w:rPr/>
        <w:t>（2）所得税</w:t>
      </w:r>
    </w:p>
    <w:p>
      <w:pPr>
        <w:pStyle w:val="BodyText"/>
        <w:spacing w:line="273" w:lineRule="auto" w:before="37"/>
        <w:ind w:right="112" w:firstLine="420"/>
        <w:jc w:val="both"/>
      </w:pPr>
      <w:r>
        <w:rPr/>
        <w:t>*1.</w:t>
      </w:r>
      <w:r>
        <w:rPr>
          <w:spacing w:val="-18"/>
        </w:rPr>
        <w:t> </w:t>
      </w:r>
      <w:r>
        <w:rPr>
          <w:spacing w:val="2"/>
        </w:rPr>
        <w:t>2017年11月7日，本公司取得安徽省科技厅、安徽省财政厅、安徽省国家税务局、安徽省地方税</w:t>
      </w:r>
      <w:r>
        <w:rPr>
          <w:w w:val="99"/>
        </w:rPr>
        <w:t> </w:t>
      </w:r>
      <w:r>
        <w:rPr>
          <w:w w:val="95"/>
        </w:rPr>
        <w:t>务局联合颁发的《高新技术企业证书》（证书编号为GR201734001673）。根据有关规定，本公司报告期内</w:t>
      </w:r>
      <w:r>
        <w:rPr>
          <w:spacing w:val="39"/>
          <w:w w:val="95"/>
        </w:rPr>
        <w:t> </w:t>
      </w:r>
      <w:r>
        <w:rPr>
          <w:spacing w:val="39"/>
          <w:w w:val="95"/>
        </w:rPr>
      </w:r>
      <w:r>
        <w:rPr/>
        <w:t>享受国家关于高新技术企业的相关优惠政策，按15%的税率计缴企业所得税。</w:t>
      </w:r>
    </w:p>
    <w:p>
      <w:pPr>
        <w:pStyle w:val="BodyText"/>
        <w:spacing w:line="273" w:lineRule="auto"/>
        <w:ind w:right="110" w:firstLine="420"/>
        <w:jc w:val="both"/>
      </w:pPr>
      <w:r>
        <w:rPr/>
        <w:t>*2 .</w:t>
      </w:r>
      <w:r>
        <w:rPr>
          <w:spacing w:val="-19"/>
        </w:rPr>
        <w:t> </w:t>
      </w:r>
      <w:r>
        <w:rPr>
          <w:spacing w:val="2"/>
        </w:rPr>
        <w:t>2017年10月10日，天津市天安怡和信息技术有限公司取得天津市科技厅、天津市财政局、天津</w:t>
      </w:r>
      <w:r>
        <w:rPr>
          <w:w w:val="99"/>
        </w:rPr>
        <w:t> </w:t>
      </w:r>
      <w:r>
        <w:rPr>
          <w:w w:val="95"/>
        </w:rPr>
        <w:t>市国家税务局、天津市地方税务局联合颁发的《高新技术企业证书》（证书编号为GR201712000120）。根</w:t>
      </w:r>
      <w:r>
        <w:rPr>
          <w:spacing w:val="42"/>
          <w:w w:val="95"/>
        </w:rPr>
        <w:t> </w:t>
      </w:r>
      <w:r>
        <w:rPr>
          <w:spacing w:val="42"/>
          <w:w w:val="95"/>
        </w:rPr>
      </w:r>
      <w:r>
        <w:rPr>
          <w:w w:val="95"/>
        </w:rPr>
        <w:t>据有关规定，天津市天安怡和信息技术有限公司报告期内享受国家关于高新技术企业的相关优惠政策，按</w:t>
      </w:r>
      <w:r>
        <w:rPr>
          <w:spacing w:val="40"/>
          <w:w w:val="95"/>
        </w:rPr>
        <w:t> </w:t>
      </w:r>
      <w:r>
        <w:rPr>
          <w:spacing w:val="40"/>
          <w:w w:val="95"/>
        </w:rPr>
      </w:r>
      <w:r>
        <w:rPr/>
        <w:t>15%的税率计缴企业所得税。</w:t>
      </w:r>
    </w:p>
    <w:p>
      <w:pPr>
        <w:pStyle w:val="BodyText"/>
        <w:spacing w:line="273" w:lineRule="auto" w:before="163"/>
        <w:ind w:right="0" w:firstLine="420"/>
        <w:jc w:val="left"/>
      </w:pPr>
      <w:r>
        <w:rPr/>
        <w:t>*3 .</w:t>
      </w:r>
      <w:r>
        <w:rPr>
          <w:spacing w:val="-43"/>
        </w:rPr>
        <w:t> </w:t>
      </w:r>
      <w:r>
        <w:rPr/>
        <w:t>2017年7月20日，安徽汉高信息科技有限公司取得安徽省科技厅、安徽省财政厅、安徽省国家税</w:t>
      </w:r>
      <w:r>
        <w:rPr>
          <w:w w:val="99"/>
        </w:rPr>
        <w:t> </w:t>
      </w:r>
      <w:r>
        <w:rPr>
          <w:w w:val="95"/>
        </w:rPr>
        <w:t>务局、安徽省地方税务局联合颁发的《高新技术企业证书》（证书编号为GR201734000613）。根据有关规</w:t>
      </w:r>
      <w:r>
        <w:rPr>
          <w:spacing w:val="39"/>
          <w:w w:val="95"/>
        </w:rPr>
        <w:t> </w:t>
      </w:r>
      <w:r>
        <w:rPr>
          <w:spacing w:val="39"/>
          <w:w w:val="95"/>
        </w:rPr>
      </w:r>
      <w:r>
        <w:rPr/>
        <w:t>定，安徽汉高信息科技有限公司报告期内享受国家关于高新技术企业的相关优惠政策，按15%的税率计缴</w:t>
      </w:r>
      <w:r>
        <w:rPr>
          <w:w w:val="99"/>
        </w:rPr>
        <w:t> </w:t>
      </w:r>
      <w:r>
        <w:rPr/>
        <w:t>企业所得税。</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3、其他</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t>1、货币资金</w:t>
      </w:r>
      <w:r>
        <w:rPr>
          <w:b w:val="0"/>
          <w:bCs w:val="0"/>
        </w:rPr>
      </w:r>
    </w:p>
    <w:p>
      <w:pPr>
        <w:spacing w:line="240" w:lineRule="auto" w:before="9"/>
        <w:rPr>
          <w:rFonts w:ascii="宋体" w:hAnsi="宋体" w:cs="宋体" w:eastAsia="宋体" w:hint="default"/>
          <w:b/>
          <w:bCs/>
          <w:sz w:val="27"/>
          <w:szCs w:val="27"/>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273,834.84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237,026.41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647,873,949.80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713,776,100.02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18,135,442.71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31,777,054.15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666,283,227.35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745,790,180.58</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746" w:footer="937" w:top="1040" w:bottom="1120" w:left="1020" w:right="1020"/>
        </w:sectPr>
      </w:pPr>
    </w:p>
    <w:p>
      <w:pPr>
        <w:pStyle w:val="BodyText"/>
        <w:spacing w:line="273" w:lineRule="auto" w:before="34"/>
        <w:ind w:left="532" w:right="0"/>
        <w:jc w:val="left"/>
      </w:pPr>
      <w:r>
        <w:rPr>
          <w:w w:val="95"/>
        </w:rPr>
        <w:t>截止2017年12月31日，本公司不存在质押、冻结，或有潜在收回风险的款项。</w:t>
      </w:r>
      <w:r>
        <w:rPr>
          <w:spacing w:val="38"/>
          <w:w w:val="95"/>
        </w:rPr>
        <w:t> </w:t>
      </w:r>
      <w:r>
        <w:rPr>
          <w:spacing w:val="38"/>
          <w:w w:val="95"/>
        </w:rPr>
      </w:r>
      <w:r>
        <w:rPr/>
        <w:t>其中受限制的货币资金明细如下：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5"/>
        <w:ind w:left="-38" w:right="0"/>
        <w:jc w:val="left"/>
      </w:pPr>
      <w:r>
        <w:rPr/>
        <w:t>单位：元</w:t>
      </w:r>
    </w:p>
    <w:p>
      <w:pPr>
        <w:spacing w:after="0" w:line="240" w:lineRule="auto"/>
        <w:jc w:val="left"/>
        <w:sectPr>
          <w:type w:val="continuous"/>
          <w:pgSz w:w="11910" w:h="16840"/>
          <w:pgMar w:top="1040" w:bottom="1120" w:left="1020" w:right="1020"/>
          <w:cols w:num="2" w:equalWidth="0">
            <w:col w:w="7671" w:space="40"/>
            <w:col w:w="2159"/>
          </w:cols>
        </w:sectPr>
      </w:pPr>
    </w:p>
    <w:p>
      <w:pPr>
        <w:spacing w:line="240" w:lineRule="auto" w:before="0"/>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3652"/>
        <w:gridCol w:w="2438"/>
        <w:gridCol w:w="3484"/>
      </w:tblGrid>
      <w:tr>
        <w:trPr>
          <w:trHeight w:val="34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637"/>
              <w:jc w:val="right"/>
              <w:rPr>
                <w:rFonts w:ascii="宋体" w:hAnsi="宋体" w:cs="宋体" w:eastAsia="宋体" w:hint="default"/>
                <w:sz w:val="18"/>
                <w:szCs w:val="18"/>
              </w:rPr>
            </w:pPr>
            <w:r>
              <w:rPr>
                <w:rFonts w:ascii="宋体" w:hAnsi="宋体" w:cs="宋体" w:eastAsia="宋体" w:hint="default"/>
                <w:sz w:val="18"/>
                <w:szCs w:val="18"/>
              </w:rPr>
              <w:t>项目</w:t>
            </w:r>
          </w:p>
        </w:tc>
        <w:tc>
          <w:tcPr>
            <w:tcW w:w="2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4,929,373.34</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5,880,211.08</w:t>
            </w:r>
          </w:p>
        </w:tc>
      </w:tr>
      <w:tr>
        <w:trPr>
          <w:trHeight w:val="34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c>
          <w:tcPr>
            <w:tcW w:w="2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pacing w:val="-1"/>
                <w:sz w:val="18"/>
              </w:rPr>
              <w:t>9,221,628.48</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24,223,372.02</w:t>
            </w:r>
          </w:p>
        </w:tc>
      </w:tr>
      <w:tr>
        <w:trPr>
          <w:trHeight w:val="34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预付款保函</w:t>
            </w:r>
          </w:p>
        </w:tc>
        <w:tc>
          <w:tcPr>
            <w:tcW w:w="2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85,805.70</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1,527,034.35</w:t>
            </w:r>
          </w:p>
        </w:tc>
      </w:tr>
      <w:tr>
        <w:trPr>
          <w:trHeight w:val="34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投标保函保证金</w:t>
            </w:r>
          </w:p>
        </w:tc>
        <w:tc>
          <w:tcPr>
            <w:tcW w:w="2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640,000.00</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80,000.00</w:t>
            </w:r>
          </w:p>
        </w:tc>
      </w:tr>
      <w:tr>
        <w:trPr>
          <w:trHeight w:val="34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质量保证金</w:t>
            </w:r>
          </w:p>
        </w:tc>
        <w:tc>
          <w:tcPr>
            <w:tcW w:w="2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pacing w:val="-1"/>
                <w:sz w:val="18"/>
              </w:rPr>
              <w:t>111,265.18</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45,772.93</w:t>
            </w:r>
          </w:p>
        </w:tc>
      </w:tr>
      <w:tr>
        <w:trPr>
          <w:trHeight w:val="34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637"/>
              <w:jc w:val="right"/>
              <w:rPr>
                <w:rFonts w:ascii="宋体" w:hAnsi="宋体" w:cs="宋体" w:eastAsia="宋体" w:hint="default"/>
                <w:sz w:val="18"/>
                <w:szCs w:val="18"/>
              </w:rPr>
            </w:pPr>
            <w:r>
              <w:rPr>
                <w:rFonts w:ascii="宋体" w:hAnsi="宋体" w:cs="宋体" w:eastAsia="宋体" w:hint="default"/>
                <w:sz w:val="18"/>
                <w:szCs w:val="18"/>
              </w:rPr>
              <w:t>合计</w:t>
            </w:r>
          </w:p>
        </w:tc>
        <w:tc>
          <w:tcPr>
            <w:tcW w:w="2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14,988,072.70</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31,756,390.38</w:t>
            </w:r>
          </w:p>
        </w:tc>
      </w:tr>
    </w:tbl>
    <w:p>
      <w:pPr>
        <w:spacing w:after="0" w:line="240" w:lineRule="auto"/>
        <w:jc w:val="right"/>
        <w:rPr>
          <w:rFonts w:ascii="宋体" w:hAnsi="宋体" w:cs="宋体" w:eastAsia="宋体" w:hint="default"/>
          <w:sz w:val="18"/>
          <w:szCs w:val="18"/>
        </w:rPr>
        <w:sectPr>
          <w:type w:val="continuous"/>
          <w:pgSz w:w="11910" w:h="16840"/>
          <w:pgMar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2、以公允价值计量且其变动计入当期损益的金融资产</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3、衍生金融资产</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4、应收票据</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（1）应收票据分类列示</w:t>
      </w:r>
      <w:r>
        <w:rPr>
          <w:b w:val="0"/>
          <w:bCs w:val="0"/>
        </w:rPr>
      </w:r>
    </w:p>
    <w:p>
      <w:pPr>
        <w:spacing w:line="240" w:lineRule="auto" w:before="7"/>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14,943,684.31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14,764,933.49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2,546,599.20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17,490,283.51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14,764,933.49</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（2）期末公司已质押的应收票据</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（3）期末公司已背书或贴现且在资产负债表日尚未到期的应收票据</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1,023,800.00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1,023,800.00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（4）期末公司因出票人未履约而将其转应收账款的票据</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350,000.00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5、应收账款</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（1）应收账款分类披露</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center"/>
              <w:rPr>
                <w:rFonts w:ascii="宋体" w:hAnsi="宋体" w:cs="宋体" w:eastAsia="宋体" w:hint="default"/>
                <w:sz w:val="18"/>
                <w:szCs w:val="18"/>
              </w:rPr>
            </w:pPr>
            <w:r>
              <w:rPr>
                <w:rFonts w:ascii="宋体"/>
                <w:sz w:val="18"/>
              </w:rPr>
              <w:t>3,999,1</w:t>
            </w:r>
          </w:p>
          <w:p>
            <w:pPr>
              <w:pStyle w:val="TableParagraph"/>
              <w:spacing w:line="240" w:lineRule="auto" w:before="76"/>
              <w:ind w:left="256" w:right="0"/>
              <w:jc w:val="center"/>
              <w:rPr>
                <w:rFonts w:ascii="宋体" w:hAnsi="宋体" w:cs="宋体" w:eastAsia="宋体" w:hint="default"/>
                <w:sz w:val="18"/>
                <w:szCs w:val="18"/>
              </w:rPr>
            </w:pPr>
            <w:r>
              <w:rPr>
                <w:rFonts w:ascii="宋体"/>
                <w:sz w:val="18"/>
              </w:rPr>
              <w:t>74.00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8"/>
                <w:szCs w:val="18"/>
              </w:rPr>
            </w:pPr>
            <w:r>
              <w:rPr>
                <w:rFonts w:ascii="宋体"/>
                <w:sz w:val="18"/>
              </w:rPr>
              <w:t>3,999,1</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74.00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sz w:val="18"/>
              </w:rPr>
              <w:t>3,999,</w:t>
            </w:r>
          </w:p>
          <w:p>
            <w:pPr>
              <w:pStyle w:val="TableParagraph"/>
              <w:spacing w:line="240" w:lineRule="auto" w:before="76"/>
              <w:ind w:left="81" w:right="0"/>
              <w:jc w:val="left"/>
              <w:rPr>
                <w:rFonts w:ascii="宋体" w:hAnsi="宋体" w:cs="宋体" w:eastAsia="宋体" w:hint="default"/>
                <w:sz w:val="18"/>
                <w:szCs w:val="18"/>
              </w:rPr>
            </w:pPr>
            <w:r>
              <w:rPr>
                <w:rFonts w:ascii="宋体"/>
                <w:sz w:val="18"/>
              </w:rPr>
              <w:t>174.00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1.67%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3,999,17</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4.00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305,408</w:t>
            </w:r>
          </w:p>
          <w:p>
            <w:pPr>
              <w:pStyle w:val="TableParagraph"/>
              <w:spacing w:line="240" w:lineRule="auto" w:before="76"/>
              <w:ind w:left="99" w:right="0"/>
              <w:jc w:val="left"/>
              <w:rPr>
                <w:rFonts w:ascii="宋体" w:hAnsi="宋体" w:cs="宋体" w:eastAsia="宋体" w:hint="default"/>
                <w:sz w:val="18"/>
                <w:szCs w:val="18"/>
              </w:rPr>
            </w:pPr>
            <w:r>
              <w:rPr>
                <w:rFonts w:ascii="宋体"/>
                <w:sz w:val="18"/>
              </w:rPr>
              <w:t>,128.11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98.71%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20,150,</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006.83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6.60%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sz w:val="18"/>
              </w:rPr>
              <w:t>285,258,</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121.28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235,97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1,615.</w:t>
            </w:r>
          </w:p>
          <w:p>
            <w:pPr>
              <w:pStyle w:val="TableParagraph"/>
              <w:spacing w:line="240" w:lineRule="auto" w:before="76"/>
              <w:ind w:right="19"/>
              <w:jc w:val="right"/>
              <w:rPr>
                <w:rFonts w:ascii="宋体" w:hAnsi="宋体" w:cs="宋体" w:eastAsia="宋体" w:hint="default"/>
                <w:sz w:val="18"/>
                <w:szCs w:val="18"/>
              </w:rPr>
            </w:pPr>
            <w:r>
              <w:rPr>
                <w:rFonts w:ascii="宋体"/>
                <w:sz w:val="18"/>
              </w:rPr>
              <w:t>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98.33%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15,035,8</w:t>
            </w:r>
          </w:p>
          <w:p>
            <w:pPr>
              <w:pStyle w:val="TableParagraph"/>
              <w:spacing w:line="240" w:lineRule="auto" w:before="76"/>
              <w:ind w:left="328" w:right="0"/>
              <w:jc w:val="left"/>
              <w:rPr>
                <w:rFonts w:ascii="宋体" w:hAnsi="宋体" w:cs="宋体" w:eastAsia="宋体" w:hint="default"/>
                <w:sz w:val="18"/>
                <w:szCs w:val="18"/>
              </w:rPr>
            </w:pPr>
            <w:r>
              <w:rPr>
                <w:rFonts w:ascii="宋体"/>
                <w:sz w:val="18"/>
              </w:rPr>
              <w:t>61.83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6.37%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220,935,7</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53.78</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309,407</w:t>
            </w:r>
          </w:p>
          <w:p>
            <w:pPr>
              <w:pStyle w:val="TableParagraph"/>
              <w:spacing w:line="240" w:lineRule="auto" w:before="76"/>
              <w:ind w:left="99" w:right="0"/>
              <w:jc w:val="left"/>
              <w:rPr>
                <w:rFonts w:ascii="宋体" w:hAnsi="宋体" w:cs="宋体" w:eastAsia="宋体" w:hint="default"/>
                <w:sz w:val="18"/>
                <w:szCs w:val="18"/>
              </w:rPr>
            </w:pPr>
            <w:r>
              <w:rPr>
                <w:rFonts w:ascii="宋体"/>
                <w:sz w:val="18"/>
              </w:rPr>
              <w:t>,302.11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24,149,</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180.83</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sz w:val="18"/>
              </w:rPr>
              <w:t>285,258,</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121.28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239,97</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0,789.</w:t>
            </w:r>
          </w:p>
          <w:p>
            <w:pPr>
              <w:pStyle w:val="TableParagraph"/>
              <w:spacing w:line="240" w:lineRule="auto" w:before="76"/>
              <w:ind w:right="19"/>
              <w:jc w:val="right"/>
              <w:rPr>
                <w:rFonts w:ascii="宋体" w:hAnsi="宋体" w:cs="宋体" w:eastAsia="宋体" w:hint="default"/>
                <w:sz w:val="18"/>
                <w:szCs w:val="18"/>
              </w:rPr>
            </w:pPr>
            <w:r>
              <w:rPr>
                <w:rFonts w:ascii="宋体"/>
                <w:sz w:val="18"/>
              </w:rPr>
              <w:t>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19,035,0</w:t>
            </w:r>
          </w:p>
          <w:p>
            <w:pPr>
              <w:pStyle w:val="TableParagraph"/>
              <w:spacing w:line="240" w:lineRule="auto" w:before="76"/>
              <w:ind w:left="328" w:right="0"/>
              <w:jc w:val="left"/>
              <w:rPr>
                <w:rFonts w:ascii="宋体" w:hAnsi="宋体" w:cs="宋体" w:eastAsia="宋体" w:hint="default"/>
                <w:sz w:val="18"/>
                <w:szCs w:val="18"/>
              </w:rPr>
            </w:pPr>
            <w:r>
              <w:rPr>
                <w:rFonts w:ascii="宋体"/>
                <w:sz w:val="18"/>
              </w:rPr>
              <w:t>35.83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220,935,7</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53.78</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20" w:left="1020" w:right="1020"/>
          <w:cols w:num="2" w:equalWidth="0">
            <w:col w:w="4253" w:space="4576"/>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北京星纪开元科技发展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3,999,174.00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3,999,174.00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50" w:right="0"/>
              <w:jc w:val="left"/>
              <w:rPr>
                <w:rFonts w:ascii="宋体" w:hAnsi="宋体" w:cs="宋体" w:eastAsia="宋体" w:hint="default"/>
                <w:sz w:val="18"/>
                <w:szCs w:val="18"/>
              </w:rPr>
            </w:pPr>
            <w:r>
              <w:rPr>
                <w:rFonts w:ascii="宋体"/>
                <w:sz w:val="18"/>
              </w:rPr>
              <w:t>100.00%</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3,999,174.00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3,999,174.00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040" w:bottom="1120" w:left="1020" w:right="1020"/>
        </w:sectPr>
      </w:pPr>
    </w:p>
    <w:p>
      <w:pPr>
        <w:spacing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5"/>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20" w:left="1020" w:right="1020"/>
          <w:cols w:num="2" w:equalWidth="0">
            <w:col w:w="4073" w:space="475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其中：1-6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174,018,061.18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48" w:right="0"/>
              <w:jc w:val="center"/>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48,420,670.08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2,421,033.50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222,438,731.26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2,421,033.50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38,566,223.66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3,856,622.36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27,960,205.39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5,592,041.08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16,442,967.80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8,280,309.89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10,125,011.63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3,037,503.49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1,791,916.29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716,766.52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4,526,039.88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4,526,039.88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305,408,128.11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20,150,006.83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0"/>
        <w:ind w:left="112" w:right="541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57" w:lineRule="auto" w:before="27"/>
        <w:ind w:left="112" w:right="5774"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r>
        <w:rPr/>
        <w:t>（2）本期计提、收回或转回的坏账准备情况</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footerReference w:type="default" r:id="rId28"/>
          <w:pgSz w:w="11910" w:h="16840"/>
          <w:pgMar w:footer="937" w:header="746" w:top="1040" w:bottom="1120" w:left="1020" w:right="1020"/>
          <w:pgNumType w:start="120"/>
        </w:sectPr>
      </w:pPr>
    </w:p>
    <w:p>
      <w:pPr>
        <w:spacing w:line="360" w:lineRule="auto" w:before="44"/>
        <w:ind w:left="11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5,296,145.00</w:t>
      </w:r>
      <w:r>
        <w:rPr>
          <w:rFonts w:ascii="宋体" w:hAnsi="宋体" w:cs="宋体" w:eastAsia="宋体" w:hint="default"/>
          <w:spacing w:val="-47"/>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9"/>
          <w:sz w:val="18"/>
          <w:szCs w:val="18"/>
        </w:rPr>
        <w:t> </w:t>
      </w:r>
      <w:r>
        <w:rPr>
          <w:rFonts w:ascii="宋体" w:hAnsi="宋体" w:cs="宋体" w:eastAsia="宋体" w:hint="default"/>
          <w:sz w:val="18"/>
          <w:szCs w:val="18"/>
        </w:rPr>
        <w:t>元。</w:t>
      </w:r>
      <w:r>
        <w:rPr>
          <w:rFonts w:ascii="宋体" w:hAnsi="宋体" w:cs="宋体" w:eastAsia="宋体" w:hint="default"/>
          <w:sz w:val="18"/>
          <w:szCs w:val="18"/>
        </w:rPr>
        <w:t>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20" w:left="1020" w:right="1020"/>
          <w:cols w:num="2" w:equalWidth="0">
            <w:col w:w="6593" w:space="223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（3）本期实际核销的应收账款情况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182,000.00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2"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（4）按欠款方归集的期末余额前五名的应收账款情况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06" w:type="dxa"/>
        <w:tblLayout w:type="fixed"/>
        <w:tblCellMar>
          <w:top w:w="0" w:type="dxa"/>
          <w:left w:w="0" w:type="dxa"/>
          <w:bottom w:w="0" w:type="dxa"/>
          <w:right w:w="0" w:type="dxa"/>
        </w:tblCellMar>
        <w:tblLook w:val="01E0"/>
      </w:tblPr>
      <w:tblGrid>
        <w:gridCol w:w="3369"/>
        <w:gridCol w:w="1559"/>
        <w:gridCol w:w="2471"/>
        <w:gridCol w:w="2160"/>
      </w:tblGrid>
      <w:tr>
        <w:trPr>
          <w:trHeight w:val="347"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0" w:right="0"/>
              <w:jc w:val="left"/>
              <w:rPr>
                <w:rFonts w:ascii="宋体" w:hAnsi="宋体" w:cs="宋体" w:eastAsia="宋体" w:hint="default"/>
                <w:sz w:val="18"/>
                <w:szCs w:val="18"/>
              </w:rPr>
            </w:pPr>
            <w:r>
              <w:rPr>
                <w:rFonts w:ascii="宋体" w:hAnsi="宋体" w:cs="宋体" w:eastAsia="宋体" w:hint="default"/>
                <w:sz w:val="18"/>
                <w:szCs w:val="18"/>
              </w:rPr>
              <w:t>期末余额（元）</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占应收账款期末余额的比例(%)</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1" w:right="0"/>
              <w:jc w:val="left"/>
              <w:rPr>
                <w:rFonts w:ascii="宋体" w:hAnsi="宋体" w:cs="宋体" w:eastAsia="宋体" w:hint="default"/>
                <w:sz w:val="18"/>
                <w:szCs w:val="18"/>
              </w:rPr>
            </w:pPr>
            <w:r>
              <w:rPr>
                <w:rFonts w:ascii="宋体" w:hAnsi="宋体" w:cs="宋体" w:eastAsia="宋体" w:hint="default"/>
                <w:sz w:val="18"/>
                <w:szCs w:val="18"/>
              </w:rPr>
              <w:t>已计提坏账准备（元）</w:t>
            </w:r>
          </w:p>
        </w:tc>
      </w:tr>
      <w:tr>
        <w:trPr>
          <w:trHeight w:val="347"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21,495,677.27</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20"/>
              <w:jc w:val="right"/>
              <w:rPr>
                <w:rFonts w:ascii="宋体" w:hAnsi="宋体" w:cs="宋体" w:eastAsia="宋体" w:hint="default"/>
                <w:sz w:val="18"/>
                <w:szCs w:val="18"/>
              </w:rPr>
            </w:pPr>
            <w:r>
              <w:rPr>
                <w:rFonts w:ascii="宋体"/>
                <w:sz w:val="18"/>
              </w:rPr>
              <w:t>6.95</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156,742.24</w:t>
            </w:r>
          </w:p>
        </w:tc>
      </w:tr>
      <w:tr>
        <w:trPr>
          <w:trHeight w:val="347"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12,485,702.95</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20"/>
              <w:jc w:val="right"/>
              <w:rPr>
                <w:rFonts w:ascii="宋体" w:hAnsi="宋体" w:cs="宋体" w:eastAsia="宋体" w:hint="default"/>
                <w:sz w:val="18"/>
                <w:szCs w:val="18"/>
              </w:rPr>
            </w:pPr>
            <w:r>
              <w:rPr>
                <w:rFonts w:ascii="宋体"/>
                <w:sz w:val="18"/>
              </w:rPr>
              <w:t>4.04</w:t>
            </w:r>
          </w:p>
        </w:tc>
        <w:tc>
          <w:tcPr>
            <w:tcW w:w="21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13,455,231.94</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20"/>
              <w:jc w:val="right"/>
              <w:rPr>
                <w:rFonts w:ascii="宋体" w:hAnsi="宋体" w:cs="宋体" w:eastAsia="宋体" w:hint="default"/>
                <w:sz w:val="18"/>
                <w:szCs w:val="18"/>
              </w:rPr>
            </w:pPr>
            <w:r>
              <w:rPr>
                <w:rFonts w:ascii="宋体"/>
                <w:sz w:val="18"/>
              </w:rPr>
              <w:t>4.35</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368,782.56</w:t>
            </w:r>
          </w:p>
        </w:tc>
      </w:tr>
      <w:tr>
        <w:trPr>
          <w:trHeight w:val="347"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8,983,674.00</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20"/>
              <w:jc w:val="right"/>
              <w:rPr>
                <w:rFonts w:ascii="宋体" w:hAnsi="宋体" w:cs="宋体" w:eastAsia="宋体" w:hint="default"/>
                <w:sz w:val="18"/>
                <w:szCs w:val="18"/>
              </w:rPr>
            </w:pPr>
            <w:r>
              <w:rPr>
                <w:rFonts w:ascii="宋体"/>
                <w:sz w:val="18"/>
              </w:rPr>
              <w:t>2.90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2,022,407.30</w:t>
            </w:r>
          </w:p>
        </w:tc>
      </w:tr>
      <w:tr>
        <w:trPr>
          <w:trHeight w:val="347"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8,378,927.00</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20"/>
              <w:jc w:val="right"/>
              <w:rPr>
                <w:rFonts w:ascii="宋体" w:hAnsi="宋体" w:cs="宋体" w:eastAsia="宋体" w:hint="default"/>
                <w:sz w:val="18"/>
                <w:szCs w:val="18"/>
              </w:rPr>
            </w:pPr>
            <w:r>
              <w:rPr>
                <w:rFonts w:ascii="宋体"/>
                <w:sz w:val="18"/>
              </w:rPr>
              <w:t>2.70</w:t>
            </w:r>
          </w:p>
        </w:tc>
        <w:tc>
          <w:tcPr>
            <w:tcW w:w="21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pacing w:val="-1"/>
                <w:sz w:val="18"/>
              </w:rPr>
              <w:t>64,799,213.16</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584" w:right="0"/>
              <w:jc w:val="left"/>
              <w:rPr>
                <w:rFonts w:ascii="宋体" w:hAnsi="宋体" w:cs="宋体" w:eastAsia="宋体" w:hint="default"/>
                <w:sz w:val="18"/>
                <w:szCs w:val="18"/>
              </w:rPr>
            </w:pPr>
            <w:r>
              <w:rPr>
                <w:rFonts w:ascii="宋体"/>
                <w:sz w:val="18"/>
              </w:rPr>
              <w:t>20.94</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2,547,932.10</w:t>
            </w:r>
          </w:p>
        </w:tc>
      </w:tr>
    </w:tbl>
    <w:p>
      <w:pPr>
        <w:spacing w:after="0" w:line="240" w:lineRule="auto"/>
        <w:jc w:val="right"/>
        <w:rPr>
          <w:rFonts w:ascii="宋体" w:hAnsi="宋体" w:cs="宋体" w:eastAsia="宋体" w:hint="default"/>
          <w:sz w:val="18"/>
          <w:szCs w:val="18"/>
        </w:rPr>
        <w:sectPr>
          <w:type w:val="continuous"/>
          <w:pgSz w:w="11910" w:h="16840"/>
          <w:pgMar w:top="1040" w:bottom="1120" w:left="1020" w:right="1020"/>
        </w:sectPr>
      </w:pPr>
    </w:p>
    <w:p>
      <w:pPr>
        <w:spacing w:line="240" w:lineRule="auto" w:before="6"/>
        <w:rPr>
          <w:rFonts w:ascii="宋体" w:hAnsi="宋体" w:cs="宋体" w:eastAsia="宋体" w:hint="default"/>
          <w:b/>
          <w:bCs/>
          <w:sz w:val="25"/>
          <w:szCs w:val="25"/>
        </w:rPr>
      </w:pPr>
    </w:p>
    <w:p>
      <w:pPr>
        <w:pStyle w:val="Heading5"/>
        <w:spacing w:line="240" w:lineRule="auto" w:before="34"/>
        <w:ind w:right="0"/>
        <w:jc w:val="left"/>
        <w:rPr>
          <w:b w:val="0"/>
          <w:bCs w:val="0"/>
        </w:rPr>
      </w:pPr>
      <w:r>
        <w:rPr/>
        <w:t>（5）因金融资产转移而终止确认的应收账款</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（6）转移应收账款且继续涉入形成的资产、负债金额</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6、预付款项</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（1）预付款项按账龄列示</w:t>
      </w:r>
      <w:r>
        <w:rPr>
          <w:b w:val="0"/>
          <w:bCs w:val="0"/>
        </w:rPr>
      </w:r>
    </w:p>
    <w:p>
      <w:pPr>
        <w:spacing w:line="240" w:lineRule="auto" w:before="7"/>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33,010,813.05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42,526,870.53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85.65%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2,265,921.17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5,929,839.51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65,789.63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943,762.36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37,863.38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250,212.34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0.50%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35,380,387.23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49,650,684.74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年且金额重要的预付款项未及时结算原因的说明：</w:t>
      </w:r>
    </w:p>
    <w:p>
      <w:pPr>
        <w:spacing w:line="240" w:lineRule="auto" w:before="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227"/>
        <w:gridCol w:w="2357"/>
        <w:gridCol w:w="1335"/>
        <w:gridCol w:w="2655"/>
      </w:tblGrid>
      <w:tr>
        <w:trPr>
          <w:trHeight w:val="34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39" w:right="0"/>
              <w:jc w:val="left"/>
              <w:rPr>
                <w:rFonts w:ascii="宋体" w:hAnsi="宋体" w:cs="宋体" w:eastAsia="宋体" w:hint="default"/>
                <w:sz w:val="18"/>
                <w:szCs w:val="18"/>
              </w:rPr>
            </w:pPr>
            <w:r>
              <w:rPr>
                <w:rFonts w:ascii="宋体" w:hAnsi="宋体" w:cs="宋体" w:eastAsia="宋体" w:hint="default"/>
                <w:sz w:val="18"/>
                <w:szCs w:val="18"/>
              </w:rPr>
              <w:t>期末余额（元）</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80"/>
              <w:jc w:val="right"/>
              <w:rPr>
                <w:rFonts w:ascii="宋体" w:hAnsi="宋体" w:cs="宋体" w:eastAsia="宋体" w:hint="default"/>
                <w:sz w:val="18"/>
                <w:szCs w:val="18"/>
              </w:rPr>
            </w:pPr>
            <w:r>
              <w:rPr>
                <w:rFonts w:ascii="宋体" w:hAnsi="宋体" w:cs="宋体" w:eastAsia="宋体" w:hint="default"/>
                <w:sz w:val="18"/>
                <w:szCs w:val="18"/>
              </w:rPr>
              <w:t>账龄</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4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烟台高新技术产业开发区建设环保局</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4,349,500.00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3"/>
              <w:jc w:val="right"/>
              <w:rPr>
                <w:rFonts w:ascii="宋体" w:hAnsi="宋体" w:cs="宋体" w:eastAsia="宋体" w:hint="default"/>
                <w:sz w:val="18"/>
                <w:szCs w:val="18"/>
              </w:rPr>
            </w:pPr>
            <w:r>
              <w:rPr>
                <w:rFonts w:ascii="宋体" w:hAnsi="宋体" w:cs="宋体" w:eastAsia="宋体" w:hint="default"/>
                <w:sz w:val="18"/>
                <w:szCs w:val="18"/>
              </w:rPr>
              <w:t>1-2年</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4,349,500.00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265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5"/>
        <w:spacing w:line="240" w:lineRule="auto" w:before="34"/>
        <w:ind w:right="0"/>
        <w:jc w:val="left"/>
        <w:rPr>
          <w:b w:val="0"/>
          <w:bCs w:val="0"/>
        </w:rPr>
      </w:pPr>
      <w:r>
        <w:rPr/>
        <w:t>（2）按预付对象归集的期末余额前五名的预付款情况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06" w:type="dxa"/>
        <w:tblLayout w:type="fixed"/>
        <w:tblCellMar>
          <w:top w:w="0" w:type="dxa"/>
          <w:left w:w="0" w:type="dxa"/>
          <w:bottom w:w="0" w:type="dxa"/>
          <w:right w:w="0" w:type="dxa"/>
        </w:tblCellMar>
        <w:tblLook w:val="01E0"/>
      </w:tblPr>
      <w:tblGrid>
        <w:gridCol w:w="2119"/>
        <w:gridCol w:w="1800"/>
        <w:gridCol w:w="2285"/>
        <w:gridCol w:w="1465"/>
        <w:gridCol w:w="1905"/>
      </w:tblGrid>
      <w:tr>
        <w:trPr>
          <w:trHeight w:val="347" w:hRule="exact"/>
        </w:trPr>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6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62" w:right="0"/>
              <w:jc w:val="left"/>
              <w:rPr>
                <w:rFonts w:ascii="宋体" w:hAnsi="宋体" w:cs="宋体" w:eastAsia="宋体" w:hint="default"/>
                <w:sz w:val="18"/>
                <w:szCs w:val="18"/>
              </w:rPr>
            </w:pPr>
            <w:r>
              <w:rPr>
                <w:rFonts w:ascii="宋体" w:hAnsi="宋体" w:cs="宋体" w:eastAsia="宋体" w:hint="default"/>
                <w:sz w:val="18"/>
                <w:szCs w:val="18"/>
              </w:rPr>
              <w:t>期末金额（元）</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99" w:right="0"/>
              <w:jc w:val="left"/>
              <w:rPr>
                <w:rFonts w:ascii="宋体" w:hAnsi="宋体" w:cs="宋体" w:eastAsia="宋体" w:hint="default"/>
                <w:sz w:val="18"/>
                <w:szCs w:val="18"/>
              </w:rPr>
            </w:pPr>
            <w:r>
              <w:rPr>
                <w:rFonts w:ascii="宋体" w:hAnsi="宋体" w:cs="宋体" w:eastAsia="宋体" w:hint="default"/>
                <w:sz w:val="18"/>
                <w:szCs w:val="18"/>
              </w:rPr>
              <w:t>占预付账款总额的比例(%)</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94"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7" w:hRule="exact"/>
        </w:trPr>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4,349,500.00</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12.29</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1-2年</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预付项目款</w:t>
            </w:r>
          </w:p>
        </w:tc>
      </w:tr>
      <w:tr>
        <w:trPr>
          <w:trHeight w:val="347" w:hRule="exact"/>
        </w:trPr>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3,900,005.00</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11.02</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1年以内</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预付项目款</w:t>
            </w:r>
          </w:p>
        </w:tc>
      </w:tr>
      <w:tr>
        <w:trPr>
          <w:trHeight w:val="347" w:hRule="exact"/>
        </w:trPr>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3,933,548.80</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11.12</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1年以内</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预付项目款</w:t>
            </w:r>
          </w:p>
        </w:tc>
      </w:tr>
      <w:tr>
        <w:trPr>
          <w:trHeight w:val="347" w:hRule="exact"/>
        </w:trPr>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3"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3,444,068.55</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9.73</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1年以内</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预付项目款</w:t>
            </w:r>
          </w:p>
        </w:tc>
      </w:tr>
      <w:tr>
        <w:trPr>
          <w:trHeight w:val="347" w:hRule="exact"/>
        </w:trPr>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2,180,195.20</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6.16</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1年以内</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预付项目款</w:t>
            </w:r>
          </w:p>
        </w:tc>
      </w:tr>
      <w:tr>
        <w:trPr>
          <w:trHeight w:val="347" w:hRule="exact"/>
        </w:trPr>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17,807,317.55</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pacing w:val="-1"/>
                <w:sz w:val="18"/>
              </w:rPr>
              <w:t>50.33</w:t>
            </w:r>
          </w:p>
        </w:tc>
        <w:tc>
          <w:tcPr>
            <w:tcW w:w="1465"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7、应收利息</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（1）应收利息分类</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（2）重要逾期利息</w:t>
      </w:r>
      <w:r>
        <w:rPr>
          <w:b w:val="0"/>
          <w:bCs w:val="0"/>
        </w:rPr>
      </w:r>
    </w:p>
    <w:p>
      <w:pPr>
        <w:spacing w:line="240" w:lineRule="auto" w:before="11"/>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8、应收股利</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（1）应收股利</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1" w:right="0"/>
              <w:jc w:val="left"/>
              <w:rPr>
                <w:rFonts w:ascii="宋体" w:hAnsi="宋体" w:cs="宋体" w:eastAsia="宋体" w:hint="default"/>
                <w:sz w:val="18"/>
                <w:szCs w:val="18"/>
              </w:rPr>
            </w:pPr>
            <w:r>
              <w:rPr>
                <w:rFonts w:ascii="宋体" w:hAnsi="宋体" w:cs="宋体" w:eastAsia="宋体" w:hint="default"/>
                <w:sz w:val="18"/>
                <w:szCs w:val="18"/>
              </w:rPr>
              <w:t>项目(或被投资单位)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（2）重要的账龄超过</w:t>
      </w:r>
      <w:r>
        <w:rPr>
          <w:spacing w:val="-56"/>
        </w:rPr>
        <w:t> </w:t>
      </w:r>
      <w:r>
        <w:rPr/>
        <w:t>1</w:t>
      </w:r>
      <w:r>
        <w:rPr>
          <w:spacing w:val="-57"/>
        </w:rPr>
        <w:t> </w:t>
      </w:r>
      <w:r>
        <w:rPr/>
        <w:t>年的应收股利</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项目(或被投资单位)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9、其他应收款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（1）其他应收款分类披露</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105,308</w:t>
            </w:r>
          </w:p>
          <w:p>
            <w:pPr>
              <w:pStyle w:val="TableParagraph"/>
              <w:spacing w:line="240" w:lineRule="auto" w:before="76"/>
              <w:ind w:left="99" w:right="0"/>
              <w:jc w:val="left"/>
              <w:rPr>
                <w:rFonts w:ascii="宋体" w:hAnsi="宋体" w:cs="宋体" w:eastAsia="宋体" w:hint="default"/>
                <w:sz w:val="18"/>
                <w:szCs w:val="18"/>
              </w:rPr>
            </w:pPr>
            <w:r>
              <w:rPr>
                <w:rFonts w:ascii="宋体"/>
                <w:sz w:val="18"/>
              </w:rPr>
              <w:t>,992.01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99.28%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10,805,</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483.75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10.26%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94,503,5</w:t>
            </w:r>
          </w:p>
          <w:p>
            <w:pPr>
              <w:pStyle w:val="TableParagraph"/>
              <w:spacing w:line="240" w:lineRule="auto" w:before="76"/>
              <w:ind w:left="306" w:right="0"/>
              <w:jc w:val="left"/>
              <w:rPr>
                <w:rFonts w:ascii="宋体" w:hAnsi="宋体" w:cs="宋体" w:eastAsia="宋体" w:hint="default"/>
                <w:sz w:val="18"/>
                <w:szCs w:val="18"/>
              </w:rPr>
            </w:pPr>
            <w:r>
              <w:rPr>
                <w:rFonts w:ascii="宋体"/>
                <w:sz w:val="18"/>
              </w:rPr>
              <w:t>08.26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78,359</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,781.5</w:t>
            </w:r>
          </w:p>
          <w:p>
            <w:pPr>
              <w:pStyle w:val="TableParagraph"/>
              <w:spacing w:line="240" w:lineRule="auto" w:before="76"/>
              <w:ind w:right="21"/>
              <w:jc w:val="right"/>
              <w:rPr>
                <w:rFonts w:ascii="宋体" w:hAnsi="宋体" w:cs="宋体" w:eastAsia="宋体" w:hint="default"/>
                <w:sz w:val="18"/>
                <w:szCs w:val="18"/>
              </w:rPr>
            </w:pPr>
            <w:r>
              <w:rPr>
                <w:rFonts w:ascii="宋体"/>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98.74%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7,016,83</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1.31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8.95%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71,342,95</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0.24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762,880</w:t>
            </w:r>
          </w:p>
          <w:p>
            <w:pPr>
              <w:pStyle w:val="TableParagraph"/>
              <w:spacing w:line="240" w:lineRule="auto" w:before="76"/>
              <w:ind w:left="459" w:right="0"/>
              <w:jc w:val="left"/>
              <w:rPr>
                <w:rFonts w:ascii="宋体" w:hAnsi="宋体" w:cs="宋体" w:eastAsia="宋体" w:hint="default"/>
                <w:sz w:val="18"/>
                <w:szCs w:val="18"/>
              </w:rPr>
            </w:pPr>
            <w:r>
              <w:rPr>
                <w:rFonts w:ascii="宋体"/>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0.72%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762,880</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sz w:val="18"/>
              </w:rPr>
              <w:t>1,003,</w:t>
            </w:r>
          </w:p>
          <w:p>
            <w:pPr>
              <w:pStyle w:val="TableParagraph"/>
              <w:spacing w:line="240" w:lineRule="auto" w:before="76"/>
              <w:ind w:left="81" w:right="0"/>
              <w:jc w:val="left"/>
              <w:rPr>
                <w:rFonts w:ascii="宋体" w:hAnsi="宋体" w:cs="宋体" w:eastAsia="宋体" w:hint="default"/>
                <w:sz w:val="18"/>
                <w:szCs w:val="18"/>
              </w:rPr>
            </w:pPr>
            <w:r>
              <w:rPr>
                <w:rFonts w:ascii="宋体"/>
                <w:sz w:val="18"/>
              </w:rPr>
              <w:t>440.00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1.26%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1,003,44</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106,071</w:t>
            </w:r>
          </w:p>
          <w:p>
            <w:pPr>
              <w:pStyle w:val="TableParagraph"/>
              <w:spacing w:line="240" w:lineRule="auto" w:before="76"/>
              <w:ind w:left="99" w:right="0"/>
              <w:jc w:val="left"/>
              <w:rPr>
                <w:rFonts w:ascii="宋体" w:hAnsi="宋体" w:cs="宋体" w:eastAsia="宋体" w:hint="default"/>
                <w:sz w:val="18"/>
                <w:szCs w:val="18"/>
              </w:rPr>
            </w:pPr>
            <w:r>
              <w:rPr>
                <w:rFonts w:ascii="宋体"/>
                <w:sz w:val="18"/>
              </w:rPr>
              <w:t>,872.01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11,568,</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363.75</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94,503,5</w:t>
            </w:r>
          </w:p>
          <w:p>
            <w:pPr>
              <w:pStyle w:val="TableParagraph"/>
              <w:spacing w:line="240" w:lineRule="auto" w:before="76"/>
              <w:ind w:left="306" w:right="0"/>
              <w:jc w:val="left"/>
              <w:rPr>
                <w:rFonts w:ascii="宋体" w:hAnsi="宋体" w:cs="宋体" w:eastAsia="宋体" w:hint="default"/>
                <w:sz w:val="18"/>
                <w:szCs w:val="18"/>
              </w:rPr>
            </w:pPr>
            <w:r>
              <w:rPr>
                <w:rFonts w:ascii="宋体"/>
                <w:sz w:val="18"/>
              </w:rPr>
              <w:t>08.26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79,363</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,221.5</w:t>
            </w:r>
          </w:p>
          <w:p>
            <w:pPr>
              <w:pStyle w:val="TableParagraph"/>
              <w:spacing w:line="240" w:lineRule="auto" w:before="76"/>
              <w:ind w:right="21"/>
              <w:jc w:val="right"/>
              <w:rPr>
                <w:rFonts w:ascii="宋体" w:hAnsi="宋体" w:cs="宋体" w:eastAsia="宋体" w:hint="default"/>
                <w:sz w:val="18"/>
                <w:szCs w:val="18"/>
              </w:rPr>
            </w:pPr>
            <w:r>
              <w:rPr>
                <w:rFonts w:ascii="宋体"/>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8,020,27</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1.31</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71,342,95</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0.24</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6" w:footer="937" w:top="1040" w:bottom="1120" w:left="1020" w:right="1020"/>
        </w:sectPr>
      </w:pPr>
    </w:p>
    <w:p>
      <w:pPr>
        <w:spacing w:line="357"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9"/>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20" w:left="1020" w:right="1020"/>
          <w:cols w:num="2" w:equalWidth="0">
            <w:col w:w="4253" w:space="4576"/>
            <w:col w:w="104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其中：1-6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35,008,332.12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49" w:right="0"/>
              <w:jc w:val="center"/>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20,320,777.52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1,016,038.87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55,329,109.64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1,016,038.87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24,738,917.29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2,473,891.73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14,060,507.48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2,812,101.50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11,180,457.60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4,503,451.65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4,361,312.10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1,308,393.63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6,040,145.80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2,416,058.32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778,999.70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778,999.70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105,308,992.01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10,805,483.75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2"/>
        <w:ind w:left="112" w:right="52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60" w:lineRule="auto" w:before="29"/>
        <w:ind w:left="112" w:right="5594"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（2）本期计提、收回或转回的坏账准备情况</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40" w:bottom="1120" w:left="1020" w:right="1020"/>
        </w:sectPr>
      </w:pPr>
    </w:p>
    <w:p>
      <w:pPr>
        <w:spacing w:line="357" w:lineRule="auto" w:before="44"/>
        <w:ind w:left="112" w:right="-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宋体" w:hAnsi="宋体" w:cs="宋体" w:eastAsia="宋体" w:hint="default"/>
          <w:sz w:val="18"/>
          <w:szCs w:val="18"/>
        </w:rPr>
        <w:t>3,808,652.44</w:t>
      </w:r>
      <w:r>
        <w:rPr>
          <w:rFonts w:ascii="宋体" w:hAnsi="宋体" w:cs="宋体" w:eastAsia="宋体" w:hint="default"/>
          <w:spacing w:val="-48"/>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宋体" w:hAnsi="宋体" w:cs="宋体" w:eastAsia="宋体" w:hint="default"/>
          <w:sz w:val="18"/>
          <w:szCs w:val="18"/>
        </w:rPr>
        <w:t>215,000.00</w:t>
      </w:r>
      <w:r>
        <w:rPr>
          <w:rFonts w:ascii="宋体" w:hAnsi="宋体" w:cs="宋体" w:eastAsia="宋体" w:hint="default"/>
          <w:spacing w:val="-50"/>
          <w:sz w:val="18"/>
          <w:szCs w:val="18"/>
        </w:rPr>
        <w:t> </w:t>
      </w:r>
      <w:r>
        <w:rPr>
          <w:rFonts w:ascii="宋体" w:hAnsi="宋体" w:cs="宋体" w:eastAsia="宋体" w:hint="default"/>
          <w:sz w:val="18"/>
          <w:szCs w:val="18"/>
        </w:rPr>
        <w:t>元。</w:t>
      </w:r>
      <w:r>
        <w:rPr>
          <w:rFonts w:ascii="宋体" w:hAnsi="宋体" w:cs="宋体" w:eastAsia="宋体" w:hint="default"/>
          <w:sz w:val="18"/>
          <w:szCs w:val="18"/>
        </w:rPr>
        <w:t>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20" w:left="1020" w:right="1020"/>
          <w:cols w:num="2" w:equalWidth="0">
            <w:col w:w="7133" w:space="169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合肥易畅电子科技有限公司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215,000.00</w:t>
            </w:r>
          </w:p>
        </w:tc>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现金收回</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215,000.00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（3）本期实际核销的其他应收款情况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45,560.00</w:t>
            </w:r>
          </w:p>
        </w:tc>
      </w:tr>
    </w:tbl>
    <w:p>
      <w:pPr>
        <w:spacing w:after="0" w:line="240" w:lineRule="auto"/>
        <w:jc w:val="right"/>
        <w:rPr>
          <w:rFonts w:ascii="宋体" w:hAnsi="宋体" w:cs="宋体" w:eastAsia="宋体" w:hint="default"/>
          <w:sz w:val="18"/>
          <w:szCs w:val="18"/>
        </w:rPr>
        <w:sectPr>
          <w:type w:val="continuous"/>
          <w:pgSz w:w="11910" w:h="16840"/>
          <w:pgMar w:top="1040" w:bottom="1120" w:left="1020" w:right="1020"/>
        </w:sectPr>
      </w:pPr>
    </w:p>
    <w:p>
      <w:pPr>
        <w:spacing w:line="240" w:lineRule="auto" w:before="9"/>
        <w:rPr>
          <w:rFonts w:ascii="宋体" w:hAnsi="宋体" w:cs="宋体" w:eastAsia="宋体" w:hint="default"/>
          <w:sz w:val="26"/>
          <w:szCs w:val="2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0"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（4）其他应收款按款项性质分类情况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98,131,355.90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70,341,331.62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6,658,198.28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1,642,439.94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336.00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4,306.35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1,281,981.83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7,375,143.64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106,071,872.01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79,363,221.55</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（5）按欠款方归集的期末余额前五名的其他应收款情况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25,069,364.32</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1,757,473.19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4,897,787.35</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656,387.19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3,058,680.05</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206,803.01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2,582,818.00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2,330,126.40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58,253.16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37,938,776.12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2,678,916.55</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（6）涉及政府补助的应收款项</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2" w:right="50"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（7）因金融资产转移而终止确认的其他应收款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（8）转移其他应收款且继续涉入形成的资产、负债金额</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10、存货</w:t>
      </w:r>
      <w:r>
        <w:rPr>
          <w:b w:val="0"/>
          <w:bCs w:val="0"/>
        </w:rPr>
      </w:r>
    </w:p>
    <w:p>
      <w:pPr>
        <w:spacing w:line="240" w:lineRule="auto" w:before="9"/>
        <w:rPr>
          <w:rFonts w:ascii="宋体" w:hAnsi="宋体" w:cs="宋体" w:eastAsia="宋体" w:hint="default"/>
          <w:b/>
          <w:bCs/>
          <w:sz w:val="27"/>
          <w:szCs w:val="27"/>
        </w:rPr>
      </w:pPr>
    </w:p>
    <w:p>
      <w:pPr>
        <w:spacing w:line="360" w:lineRule="auto" w:before="0"/>
        <w:ind w:left="112" w:right="649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t>（1）存货分类</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5,345,868.49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4,738,359.05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4,359,940.02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3,752,430.58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1,692,533.63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1,692,533.63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703,200.15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703,200.15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204,653,111.72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204,653,111.72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157,664,137.08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157,664,137.08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1,250.02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1,250.02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1,250.02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1,250.02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133,701,872.52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133,701,872.52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135,094,910.16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135,094,910.16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345,394,636.38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344,787,126.94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297,823,437.43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297,215,927.99</w:t>
            </w:r>
          </w:p>
        </w:tc>
      </w:tr>
    </w:tbl>
    <w:p>
      <w:pPr>
        <w:spacing w:line="357" w:lineRule="auto" w:before="51"/>
        <w:ind w:left="112" w:right="145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号—上市公司从事种业、种植业务》的披露要求</w:t>
      </w:r>
      <w:r>
        <w:rPr>
          <w:rFonts w:ascii="宋体" w:hAnsi="宋体" w:cs="宋体" w:eastAsia="宋体" w:hint="default"/>
          <w:sz w:val="18"/>
          <w:szCs w:val="18"/>
        </w:rPr>
        <w:t> 否</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r>
        <w:rPr/>
        <w:t>（2）存货跌价准备</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607,509.44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607,509.44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607,509.44</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（3）存货期末余额含有借款费用资本化金额的说明</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（4）期末建造合同形成的已完工未结算资产情况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8;height:397" coordorigin="13,12" coordsize="4778,397">
              <v:shape style="position:absolute;left:13;top:12;width:4778;height:397" coordorigin="13,12" coordsize="4778,397" path="m13,12l4791,12,4791,409,13,409,13,12xe" filled="true" fillcolor="#d2d2d2" stroked="false">
                <v:path arrowok="t"/>
                <v:fill type="solid"/>
              </v:shape>
            </v:group>
            <v:group style="position:absolute;left:4796;top:12;width:4780;height:397" coordorigin="4796,12" coordsize="4780,397">
              <v:shape style="position:absolute;left:4796;top:12;width:4780;height:397" coordorigin="4796,12" coordsize="4780,397" path="m4796,12l9576,12,9576,409,4796,409,47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11、持有待售的资产</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9"/>
        <w:rPr>
          <w:rFonts w:ascii="宋体" w:hAnsi="宋体" w:cs="宋体" w:eastAsia="宋体" w:hint="default"/>
          <w:sz w:val="26"/>
          <w:szCs w:val="2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12、一年内到期的非流动资产</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13、其他流动资产</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5,727,412.99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2,699,578.00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77,787.47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139,794.29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5,805,200.46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2,839,372.29</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14、可供出售金融资产</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（1）可供出售金融资产情况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18,000,000.0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center"/>
              <w:rPr>
                <w:rFonts w:ascii="宋体" w:hAnsi="宋体" w:cs="宋体" w:eastAsia="宋体" w:hint="default"/>
                <w:sz w:val="18"/>
                <w:szCs w:val="18"/>
              </w:rPr>
            </w:pPr>
            <w:r>
              <w:rPr>
                <w:rFonts w:ascii="宋体"/>
                <w:sz w:val="18"/>
              </w:rPr>
              <w:t>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sz w:val="18"/>
              </w:rPr>
              <w:t>23,000,000.00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5,000,000.00</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18,000,000.0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center"/>
              <w:rPr>
                <w:rFonts w:ascii="宋体" w:hAnsi="宋体" w:cs="宋体" w:eastAsia="宋体" w:hint="default"/>
                <w:sz w:val="18"/>
                <w:szCs w:val="18"/>
              </w:rPr>
            </w:pPr>
            <w:r>
              <w:rPr>
                <w:rFonts w:ascii="宋体"/>
                <w:sz w:val="18"/>
              </w:rPr>
              <w:t>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sz w:val="18"/>
              </w:rPr>
              <w:t>23,000,000.00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5,000,000.00</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18,000,000.0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center"/>
              <w:rPr>
                <w:rFonts w:ascii="宋体" w:hAnsi="宋体" w:cs="宋体" w:eastAsia="宋体" w:hint="default"/>
                <w:sz w:val="18"/>
                <w:szCs w:val="18"/>
              </w:rPr>
            </w:pPr>
            <w:r>
              <w:rPr>
                <w:rFonts w:ascii="宋体"/>
                <w:sz w:val="18"/>
              </w:rPr>
              <w:t>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sz w:val="18"/>
              </w:rPr>
              <w:t>23,000,000.00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5,000,000.00</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（2）期末按公允价值计量的可供出售金融资产</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（3）期末按成本计量的可供出售金融资产</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3480"/>
        <w:gridCol w:w="3480"/>
        <w:gridCol w:w="870"/>
        <w:gridCol w:w="870"/>
      </w:tblGrid>
      <w:tr>
        <w:trPr>
          <w:trHeight w:val="400"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5"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3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9"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0" w:right="0"/>
              <w:jc w:val="left"/>
              <w:rPr>
                <w:rFonts w:ascii="宋体" w:hAnsi="宋体" w:cs="宋体" w:eastAsia="宋体" w:hint="default"/>
                <w:sz w:val="18"/>
                <w:szCs w:val="18"/>
              </w:rPr>
            </w:pPr>
            <w:r>
              <w:rPr>
                <w:rFonts w:ascii="宋体" w:hAnsi="宋体" w:cs="宋体" w:eastAsia="宋体" w:hint="default"/>
                <w:sz w:val="18"/>
                <w:szCs w:val="18"/>
              </w:rPr>
              <w:t>本期现金</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49" w:right="69" w:hanging="180"/>
              <w:jc w:val="left"/>
              <w:rPr>
                <w:rFonts w:ascii="宋体" w:hAnsi="宋体" w:cs="宋体" w:eastAsia="宋体" w:hint="default"/>
                <w:sz w:val="18"/>
                <w:szCs w:val="18"/>
              </w:rPr>
            </w:pPr>
            <w:r>
              <w:rPr>
                <w:rFonts w:ascii="宋体" w:hAnsi="宋体" w:cs="宋体" w:eastAsia="宋体" w:hint="default"/>
                <w:sz w:val="18"/>
                <w:szCs w:val="18"/>
              </w:rPr>
              <w:t>单位持股 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0" w:right="0"/>
              <w:jc w:val="left"/>
              <w:rPr>
                <w:rFonts w:ascii="宋体" w:hAnsi="宋体" w:cs="宋体" w:eastAsia="宋体" w:hint="default"/>
                <w:sz w:val="18"/>
                <w:szCs w:val="18"/>
              </w:rPr>
            </w:pPr>
            <w:r>
              <w:rPr>
                <w:rFonts w:ascii="宋体" w:hAnsi="宋体" w:cs="宋体" w:eastAsia="宋体" w:hint="default"/>
                <w:sz w:val="18"/>
                <w:szCs w:val="18"/>
              </w:rPr>
              <w:t>红利</w:t>
            </w: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北京清科</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致达投资 管理中心</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567" w:right="0"/>
              <w:jc w:val="left"/>
              <w:rPr>
                <w:rFonts w:ascii="宋体" w:hAnsi="宋体" w:cs="宋体" w:eastAsia="宋体" w:hint="default"/>
                <w:sz w:val="18"/>
                <w:szCs w:val="18"/>
              </w:rPr>
            </w:pPr>
            <w:r>
              <w:rPr>
                <w:rFonts w:ascii="宋体"/>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86" w:right="0"/>
              <w:jc w:val="left"/>
              <w:rPr>
                <w:rFonts w:ascii="宋体" w:hAnsi="宋体" w:cs="宋体" w:eastAsia="宋体" w:hint="default"/>
                <w:sz w:val="18"/>
                <w:szCs w:val="18"/>
              </w:rPr>
            </w:pPr>
            <w:r>
              <w:rPr>
                <w:rFonts w:ascii="宋体"/>
                <w:sz w:val="18"/>
              </w:rPr>
              <w:t>3.33%</w:t>
            </w:r>
          </w:p>
        </w:tc>
        <w:tc>
          <w:tcPr>
            <w:tcW w:w="870" w:type="dxa"/>
            <w:vMerge/>
            <w:tcBorders>
              <w:left w:val="single" w:sz="4" w:space="0" w:color="000000"/>
              <w:right w:val="single" w:sz="4" w:space="0" w:color="000000"/>
            </w:tcBorders>
          </w:tcPr>
          <w:p>
            <w:pPr/>
          </w:p>
        </w:tc>
      </w:tr>
      <w:tr>
        <w:trPr>
          <w:trHeight w:val="357" w:hRule="exact"/>
        </w:trPr>
        <w:tc>
          <w:tcPr>
            <w:tcW w:w="863"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安徽高速 物流股份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6" w:right="0"/>
              <w:jc w:val="left"/>
              <w:rPr>
                <w:rFonts w:ascii="宋体" w:hAnsi="宋体" w:cs="宋体" w:eastAsia="宋体" w:hint="default"/>
                <w:sz w:val="18"/>
                <w:szCs w:val="18"/>
              </w:rPr>
            </w:pPr>
            <w:r>
              <w:rPr>
                <w:rFonts w:ascii="宋体"/>
                <w:sz w:val="18"/>
              </w:rPr>
              <w:t>9.77%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18"/>
                <w:szCs w:val="18"/>
              </w:rPr>
            </w:pPr>
            <w:r>
              <w:rPr>
                <w:rFonts w:ascii="宋体"/>
                <w:sz w:val="18"/>
              </w:rPr>
              <w:t>23,000,00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sz w:val="18"/>
              </w:rPr>
              <w:t>23,000,00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sz w:val="18"/>
              </w:rPr>
              <w:t>18,000,00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r>
        <w:rPr/>
        <w:t>（4）报告期内可供出售金融资产减值的变动情况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18,000,000.00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18,000,000.00</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（5）可供出售权益工具期末公允价值严重下跌或非暂时性下跌但未计提减值准备的相关说明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15、持有至到期投资</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（1）持有至到期投资情况</w:t>
      </w:r>
      <w:r>
        <w:rPr>
          <w:b w:val="0"/>
          <w:bCs w:val="0"/>
        </w:rPr>
      </w:r>
    </w:p>
    <w:p>
      <w:pPr>
        <w:spacing w:line="240" w:lineRule="auto" w:before="7"/>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（2）期末重要的持有至到期投资</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center"/>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（3）本期重分类的持有至到期投资</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16、长期应收款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（1）长期应收款情况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center"/>
              <w:rPr>
                <w:rFonts w:ascii="宋体" w:hAnsi="宋体" w:cs="宋体" w:eastAsia="宋体" w:hint="default"/>
                <w:sz w:val="18"/>
                <w:szCs w:val="18"/>
              </w:rPr>
            </w:pPr>
            <w:r>
              <w:rPr>
                <w:rFonts w:ascii="宋体"/>
                <w:sz w:val="18"/>
              </w:rPr>
              <w:t>6,475,250.56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sz w:val="18"/>
              </w:rPr>
              <w:t>697,259.85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center"/>
              <w:rPr>
                <w:rFonts w:ascii="宋体" w:hAnsi="宋体" w:cs="宋体" w:eastAsia="宋体" w:hint="default"/>
                <w:sz w:val="18"/>
                <w:szCs w:val="18"/>
              </w:rPr>
            </w:pPr>
            <w:r>
              <w:rPr>
                <w:rFonts w:ascii="宋体"/>
                <w:sz w:val="18"/>
              </w:rPr>
              <w:t>5,777,990.71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 w:right="0"/>
              <w:jc w:val="center"/>
              <w:rPr>
                <w:rFonts w:ascii="宋体" w:hAnsi="宋体" w:cs="宋体" w:eastAsia="宋体" w:hint="default"/>
                <w:sz w:val="18"/>
                <w:szCs w:val="18"/>
              </w:rPr>
            </w:pPr>
            <w:r>
              <w:rPr>
                <w:rFonts w:ascii="宋体"/>
                <w:sz w:val="18"/>
              </w:rPr>
              <w:t>7,489,796.95</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center"/>
              <w:rPr>
                <w:rFonts w:ascii="宋体" w:hAnsi="宋体" w:cs="宋体" w:eastAsia="宋体" w:hint="default"/>
                <w:sz w:val="18"/>
                <w:szCs w:val="18"/>
              </w:rPr>
            </w:pPr>
            <w:r>
              <w:rPr>
                <w:rFonts w:ascii="宋体"/>
                <w:sz w:val="18"/>
              </w:rPr>
              <w:t>7,489,796.95</w:t>
            </w:r>
          </w:p>
        </w:tc>
        <w:tc>
          <w:tcPr>
            <w:tcW w:w="116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 w:right="0"/>
              <w:jc w:val="center"/>
              <w:rPr>
                <w:rFonts w:ascii="宋体" w:hAnsi="宋体" w:cs="宋体" w:eastAsia="宋体" w:hint="default"/>
                <w:sz w:val="18"/>
                <w:szCs w:val="18"/>
              </w:rPr>
            </w:pPr>
            <w:r>
              <w:rPr>
                <w:rFonts w:ascii="宋体"/>
                <w:sz w:val="18"/>
              </w:rPr>
              <w:t>6,475,250.56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4" w:right="0"/>
              <w:jc w:val="left"/>
              <w:rPr>
                <w:rFonts w:ascii="宋体" w:hAnsi="宋体" w:cs="宋体" w:eastAsia="宋体" w:hint="default"/>
                <w:sz w:val="18"/>
                <w:szCs w:val="18"/>
              </w:rPr>
            </w:pPr>
            <w:r>
              <w:rPr>
                <w:rFonts w:ascii="宋体"/>
                <w:sz w:val="18"/>
              </w:rPr>
              <w:t>697,259.85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center"/>
              <w:rPr>
                <w:rFonts w:ascii="宋体" w:hAnsi="宋体" w:cs="宋体" w:eastAsia="宋体" w:hint="default"/>
                <w:sz w:val="18"/>
                <w:szCs w:val="18"/>
              </w:rPr>
            </w:pPr>
            <w:r>
              <w:rPr>
                <w:rFonts w:ascii="宋体"/>
                <w:sz w:val="18"/>
              </w:rPr>
              <w:t>5,777,990.71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 w:right="0"/>
              <w:jc w:val="center"/>
              <w:rPr>
                <w:rFonts w:ascii="宋体" w:hAnsi="宋体" w:cs="宋体" w:eastAsia="宋体" w:hint="default"/>
                <w:sz w:val="18"/>
                <w:szCs w:val="18"/>
              </w:rPr>
            </w:pPr>
            <w:r>
              <w:rPr>
                <w:rFonts w:ascii="宋体"/>
                <w:sz w:val="18"/>
              </w:rPr>
              <w:t>7,489,796.95</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 w:right="0"/>
              <w:jc w:val="center"/>
              <w:rPr>
                <w:rFonts w:ascii="宋体" w:hAnsi="宋体" w:cs="宋体" w:eastAsia="宋体" w:hint="default"/>
                <w:sz w:val="18"/>
                <w:szCs w:val="18"/>
              </w:rPr>
            </w:pPr>
            <w:r>
              <w:rPr>
                <w:rFonts w:ascii="宋体"/>
                <w:sz w:val="18"/>
              </w:rPr>
              <w:t>7,489,796.95</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r>
        <w:rPr/>
        <w:t>（2）因金融资产转移而终止确认的长期应收款</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（3）转移长期应收款且继续涉入形成的资产、负债金额</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17、长期股权投资</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84"/>
        <w:gridCol w:w="509"/>
        <w:gridCol w:w="797"/>
        <w:gridCol w:w="798"/>
        <w:gridCol w:w="798"/>
        <w:gridCol w:w="798"/>
        <w:gridCol w:w="798"/>
        <w:gridCol w:w="798"/>
        <w:gridCol w:w="798"/>
        <w:gridCol w:w="798"/>
        <w:gridCol w:w="798"/>
        <w:gridCol w:w="798"/>
      </w:tblGrid>
      <w:tr>
        <w:trPr>
          <w:trHeight w:val="402" w:hRule="exact"/>
        </w:trPr>
        <w:tc>
          <w:tcPr>
            <w:tcW w:w="10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8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5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1084" w:type="dxa"/>
            <w:vMerge/>
            <w:tcBorders>
              <w:left w:val="single" w:sz="4" w:space="0" w:color="000000"/>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0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49"/>
              <w:jc w:val="both"/>
              <w:rPr>
                <w:rFonts w:ascii="宋体" w:hAnsi="宋体" w:cs="宋体" w:eastAsia="宋体" w:hint="default"/>
                <w:sz w:val="18"/>
                <w:szCs w:val="18"/>
              </w:rPr>
            </w:pPr>
            <w:r>
              <w:rPr>
                <w:rFonts w:ascii="宋体" w:hAnsi="宋体" w:cs="宋体" w:eastAsia="宋体" w:hint="default"/>
                <w:sz w:val="18"/>
                <w:szCs w:val="18"/>
              </w:rPr>
              <w:t>安徽西太华 信息科技有 限公司</w:t>
            </w:r>
          </w:p>
        </w:tc>
        <w:tc>
          <w:tcPr>
            <w:tcW w:w="50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2,220,00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-16,654.</w:t>
            </w:r>
          </w:p>
          <w:p>
            <w:pPr>
              <w:pStyle w:val="TableParagraph"/>
              <w:spacing w:line="240" w:lineRule="auto" w:before="76"/>
              <w:ind w:right="19"/>
              <w:jc w:val="right"/>
              <w:rPr>
                <w:rFonts w:ascii="宋体" w:hAnsi="宋体" w:cs="宋体" w:eastAsia="宋体" w:hint="default"/>
                <w:sz w:val="18"/>
                <w:szCs w:val="18"/>
              </w:rPr>
            </w:pPr>
            <w:r>
              <w:rPr>
                <w:rFonts w:ascii="宋体"/>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 w:right="0"/>
              <w:jc w:val="left"/>
              <w:rPr>
                <w:rFonts w:ascii="宋体" w:hAnsi="宋体" w:cs="宋体" w:eastAsia="宋体" w:hint="default"/>
                <w:sz w:val="18"/>
                <w:szCs w:val="18"/>
              </w:rPr>
            </w:pPr>
            <w:r>
              <w:rPr>
                <w:rFonts w:ascii="宋体"/>
                <w:sz w:val="18"/>
              </w:rPr>
              <w:t>2,203,34</w:t>
            </w:r>
          </w:p>
          <w:p>
            <w:pPr>
              <w:pStyle w:val="TableParagraph"/>
              <w:spacing w:line="240" w:lineRule="auto" w:before="76"/>
              <w:ind w:left="406" w:right="0"/>
              <w:jc w:val="left"/>
              <w:rPr>
                <w:rFonts w:ascii="宋体" w:hAnsi="宋体" w:cs="宋体" w:eastAsia="宋体" w:hint="default"/>
                <w:sz w:val="18"/>
                <w:szCs w:val="18"/>
              </w:rPr>
            </w:pPr>
            <w:r>
              <w:rPr>
                <w:rFonts w:ascii="宋体"/>
                <w:sz w:val="18"/>
              </w:rPr>
              <w:t>5.93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0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2,220,00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-16,654.</w:t>
            </w:r>
          </w:p>
          <w:p>
            <w:pPr>
              <w:pStyle w:val="TableParagraph"/>
              <w:spacing w:line="240" w:lineRule="auto" w:before="76"/>
              <w:ind w:right="19"/>
              <w:jc w:val="right"/>
              <w:rPr>
                <w:rFonts w:ascii="宋体" w:hAnsi="宋体" w:cs="宋体" w:eastAsia="宋体" w:hint="default"/>
                <w:sz w:val="18"/>
                <w:szCs w:val="18"/>
              </w:rPr>
            </w:pPr>
            <w:r>
              <w:rPr>
                <w:rFonts w:ascii="宋体"/>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 w:right="0"/>
              <w:jc w:val="left"/>
              <w:rPr>
                <w:rFonts w:ascii="宋体" w:hAnsi="宋体" w:cs="宋体" w:eastAsia="宋体" w:hint="default"/>
                <w:sz w:val="18"/>
                <w:szCs w:val="18"/>
              </w:rPr>
            </w:pPr>
            <w:r>
              <w:rPr>
                <w:rFonts w:ascii="宋体"/>
                <w:sz w:val="18"/>
              </w:rPr>
              <w:t>2,203,34</w:t>
            </w:r>
          </w:p>
          <w:p>
            <w:pPr>
              <w:pStyle w:val="TableParagraph"/>
              <w:spacing w:line="240" w:lineRule="auto" w:before="76"/>
              <w:ind w:left="406" w:right="0"/>
              <w:jc w:val="left"/>
              <w:rPr>
                <w:rFonts w:ascii="宋体" w:hAnsi="宋体" w:cs="宋体" w:eastAsia="宋体" w:hint="default"/>
                <w:sz w:val="18"/>
                <w:szCs w:val="18"/>
              </w:rPr>
            </w:pPr>
            <w:r>
              <w:rPr>
                <w:rFonts w:ascii="宋体"/>
                <w:sz w:val="18"/>
              </w:rPr>
              <w:t>5.93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0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宋体" w:hAnsi="宋体" w:cs="宋体" w:eastAsia="宋体" w:hint="default"/>
                <w:sz w:val="18"/>
                <w:szCs w:val="18"/>
              </w:rPr>
            </w:pPr>
            <w:r>
              <w:rPr>
                <w:rFonts w:ascii="宋体"/>
                <w:sz w:val="18"/>
              </w:rPr>
              <w:t>2,220,00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-16,654.</w:t>
            </w:r>
          </w:p>
          <w:p>
            <w:pPr>
              <w:pStyle w:val="TableParagraph"/>
              <w:spacing w:line="240" w:lineRule="auto" w:before="76"/>
              <w:ind w:right="19"/>
              <w:jc w:val="right"/>
              <w:rPr>
                <w:rFonts w:ascii="宋体" w:hAnsi="宋体" w:cs="宋体" w:eastAsia="宋体" w:hint="default"/>
                <w:sz w:val="18"/>
                <w:szCs w:val="18"/>
              </w:rPr>
            </w:pPr>
            <w:r>
              <w:rPr>
                <w:rFonts w:ascii="宋体"/>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left"/>
              <w:rPr>
                <w:rFonts w:ascii="宋体" w:hAnsi="宋体" w:cs="宋体" w:eastAsia="宋体" w:hint="default"/>
                <w:sz w:val="18"/>
                <w:szCs w:val="18"/>
              </w:rPr>
            </w:pPr>
            <w:r>
              <w:rPr>
                <w:rFonts w:ascii="宋体"/>
                <w:sz w:val="18"/>
              </w:rPr>
              <w:t>2,203,34</w:t>
            </w:r>
          </w:p>
          <w:p>
            <w:pPr>
              <w:pStyle w:val="TableParagraph"/>
              <w:spacing w:line="240" w:lineRule="auto" w:before="76"/>
              <w:ind w:left="406" w:right="0"/>
              <w:jc w:val="left"/>
              <w:rPr>
                <w:rFonts w:ascii="宋体" w:hAnsi="宋体" w:cs="宋体" w:eastAsia="宋体" w:hint="default"/>
                <w:sz w:val="18"/>
                <w:szCs w:val="18"/>
              </w:rPr>
            </w:pPr>
            <w:r>
              <w:rPr>
                <w:rFonts w:ascii="宋体"/>
                <w:sz w:val="18"/>
              </w:rPr>
              <w:t>5.93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22"/>
          <w:szCs w:val="22"/>
        </w:rPr>
      </w:pPr>
    </w:p>
    <w:p>
      <w:pPr>
        <w:pStyle w:val="BodyText"/>
        <w:spacing w:line="273" w:lineRule="auto" w:before="0"/>
        <w:ind w:right="0" w:firstLine="420"/>
        <w:jc w:val="left"/>
      </w:pPr>
      <w:r>
        <w:rPr/>
        <w:t>说明：本期末长期股权投资较期初增加100.00%，是控股子公司安徽汉高信息科技有限公司新增投资</w:t>
      </w:r>
      <w:r>
        <w:rPr>
          <w:w w:val="99"/>
        </w:rPr>
        <w:t> </w:t>
      </w:r>
      <w:r>
        <w:rPr>
          <w:w w:val="95"/>
        </w:rPr>
        <w:t>设立安徽西太华信息科技有限公司认缴444万元（占注册资本1200万元的37%）所致，截止2017年12月31日</w:t>
      </w:r>
      <w:r>
        <w:rPr/>
      </w:r>
    </w:p>
    <w:p>
      <w:pPr>
        <w:spacing w:after="0" w:line="273" w:lineRule="auto"/>
        <w:jc w:val="left"/>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spacing w:line="535" w:lineRule="auto" w:before="34"/>
        <w:ind w:left="112" w:right="7109" w:firstLine="0"/>
        <w:jc w:val="left"/>
        <w:rPr>
          <w:rFonts w:ascii="宋体" w:hAnsi="宋体" w:cs="宋体" w:eastAsia="宋体" w:hint="default"/>
          <w:sz w:val="21"/>
          <w:szCs w:val="21"/>
        </w:rPr>
      </w:pPr>
      <w:r>
        <w:rPr>
          <w:rFonts w:ascii="宋体" w:hAnsi="宋体" w:cs="宋体" w:eastAsia="宋体" w:hint="default"/>
          <w:sz w:val="21"/>
          <w:szCs w:val="21"/>
        </w:rPr>
        <w:t>实际出资货币资金222万元。</w:t>
      </w:r>
      <w:r>
        <w:rPr>
          <w:rFonts w:ascii="宋体" w:hAnsi="宋体" w:cs="宋体" w:eastAsia="宋体" w:hint="default"/>
          <w:w w:val="99"/>
          <w:sz w:val="21"/>
          <w:szCs w:val="21"/>
        </w:rPr>
        <w:t> </w:t>
      </w:r>
      <w:r>
        <w:rPr>
          <w:rFonts w:ascii="宋体" w:hAnsi="宋体" w:cs="宋体" w:eastAsia="宋体" w:hint="default"/>
          <w:b/>
          <w:bCs/>
          <w:sz w:val="21"/>
          <w:szCs w:val="21"/>
        </w:rPr>
        <w:t>18、投资性房地产</w:t>
      </w:r>
      <w:r>
        <w:rPr>
          <w:rFonts w:ascii="宋体" w:hAnsi="宋体" w:cs="宋体" w:eastAsia="宋体" w:hint="default"/>
          <w:sz w:val="21"/>
          <w:szCs w:val="21"/>
        </w:rPr>
      </w:r>
    </w:p>
    <w:p>
      <w:pPr>
        <w:pStyle w:val="Heading5"/>
        <w:spacing w:line="240" w:lineRule="auto" w:before="81"/>
        <w:ind w:right="0"/>
        <w:jc w:val="left"/>
        <w:rPr>
          <w:b w:val="0"/>
          <w:bCs w:val="0"/>
        </w:rPr>
      </w:pPr>
      <w:r>
        <w:rPr/>
        <w:t>（1）采用成本计量模式的投资性房地产</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（2）采用公允价值计量模式的投资性房地产</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（3）未办妥产权证书的投资性房地产情况</w:t>
      </w:r>
      <w:r>
        <w:rPr>
          <w:b w:val="0"/>
          <w:bCs w:val="0"/>
        </w:rPr>
      </w:r>
    </w:p>
    <w:p>
      <w:pPr>
        <w:spacing w:line="240" w:lineRule="auto" w:before="7"/>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19、固定资产</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（1）固定资产情况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498" w:right="48" w:hanging="452"/>
              <w:jc w:val="left"/>
              <w:rPr>
                <w:rFonts w:ascii="宋体" w:hAnsi="宋体" w:cs="宋体" w:eastAsia="宋体" w:hint="default"/>
                <w:sz w:val="18"/>
                <w:szCs w:val="18"/>
              </w:rPr>
            </w:pPr>
            <w:r>
              <w:rPr>
                <w:rFonts w:ascii="宋体" w:hAnsi="宋体" w:cs="宋体" w:eastAsia="宋体" w:hint="default"/>
                <w:sz w:val="18"/>
                <w:szCs w:val="18"/>
              </w:rPr>
              <w:t>办公设备及其他 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102,038,565.01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16,149,967.62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23,639,445.12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5,139,344.91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18,123,588.77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165,090,911.43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firstLine="180"/>
              <w:jc w:val="left"/>
              <w:rPr>
                <w:rFonts w:ascii="宋体" w:hAnsi="宋体" w:cs="宋体" w:eastAsia="宋体" w:hint="default"/>
                <w:sz w:val="18"/>
                <w:szCs w:val="18"/>
              </w:rPr>
            </w:pPr>
            <w:r>
              <w:rPr>
                <w:rFonts w:ascii="宋体" w:hAnsi="宋体" w:cs="宋体" w:eastAsia="宋体" w:hint="default"/>
                <w:sz w:val="18"/>
                <w:szCs w:val="18"/>
              </w:rPr>
              <w:t>2.本期增加金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22,016,184.97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381,384.61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3,491,623.30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7,144,337.34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494,891.49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33,528,421.71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18,442,863.78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381,384.61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1,989,237.30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1,255,076.05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479,830.17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22,548,391.91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（2）在建工</w:t>
            </w:r>
            <w:r>
              <w:rPr>
                <w:rFonts w:ascii="宋体" w:hAnsi="宋体" w:cs="宋体" w:eastAsia="宋体" w:hint="default"/>
                <w:sz w:val="18"/>
                <w:szCs w:val="18"/>
              </w:rPr>
              <w:t> 程转入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3,573,321.19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1,502,386.00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5,889,261.29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15,061.32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10,980,029.80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（3）企业合</w:t>
            </w:r>
            <w:r>
              <w:rPr>
                <w:rFonts w:ascii="宋体" w:hAnsi="宋体" w:cs="宋体" w:eastAsia="宋体" w:hint="default"/>
                <w:sz w:val="18"/>
                <w:szCs w:val="18"/>
              </w:rPr>
              <w:t> 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firstLine="180"/>
              <w:jc w:val="left"/>
              <w:rPr>
                <w:rFonts w:ascii="宋体" w:hAnsi="宋体" w:cs="宋体" w:eastAsia="宋体" w:hint="default"/>
                <w:sz w:val="18"/>
                <w:szCs w:val="18"/>
              </w:rPr>
            </w:pPr>
            <w:r>
              <w:rPr>
                <w:rFonts w:ascii="宋体" w:hAnsi="宋体" w:cs="宋体" w:eastAsia="宋体" w:hint="default"/>
                <w:sz w:val="18"/>
                <w:szCs w:val="18"/>
              </w:rPr>
              <w:t>3.本期减少金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2,215,900.75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36,546.43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1,032,460.77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3,284,907.95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（1）处置或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2,215,900.75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36,546.43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1,032,460.77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3,284,907.95</w:t>
            </w: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124,054,749.98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16,531,352.23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24,915,167.67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12,247,135.82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17,586,019.49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 w:right="0"/>
              <w:jc w:val="center"/>
              <w:rPr>
                <w:rFonts w:ascii="宋体" w:hAnsi="宋体" w:cs="宋体" w:eastAsia="宋体" w:hint="default"/>
                <w:sz w:val="18"/>
                <w:szCs w:val="18"/>
              </w:rPr>
            </w:pPr>
            <w:r>
              <w:rPr>
                <w:rFonts w:ascii="宋体"/>
                <w:sz w:val="18"/>
              </w:rPr>
              <w:t>195,334,425.19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14,770,077.02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4,709,438.89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11,360,009.12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1,757,163.12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6,794,305.99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8" w:right="0"/>
              <w:jc w:val="center"/>
              <w:rPr>
                <w:rFonts w:ascii="宋体" w:hAnsi="宋体" w:cs="宋体" w:eastAsia="宋体" w:hint="default"/>
                <w:sz w:val="18"/>
                <w:szCs w:val="18"/>
              </w:rPr>
            </w:pPr>
            <w:r>
              <w:rPr>
                <w:rFonts w:ascii="宋体"/>
                <w:sz w:val="18"/>
              </w:rPr>
              <w:t>39,390,994.14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firstLine="180"/>
              <w:jc w:val="left"/>
              <w:rPr>
                <w:rFonts w:ascii="宋体" w:hAnsi="宋体" w:cs="宋体" w:eastAsia="宋体" w:hint="default"/>
                <w:sz w:val="18"/>
                <w:szCs w:val="18"/>
              </w:rPr>
            </w:pPr>
            <w:r>
              <w:rPr>
                <w:rFonts w:ascii="宋体" w:hAnsi="宋体" w:cs="宋体" w:eastAsia="宋体" w:hint="default"/>
                <w:sz w:val="18"/>
                <w:szCs w:val="18"/>
              </w:rPr>
              <w:t>2.本期增加金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3,410,177.39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1,562,195.44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2,319,587.32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1,200,546.98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2,577,642.49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center"/>
              <w:rPr>
                <w:rFonts w:ascii="宋体" w:hAnsi="宋体" w:cs="宋体" w:eastAsia="宋体" w:hint="default"/>
                <w:sz w:val="18"/>
                <w:szCs w:val="18"/>
              </w:rPr>
            </w:pPr>
            <w:r>
              <w:rPr>
                <w:rFonts w:ascii="宋体"/>
                <w:sz w:val="18"/>
              </w:rPr>
              <w:t>11,070,149.62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1"/>
              <w:jc w:val="right"/>
              <w:rPr>
                <w:rFonts w:ascii="宋体" w:hAnsi="宋体" w:cs="宋体" w:eastAsia="宋体" w:hint="default"/>
                <w:sz w:val="18"/>
                <w:szCs w:val="18"/>
              </w:rPr>
            </w:pPr>
            <w:r>
              <w:rPr>
                <w:rFonts w:ascii="宋体" w:hAnsi="宋体" w:cs="宋体" w:eastAsia="宋体" w:hint="default"/>
                <w:sz w:val="18"/>
                <w:szCs w:val="18"/>
              </w:rPr>
              <w:t>（1）计提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3,410,177.39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1,562,195.44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2,319,587.32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1,200,546.98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2,577,642.49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8" w:right="0"/>
              <w:jc w:val="center"/>
              <w:rPr>
                <w:rFonts w:ascii="宋体" w:hAnsi="宋体" w:cs="宋体" w:eastAsia="宋体" w:hint="default"/>
                <w:sz w:val="18"/>
                <w:szCs w:val="18"/>
              </w:rPr>
            </w:pPr>
            <w:r>
              <w:rPr>
                <w:rFonts w:ascii="宋体"/>
                <w:sz w:val="18"/>
              </w:rPr>
              <w:t>11,070,149.62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firstLine="180"/>
              <w:jc w:val="left"/>
              <w:rPr>
                <w:rFonts w:ascii="宋体" w:hAnsi="宋体" w:cs="宋体" w:eastAsia="宋体" w:hint="default"/>
                <w:sz w:val="18"/>
                <w:szCs w:val="18"/>
              </w:rPr>
            </w:pPr>
            <w:r>
              <w:rPr>
                <w:rFonts w:ascii="宋体" w:hAnsi="宋体" w:cs="宋体" w:eastAsia="宋体" w:hint="default"/>
                <w:sz w:val="18"/>
                <w:szCs w:val="18"/>
              </w:rPr>
              <w:t>3.本期减少金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1,573,332.51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34,331.87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695,988.38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center"/>
              <w:rPr>
                <w:rFonts w:ascii="宋体" w:hAnsi="宋体" w:cs="宋体" w:eastAsia="宋体" w:hint="default"/>
                <w:sz w:val="18"/>
                <w:szCs w:val="18"/>
              </w:rPr>
            </w:pPr>
            <w:r>
              <w:rPr>
                <w:rFonts w:ascii="宋体"/>
                <w:sz w:val="18"/>
              </w:rPr>
              <w:t>2,303,652.76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（1）处置或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1,573,332.51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34,331.87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695,988.38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center"/>
              <w:rPr>
                <w:rFonts w:ascii="宋体" w:hAnsi="宋体" w:cs="宋体" w:eastAsia="宋体" w:hint="default"/>
                <w:sz w:val="18"/>
                <w:szCs w:val="18"/>
              </w:rPr>
            </w:pPr>
            <w:r>
              <w:rPr>
                <w:rFonts w:ascii="宋体"/>
                <w:sz w:val="18"/>
              </w:rPr>
              <w:t>2,303,652.76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18,180,254.41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6,271,634.33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12,106,263.93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2,923,378.23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8,675,960.10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 w:right="0"/>
              <w:jc w:val="center"/>
              <w:rPr>
                <w:rFonts w:ascii="宋体" w:hAnsi="宋体" w:cs="宋体" w:eastAsia="宋体" w:hint="default"/>
                <w:sz w:val="18"/>
                <w:szCs w:val="18"/>
              </w:rPr>
            </w:pPr>
            <w:r>
              <w:rPr>
                <w:rFonts w:ascii="宋体"/>
                <w:sz w:val="18"/>
              </w:rPr>
              <w:t>48,157,491.00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firstLine="180"/>
              <w:jc w:val="left"/>
              <w:rPr>
                <w:rFonts w:ascii="宋体" w:hAnsi="宋体" w:cs="宋体" w:eastAsia="宋体" w:hint="default"/>
                <w:sz w:val="18"/>
                <w:szCs w:val="18"/>
              </w:rPr>
            </w:pPr>
            <w:r>
              <w:rPr>
                <w:rFonts w:ascii="宋体" w:hAnsi="宋体" w:cs="宋体" w:eastAsia="宋体" w:hint="default"/>
                <w:sz w:val="18"/>
                <w:szCs w:val="18"/>
              </w:rPr>
              <w:t>2.本期增加金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（1）计提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firstLine="180"/>
              <w:jc w:val="left"/>
              <w:rPr>
                <w:rFonts w:ascii="宋体" w:hAnsi="宋体" w:cs="宋体" w:eastAsia="宋体" w:hint="default"/>
                <w:sz w:val="18"/>
                <w:szCs w:val="18"/>
              </w:rPr>
            </w:pPr>
            <w:r>
              <w:rPr>
                <w:rFonts w:ascii="宋体" w:hAnsi="宋体" w:cs="宋体" w:eastAsia="宋体" w:hint="default"/>
                <w:sz w:val="18"/>
                <w:szCs w:val="18"/>
              </w:rPr>
              <w:t>3.本期减少金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（1）处置或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firstLine="180"/>
              <w:jc w:val="left"/>
              <w:rPr>
                <w:rFonts w:ascii="宋体" w:hAnsi="宋体" w:cs="宋体" w:eastAsia="宋体" w:hint="default"/>
                <w:sz w:val="18"/>
                <w:szCs w:val="18"/>
              </w:rPr>
            </w:pPr>
            <w:r>
              <w:rPr>
                <w:rFonts w:ascii="宋体" w:hAnsi="宋体" w:cs="宋体" w:eastAsia="宋体" w:hint="default"/>
                <w:sz w:val="18"/>
                <w:szCs w:val="18"/>
              </w:rPr>
              <w:t>1.期末账面价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105,874,495.57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10,259,717.90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12,808,903.74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9,323,757.59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8,910,059.39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147,176,934.19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firstLine="180"/>
              <w:jc w:val="left"/>
              <w:rPr>
                <w:rFonts w:ascii="宋体" w:hAnsi="宋体" w:cs="宋体" w:eastAsia="宋体" w:hint="default"/>
                <w:sz w:val="18"/>
                <w:szCs w:val="18"/>
              </w:rPr>
            </w:pPr>
            <w:r>
              <w:rPr>
                <w:rFonts w:ascii="宋体" w:hAnsi="宋体" w:cs="宋体" w:eastAsia="宋体" w:hint="default"/>
                <w:sz w:val="18"/>
                <w:szCs w:val="18"/>
              </w:rPr>
              <w:t>2.期初账面价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87,268,487.99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11,440,528.73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12,279,436.00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3,382,181.79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11,329,282.78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125,699,917.29</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（2）暂时闲置的固定资产情况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footerReference w:type="default" r:id="rId29"/>
          <w:pgSz w:w="11910" w:h="16840"/>
          <w:pgMar w:footer="937" w:header="746" w:top="1040" w:bottom="1120" w:left="1020" w:right="1020"/>
          <w:pgNumType w:start="13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（3）通过融资租赁租入的固定资产情况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（4）通过经营租赁租出的固定资产</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2d2d2"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（5）未办妥产权证书的固定资产情况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22,016,184.97</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新购办公楼</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22,016,184.97</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20、在建工程</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（1）在建工程情况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73"/>
              <w:jc w:val="left"/>
              <w:rPr>
                <w:rFonts w:ascii="宋体" w:hAnsi="宋体" w:cs="宋体" w:eastAsia="宋体" w:hint="default"/>
                <w:sz w:val="18"/>
                <w:szCs w:val="18"/>
              </w:rPr>
            </w:pPr>
            <w:r>
              <w:rPr>
                <w:rFonts w:ascii="宋体" w:hAnsi="宋体" w:cs="宋体" w:eastAsia="宋体" w:hint="default"/>
                <w:sz w:val="18"/>
                <w:szCs w:val="18"/>
              </w:rPr>
              <w:t>智能路网管理系 统建设项目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1,459,607.84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1,459,607.84</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3"/>
              <w:jc w:val="both"/>
              <w:rPr>
                <w:rFonts w:ascii="宋体" w:hAnsi="宋体" w:cs="宋体" w:eastAsia="宋体" w:hint="default"/>
                <w:sz w:val="18"/>
                <w:szCs w:val="18"/>
              </w:rPr>
            </w:pPr>
            <w:r>
              <w:rPr>
                <w:rFonts w:ascii="宋体" w:hAnsi="宋体" w:cs="宋体" w:eastAsia="宋体" w:hint="default"/>
                <w:sz w:val="18"/>
                <w:szCs w:val="18"/>
              </w:rPr>
              <w:t>交通运输智慧信 息服务平台建设 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宋体" w:hAnsi="宋体" w:cs="宋体" w:eastAsia="宋体" w:hint="default"/>
                <w:sz w:val="18"/>
                <w:szCs w:val="18"/>
              </w:rPr>
            </w:pPr>
            <w:r>
              <w:rPr>
                <w:rFonts w:ascii="宋体"/>
                <w:spacing w:val="-1"/>
                <w:sz w:val="18"/>
              </w:rPr>
              <w:t>164,621.48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宋体" w:hAnsi="宋体" w:cs="宋体" w:eastAsia="宋体" w:hint="default"/>
                <w:sz w:val="18"/>
                <w:szCs w:val="18"/>
              </w:rPr>
            </w:pPr>
            <w:r>
              <w:rPr>
                <w:rFonts w:ascii="宋体"/>
                <w:spacing w:val="-1"/>
                <w:sz w:val="18"/>
              </w:rPr>
              <w:t>164,621.48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莱山区综合科技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 w:right="0"/>
              <w:jc w:val="center"/>
              <w:rPr>
                <w:rFonts w:ascii="宋体" w:hAnsi="宋体" w:cs="宋体" w:eastAsia="宋体" w:hint="default"/>
                <w:sz w:val="18"/>
                <w:szCs w:val="18"/>
              </w:rPr>
            </w:pPr>
            <w:r>
              <w:rPr>
                <w:rFonts w:ascii="宋体"/>
                <w:sz w:val="18"/>
              </w:rPr>
              <w:t>106,507,082.25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 w:right="0"/>
              <w:jc w:val="center"/>
              <w:rPr>
                <w:rFonts w:ascii="宋体" w:hAnsi="宋体" w:cs="宋体" w:eastAsia="宋体" w:hint="default"/>
                <w:sz w:val="18"/>
                <w:szCs w:val="18"/>
              </w:rPr>
            </w:pPr>
            <w:r>
              <w:rPr>
                <w:rFonts w:ascii="宋体"/>
                <w:sz w:val="18"/>
              </w:rPr>
              <w:t>106,507,082.25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53,990,544.66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53,990,544.66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 w:right="0"/>
              <w:jc w:val="center"/>
              <w:rPr>
                <w:rFonts w:ascii="宋体" w:hAnsi="宋体" w:cs="宋体" w:eastAsia="宋体" w:hint="default"/>
                <w:sz w:val="18"/>
                <w:szCs w:val="18"/>
              </w:rPr>
            </w:pPr>
            <w:r>
              <w:rPr>
                <w:rFonts w:ascii="宋体"/>
                <w:sz w:val="18"/>
              </w:rPr>
              <w:t>106,507,082.25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106,507,082.25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55,614,773.98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55,614,773.98</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（2）重要在建工程项目本期变动情况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02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0"/>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92" w:right="92"/>
              <w:jc w:val="both"/>
              <w:rPr>
                <w:rFonts w:ascii="宋体" w:hAnsi="宋体" w:cs="宋体" w:eastAsia="宋体" w:hint="default"/>
                <w:sz w:val="18"/>
                <w:szCs w:val="18"/>
              </w:rPr>
            </w:pPr>
            <w:r>
              <w:rPr>
                <w:rFonts w:ascii="宋体" w:hAnsi="宋体" w:cs="宋体" w:eastAsia="宋体" w:hint="default"/>
                <w:sz w:val="18"/>
                <w:szCs w:val="18"/>
              </w:rPr>
              <w:t>本期转 入固定 资产金</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73" w:right="90"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92" w:right="92"/>
              <w:jc w:val="both"/>
              <w:rPr>
                <w:rFonts w:ascii="宋体" w:hAnsi="宋体" w:cs="宋体" w:eastAsia="宋体" w:hint="default"/>
                <w:sz w:val="18"/>
                <w:szCs w:val="18"/>
              </w:rPr>
            </w:pPr>
            <w:r>
              <w:rPr>
                <w:rFonts w:ascii="宋体" w:hAnsi="宋体" w:cs="宋体" w:eastAsia="宋体" w:hint="default"/>
                <w:sz w:val="18"/>
                <w:szCs w:val="18"/>
              </w:rPr>
              <w:t>工程累 计投入 占预算</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92" w:right="22" w:hanging="70"/>
              <w:jc w:val="left"/>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期利息 资本化</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73"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57"/>
              <w:jc w:val="both"/>
              <w:rPr>
                <w:rFonts w:ascii="宋体" w:hAnsi="宋体" w:cs="宋体" w:eastAsia="宋体" w:hint="default"/>
                <w:sz w:val="18"/>
                <w:szCs w:val="18"/>
              </w:rPr>
            </w:pPr>
            <w:r>
              <w:rPr>
                <w:rFonts w:ascii="宋体" w:hAnsi="宋体" w:cs="宋体" w:eastAsia="宋体" w:hint="default"/>
                <w:sz w:val="18"/>
                <w:szCs w:val="18"/>
              </w:rPr>
              <w:t>智能路 网管理 系统建 设项目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3" w:right="0"/>
              <w:jc w:val="left"/>
              <w:rPr>
                <w:rFonts w:ascii="宋体" w:hAnsi="宋体" w:cs="宋体" w:eastAsia="宋体" w:hint="default"/>
                <w:sz w:val="18"/>
                <w:szCs w:val="18"/>
              </w:rPr>
            </w:pPr>
            <w:r>
              <w:rPr>
                <w:rFonts w:ascii="宋体"/>
                <w:sz w:val="18"/>
              </w:rPr>
              <w:t>36,910,</w:t>
            </w:r>
          </w:p>
          <w:p>
            <w:pPr>
              <w:pStyle w:val="TableParagraph"/>
              <w:spacing w:line="240" w:lineRule="auto" w:before="76"/>
              <w:ind w:left="162" w:right="0"/>
              <w:jc w:val="left"/>
              <w:rPr>
                <w:rFonts w:ascii="宋体" w:hAnsi="宋体" w:cs="宋体" w:eastAsia="宋体" w:hint="default"/>
                <w:sz w:val="18"/>
                <w:szCs w:val="18"/>
              </w:rPr>
            </w:pPr>
            <w:r>
              <w:rPr>
                <w:rFonts w:ascii="宋体"/>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1" w:right="0"/>
              <w:jc w:val="center"/>
              <w:rPr>
                <w:rFonts w:ascii="宋体" w:hAnsi="宋体" w:cs="宋体" w:eastAsia="宋体" w:hint="default"/>
                <w:sz w:val="18"/>
                <w:szCs w:val="18"/>
              </w:rPr>
            </w:pPr>
            <w:r>
              <w:rPr>
                <w:rFonts w:ascii="宋体"/>
                <w:sz w:val="18"/>
              </w:rPr>
              <w:t>1,459,6</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07.84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2" w:right="0"/>
              <w:jc w:val="left"/>
              <w:rPr>
                <w:rFonts w:ascii="宋体" w:hAnsi="宋体" w:cs="宋体" w:eastAsia="宋体" w:hint="default"/>
                <w:sz w:val="18"/>
                <w:szCs w:val="18"/>
              </w:rPr>
            </w:pPr>
            <w:r>
              <w:rPr>
                <w:rFonts w:ascii="宋体"/>
                <w:sz w:val="18"/>
              </w:rPr>
              <w:t>911,978</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9" w:right="0"/>
              <w:jc w:val="center"/>
              <w:rPr>
                <w:rFonts w:ascii="宋体" w:hAnsi="宋体" w:cs="宋体" w:eastAsia="宋体" w:hint="default"/>
                <w:sz w:val="18"/>
                <w:szCs w:val="18"/>
              </w:rPr>
            </w:pPr>
            <w:r>
              <w:rPr>
                <w:rFonts w:ascii="宋体"/>
                <w:sz w:val="18"/>
              </w:rPr>
              <w:t>2,247,4</w:t>
            </w:r>
          </w:p>
          <w:p>
            <w:pPr>
              <w:pStyle w:val="TableParagraph"/>
              <w:spacing w:line="240" w:lineRule="auto" w:before="76"/>
              <w:ind w:left="229" w:right="0"/>
              <w:jc w:val="center"/>
              <w:rPr>
                <w:rFonts w:ascii="宋体" w:hAnsi="宋体" w:cs="宋体" w:eastAsia="宋体" w:hint="default"/>
                <w:sz w:val="18"/>
                <w:szCs w:val="18"/>
              </w:rPr>
            </w:pPr>
            <w:r>
              <w:rPr>
                <w:rFonts w:ascii="宋体"/>
                <w:sz w:val="18"/>
              </w:rPr>
              <w:t>41.46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3" w:right="0"/>
              <w:jc w:val="left"/>
              <w:rPr>
                <w:rFonts w:ascii="宋体" w:hAnsi="宋体" w:cs="宋体" w:eastAsia="宋体" w:hint="default"/>
                <w:sz w:val="18"/>
                <w:szCs w:val="18"/>
              </w:rPr>
            </w:pPr>
            <w:r>
              <w:rPr>
                <w:rFonts w:ascii="宋体"/>
                <w:sz w:val="18"/>
              </w:rPr>
              <w:t>124,145</w:t>
            </w:r>
          </w:p>
          <w:p>
            <w:pPr>
              <w:pStyle w:val="TableParagraph"/>
              <w:spacing w:line="240" w:lineRule="auto" w:before="76"/>
              <w:ind w:left="433" w:right="0"/>
              <w:jc w:val="left"/>
              <w:rPr>
                <w:rFonts w:ascii="宋体" w:hAnsi="宋体" w:cs="宋体" w:eastAsia="宋体" w:hint="default"/>
                <w:sz w:val="18"/>
                <w:szCs w:val="18"/>
              </w:rPr>
            </w:pPr>
            <w:r>
              <w:rPr>
                <w:rFonts w:ascii="宋体"/>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sz w:val="18"/>
              </w:rPr>
              <w:t>57.53%</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50"/>
              <w:jc w:val="right"/>
              <w:rPr>
                <w:rFonts w:ascii="宋体" w:hAnsi="宋体" w:cs="宋体" w:eastAsia="宋体" w:hint="default"/>
                <w:sz w:val="18"/>
                <w:szCs w:val="18"/>
              </w:rPr>
            </w:pPr>
            <w:r>
              <w:rPr>
                <w:rFonts w:ascii="宋体"/>
                <w:spacing w:val="-1"/>
                <w:sz w:val="18"/>
              </w:rPr>
              <w:t>57.53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 w:right="162"/>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交通运 输智慧 信息服 务平台 建设项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sz w:val="18"/>
              </w:rPr>
              <w:t>47,950,</w:t>
            </w:r>
          </w:p>
          <w:p>
            <w:pPr>
              <w:pStyle w:val="TableParagraph"/>
              <w:spacing w:line="240" w:lineRule="auto" w:before="76"/>
              <w:ind w:left="162" w:right="0"/>
              <w:jc w:val="left"/>
              <w:rPr>
                <w:rFonts w:ascii="宋体" w:hAnsi="宋体" w:cs="宋体" w:eastAsia="宋体" w:hint="default"/>
                <w:sz w:val="18"/>
                <w:szCs w:val="18"/>
              </w:rPr>
            </w:pPr>
            <w:r>
              <w:rPr>
                <w:rFonts w:ascii="宋体"/>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sz w:val="18"/>
              </w:rPr>
              <w:t>164,621</w:t>
            </w:r>
          </w:p>
          <w:p>
            <w:pPr>
              <w:pStyle w:val="TableParagraph"/>
              <w:spacing w:line="240" w:lineRule="auto" w:before="76"/>
              <w:ind w:left="433" w:right="0"/>
              <w:jc w:val="left"/>
              <w:rPr>
                <w:rFonts w:ascii="宋体" w:hAnsi="宋体" w:cs="宋体" w:eastAsia="宋体" w:hint="default"/>
                <w:sz w:val="18"/>
                <w:szCs w:val="18"/>
              </w:rPr>
            </w:pPr>
            <w:r>
              <w:rPr>
                <w:rFonts w:ascii="宋体"/>
                <w:sz w:val="18"/>
              </w:rPr>
              <w:t>.48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8" w:right="0"/>
              <w:jc w:val="center"/>
              <w:rPr>
                <w:rFonts w:ascii="宋体" w:hAnsi="宋体" w:cs="宋体" w:eastAsia="宋体" w:hint="default"/>
                <w:sz w:val="18"/>
                <w:szCs w:val="18"/>
              </w:rPr>
            </w:pPr>
            <w:r>
              <w:rPr>
                <w:rFonts w:ascii="宋体"/>
                <w:sz w:val="18"/>
              </w:rPr>
              <w:t>1,679,9</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06.01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9" w:right="0"/>
              <w:jc w:val="center"/>
              <w:rPr>
                <w:rFonts w:ascii="宋体" w:hAnsi="宋体" w:cs="宋体" w:eastAsia="宋体" w:hint="default"/>
                <w:sz w:val="18"/>
                <w:szCs w:val="18"/>
              </w:rPr>
            </w:pPr>
            <w:r>
              <w:rPr>
                <w:rFonts w:ascii="宋体"/>
                <w:sz w:val="18"/>
              </w:rPr>
              <w:t>1,789,5</w:t>
            </w:r>
          </w:p>
          <w:p>
            <w:pPr>
              <w:pStyle w:val="TableParagraph"/>
              <w:spacing w:line="240" w:lineRule="auto" w:before="76"/>
              <w:ind w:left="229" w:right="0"/>
              <w:jc w:val="center"/>
              <w:rPr>
                <w:rFonts w:ascii="宋体" w:hAnsi="宋体" w:cs="宋体" w:eastAsia="宋体" w:hint="default"/>
                <w:sz w:val="18"/>
                <w:szCs w:val="18"/>
              </w:rPr>
            </w:pPr>
            <w:r>
              <w:rPr>
                <w:rFonts w:ascii="宋体"/>
                <w:sz w:val="18"/>
              </w:rPr>
              <w:t>27.49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55,000.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1" w:right="0"/>
              <w:jc w:val="left"/>
              <w:rPr>
                <w:rFonts w:ascii="宋体" w:hAnsi="宋体" w:cs="宋体" w:eastAsia="宋体" w:hint="default"/>
                <w:sz w:val="18"/>
                <w:szCs w:val="18"/>
              </w:rPr>
            </w:pPr>
            <w:r>
              <w:rPr>
                <w:rFonts w:ascii="宋体"/>
                <w:sz w:val="18"/>
              </w:rPr>
              <w:t>52.48%</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0"/>
              <w:jc w:val="right"/>
              <w:rPr>
                <w:rFonts w:ascii="宋体" w:hAnsi="宋体" w:cs="宋体" w:eastAsia="宋体" w:hint="default"/>
                <w:sz w:val="18"/>
                <w:szCs w:val="18"/>
              </w:rPr>
            </w:pPr>
            <w:r>
              <w:rPr>
                <w:rFonts w:ascii="宋体"/>
                <w:spacing w:val="-1"/>
                <w:sz w:val="18"/>
              </w:rPr>
              <w:t>52.48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 w:right="162"/>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57"/>
              <w:jc w:val="both"/>
              <w:rPr>
                <w:rFonts w:ascii="宋体" w:hAnsi="宋体" w:cs="宋体" w:eastAsia="宋体" w:hint="default"/>
                <w:sz w:val="18"/>
                <w:szCs w:val="18"/>
              </w:rPr>
            </w:pPr>
            <w:r>
              <w:rPr>
                <w:rFonts w:ascii="宋体" w:hAnsi="宋体" w:cs="宋体" w:eastAsia="宋体" w:hint="default"/>
                <w:sz w:val="18"/>
                <w:szCs w:val="18"/>
              </w:rPr>
              <w:t>莱山区 综合科 技</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sz w:val="18"/>
              </w:rPr>
              <w:t>260,010</w:t>
            </w:r>
          </w:p>
          <w:p>
            <w:pPr>
              <w:pStyle w:val="TableParagraph"/>
              <w:spacing w:line="240" w:lineRule="auto" w:before="76"/>
              <w:ind w:left="73" w:right="0"/>
              <w:jc w:val="left"/>
              <w:rPr>
                <w:rFonts w:ascii="宋体" w:hAnsi="宋体" w:cs="宋体" w:eastAsia="宋体" w:hint="default"/>
                <w:sz w:val="18"/>
                <w:szCs w:val="18"/>
              </w:rPr>
            </w:pPr>
            <w:r>
              <w:rPr>
                <w:rFonts w:ascii="宋体"/>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sz w:val="18"/>
              </w:rPr>
              <w:t>53,990,</w:t>
            </w:r>
          </w:p>
          <w:p>
            <w:pPr>
              <w:pStyle w:val="TableParagraph"/>
              <w:spacing w:line="240" w:lineRule="auto" w:before="76"/>
              <w:ind w:left="162" w:right="0"/>
              <w:jc w:val="left"/>
              <w:rPr>
                <w:rFonts w:ascii="宋体" w:hAnsi="宋体" w:cs="宋体" w:eastAsia="宋体" w:hint="default"/>
                <w:sz w:val="18"/>
                <w:szCs w:val="18"/>
              </w:rPr>
            </w:pPr>
            <w:r>
              <w:rPr>
                <w:rFonts w:ascii="宋体"/>
                <w:sz w:val="18"/>
              </w:rPr>
              <w:t>544.66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sz w:val="18"/>
              </w:rPr>
              <w:t>55,165,</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921.32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sz w:val="18"/>
              </w:rPr>
              <w:t>106,507</w:t>
            </w:r>
          </w:p>
          <w:p>
            <w:pPr>
              <w:pStyle w:val="TableParagraph"/>
              <w:spacing w:line="240" w:lineRule="auto" w:before="76"/>
              <w:ind w:left="72" w:right="0"/>
              <w:jc w:val="left"/>
              <w:rPr>
                <w:rFonts w:ascii="宋体" w:hAnsi="宋体" w:cs="宋体" w:eastAsia="宋体" w:hint="default"/>
                <w:sz w:val="18"/>
                <w:szCs w:val="18"/>
              </w:rPr>
            </w:pPr>
            <w:r>
              <w:rPr>
                <w:rFonts w:ascii="宋体"/>
                <w:sz w:val="18"/>
              </w:rPr>
              <w:t>,082.25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1" w:right="0"/>
              <w:jc w:val="left"/>
              <w:rPr>
                <w:rFonts w:ascii="宋体" w:hAnsi="宋体" w:cs="宋体" w:eastAsia="宋体" w:hint="default"/>
                <w:sz w:val="18"/>
                <w:szCs w:val="18"/>
              </w:rPr>
            </w:pPr>
            <w:r>
              <w:rPr>
                <w:rFonts w:ascii="宋体"/>
                <w:sz w:val="18"/>
              </w:rPr>
              <w:t>49.69%</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50"/>
              <w:jc w:val="right"/>
              <w:rPr>
                <w:rFonts w:ascii="宋体" w:hAnsi="宋体" w:cs="宋体" w:eastAsia="宋体" w:hint="default"/>
                <w:sz w:val="18"/>
                <w:szCs w:val="18"/>
              </w:rPr>
            </w:pPr>
            <w:r>
              <w:rPr>
                <w:rFonts w:ascii="宋体"/>
                <w:spacing w:val="-1"/>
                <w:sz w:val="18"/>
              </w:rPr>
              <w:t>49.69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 w:right="162"/>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344,870</w:t>
            </w:r>
          </w:p>
          <w:p>
            <w:pPr>
              <w:pStyle w:val="TableParagraph"/>
              <w:spacing w:line="240" w:lineRule="auto" w:before="76"/>
              <w:ind w:left="73" w:right="0"/>
              <w:jc w:val="left"/>
              <w:rPr>
                <w:rFonts w:ascii="宋体" w:hAnsi="宋体" w:cs="宋体" w:eastAsia="宋体" w:hint="default"/>
                <w:sz w:val="18"/>
                <w:szCs w:val="18"/>
              </w:rPr>
            </w:pPr>
            <w:r>
              <w:rPr>
                <w:rFonts w:ascii="宋体"/>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55,614,</w:t>
            </w:r>
          </w:p>
          <w:p>
            <w:pPr>
              <w:pStyle w:val="TableParagraph"/>
              <w:spacing w:line="240" w:lineRule="auto" w:before="76"/>
              <w:ind w:left="162" w:right="0"/>
              <w:jc w:val="left"/>
              <w:rPr>
                <w:rFonts w:ascii="宋体" w:hAnsi="宋体" w:cs="宋体" w:eastAsia="宋体" w:hint="default"/>
                <w:sz w:val="18"/>
                <w:szCs w:val="18"/>
              </w:rPr>
            </w:pPr>
            <w:r>
              <w:rPr>
                <w:rFonts w:ascii="宋体"/>
                <w:sz w:val="18"/>
              </w:rPr>
              <w:t>773.98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sz w:val="18"/>
              </w:rPr>
              <w:t>57,757,</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805.95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4,036,9</w:t>
            </w:r>
          </w:p>
          <w:p>
            <w:pPr>
              <w:pStyle w:val="TableParagraph"/>
              <w:spacing w:line="240" w:lineRule="auto" w:before="76"/>
              <w:ind w:left="229" w:right="0"/>
              <w:jc w:val="center"/>
              <w:rPr>
                <w:rFonts w:ascii="宋体" w:hAnsi="宋体" w:cs="宋体" w:eastAsia="宋体" w:hint="default"/>
                <w:sz w:val="18"/>
                <w:szCs w:val="18"/>
              </w:rPr>
            </w:pPr>
            <w:r>
              <w:rPr>
                <w:rFonts w:ascii="宋体"/>
                <w:sz w:val="18"/>
              </w:rPr>
              <w:t>68.95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179,145</w:t>
            </w:r>
          </w:p>
          <w:p>
            <w:pPr>
              <w:pStyle w:val="TableParagraph"/>
              <w:spacing w:line="240" w:lineRule="auto" w:before="76"/>
              <w:ind w:left="433" w:right="0"/>
              <w:jc w:val="left"/>
              <w:rPr>
                <w:rFonts w:ascii="宋体" w:hAnsi="宋体" w:cs="宋体" w:eastAsia="宋体" w:hint="default"/>
                <w:sz w:val="18"/>
                <w:szCs w:val="18"/>
              </w:rPr>
            </w:pPr>
            <w:r>
              <w:rPr>
                <w:rFonts w:ascii="宋体"/>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sz w:val="18"/>
              </w:rPr>
              <w:t>106,507</w:t>
            </w:r>
          </w:p>
          <w:p>
            <w:pPr>
              <w:pStyle w:val="TableParagraph"/>
              <w:spacing w:line="240" w:lineRule="auto" w:before="76"/>
              <w:ind w:left="72" w:right="0"/>
              <w:jc w:val="left"/>
              <w:rPr>
                <w:rFonts w:ascii="宋体" w:hAnsi="宋体" w:cs="宋体" w:eastAsia="宋体" w:hint="default"/>
                <w:sz w:val="18"/>
                <w:szCs w:val="18"/>
              </w:rPr>
            </w:pPr>
            <w:r>
              <w:rPr>
                <w:rFonts w:ascii="宋体"/>
                <w:sz w:val="18"/>
              </w:rPr>
              <w:t>,082.25</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0"/>
              <w:jc w:val="right"/>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（3）本期计提在建工程减值准备情况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21、工程物资</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22、固定资产清理</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23、生产性生物资产</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（1）采用成本计量模式的生产性生物资产</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（2）采用公允价值计量模式的生产性生物资产</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24、油气资产</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25、无形资产</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（1）无形资产情况</w:t>
      </w:r>
      <w:r>
        <w:rPr>
          <w:b w:val="0"/>
          <w:bCs w:val="0"/>
        </w:rPr>
      </w:r>
    </w:p>
    <w:p>
      <w:pPr>
        <w:spacing w:line="240" w:lineRule="auto" w:before="7"/>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53,584,856.00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126,510,739.60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1,055,251.38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181,150,846.98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2.本期增加金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7,978,465.25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62,554.70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8,041,019.95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62,554.70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62,554.70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（2）内部研</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7,978,465.25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7,978,465.25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8" w:firstLine="540"/>
              <w:jc w:val="left"/>
              <w:rPr>
                <w:rFonts w:ascii="宋体" w:hAnsi="宋体" w:cs="宋体" w:eastAsia="宋体" w:hint="default"/>
                <w:sz w:val="18"/>
                <w:szCs w:val="18"/>
              </w:rPr>
            </w:pPr>
            <w:r>
              <w:rPr>
                <w:rFonts w:ascii="宋体" w:hAnsi="宋体" w:cs="宋体" w:eastAsia="宋体" w:hint="default"/>
                <w:sz w:val="18"/>
                <w:szCs w:val="18"/>
              </w:rPr>
              <w:t>（3）企业合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53,584,856.00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134,489,204.85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1,117,806.08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189,191,866.93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2,213,140.86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21,224,000.59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209,045.19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23,646,186.64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2.本期增加金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1,313,079.12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12,509,884.95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122,028.80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13,944,992.87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1,313,079.12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12,509,884.95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122,028.80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13,944,992.87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3.本期减少金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3,526,219.98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33,733,885.54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331,073.99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37,591,179.51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2,309,828.03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2,309,828.03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2.本期增加金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689,815.65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689,815.65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689,815.65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689,815.65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3.本期减少金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2,999,643.68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2,999,643.68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1.期末账面价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50,058,636.02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97,755,675.63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786,732.09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148,601,043.74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2.期初账面价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51,371,715.14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102,976,910.98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846,206.19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155,194,832.31</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8"/>
          <w:sz w:val="18"/>
          <w:szCs w:val="18"/>
        </w:rPr>
        <w:t> </w:t>
      </w:r>
      <w:r>
        <w:rPr>
          <w:rFonts w:ascii="宋体" w:hAnsi="宋体" w:cs="宋体" w:eastAsia="宋体" w:hint="default"/>
          <w:sz w:val="18"/>
          <w:szCs w:val="18"/>
        </w:rPr>
        <w:t>67.41%。</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（2）未办妥产权证书的土地使用权情况</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26、开发支出</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both"/>
              <w:rPr>
                <w:rFonts w:ascii="宋体" w:hAnsi="宋体" w:cs="宋体" w:eastAsia="宋体" w:hint="default"/>
                <w:sz w:val="18"/>
                <w:szCs w:val="18"/>
              </w:rPr>
            </w:pPr>
            <w:r>
              <w:rPr>
                <w:rFonts w:ascii="宋体" w:hAnsi="宋体" w:cs="宋体" w:eastAsia="宋体" w:hint="default"/>
                <w:sz w:val="18"/>
                <w:szCs w:val="18"/>
              </w:rPr>
              <w:t>公众出行服 务和汽车后 市场服务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5,395,901.8</w:t>
            </w:r>
          </w:p>
          <w:p>
            <w:pPr>
              <w:pStyle w:val="TableParagraph"/>
              <w:spacing w:line="240" w:lineRule="auto" w:before="76"/>
              <w:ind w:right="21"/>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4,046,850.2</w:t>
            </w:r>
          </w:p>
          <w:p>
            <w:pPr>
              <w:pStyle w:val="TableParagraph"/>
              <w:spacing w:line="240" w:lineRule="auto" w:before="76"/>
              <w:ind w:right="21"/>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9,442,752.0</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8"/>
              <w:jc w:val="left"/>
              <w:rPr>
                <w:rFonts w:ascii="宋体" w:hAnsi="宋体" w:cs="宋体" w:eastAsia="宋体" w:hint="default"/>
                <w:sz w:val="18"/>
                <w:szCs w:val="18"/>
              </w:rPr>
            </w:pPr>
            <w:r>
              <w:rPr>
                <w:rFonts w:ascii="宋体" w:hAnsi="宋体" w:cs="宋体" w:eastAsia="宋体" w:hint="default"/>
                <w:sz w:val="18"/>
                <w:szCs w:val="18"/>
              </w:rPr>
              <w:t>公路网救援 服务平台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3,254,393.7</w:t>
            </w:r>
          </w:p>
          <w:p>
            <w:pPr>
              <w:pStyle w:val="TableParagraph"/>
              <w:spacing w:line="240" w:lineRule="auto" w:before="76"/>
              <w:ind w:right="21"/>
              <w:jc w:val="right"/>
              <w:rPr>
                <w:rFonts w:ascii="宋体" w:hAnsi="宋体" w:cs="宋体" w:eastAsia="宋体" w:hint="default"/>
                <w:sz w:val="18"/>
                <w:szCs w:val="18"/>
              </w:rPr>
            </w:pPr>
            <w:r>
              <w:rPr>
                <w:rFonts w:ascii="宋体"/>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2,501,192.3</w:t>
            </w:r>
          </w:p>
          <w:p>
            <w:pPr>
              <w:pStyle w:val="TableParagraph"/>
              <w:spacing w:line="240" w:lineRule="auto" w:before="76"/>
              <w:ind w:right="21"/>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5,755,586.0</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both"/>
              <w:rPr>
                <w:rFonts w:ascii="宋体" w:hAnsi="宋体" w:cs="宋体" w:eastAsia="宋体" w:hint="default"/>
                <w:sz w:val="18"/>
                <w:szCs w:val="18"/>
              </w:rPr>
            </w:pPr>
            <w:r>
              <w:rPr>
                <w:rFonts w:ascii="宋体" w:hAnsi="宋体" w:cs="宋体" w:eastAsia="宋体" w:hint="default"/>
                <w:sz w:val="18"/>
                <w:szCs w:val="18"/>
              </w:rPr>
              <w:t>语音数据一 体化手持无 线终端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2,250,116.7</w:t>
            </w:r>
          </w:p>
          <w:p>
            <w:pPr>
              <w:pStyle w:val="TableParagraph"/>
              <w:spacing w:line="240" w:lineRule="auto" w:before="76"/>
              <w:ind w:right="21"/>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87,179.48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2,337,296.2</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right="105"/>
              <w:jc w:val="center"/>
              <w:rPr>
                <w:rFonts w:ascii="宋体" w:hAnsi="宋体" w:cs="宋体" w:eastAsia="宋体" w:hint="default"/>
                <w:sz w:val="18"/>
                <w:szCs w:val="18"/>
              </w:rPr>
            </w:pPr>
            <w:r>
              <w:rPr>
                <w:rFonts w:ascii="宋体" w:hAnsi="宋体" w:cs="宋体" w:eastAsia="宋体" w:hint="default"/>
                <w:sz w:val="18"/>
                <w:szCs w:val="18"/>
              </w:rPr>
              <w:t>集装箱码头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6" w:right="0"/>
              <w:jc w:val="center"/>
              <w:rPr>
                <w:rFonts w:ascii="宋体" w:hAnsi="宋体" w:cs="宋体" w:eastAsia="宋体" w:hint="default"/>
                <w:sz w:val="18"/>
                <w:szCs w:val="18"/>
              </w:rPr>
            </w:pPr>
            <w:r>
              <w:rPr>
                <w:rFonts w:ascii="宋体"/>
                <w:sz w:val="18"/>
              </w:rPr>
              <w:t>1,571,166.2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755,137.87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0" w:right="0"/>
              <w:jc w:val="left"/>
              <w:rPr>
                <w:rFonts w:ascii="宋体" w:hAnsi="宋体" w:cs="宋体" w:eastAsia="宋体" w:hint="default"/>
                <w:sz w:val="18"/>
                <w:szCs w:val="18"/>
              </w:rPr>
            </w:pPr>
            <w:r>
              <w:rPr>
                <w:rFonts w:ascii="宋体"/>
                <w:sz w:val="18"/>
              </w:rPr>
              <w:t>2,326,304.1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67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11"/>
              <w:ind w:left="22" w:right="128"/>
              <w:jc w:val="left"/>
              <w:rPr>
                <w:rFonts w:ascii="宋体" w:hAnsi="宋体" w:cs="宋体" w:eastAsia="宋体" w:hint="default"/>
                <w:sz w:val="18"/>
                <w:szCs w:val="18"/>
              </w:rPr>
            </w:pPr>
            <w:r>
              <w:rPr>
                <w:rFonts w:ascii="宋体" w:hAnsi="宋体" w:cs="宋体" w:eastAsia="宋体" w:hint="default"/>
                <w:sz w:val="18"/>
                <w:szCs w:val="18"/>
              </w:rPr>
              <w:t>作业模拟系 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集装箱理货 系统</w:t>
            </w:r>
            <w:r>
              <w:rPr>
                <w:rFonts w:ascii="宋体" w:hAnsi="宋体" w:cs="宋体" w:eastAsia="宋体" w:hint="default"/>
                <w:spacing w:val="-45"/>
                <w:sz w:val="18"/>
                <w:szCs w:val="18"/>
              </w:rPr>
              <w:t> </w:t>
            </w:r>
            <w:r>
              <w:rPr>
                <w:rFonts w:ascii="宋体" w:hAnsi="宋体" w:cs="宋体" w:eastAsia="宋体" w:hint="default"/>
                <w:sz w:val="18"/>
                <w:szCs w:val="18"/>
              </w:rPr>
              <w:t>V4.0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1,440,711.1</w:t>
            </w:r>
          </w:p>
          <w:p>
            <w:pPr>
              <w:pStyle w:val="TableParagraph"/>
              <w:spacing w:line="240" w:lineRule="auto" w:before="76"/>
              <w:ind w:right="21"/>
              <w:jc w:val="right"/>
              <w:rPr>
                <w:rFonts w:ascii="宋体" w:hAnsi="宋体" w:cs="宋体" w:eastAsia="宋体" w:hint="default"/>
                <w:sz w:val="18"/>
                <w:szCs w:val="18"/>
              </w:rPr>
            </w:pPr>
            <w:r>
              <w:rPr>
                <w:rFonts w:ascii="宋体"/>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2,342,080.9</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3,782,792.0</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华东自动化 码头控制系 统</w:t>
            </w:r>
            <w:r>
              <w:rPr>
                <w:rFonts w:ascii="宋体" w:hAnsi="宋体" w:cs="宋体" w:eastAsia="宋体" w:hint="default"/>
                <w:spacing w:val="-45"/>
                <w:sz w:val="18"/>
                <w:szCs w:val="18"/>
              </w:rPr>
              <w:t> </w:t>
            </w:r>
            <w:r>
              <w:rPr>
                <w:rFonts w:ascii="宋体" w:hAnsi="宋体" w:cs="宋体" w:eastAsia="宋体"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1,167,179.9</w:t>
            </w:r>
          </w:p>
          <w:p>
            <w:pPr>
              <w:pStyle w:val="TableParagraph"/>
              <w:spacing w:line="240" w:lineRule="auto" w:before="76"/>
              <w:ind w:right="21"/>
              <w:jc w:val="right"/>
              <w:rPr>
                <w:rFonts w:ascii="宋体" w:hAnsi="宋体" w:cs="宋体" w:eastAsia="宋体" w:hint="default"/>
                <w:sz w:val="18"/>
                <w:szCs w:val="18"/>
              </w:rPr>
            </w:pPr>
            <w:r>
              <w:rPr>
                <w:rFonts w:ascii="宋体"/>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2,958,401.5</w:t>
            </w:r>
          </w:p>
          <w:p>
            <w:pPr>
              <w:pStyle w:val="TableParagraph"/>
              <w:spacing w:line="240" w:lineRule="auto" w:before="76"/>
              <w:ind w:right="21"/>
              <w:jc w:val="right"/>
              <w:rPr>
                <w:rFonts w:ascii="宋体" w:hAnsi="宋体" w:cs="宋体" w:eastAsia="宋体" w:hint="default"/>
                <w:sz w:val="18"/>
                <w:szCs w:val="18"/>
              </w:rPr>
            </w:pPr>
            <w:r>
              <w:rPr>
                <w:rFonts w:ascii="宋体"/>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4,125,581.5</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both"/>
              <w:rPr>
                <w:rFonts w:ascii="宋体" w:hAnsi="宋体" w:cs="宋体" w:eastAsia="宋体" w:hint="default"/>
                <w:sz w:val="18"/>
                <w:szCs w:val="18"/>
              </w:rPr>
            </w:pPr>
            <w:r>
              <w:rPr>
                <w:rFonts w:ascii="宋体" w:hAnsi="宋体" w:cs="宋体" w:eastAsia="宋体" w:hint="default"/>
                <w:sz w:val="18"/>
                <w:szCs w:val="18"/>
              </w:rPr>
              <w:t>集装箱智能 码头操作系 统</w:t>
            </w:r>
            <w:r>
              <w:rPr>
                <w:rFonts w:ascii="宋体" w:hAnsi="宋体" w:cs="宋体" w:eastAsia="宋体" w:hint="default"/>
                <w:spacing w:val="-45"/>
                <w:sz w:val="18"/>
                <w:szCs w:val="18"/>
              </w:rPr>
              <w:t> </w:t>
            </w:r>
            <w:r>
              <w:rPr>
                <w:rFonts w:ascii="宋体" w:hAnsi="宋体" w:cs="宋体" w:eastAsia="宋体" w:hint="default"/>
                <w:sz w:val="18"/>
                <w:szCs w:val="18"/>
              </w:rPr>
              <w:t>v6.0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1,091,683.2</w:t>
            </w:r>
          </w:p>
          <w:p>
            <w:pPr>
              <w:pStyle w:val="TableParagraph"/>
              <w:spacing w:line="240" w:lineRule="auto" w:before="76"/>
              <w:ind w:right="21"/>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1,864,444.9</w:t>
            </w:r>
          </w:p>
          <w:p>
            <w:pPr>
              <w:pStyle w:val="TableParagraph"/>
              <w:spacing w:line="240" w:lineRule="auto" w:before="76"/>
              <w:ind w:right="21"/>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2,956,128.2</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箱号识别及 验残系统 v2.0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1,068,078.7</w:t>
            </w:r>
          </w:p>
          <w:p>
            <w:pPr>
              <w:pStyle w:val="TableParagraph"/>
              <w:spacing w:line="240" w:lineRule="auto" w:before="76"/>
              <w:ind w:right="21"/>
              <w:jc w:val="right"/>
              <w:rPr>
                <w:rFonts w:ascii="宋体" w:hAnsi="宋体" w:cs="宋体" w:eastAsia="宋体" w:hint="default"/>
                <w:sz w:val="18"/>
                <w:szCs w:val="18"/>
              </w:rPr>
            </w:pPr>
            <w:r>
              <w:rPr>
                <w:rFonts w:ascii="宋体"/>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1,958,750.9</w:t>
            </w:r>
          </w:p>
          <w:p>
            <w:pPr>
              <w:pStyle w:val="TableParagraph"/>
              <w:spacing w:line="240" w:lineRule="auto" w:before="76"/>
              <w:ind w:right="21"/>
              <w:jc w:val="right"/>
              <w:rPr>
                <w:rFonts w:ascii="宋体" w:hAnsi="宋体" w:cs="宋体" w:eastAsia="宋体" w:hint="default"/>
                <w:sz w:val="18"/>
                <w:szCs w:val="18"/>
              </w:rPr>
            </w:pPr>
            <w:r>
              <w:rPr>
                <w:rFonts w:ascii="宋体"/>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3,026,829.7</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37"/>
              <w:jc w:val="left"/>
              <w:rPr>
                <w:rFonts w:ascii="宋体" w:hAnsi="宋体" w:cs="宋体" w:eastAsia="宋体" w:hint="default"/>
                <w:sz w:val="18"/>
                <w:szCs w:val="18"/>
              </w:rPr>
            </w:pPr>
            <w:r>
              <w:rPr>
                <w:rFonts w:ascii="宋体" w:hAnsi="宋体" w:cs="宋体" w:eastAsia="宋体" w:hint="default"/>
                <w:sz w:val="18"/>
                <w:szCs w:val="18"/>
              </w:rPr>
              <w:t>货代</w:t>
            </w:r>
            <w:r>
              <w:rPr>
                <w:rFonts w:ascii="宋体" w:hAnsi="宋体" w:cs="宋体" w:eastAsia="宋体" w:hint="default"/>
                <w:spacing w:val="-45"/>
                <w:sz w:val="18"/>
                <w:szCs w:val="18"/>
              </w:rPr>
              <w:t> </w:t>
            </w:r>
            <w:r>
              <w:rPr>
                <w:rFonts w:ascii="宋体" w:hAnsi="宋体" w:cs="宋体" w:eastAsia="宋体" w:hint="default"/>
                <w:sz w:val="18"/>
                <w:szCs w:val="18"/>
              </w:rPr>
              <w:t>SAAS</w:t>
            </w:r>
            <w:r>
              <w:rPr>
                <w:rFonts w:ascii="宋体" w:hAnsi="宋体" w:cs="宋体" w:eastAsia="宋体" w:hint="default"/>
                <w:spacing w:val="-46"/>
                <w:sz w:val="18"/>
                <w:szCs w:val="18"/>
              </w:rPr>
              <w:t> </w:t>
            </w:r>
            <w:r>
              <w:rPr>
                <w:rFonts w:ascii="宋体" w:hAnsi="宋体" w:cs="宋体" w:eastAsia="宋体" w:hint="default"/>
                <w:sz w:val="18"/>
                <w:szCs w:val="18"/>
              </w:rPr>
              <w:t>系</w:t>
            </w:r>
            <w:r>
              <w:rPr>
                <w:rFonts w:ascii="宋体" w:hAnsi="宋体" w:cs="宋体" w:eastAsia="宋体" w:hint="default"/>
                <w:sz w:val="18"/>
                <w:szCs w:val="18"/>
              </w:rPr>
              <w:t> 统</w:t>
            </w:r>
            <w:r>
              <w:rPr>
                <w:rFonts w:ascii="宋体" w:hAnsi="宋体" w:cs="宋体" w:eastAsia="宋体" w:hint="default"/>
                <w:spacing w:val="-46"/>
                <w:sz w:val="18"/>
                <w:szCs w:val="18"/>
              </w:rPr>
              <w:t> </w:t>
            </w:r>
            <w:r>
              <w:rPr>
                <w:rFonts w:ascii="宋体" w:hAnsi="宋体" w:cs="宋体" w:eastAsia="宋体" w:hint="default"/>
                <w:sz w:val="18"/>
                <w:szCs w:val="18"/>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935,143.49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168,552.52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1,103,696.0</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华东集装箱 码头拖车调 度系统</w:t>
            </w:r>
            <w:r>
              <w:rPr>
                <w:rFonts w:ascii="宋体" w:hAnsi="宋体" w:cs="宋体" w:eastAsia="宋体" w:hint="default"/>
                <w:spacing w:val="-45"/>
                <w:sz w:val="18"/>
                <w:szCs w:val="18"/>
              </w:rPr>
              <w:t> </w:t>
            </w:r>
            <w:r>
              <w:rPr>
                <w:rFonts w:ascii="宋体" w:hAnsi="宋体" w:cs="宋体" w:eastAsia="宋体"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864,463.96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357,996.58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1,222,460.5</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安卓大型工 业车载终端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620,116.97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1,098,666.9</w:t>
            </w:r>
          </w:p>
          <w:p>
            <w:pPr>
              <w:pStyle w:val="TableParagraph"/>
              <w:spacing w:line="240" w:lineRule="auto" w:before="76"/>
              <w:ind w:right="21"/>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1,718,783.8</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安卓小型工 业车载终端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549,464.20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955,230.86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1,504,695.0</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木商网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446,426.89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512,863.61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9" w:right="0"/>
              <w:jc w:val="left"/>
              <w:rPr>
                <w:rFonts w:ascii="宋体" w:hAnsi="宋体" w:cs="宋体" w:eastAsia="宋体" w:hint="default"/>
                <w:sz w:val="18"/>
                <w:szCs w:val="18"/>
              </w:rPr>
            </w:pPr>
            <w:r>
              <w:rPr>
                <w:rFonts w:ascii="宋体"/>
                <w:sz w:val="18"/>
              </w:rPr>
              <w:t>959,290.50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船运风控平 台系统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296,971.27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204,643.36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501,614.63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both"/>
              <w:rPr>
                <w:rFonts w:ascii="宋体" w:hAnsi="宋体" w:cs="宋体" w:eastAsia="宋体" w:hint="default"/>
                <w:sz w:val="18"/>
                <w:szCs w:val="18"/>
              </w:rPr>
            </w:pPr>
            <w:r>
              <w:rPr>
                <w:rFonts w:ascii="宋体" w:hAnsi="宋体" w:cs="宋体" w:eastAsia="宋体" w:hint="default"/>
                <w:sz w:val="18"/>
                <w:szCs w:val="18"/>
              </w:rPr>
              <w:t>计算机智能 场站操作系 统</w:t>
            </w:r>
            <w:r>
              <w:rPr>
                <w:rFonts w:ascii="宋体" w:hAnsi="宋体" w:cs="宋体" w:eastAsia="宋体" w:hint="default"/>
                <w:spacing w:val="-45"/>
                <w:sz w:val="18"/>
                <w:szCs w:val="18"/>
              </w:rPr>
              <w:t> </w:t>
            </w:r>
            <w:r>
              <w:rPr>
                <w:rFonts w:ascii="宋体" w:hAnsi="宋体" w:cs="宋体" w:eastAsia="宋体" w:hint="default"/>
                <w:sz w:val="18"/>
                <w:szCs w:val="18"/>
              </w:rPr>
              <w:t>v4.5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宋体" w:hAnsi="宋体" w:cs="宋体" w:eastAsia="宋体" w:hint="default"/>
                <w:sz w:val="18"/>
                <w:szCs w:val="18"/>
              </w:rPr>
            </w:pPr>
            <w:r>
              <w:rPr>
                <w:rFonts w:ascii="宋体"/>
                <w:spacing w:val="-1"/>
                <w:sz w:val="18"/>
              </w:rPr>
              <w:t>286,224.71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宋体" w:hAnsi="宋体" w:cs="宋体" w:eastAsia="宋体" w:hint="default"/>
                <w:sz w:val="18"/>
                <w:szCs w:val="18"/>
              </w:rPr>
            </w:pPr>
            <w:r>
              <w:rPr>
                <w:rFonts w:ascii="宋体"/>
                <w:spacing w:val="-1"/>
                <w:sz w:val="18"/>
              </w:rPr>
              <w:t>200,868.96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宋体" w:hAnsi="宋体" w:cs="宋体" w:eastAsia="宋体" w:hint="default"/>
                <w:sz w:val="18"/>
                <w:szCs w:val="18"/>
              </w:rPr>
            </w:pPr>
            <w:r>
              <w:rPr>
                <w:rFonts w:ascii="宋体"/>
                <w:spacing w:val="-1"/>
                <w:sz w:val="18"/>
              </w:rPr>
              <w:t>487,093.67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数字化视频 管理平台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3,207,559.9</w:t>
            </w:r>
          </w:p>
          <w:p>
            <w:pPr>
              <w:pStyle w:val="TableParagraph"/>
              <w:spacing w:line="240" w:lineRule="auto" w:before="76"/>
              <w:ind w:right="21"/>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3,207,559.9</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路网设备智 能工厂</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3,471,275.3</w:t>
            </w:r>
          </w:p>
          <w:p>
            <w:pPr>
              <w:pStyle w:val="TableParagraph"/>
              <w:spacing w:line="240" w:lineRule="auto" w:before="76"/>
              <w:ind w:right="21"/>
              <w:jc w:val="right"/>
              <w:rPr>
                <w:rFonts w:ascii="宋体" w:hAnsi="宋体" w:cs="宋体" w:eastAsia="宋体" w:hint="default"/>
                <w:sz w:val="18"/>
                <w:szCs w:val="18"/>
              </w:rPr>
            </w:pPr>
            <w:r>
              <w:rPr>
                <w:rFonts w:ascii="宋体"/>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3,471,275.3</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高速公路智 能运营管理 信息系统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4,274,245.2</w:t>
            </w:r>
          </w:p>
          <w:p>
            <w:pPr>
              <w:pStyle w:val="TableParagraph"/>
              <w:spacing w:line="240" w:lineRule="auto" w:before="76"/>
              <w:ind w:right="21"/>
              <w:jc w:val="right"/>
              <w:rPr>
                <w:rFonts w:ascii="宋体" w:hAnsi="宋体" w:cs="宋体" w:eastAsia="宋体" w:hint="default"/>
                <w:sz w:val="18"/>
                <w:szCs w:val="18"/>
              </w:rPr>
            </w:pPr>
            <w:r>
              <w:rPr>
                <w:rFonts w:ascii="宋体"/>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4,274,245.2</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城市智能交 通管理平台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3,338,872.3</w:t>
            </w:r>
          </w:p>
          <w:p>
            <w:pPr>
              <w:pStyle w:val="TableParagraph"/>
              <w:spacing w:line="240" w:lineRule="auto" w:before="76"/>
              <w:ind w:right="21"/>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3,338,872.3</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基于大数据 的联网收费 数据分析平</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4,318,512.6</w:t>
            </w:r>
          </w:p>
          <w:p>
            <w:pPr>
              <w:pStyle w:val="TableParagraph"/>
              <w:spacing w:line="240" w:lineRule="auto" w:before="76"/>
              <w:ind w:right="21"/>
              <w:jc w:val="right"/>
              <w:rPr>
                <w:rFonts w:ascii="宋体" w:hAnsi="宋体" w:cs="宋体" w:eastAsia="宋体" w:hint="default"/>
                <w:sz w:val="18"/>
                <w:szCs w:val="18"/>
              </w:rPr>
            </w:pPr>
            <w:r>
              <w:rPr>
                <w:rFonts w:ascii="宋体"/>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4,318,512.6</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both"/>
              <w:rPr>
                <w:rFonts w:ascii="宋体" w:hAnsi="宋体" w:cs="宋体" w:eastAsia="宋体" w:hint="default"/>
                <w:sz w:val="18"/>
                <w:szCs w:val="18"/>
              </w:rPr>
            </w:pPr>
            <w:r>
              <w:rPr>
                <w:rFonts w:ascii="宋体" w:hAnsi="宋体" w:cs="宋体" w:eastAsia="宋体" w:hint="default"/>
                <w:sz w:val="18"/>
                <w:szCs w:val="18"/>
              </w:rPr>
              <w:t>集装箱智能 码头操作系 统</w:t>
            </w:r>
            <w:r>
              <w:rPr>
                <w:rFonts w:ascii="宋体" w:hAnsi="宋体" w:cs="宋体" w:eastAsia="宋体" w:hint="default"/>
                <w:spacing w:val="-45"/>
                <w:sz w:val="18"/>
                <w:szCs w:val="18"/>
              </w:rPr>
              <w:t> </w:t>
            </w:r>
            <w:r>
              <w:rPr>
                <w:rFonts w:ascii="宋体" w:hAnsi="宋体" w:cs="宋体" w:eastAsia="宋体" w:hint="default"/>
                <w:sz w:val="18"/>
                <w:szCs w:val="18"/>
              </w:rPr>
              <w:t>v7.0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4,167,110.0</w:t>
            </w:r>
          </w:p>
          <w:p>
            <w:pPr>
              <w:pStyle w:val="TableParagraph"/>
              <w:spacing w:line="240" w:lineRule="auto" w:before="76"/>
              <w:ind w:right="21"/>
              <w:jc w:val="right"/>
              <w:rPr>
                <w:rFonts w:ascii="宋体" w:hAnsi="宋体" w:cs="宋体" w:eastAsia="宋体" w:hint="default"/>
                <w:sz w:val="18"/>
                <w:szCs w:val="18"/>
              </w:rPr>
            </w:pPr>
            <w:r>
              <w:rPr>
                <w:rFonts w:ascii="宋体"/>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4,167,110.0</w:t>
            </w:r>
          </w:p>
          <w:p>
            <w:pPr>
              <w:pStyle w:val="TableParagraph"/>
              <w:spacing w:line="240" w:lineRule="auto" w:before="76"/>
              <w:ind w:right="20"/>
              <w:jc w:val="right"/>
              <w:rPr>
                <w:rFonts w:ascii="宋体" w:hAnsi="宋体" w:cs="宋体" w:eastAsia="宋体" w:hint="default"/>
                <w:sz w:val="18"/>
                <w:szCs w:val="18"/>
              </w:rPr>
            </w:pPr>
            <w:r>
              <w:rPr>
                <w:rFonts w:ascii="宋体"/>
                <w:sz w:val="18"/>
              </w:rPr>
              <w:t>4</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冷藏箱监控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1,057,548.9</w:t>
            </w:r>
          </w:p>
          <w:p>
            <w:pPr>
              <w:pStyle w:val="TableParagraph"/>
              <w:spacing w:line="240" w:lineRule="auto" w:before="76"/>
              <w:ind w:right="21"/>
              <w:jc w:val="right"/>
              <w:rPr>
                <w:rFonts w:ascii="宋体" w:hAnsi="宋体" w:cs="宋体" w:eastAsia="宋体" w:hint="default"/>
                <w:sz w:val="18"/>
                <w:szCs w:val="18"/>
              </w:rPr>
            </w:pPr>
            <w:r>
              <w:rPr>
                <w:rFonts w:ascii="宋体"/>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1,057,548.9</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一体化智能 收费亭</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1,212,438.3</w:t>
            </w:r>
          </w:p>
          <w:p>
            <w:pPr>
              <w:pStyle w:val="TableParagraph"/>
              <w:spacing w:line="240" w:lineRule="auto" w:before="76"/>
              <w:ind w:right="21"/>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1,212,438.3</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公路铺设现 场自动化监 控系统产品 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1,425,675.7</w:t>
            </w:r>
          </w:p>
          <w:p>
            <w:pPr>
              <w:pStyle w:val="TableParagraph"/>
              <w:spacing w:line="240" w:lineRule="auto" w:before="76"/>
              <w:ind w:right="21"/>
              <w:jc w:val="right"/>
              <w:rPr>
                <w:rFonts w:ascii="宋体" w:hAnsi="宋体" w:cs="宋体" w:eastAsia="宋体" w:hint="default"/>
                <w:sz w:val="18"/>
                <w:szCs w:val="18"/>
              </w:rPr>
            </w:pPr>
            <w:r>
              <w:rPr>
                <w:rFonts w:ascii="宋体"/>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pacing w:val="-1"/>
                <w:sz w:val="18"/>
              </w:rPr>
              <w:t>1,425,675.7</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both"/>
              <w:rPr>
                <w:rFonts w:ascii="宋体" w:hAnsi="宋体" w:cs="宋体" w:eastAsia="宋体" w:hint="default"/>
                <w:sz w:val="18"/>
                <w:szCs w:val="18"/>
              </w:rPr>
            </w:pPr>
            <w:r>
              <w:rPr>
                <w:rFonts w:ascii="宋体" w:hAnsi="宋体" w:cs="宋体" w:eastAsia="宋体" w:hint="default"/>
                <w:sz w:val="18"/>
                <w:szCs w:val="18"/>
              </w:rPr>
              <w:t>精准位置服 务在智能交 通行业应用 技术研究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宋体" w:hAnsi="宋体" w:cs="宋体" w:eastAsia="宋体" w:hint="default"/>
                <w:sz w:val="18"/>
                <w:szCs w:val="18"/>
              </w:rPr>
            </w:pPr>
            <w:r>
              <w:rPr>
                <w:rFonts w:ascii="宋体"/>
                <w:spacing w:val="-1"/>
                <w:sz w:val="18"/>
              </w:rPr>
              <w:t>1,674,842.2</w:t>
            </w:r>
          </w:p>
          <w:p>
            <w:pPr>
              <w:pStyle w:val="TableParagraph"/>
              <w:spacing w:line="240" w:lineRule="auto" w:before="76"/>
              <w:ind w:right="21"/>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宋体" w:hAnsi="宋体" w:cs="宋体" w:eastAsia="宋体" w:hint="default"/>
                <w:sz w:val="18"/>
                <w:szCs w:val="18"/>
              </w:rPr>
            </w:pPr>
            <w:r>
              <w:rPr>
                <w:rFonts w:ascii="宋体"/>
                <w:spacing w:val="-1"/>
                <w:sz w:val="18"/>
              </w:rPr>
              <w:t>1,674,842.2</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高速公路机 电设备运行 监测及可靠 性管理应用 研究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宋体" w:hAnsi="宋体" w:cs="宋体" w:eastAsia="宋体" w:hint="default"/>
                <w:sz w:val="18"/>
                <w:szCs w:val="18"/>
              </w:rPr>
            </w:pPr>
            <w:r>
              <w:rPr>
                <w:rFonts w:ascii="宋体"/>
                <w:spacing w:val="-1"/>
                <w:sz w:val="18"/>
              </w:rPr>
              <w:t>1,120,779.3</w:t>
            </w:r>
          </w:p>
          <w:p>
            <w:pPr>
              <w:pStyle w:val="TableParagraph"/>
              <w:spacing w:line="240" w:lineRule="auto" w:before="76"/>
              <w:ind w:right="21"/>
              <w:jc w:val="right"/>
              <w:rPr>
                <w:rFonts w:ascii="宋体" w:hAnsi="宋体" w:cs="宋体" w:eastAsia="宋体" w:hint="default"/>
                <w:sz w:val="18"/>
                <w:szCs w:val="18"/>
              </w:rPr>
            </w:pPr>
            <w:r>
              <w:rPr>
                <w:rFonts w:ascii="宋体"/>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pacing w:val="-1"/>
                <w:sz w:val="18"/>
              </w:rPr>
              <w:t>1,120,779.3</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智慧养护信 息平台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2,670,848.5</w:t>
            </w:r>
          </w:p>
          <w:p>
            <w:pPr>
              <w:pStyle w:val="TableParagraph"/>
              <w:spacing w:line="240" w:lineRule="auto" w:before="76"/>
              <w:ind w:right="21"/>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2,670,848.5</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公路移动收 费单兵装置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425,527.36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425,527.36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车辆三超检 测装置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457,993.03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457,993.03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扁平化智能 收费平台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596,524.93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596,524.93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华东通用报 表系统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503,005.00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503,005.00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中国港口网 门户网站</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846,516.44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326,956.20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519,560.24</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港行大数据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1,596,458.1</w:t>
            </w:r>
          </w:p>
          <w:p>
            <w:pPr>
              <w:pStyle w:val="TableParagraph"/>
              <w:spacing w:line="240" w:lineRule="auto" w:before="76"/>
              <w:ind w:right="21"/>
              <w:jc w:val="right"/>
              <w:rPr>
                <w:rFonts w:ascii="宋体" w:hAnsi="宋体" w:cs="宋体" w:eastAsia="宋体" w:hint="default"/>
                <w:sz w:val="18"/>
                <w:szCs w:val="18"/>
              </w:rPr>
            </w:pPr>
            <w:r>
              <w:rPr>
                <w:rFonts w:ascii="宋体"/>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447,484.70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1,148,973.4</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集装箱跟踪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735,489.72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304,937.70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430,552.02</w:t>
            </w:r>
          </w:p>
        </w:tc>
      </w:tr>
      <w:tr>
        <w:trPr>
          <w:trHeight w:val="712"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运行监控平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228,476.63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228,476.63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名单管理平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247,184.84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247,184.84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电子公积金 多渠道接入 管理系统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pacing w:val="-1"/>
                <w:sz w:val="18"/>
              </w:rPr>
              <w:t>619,179.43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pacing w:val="-1"/>
                <w:sz w:val="18"/>
              </w:rPr>
              <w:t>619,179.43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both"/>
              <w:rPr>
                <w:rFonts w:ascii="宋体" w:hAnsi="宋体" w:cs="宋体" w:eastAsia="宋体" w:hint="default"/>
                <w:sz w:val="18"/>
                <w:szCs w:val="18"/>
              </w:rPr>
            </w:pPr>
            <w:r>
              <w:rPr>
                <w:rFonts w:ascii="宋体" w:hAnsi="宋体" w:cs="宋体" w:eastAsia="宋体" w:hint="default"/>
                <w:sz w:val="18"/>
                <w:szCs w:val="18"/>
              </w:rPr>
              <w:t>高速公路绿 色通道车辆 稽查系统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宋体" w:hAnsi="宋体" w:cs="宋体" w:eastAsia="宋体" w:hint="default"/>
                <w:sz w:val="18"/>
                <w:szCs w:val="18"/>
              </w:rPr>
            </w:pPr>
            <w:r>
              <w:rPr>
                <w:rFonts w:ascii="宋体"/>
                <w:spacing w:val="-1"/>
                <w:sz w:val="18"/>
              </w:rPr>
              <w:t>373,320.41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宋体" w:hAnsi="宋体" w:cs="宋体" w:eastAsia="宋体" w:hint="default"/>
                <w:sz w:val="18"/>
                <w:szCs w:val="18"/>
              </w:rPr>
            </w:pPr>
            <w:r>
              <w:rPr>
                <w:rFonts w:ascii="宋体"/>
                <w:spacing w:val="-1"/>
                <w:sz w:val="18"/>
              </w:rPr>
              <w:t>373,320.41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应急指挥调 度平台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394,288.52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394,288.52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21,238,043.</w:t>
            </w:r>
          </w:p>
          <w:p>
            <w:pPr>
              <w:pStyle w:val="TableParagraph"/>
              <w:spacing w:line="240" w:lineRule="auto" w:before="76"/>
              <w:ind w:right="19"/>
              <w:jc w:val="right"/>
              <w:rPr>
                <w:rFonts w:ascii="宋体" w:hAnsi="宋体" w:cs="宋体" w:eastAsia="宋体" w:hint="default"/>
                <w:sz w:val="18"/>
                <w:szCs w:val="18"/>
              </w:rPr>
            </w:pPr>
            <w:r>
              <w:rPr>
                <w:rFonts w:ascii="宋体"/>
                <w:sz w:val="18"/>
              </w:rPr>
              <w:t>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58,976,534.</w:t>
            </w:r>
          </w:p>
          <w:p>
            <w:pPr>
              <w:pStyle w:val="TableParagraph"/>
              <w:spacing w:line="240" w:lineRule="auto" w:before="76"/>
              <w:ind w:right="19"/>
              <w:jc w:val="right"/>
              <w:rPr>
                <w:rFonts w:ascii="宋体" w:hAnsi="宋体" w:cs="宋体" w:eastAsia="宋体" w:hint="default"/>
                <w:sz w:val="18"/>
                <w:szCs w:val="18"/>
              </w:rPr>
            </w:pPr>
            <w:r>
              <w:rPr>
                <w:rFonts w:ascii="宋体"/>
                <w:sz w:val="18"/>
              </w:rPr>
              <w:t>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7,978,465.2</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38,354,805.</w:t>
            </w:r>
          </w:p>
          <w:p>
            <w:pPr>
              <w:pStyle w:val="TableParagraph"/>
              <w:spacing w:line="240" w:lineRule="auto" w:before="76"/>
              <w:ind w:right="20"/>
              <w:jc w:val="right"/>
              <w:rPr>
                <w:rFonts w:ascii="宋体" w:hAnsi="宋体" w:cs="宋体" w:eastAsia="宋体" w:hint="default"/>
                <w:sz w:val="18"/>
                <w:szCs w:val="18"/>
              </w:rPr>
            </w:pPr>
            <w:r>
              <w:rPr>
                <w:rFonts w:ascii="宋体"/>
                <w:sz w:val="18"/>
              </w:rPr>
              <w:t>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33,881,307.</w:t>
            </w:r>
          </w:p>
          <w:p>
            <w:pPr>
              <w:pStyle w:val="TableParagraph"/>
              <w:spacing w:line="240" w:lineRule="auto" w:before="76"/>
              <w:ind w:right="20"/>
              <w:jc w:val="right"/>
              <w:rPr>
                <w:rFonts w:ascii="宋体" w:hAnsi="宋体" w:cs="宋体" w:eastAsia="宋体" w:hint="default"/>
                <w:sz w:val="18"/>
                <w:szCs w:val="18"/>
              </w:rPr>
            </w:pPr>
            <w:r>
              <w:rPr>
                <w:rFonts w:ascii="宋体"/>
                <w:sz w:val="18"/>
              </w:rPr>
              <w:t>23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before="0"/>
        <w:ind w:left="532" w:right="0"/>
        <w:jc w:val="left"/>
      </w:pPr>
      <w:r>
        <w:rPr/>
        <w:t>本期开发支出期末余额较上期末上升59.53%，系本期部分项目研发尚未完成所致。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5"/>
        <w:spacing w:line="240" w:lineRule="auto"/>
        <w:ind w:right="0"/>
        <w:jc w:val="left"/>
        <w:rPr>
          <w:b w:val="0"/>
          <w:bCs w:val="0"/>
        </w:rPr>
      </w:pPr>
      <w:r>
        <w:rPr/>
        <w:t>27、商誉</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（1）商誉账面原值</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烟台华东电子软 件技术有限公司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84,135,934.22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84,135,934.22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安徽汉高信息科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4,181,796.25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4,181,796.25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上海亲益保网络 科技有限公司*1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30,517,480.91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30,517,480.91</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安徽光大保险代 理有限责任公司</w:t>
            </w:r>
          </w:p>
          <w:p>
            <w:pPr>
              <w:pStyle w:val="TableParagraph"/>
              <w:spacing w:line="240" w:lineRule="auto" w:before="19"/>
              <w:ind w:left="22" w:right="0"/>
              <w:jc w:val="left"/>
              <w:rPr>
                <w:rFonts w:ascii="宋体" w:hAnsi="宋体" w:cs="宋体" w:eastAsia="宋体" w:hint="default"/>
                <w:sz w:val="18"/>
                <w:szCs w:val="18"/>
              </w:rPr>
            </w:pPr>
            <w:r>
              <w:rPr>
                <w:rFonts w:ascii="宋体"/>
                <w:sz w:val="18"/>
              </w:rPr>
              <w:t>*2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1,800,625.42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1,800,625.42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88,317,730.47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32,318,106.33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120,635,836.80</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（2）商誉减值准备</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2734"/>
        <w:gridCol w:w="2734"/>
        <w:gridCol w:w="1367"/>
      </w:tblGrid>
      <w:tr>
        <w:trPr>
          <w:trHeight w:val="67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 w:right="46"/>
              <w:jc w:val="left"/>
              <w:rPr>
                <w:rFonts w:ascii="宋体" w:hAnsi="宋体" w:cs="宋体" w:eastAsia="宋体" w:hint="default"/>
                <w:sz w:val="18"/>
                <w:szCs w:val="18"/>
              </w:rPr>
            </w:pPr>
            <w:r>
              <w:rPr>
                <w:rFonts w:ascii="宋体" w:hAnsi="宋体" w:cs="宋体" w:eastAsia="宋体" w:hint="default"/>
                <w:sz w:val="18"/>
                <w:szCs w:val="18"/>
              </w:rPr>
              <w:t>被投资单位名称 或形成商誉的事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2734"/>
        <w:gridCol w:w="2734"/>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BodyText"/>
        <w:spacing w:line="240" w:lineRule="auto" w:before="92"/>
        <w:ind w:left="532" w:right="0"/>
        <w:jc w:val="left"/>
      </w:pPr>
      <w:r>
        <w:rPr/>
        <w:t>本期新增系本公司子公司安徽行云天下科技有限公司报告期间收购100%股权形成的商誉，其中：</w:t>
      </w:r>
    </w:p>
    <w:p>
      <w:pPr>
        <w:pStyle w:val="BodyText"/>
        <w:spacing w:line="273" w:lineRule="auto" w:before="37"/>
        <w:ind w:right="112" w:firstLine="420"/>
        <w:jc w:val="both"/>
      </w:pPr>
      <w:r>
        <w:rPr>
          <w:spacing w:val="13"/>
        </w:rPr>
        <w:t>*1、上海亲益保网络科技有限公司于2017年8月3日完成工商变更登记手续，购并日账面净资产</w:t>
      </w:r>
      <w:r>
        <w:rPr>
          <w:w w:val="99"/>
        </w:rPr>
        <w:t> </w:t>
      </w:r>
      <w:r>
        <w:rPr/>
        <w:t>482,519.09元，收购对价3,100万元（经上海立信资产评估有限公司出具的信资评报字[2017]第2064号资</w:t>
      </w:r>
      <w:r>
        <w:rPr>
          <w:spacing w:val="-42"/>
        </w:rPr>
        <w:t> </w:t>
      </w:r>
      <w:r>
        <w:rPr>
          <w:spacing w:val="-42"/>
        </w:rPr>
      </w:r>
      <w:r>
        <w:rPr/>
        <w:t>产评估报告书并确认100%为3,100万元），产生30,517,480.91元商誉；</w:t>
      </w:r>
    </w:p>
    <w:p>
      <w:pPr>
        <w:pStyle w:val="BodyText"/>
        <w:spacing w:line="273" w:lineRule="auto"/>
        <w:ind w:right="112" w:firstLine="420"/>
        <w:jc w:val="both"/>
      </w:pPr>
      <w:r>
        <w:rPr>
          <w:spacing w:val="6"/>
        </w:rPr>
        <w:t>*2、安徽光大保险代理有限责任公司于2017年8月29日完成工商变更登记手续，购并日账面净资产</w:t>
      </w:r>
      <w:r>
        <w:rPr>
          <w:w w:val="99"/>
        </w:rPr>
        <w:t> </w:t>
      </w:r>
      <w:r>
        <w:rPr>
          <w:spacing w:val="3"/>
        </w:rPr>
        <w:t>1,839,769.28元，收购对价3,640,394.70万元（经安徽安健资产评估有限责任公司出具的皖安建评报字</w:t>
      </w:r>
      <w:r>
        <w:rPr>
          <w:spacing w:val="-98"/>
        </w:rPr>
        <w:t> </w:t>
      </w:r>
      <w:r>
        <w:rPr>
          <w:spacing w:val="-98"/>
        </w:rPr>
      </w:r>
      <w:r>
        <w:rPr/>
        <w:t>[2017]</w:t>
      </w:r>
      <w:r>
        <w:rPr>
          <w:spacing w:val="-86"/>
        </w:rPr>
        <w:t> </w:t>
      </w:r>
      <w:r>
        <w:rPr/>
        <w:t>第</w:t>
      </w:r>
      <w:r>
        <w:rPr>
          <w:spacing w:val="-85"/>
        </w:rPr>
        <w:t> </w:t>
      </w:r>
      <w:r>
        <w:rPr/>
        <w:t>0709</w:t>
      </w:r>
      <w:r>
        <w:rPr>
          <w:spacing w:val="-88"/>
        </w:rPr>
        <w:t> </w:t>
      </w:r>
      <w:r>
        <w:rPr>
          <w:spacing w:val="20"/>
        </w:rPr>
        <w:t>号资产评估报告书评估并确认收购</w:t>
      </w:r>
      <w:r>
        <w:rPr>
          <w:spacing w:val="-87"/>
        </w:rPr>
        <w:t> </w:t>
      </w:r>
      <w:r>
        <w:rPr/>
        <w:t>100%</w:t>
      </w:r>
      <w:r>
        <w:rPr>
          <w:spacing w:val="-86"/>
        </w:rPr>
        <w:t> </w:t>
      </w:r>
      <w:r>
        <w:rPr>
          <w:spacing w:val="21"/>
        </w:rPr>
        <w:t>股权权益法评估值经调整后确认的），</w:t>
      </w:r>
      <w:r>
        <w:rPr>
          <w:spacing w:val="-85"/>
        </w:rPr>
        <w:t> </w:t>
      </w:r>
      <w:r>
        <w:rPr>
          <w:spacing w:val="11"/>
        </w:rPr>
        <w:t>产生</w:t>
      </w:r>
      <w:r>
        <w:rPr>
          <w:w w:val="99"/>
        </w:rPr>
        <w:t> </w:t>
      </w:r>
      <w:r>
        <w:rPr/>
        <w:t>1,800,625.42元商誉。</w:t>
      </w:r>
    </w:p>
    <w:p>
      <w:pPr>
        <w:spacing w:before="74"/>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28、长期待摊费用</w:t>
      </w:r>
      <w:r>
        <w:rPr>
          <w:b w:val="0"/>
          <w:bCs w:val="0"/>
        </w:rPr>
      </w:r>
    </w:p>
    <w:p>
      <w:pPr>
        <w:spacing w:line="240" w:lineRule="auto" w:before="9"/>
        <w:rPr>
          <w:rFonts w:ascii="宋体" w:hAnsi="宋体" w:cs="宋体" w:eastAsia="宋体" w:hint="default"/>
          <w:b/>
          <w:bCs/>
          <w:sz w:val="27"/>
          <w:szCs w:val="27"/>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租入房屋装修费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550,209.19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209,233.35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298,728.23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460,714.31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550,209.19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209,233.35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298,728.23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460,714.31</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29、递延所得税资产/递延所得税负债</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（1）未经抵销的递延所得税资产</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4,231,647.02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1,057,911.76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1,453,135.44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363,283.87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23,920,486.20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3,890,814.55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18,818,142.26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2,855,500.93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11,525,677.68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1,760,834.73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7,992,013.01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1,209,310.96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长期应收款减值准备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697,259.85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104,588.98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3,259,977.01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449,946.55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2,309,828.03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346,474.20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可供出售金融资产减值 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2,700,000.00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175,062.28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26,259.34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175,062.28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26,259.34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2,681,728.66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402,259.30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3,468,250.43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520,237.56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230,187.93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34,528.19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64,722,026.63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10,427,143.40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52,216,431.45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8,021,066.86</w:t>
            </w:r>
          </w:p>
        </w:tc>
      </w:tr>
    </w:tbl>
    <w:p>
      <w:pPr>
        <w:spacing w:after="0" w:line="240" w:lineRule="auto"/>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（2）未经抵销的递延所得税负债</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因收购烟台华东电子产 生的暂时性差异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1,759,017.27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263,852.59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1,946,594.33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291,989.15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1,759,017.27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263,852.59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1,946,594.33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291,989.15</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（3）以抵销后净额列示的递延所得税资产或负债</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10,427,143.40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8,021,066.86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263,852.59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291,989.15</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（4）未确认递延所得税资产明细</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14,557,567.91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10,644,557.43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878,890.14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852,661.31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23,372,207.65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16,103,360.01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38,808,665.70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27,600,578.75</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（5）未确认递延所得税资产的可抵扣亏损将于以下年度到期</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728,898.36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652,801.74</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1,432,855.33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593,061.38</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3,277,770.05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2,041,333.40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4,538,850.39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7,357,360.91</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4,579,193.78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14,557,567.91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10,644,557.43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30、其他非流动资产</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10,523,250.00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4,018,375.00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4,018,375.00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10,523,250.00</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31、短期借款</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（1）短期借款分类</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10,000,000.00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（2）已逾期未偿还的短期借款情况</w:t>
      </w:r>
      <w:r>
        <w:rPr>
          <w:b w:val="0"/>
          <w:bCs w:val="0"/>
        </w:rPr>
      </w:r>
    </w:p>
    <w:p>
      <w:pPr>
        <w:spacing w:line="240" w:lineRule="auto" w:before="4"/>
        <w:rPr>
          <w:rFonts w:ascii="宋体" w:hAnsi="宋体" w:cs="宋体" w:eastAsia="宋体" w:hint="default"/>
          <w:b/>
          <w:bCs/>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32、以公允价值计量且其变动计入当期损益的金融负债</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33、衍生金融负债</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34、应付票据</w:t>
      </w:r>
      <w:r>
        <w:rPr>
          <w:b w:val="0"/>
          <w:bCs w:val="0"/>
        </w:rPr>
      </w:r>
    </w:p>
    <w:p>
      <w:pPr>
        <w:spacing w:line="240" w:lineRule="auto" w:before="7"/>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30"/>
          <w:pgSz w:w="11910" w:h="16840"/>
          <w:pgMar w:footer="937" w:header="746" w:top="1040" w:bottom="1120" w:left="1020" w:right="1020"/>
          <w:pgNumType w:start="14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13,034,027.10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13,511,225.24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13,034,027.10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13,511,225.24</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35、应付账款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（1）应付账款列示</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310,248,569.42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223,785,431.98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105,701,733.60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148,514,484.61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415,950,303.02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372,299,916.59</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（2）账龄超过</w:t>
      </w:r>
      <w:r>
        <w:rPr>
          <w:spacing w:val="-56"/>
        </w:rPr>
        <w:t> </w:t>
      </w:r>
      <w:r>
        <w:rPr/>
        <w:t>1</w:t>
      </w:r>
      <w:r>
        <w:rPr>
          <w:spacing w:val="-57"/>
        </w:rPr>
        <w:t> </w:t>
      </w:r>
      <w:r>
        <w:rPr/>
        <w:t>年的重要应付账款</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36、预收款项</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（1）预收款项列示</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预收工程项目款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85,061,648.46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111,808,400.79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85,061,648.46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111,808,400.79</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（2）账龄超过</w:t>
      </w:r>
      <w:r>
        <w:rPr>
          <w:spacing w:val="-56"/>
        </w:rPr>
        <w:t> </w:t>
      </w:r>
      <w:r>
        <w:rPr/>
        <w:t>1</w:t>
      </w:r>
      <w:r>
        <w:rPr>
          <w:spacing w:val="-57"/>
        </w:rPr>
        <w:t> </w:t>
      </w:r>
      <w:r>
        <w:rPr/>
        <w:t>年的重要预收款项</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4,314,005.20</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工程未完工结算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2,793,365.23</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工程未决算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2,673,900.00</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工程未决算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9,781,270.43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（3）期末建造合同形成的已结算未完工项目情况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4;height:397" coordorigin="13,13" coordsize="4774,397">
              <v:shape style="position:absolute;left:13;top:13;width:4774;height:397" coordorigin="13,13" coordsize="4774,397" path="m13,13l4787,13,4787,410,13,410,13,13xe" filled="true" fillcolor="#d2d2d2" stroked="false">
                <v:path arrowok="t"/>
                <v:fill type="solid"/>
              </v:shape>
            </v:group>
            <v:group style="position:absolute;left:4792;top:13;width:4784;height:397" coordorigin="4792,13" coordsize="4784,397">
              <v:shape style="position:absolute;left:4792;top:13;width:4784;height:397" coordorigin="4792,13" coordsize="4784,397" path="m4792,13l9576,13,9576,410,4792,410,4792,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9;top:5;width:2;height:402" coordorigin="4789,5" coordsize="2,402">
              <v:shape style="position:absolute;left:4789;top:5;width:2;height:402" coordorigin="4789,5" coordsize="0,402" path="m4789,5l4789,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2;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37、应付职工薪酬</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（1）应付职工薪酬列示</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16,094,929.21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135,328,219.87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128,050,941.43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23,372,207.65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二、离职后福利-设定提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8,430.80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10,456,395.21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10,464,826.01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16,103,360.01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145,784,615.08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138,515,767.44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23,372,207.65</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r>
        <w:rPr/>
        <w:t>（2）短期薪酬列示</w:t>
      </w:r>
      <w:r>
        <w:rPr>
          <w:b w:val="0"/>
          <w:bCs w:val="0"/>
        </w:rPr>
      </w:r>
    </w:p>
    <w:p>
      <w:pPr>
        <w:spacing w:line="240" w:lineRule="auto" w:before="7"/>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1、工资、奖金、津贴和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14,115,000.34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120,218,835.85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113,403,089.54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20,930,746.65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4,505,097.54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4,505,097.54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6,472.60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4,939,936.60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4,946,409.20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5,983.10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4,323,739.73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4,329,722.83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108.80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370,674.32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370,783.12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245,522.55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245,903.25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4,032,951.54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4,032,951.54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5、工会经费和职工教育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1,798,393.99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1,415,624.79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947,620.06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2,266,398.72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6、短期带薪缺勤</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175,062.28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215,773.55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215,773.55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175,062.28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16,094,929.21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135,328,219.87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128,050,941.43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23,372,207.65</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（3）设定提存计划列示</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63" w:right="0"/>
              <w:jc w:val="left"/>
              <w:rPr>
                <w:rFonts w:ascii="宋体" w:hAnsi="宋体" w:cs="宋体" w:eastAsia="宋体" w:hint="default"/>
                <w:sz w:val="18"/>
                <w:szCs w:val="18"/>
              </w:rPr>
            </w:pPr>
            <w:r>
              <w:rPr>
                <w:rFonts w:ascii="宋体"/>
                <w:sz w:val="18"/>
              </w:rPr>
              <w:t>7,614.90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1" w:right="0"/>
              <w:jc w:val="left"/>
              <w:rPr>
                <w:rFonts w:ascii="宋体" w:hAnsi="宋体" w:cs="宋体" w:eastAsia="宋体" w:hint="default"/>
                <w:sz w:val="18"/>
                <w:szCs w:val="18"/>
              </w:rPr>
            </w:pPr>
            <w:r>
              <w:rPr>
                <w:rFonts w:ascii="宋体"/>
                <w:sz w:val="18"/>
              </w:rPr>
              <w:t>10,092,139.58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0" w:right="0"/>
              <w:jc w:val="left"/>
              <w:rPr>
                <w:rFonts w:ascii="宋体" w:hAnsi="宋体" w:cs="宋体" w:eastAsia="宋体" w:hint="default"/>
                <w:sz w:val="18"/>
                <w:szCs w:val="18"/>
              </w:rPr>
            </w:pPr>
            <w:r>
              <w:rPr>
                <w:rFonts w:ascii="宋体"/>
                <w:sz w:val="18"/>
              </w:rPr>
              <w:t>10,099,754.48</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815.90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364,255.63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365,071.53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8,430.80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10,456,395.21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10,464,826.01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38、应交税费</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2,263,127.43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1,682,661.39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3,846,037.93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4,221,598.32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556,816.77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283,947.54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250,091.89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311,248.17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207,156.01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367,463.57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287,818.75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287,818.76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84,814.85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161,633.68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55,089.19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90,119.06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35,836.77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51,016.45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68,426.05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63,144.55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43,750.97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50,052.58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1,066.90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98.75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7,700,033.51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7,570,802.82</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39、应付利息</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15,104.17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15,104.17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15,104.17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15,104.17</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40、应付股利</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年未支付的应付股利，应披露未支付原因：</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41、其他应付款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（1）按款项性质列示其他应付款</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5,240,981.88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7,793,582.80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代收款项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30,583,432.78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4,377,379.65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3,287,897.10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40,201,794.31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11,081,479.90</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（2）账龄超过</w:t>
      </w:r>
      <w:r>
        <w:rPr>
          <w:spacing w:val="-56"/>
        </w:rPr>
        <w:t> </w:t>
      </w:r>
      <w:r>
        <w:rPr/>
        <w:t>1</w:t>
      </w:r>
      <w:r>
        <w:rPr>
          <w:spacing w:val="-57"/>
        </w:rPr>
        <w:t> </w:t>
      </w:r>
      <w:r>
        <w:rPr/>
        <w:t>年的重要其他应付款</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right="0" w:firstLine="420"/>
        <w:jc w:val="left"/>
      </w:pPr>
      <w:r>
        <w:rPr>
          <w:w w:val="95"/>
        </w:rPr>
        <w:t>本期期末比期初大幅增长，主要是新增的代收款项，系子公司安徽行云天下科技有限公司代安徽省高</w:t>
      </w:r>
      <w:r>
        <w:rPr>
          <w:w w:val="99"/>
        </w:rPr>
        <w:t> </w:t>
      </w:r>
      <w:r>
        <w:rPr/>
        <w:t>速公路联网运营有限公司收取的客户充值款所致。</w:t>
      </w:r>
    </w:p>
    <w:p>
      <w:pPr>
        <w:spacing w:line="240" w:lineRule="auto" w:before="9"/>
        <w:rPr>
          <w:rFonts w:ascii="宋体" w:hAnsi="宋体" w:cs="宋体" w:eastAsia="宋体" w:hint="default"/>
          <w:sz w:val="23"/>
          <w:szCs w:val="23"/>
        </w:rPr>
      </w:pPr>
    </w:p>
    <w:p>
      <w:pPr>
        <w:pStyle w:val="Heading5"/>
        <w:spacing w:line="240" w:lineRule="auto"/>
        <w:ind w:right="0"/>
        <w:jc w:val="left"/>
        <w:rPr>
          <w:b w:val="0"/>
          <w:bCs w:val="0"/>
        </w:rPr>
      </w:pPr>
      <w:r>
        <w:rPr/>
        <w:t>42、持有待售的负债</w:t>
      </w:r>
      <w:r>
        <w:rPr>
          <w:b w:val="0"/>
          <w:bCs w:val="0"/>
        </w:rPr>
      </w:r>
    </w:p>
    <w:p>
      <w:pPr>
        <w:spacing w:line="240" w:lineRule="auto" w:before="9"/>
        <w:rPr>
          <w:rFonts w:ascii="宋体" w:hAnsi="宋体" w:cs="宋体" w:eastAsia="宋体" w:hint="default"/>
          <w:b/>
          <w:bCs/>
          <w:sz w:val="27"/>
          <w:szCs w:val="27"/>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43、一年内到期的非流动负债</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44、其他流动负债</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3" w:right="31" w:hanging="269"/>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45、长期借款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（1）长期借款分类</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50"/>
        <w:ind w:left="112" w:right="757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r>
        <w:rPr/>
        <w:t>46、应付债券</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（1）应付债券</w:t>
      </w:r>
      <w:r>
        <w:rPr>
          <w:b w:val="0"/>
          <w:bCs w:val="0"/>
        </w:rPr>
      </w:r>
    </w:p>
    <w:p>
      <w:pPr>
        <w:spacing w:line="240" w:lineRule="auto" w:before="7"/>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r>
        <w:rPr/>
        <w:t>（2）应付债券的增减变动（不包括划分为金融负债的优先股、永续债等其他金融工具）</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24"/>
          <w:szCs w:val="24"/>
        </w:rPr>
      </w:pPr>
    </w:p>
    <w:p>
      <w:pPr>
        <w:pStyle w:val="Heading5"/>
        <w:spacing w:line="240" w:lineRule="auto" w:before="34"/>
        <w:ind w:right="0"/>
        <w:jc w:val="left"/>
        <w:rPr>
          <w:b w:val="0"/>
          <w:bCs w:val="0"/>
        </w:rPr>
      </w:pPr>
      <w:r>
        <w:rPr/>
        <w:t>（3）可转换公司债券的转股条件、转股时间说明</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（4）划分为金融负债的其他金融工具说明</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6" w:footer="937" w:top="1040" w:bottom="1120" w:left="1020" w:right="1020"/>
        </w:sectPr>
      </w:pPr>
    </w:p>
    <w:p>
      <w:pPr>
        <w:spacing w:line="357"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20" w:left="1020" w:right="1020"/>
          <w:cols w:num="2" w:equalWidth="0">
            <w:col w:w="4613" w:space="421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2"/>
        <w:ind w:left="112" w:right="649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r>
        <w:rPr/>
        <w:t>47、长期应付款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（1）按款项性质列示长期应付款</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48、长期应付职工薪酬</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（1）长期应付职工薪酬表</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（2）设定受益计划变动情况</w:t>
      </w:r>
      <w:r>
        <w:rPr>
          <w:b w:val="0"/>
          <w:bCs w:val="0"/>
        </w:rPr>
      </w:r>
    </w:p>
    <w:p>
      <w:pPr>
        <w:spacing w:line="240" w:lineRule="auto" w:before="4"/>
        <w:rPr>
          <w:rFonts w:ascii="宋体" w:hAnsi="宋体" w:cs="宋体" w:eastAsia="宋体" w:hint="default"/>
          <w:b/>
          <w:bCs/>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1"/>
        <w:ind w:left="112" w:right="253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49、专项应付款</w:t>
      </w:r>
      <w:r>
        <w:rPr>
          <w:b w:val="0"/>
          <w:bCs w:val="0"/>
        </w:rPr>
      </w:r>
    </w:p>
    <w:p>
      <w:pPr>
        <w:spacing w:line="240" w:lineRule="auto" w:before="7"/>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50、预计负债</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51、递延收益</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3" w:right="0"/>
              <w:jc w:val="left"/>
              <w:rPr>
                <w:rFonts w:ascii="宋体" w:hAnsi="宋体" w:cs="宋体" w:eastAsia="宋体" w:hint="default"/>
                <w:sz w:val="18"/>
                <w:szCs w:val="18"/>
              </w:rPr>
            </w:pPr>
            <w:r>
              <w:rPr>
                <w:rFonts w:ascii="宋体"/>
                <w:sz w:val="18"/>
              </w:rPr>
              <w:t>3,468,250.43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786,521.77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9" w:right="0"/>
              <w:jc w:val="left"/>
              <w:rPr>
                <w:rFonts w:ascii="宋体" w:hAnsi="宋体" w:cs="宋体" w:eastAsia="宋体" w:hint="default"/>
                <w:sz w:val="18"/>
                <w:szCs w:val="18"/>
              </w:rPr>
            </w:pPr>
            <w:r>
              <w:rPr>
                <w:rFonts w:ascii="宋体"/>
                <w:sz w:val="18"/>
              </w:rPr>
              <w:t>2,681,728.66</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10"/>
                <w:sz w:val="18"/>
                <w:szCs w:val="18"/>
              </w:rPr>
              <w:t>减：预计一年内转入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利润表的递延收益</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3" w:right="0"/>
              <w:jc w:val="left"/>
              <w:rPr>
                <w:rFonts w:ascii="宋体" w:hAnsi="宋体" w:cs="宋体" w:eastAsia="宋体" w:hint="default"/>
                <w:sz w:val="18"/>
                <w:szCs w:val="18"/>
              </w:rPr>
            </w:pPr>
            <w:r>
              <w:rPr>
                <w:rFonts w:ascii="宋体"/>
                <w:sz w:val="18"/>
              </w:rPr>
              <w:t>3,468,250.43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786,521.77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9" w:right="0"/>
              <w:jc w:val="left"/>
              <w:rPr>
                <w:rFonts w:ascii="宋体" w:hAnsi="宋体" w:cs="宋体" w:eastAsia="宋体" w:hint="default"/>
                <w:sz w:val="18"/>
                <w:szCs w:val="18"/>
              </w:rPr>
            </w:pPr>
            <w:r>
              <w:rPr>
                <w:rFonts w:ascii="宋体"/>
                <w:sz w:val="18"/>
              </w:rPr>
              <w:t>2,681,728.66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5"/>
        <w:gridCol w:w="1063"/>
        <w:gridCol w:w="1063"/>
        <w:gridCol w:w="1063"/>
        <w:gridCol w:w="1063"/>
        <w:gridCol w:w="1063"/>
        <w:gridCol w:w="1063"/>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29" w:hanging="44"/>
              <w:jc w:val="left"/>
              <w:rPr>
                <w:rFonts w:ascii="宋体" w:hAnsi="宋体" w:cs="宋体" w:eastAsia="宋体" w:hint="default"/>
                <w:sz w:val="18"/>
                <w:szCs w:val="18"/>
              </w:rPr>
            </w:pPr>
            <w:r>
              <w:rPr>
                <w:rFonts w:ascii="宋体" w:hAnsi="宋体" w:cs="宋体" w:eastAsia="宋体" w:hint="default"/>
                <w:sz w:val="18"/>
                <w:szCs w:val="18"/>
              </w:rPr>
              <w:t>与资产相关/ 与收益相关</w:t>
            </w: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企业自主创</w:t>
            </w: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新政策仪器 设备购置补</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2,268,250.4</w:t>
            </w:r>
          </w:p>
          <w:p>
            <w:pPr>
              <w:pStyle w:val="TableParagraph"/>
              <w:spacing w:line="240" w:lineRule="auto" w:before="76"/>
              <w:ind w:right="21"/>
              <w:jc w:val="right"/>
              <w:rPr>
                <w:rFonts w:ascii="宋体" w:hAnsi="宋体" w:cs="宋体" w:eastAsia="宋体" w:hint="default"/>
                <w:sz w:val="18"/>
                <w:szCs w:val="18"/>
              </w:rPr>
            </w:pPr>
            <w:r>
              <w:rPr>
                <w:rFonts w:ascii="宋体"/>
                <w:sz w:val="18"/>
              </w:rPr>
              <w:t>3</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786,521.77</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1,481,728.6</w:t>
            </w:r>
          </w:p>
          <w:p>
            <w:pPr>
              <w:pStyle w:val="TableParagraph"/>
              <w:spacing w:line="240" w:lineRule="auto" w:before="76"/>
              <w:ind w:right="22"/>
              <w:jc w:val="right"/>
              <w:rPr>
                <w:rFonts w:ascii="宋体" w:hAnsi="宋体" w:cs="宋体" w:eastAsia="宋体" w:hint="default"/>
                <w:sz w:val="18"/>
                <w:szCs w:val="18"/>
              </w:rPr>
            </w:pPr>
            <w:r>
              <w:rPr>
                <w:rFonts w:ascii="宋体"/>
                <w:sz w:val="18"/>
              </w:rPr>
              <w:t>6</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3"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省智能语音</w:t>
            </w: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产业合肥基 地引导资金</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1,200,000.0</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1,200,000.0</w:t>
            </w:r>
          </w:p>
          <w:p>
            <w:pPr>
              <w:pStyle w:val="TableParagraph"/>
              <w:spacing w:line="240" w:lineRule="auto" w:before="76"/>
              <w:ind w:right="22"/>
              <w:jc w:val="right"/>
              <w:rPr>
                <w:rFonts w:ascii="宋体" w:hAnsi="宋体" w:cs="宋体" w:eastAsia="宋体" w:hint="default"/>
                <w:sz w:val="18"/>
                <w:szCs w:val="18"/>
              </w:rPr>
            </w:pPr>
            <w:r>
              <w:rPr>
                <w:rFonts w:ascii="宋体"/>
                <w:sz w:val="18"/>
              </w:rPr>
              <w:t>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3"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支持项目</w:t>
            </w: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3,468,250.4</w:t>
            </w:r>
          </w:p>
          <w:p>
            <w:pPr>
              <w:pStyle w:val="TableParagraph"/>
              <w:spacing w:line="240" w:lineRule="auto" w:before="76"/>
              <w:ind w:right="21"/>
              <w:jc w:val="right"/>
              <w:rPr>
                <w:rFonts w:ascii="宋体" w:hAnsi="宋体" w:cs="宋体" w:eastAsia="宋体" w:hint="default"/>
                <w:sz w:val="18"/>
                <w:szCs w:val="18"/>
              </w:rPr>
            </w:pPr>
            <w:r>
              <w:rPr>
                <w:rFonts w:ascii="宋体"/>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786,521.77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2,681,728.6</w:t>
            </w:r>
          </w:p>
          <w:p>
            <w:pPr>
              <w:pStyle w:val="TableParagraph"/>
              <w:spacing w:line="240" w:lineRule="auto" w:before="76"/>
              <w:ind w:right="22"/>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537" w:lineRule="auto" w:before="89"/>
        <w:ind w:right="1634"/>
        <w:jc w:val="left"/>
        <w:rPr>
          <w:rFonts w:ascii="宋体" w:hAnsi="宋体" w:cs="宋体" w:eastAsia="宋体" w:hint="default"/>
        </w:rPr>
      </w:pPr>
      <w:r>
        <w:rPr>
          <w:w w:val="95"/>
        </w:rPr>
        <w:t>本期计入当期损益金额中，计入其他收益786,521.77元，计入营业外收入0.00元</w:t>
      </w:r>
      <w:r>
        <w:rPr>
          <w:spacing w:val="50"/>
          <w:w w:val="95"/>
        </w:rPr>
        <w:t> </w:t>
      </w:r>
      <w:r>
        <w:rPr>
          <w:spacing w:val="50"/>
          <w:w w:val="95"/>
        </w:rPr>
      </w:r>
      <w:r>
        <w:rPr>
          <w:rFonts w:ascii="宋体" w:hAnsi="宋体" w:cs="宋体" w:eastAsia="宋体" w:hint="default"/>
          <w:b/>
          <w:bCs/>
        </w:rPr>
        <w:t>52、其他非流动负债</w:t>
      </w:r>
      <w:r>
        <w:rPr>
          <w:rFonts w:ascii="宋体" w:hAnsi="宋体" w:cs="宋体" w:eastAsia="宋体" w:hint="default"/>
        </w:rPr>
      </w:r>
    </w:p>
    <w:p>
      <w:pPr>
        <w:spacing w:before="10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53、股本</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本次变动增减（+、—）</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350,327,055.</w:t>
            </w:r>
          </w:p>
          <w:p>
            <w:pPr>
              <w:pStyle w:val="TableParagraph"/>
              <w:spacing w:line="240" w:lineRule="auto" w:before="76"/>
              <w:ind w:right="21"/>
              <w:jc w:val="right"/>
              <w:rPr>
                <w:rFonts w:ascii="宋体" w:hAnsi="宋体" w:cs="宋体" w:eastAsia="宋体" w:hint="default"/>
                <w:sz w:val="18"/>
                <w:szCs w:val="18"/>
              </w:rPr>
            </w:pPr>
            <w:r>
              <w:rPr>
                <w:rFonts w:ascii="宋体"/>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350,327,055.</w:t>
            </w:r>
          </w:p>
          <w:p>
            <w:pPr>
              <w:pStyle w:val="TableParagraph"/>
              <w:spacing w:line="240" w:lineRule="auto" w:before="76"/>
              <w:ind w:right="21"/>
              <w:jc w:val="right"/>
              <w:rPr>
                <w:rFonts w:ascii="宋体" w:hAnsi="宋体" w:cs="宋体" w:eastAsia="宋体" w:hint="default"/>
                <w:sz w:val="18"/>
                <w:szCs w:val="18"/>
              </w:rPr>
            </w:pPr>
            <w:r>
              <w:rPr>
                <w:rFonts w:ascii="宋体"/>
                <w:sz w:val="18"/>
              </w:rPr>
              <w:t>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54、其他权益工具</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（1）期末发行在外的优先股、永续债等其他金融工具基本情况</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（2）期末发行在外的优先股、永续债等金融工具变动情况表</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12" w:right="361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55、资本公积</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3" w:right="0"/>
              <w:jc w:val="left"/>
              <w:rPr>
                <w:rFonts w:ascii="宋体" w:hAnsi="宋体" w:cs="宋体" w:eastAsia="宋体" w:hint="default"/>
                <w:sz w:val="18"/>
                <w:szCs w:val="18"/>
              </w:rPr>
            </w:pPr>
            <w:r>
              <w:rPr>
                <w:rFonts w:ascii="宋体"/>
                <w:sz w:val="18"/>
              </w:rPr>
              <w:t>543,767,469.75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543,767,469.75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855,250.40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3" w:right="0"/>
              <w:jc w:val="left"/>
              <w:rPr>
                <w:rFonts w:ascii="宋体" w:hAnsi="宋体" w:cs="宋体" w:eastAsia="宋体" w:hint="default"/>
                <w:sz w:val="18"/>
                <w:szCs w:val="18"/>
              </w:rPr>
            </w:pPr>
            <w:r>
              <w:rPr>
                <w:rFonts w:ascii="宋体"/>
                <w:sz w:val="18"/>
              </w:rPr>
              <w:t>543,767,469.75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855,250.40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544,622,720.15</w:t>
            </w:r>
          </w:p>
        </w:tc>
      </w:tr>
    </w:tbl>
    <w:p>
      <w:pPr>
        <w:spacing w:line="338" w:lineRule="auto" w:before="50"/>
        <w:ind w:left="112" w:right="159"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 </w:t>
      </w:r>
      <w:r>
        <w:rPr>
          <w:rFonts w:ascii="宋体" w:hAnsi="宋体" w:cs="宋体" w:eastAsia="宋体" w:hint="default"/>
          <w:spacing w:val="-3"/>
          <w:sz w:val="18"/>
          <w:szCs w:val="18"/>
        </w:rPr>
        <w:t>本期增加原因如下：（1）因收购子公司重庆皖通科技有限责任公司少数股东</w:t>
      </w:r>
      <w:r>
        <w:rPr>
          <w:rFonts w:ascii="宋体" w:hAnsi="宋体" w:cs="宋体" w:eastAsia="宋体" w:hint="default"/>
          <w:spacing w:val="-40"/>
          <w:sz w:val="18"/>
          <w:szCs w:val="18"/>
        </w:rPr>
        <w:t> </w:t>
      </w:r>
      <w:r>
        <w:rPr>
          <w:rFonts w:ascii="宋体" w:hAnsi="宋体" w:cs="宋体" w:eastAsia="宋体" w:hint="default"/>
          <w:sz w:val="18"/>
          <w:szCs w:val="18"/>
        </w:rPr>
        <w:t>34%股权产生的购买对价</w:t>
      </w:r>
      <w:r>
        <w:rPr>
          <w:rFonts w:ascii="宋体" w:hAnsi="宋体" w:cs="宋体" w:eastAsia="宋体" w:hint="default"/>
          <w:spacing w:val="-42"/>
          <w:sz w:val="18"/>
          <w:szCs w:val="18"/>
        </w:rPr>
        <w:t> </w:t>
      </w:r>
      <w:r>
        <w:rPr>
          <w:rFonts w:ascii="宋体" w:hAnsi="宋体" w:cs="宋体" w:eastAsia="宋体" w:hint="default"/>
          <w:spacing w:val="-1"/>
          <w:sz w:val="18"/>
          <w:szCs w:val="18"/>
        </w:rPr>
        <w:t>300,000.00</w:t>
      </w:r>
      <w:r>
        <w:rPr>
          <w:rFonts w:ascii="宋体" w:hAnsi="宋体" w:cs="宋体" w:eastAsia="宋体" w:hint="default"/>
          <w:spacing w:val="-41"/>
          <w:sz w:val="18"/>
          <w:szCs w:val="18"/>
        </w:rPr>
        <w:t> </w:t>
      </w:r>
      <w:r>
        <w:rPr>
          <w:rFonts w:ascii="宋体" w:hAnsi="宋体" w:cs="宋体" w:eastAsia="宋体" w:hint="default"/>
          <w:sz w:val="18"/>
          <w:szCs w:val="18"/>
        </w:rPr>
        <w:t>元与新增</w:t>
      </w:r>
      <w:r>
        <w:rPr>
          <w:rFonts w:ascii="宋体" w:hAnsi="宋体" w:cs="宋体" w:eastAsia="宋体" w:hint="default"/>
          <w:sz w:val="18"/>
          <w:szCs w:val="18"/>
        </w:rPr>
        <w:t> 股权日（2017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7"/>
          <w:sz w:val="18"/>
          <w:szCs w:val="18"/>
        </w:rPr>
        <w:t> </w:t>
      </w:r>
      <w:r>
        <w:rPr>
          <w:rFonts w:ascii="宋体" w:hAnsi="宋体" w:cs="宋体" w:eastAsia="宋体" w:hint="default"/>
          <w:sz w:val="18"/>
          <w:szCs w:val="18"/>
        </w:rPr>
        <w:t>日）子公司净资产</w:t>
      </w:r>
      <w:r>
        <w:rPr>
          <w:rFonts w:ascii="宋体" w:hAnsi="宋体" w:cs="宋体" w:eastAsia="宋体" w:hint="default"/>
          <w:spacing w:val="-48"/>
          <w:sz w:val="18"/>
          <w:szCs w:val="18"/>
        </w:rPr>
        <w:t> </w:t>
      </w:r>
      <w:r>
        <w:rPr>
          <w:rFonts w:ascii="宋体" w:hAnsi="宋体" w:cs="宋体" w:eastAsia="宋体" w:hint="default"/>
          <w:sz w:val="18"/>
          <w:szCs w:val="18"/>
        </w:rPr>
        <w:t>729,311.29</w:t>
      </w:r>
      <w:r>
        <w:rPr>
          <w:rFonts w:ascii="宋体" w:hAnsi="宋体" w:cs="宋体" w:eastAsia="宋体" w:hint="default"/>
          <w:spacing w:val="-47"/>
          <w:sz w:val="18"/>
          <w:szCs w:val="18"/>
        </w:rPr>
        <w:t> </w:t>
      </w:r>
      <w:r>
        <w:rPr>
          <w:rFonts w:ascii="宋体" w:hAnsi="宋体" w:cs="宋体" w:eastAsia="宋体" w:hint="default"/>
          <w:sz w:val="18"/>
          <w:szCs w:val="18"/>
        </w:rPr>
        <w:t>元享有份额的差额为-52,034.17</w:t>
      </w:r>
      <w:r>
        <w:rPr>
          <w:rFonts w:ascii="宋体" w:hAnsi="宋体" w:cs="宋体" w:eastAsia="宋体" w:hint="default"/>
          <w:spacing w:val="-47"/>
          <w:sz w:val="18"/>
          <w:szCs w:val="18"/>
        </w:rPr>
        <w:t> </w:t>
      </w:r>
      <w:r>
        <w:rPr>
          <w:rFonts w:ascii="宋体" w:hAnsi="宋体" w:cs="宋体" w:eastAsia="宋体" w:hint="default"/>
          <w:sz w:val="18"/>
          <w:szCs w:val="18"/>
        </w:rPr>
        <w:t>元；</w:t>
      </w:r>
    </w:p>
    <w:p>
      <w:pPr>
        <w:spacing w:line="316" w:lineRule="auto" w:before="43"/>
        <w:ind w:left="112" w:right="0" w:firstLine="0"/>
        <w:jc w:val="left"/>
        <w:rPr>
          <w:rFonts w:ascii="宋体" w:hAnsi="宋体" w:cs="宋体" w:eastAsia="宋体" w:hint="default"/>
          <w:sz w:val="18"/>
          <w:szCs w:val="18"/>
        </w:rPr>
      </w:pPr>
      <w:r>
        <w:rPr>
          <w:rFonts w:ascii="宋体" w:hAnsi="宋体" w:cs="宋体" w:eastAsia="宋体" w:hint="default"/>
          <w:sz w:val="18"/>
          <w:szCs w:val="18"/>
        </w:rPr>
        <w:t>（2）子公司安徽行云天下科技有限公司增资至</w:t>
      </w:r>
      <w:r>
        <w:rPr>
          <w:rFonts w:ascii="宋体" w:hAnsi="宋体" w:cs="宋体" w:eastAsia="宋体" w:hint="default"/>
          <w:spacing w:val="-48"/>
          <w:sz w:val="18"/>
          <w:szCs w:val="18"/>
        </w:rPr>
        <w:t> </w:t>
      </w:r>
      <w:r>
        <w:rPr>
          <w:rFonts w:ascii="宋体" w:hAnsi="宋体" w:cs="宋体" w:eastAsia="宋体" w:hint="default"/>
          <w:sz w:val="18"/>
          <w:szCs w:val="18"/>
        </w:rPr>
        <w:t>66,800,000.00</w:t>
      </w:r>
      <w:r>
        <w:rPr>
          <w:rFonts w:ascii="宋体" w:hAnsi="宋体" w:cs="宋体" w:eastAsia="宋体" w:hint="default"/>
          <w:spacing w:val="-49"/>
          <w:sz w:val="18"/>
          <w:szCs w:val="18"/>
        </w:rPr>
        <w:t> </w:t>
      </w:r>
      <w:r>
        <w:rPr>
          <w:rFonts w:ascii="宋体" w:hAnsi="宋体" w:cs="宋体" w:eastAsia="宋体" w:hint="default"/>
          <w:sz w:val="18"/>
          <w:szCs w:val="18"/>
        </w:rPr>
        <w:t>元，本公司增资</w:t>
      </w:r>
      <w:r>
        <w:rPr>
          <w:rFonts w:ascii="宋体" w:hAnsi="宋体" w:cs="宋体" w:eastAsia="宋体" w:hint="default"/>
          <w:spacing w:val="-48"/>
          <w:sz w:val="18"/>
          <w:szCs w:val="18"/>
        </w:rPr>
        <w:t> </w:t>
      </w:r>
      <w:r>
        <w:rPr>
          <w:rFonts w:ascii="宋体" w:hAnsi="宋体" w:cs="宋体" w:eastAsia="宋体" w:hint="default"/>
          <w:sz w:val="18"/>
          <w:szCs w:val="18"/>
        </w:rPr>
        <w:t>10,000,000.00</w:t>
      </w:r>
      <w:r>
        <w:rPr>
          <w:rFonts w:ascii="宋体" w:hAnsi="宋体" w:cs="宋体" w:eastAsia="宋体" w:hint="default"/>
          <w:spacing w:val="-49"/>
          <w:sz w:val="18"/>
          <w:szCs w:val="18"/>
        </w:rPr>
        <w:t> </w:t>
      </w:r>
      <w:r>
        <w:rPr>
          <w:rFonts w:ascii="宋体" w:hAnsi="宋体" w:cs="宋体" w:eastAsia="宋体" w:hint="default"/>
          <w:sz w:val="18"/>
          <w:szCs w:val="18"/>
        </w:rPr>
        <w:t>元，使得持股比例由原</w:t>
      </w:r>
      <w:r>
        <w:rPr>
          <w:rFonts w:ascii="宋体" w:hAnsi="宋体" w:cs="宋体" w:eastAsia="宋体" w:hint="default"/>
          <w:spacing w:val="-48"/>
          <w:sz w:val="18"/>
          <w:szCs w:val="18"/>
        </w:rPr>
        <w:t> </w:t>
      </w:r>
      <w:r>
        <w:rPr>
          <w:rFonts w:ascii="宋体" w:hAnsi="宋体" w:cs="宋体" w:eastAsia="宋体" w:hint="default"/>
          <w:sz w:val="18"/>
          <w:szCs w:val="18"/>
        </w:rPr>
        <w:t>80%</w:t>
      </w:r>
      <w:r>
        <w:rPr>
          <w:rFonts w:ascii="宋体" w:hAnsi="宋体" w:cs="宋体" w:eastAsia="宋体" w:hint="default"/>
          <w:sz w:val="18"/>
          <w:szCs w:val="18"/>
        </w:rPr>
        <w:t> 下降至</w:t>
      </w:r>
      <w:r>
        <w:rPr>
          <w:rFonts w:ascii="宋体" w:hAnsi="宋体" w:cs="宋体" w:eastAsia="宋体" w:hint="default"/>
          <w:spacing w:val="-47"/>
          <w:sz w:val="18"/>
          <w:szCs w:val="18"/>
        </w:rPr>
        <w:t> </w:t>
      </w:r>
      <w:r>
        <w:rPr>
          <w:rFonts w:ascii="宋体" w:hAnsi="宋体" w:cs="宋体" w:eastAsia="宋体" w:hint="default"/>
          <w:sz w:val="18"/>
          <w:szCs w:val="18"/>
        </w:rPr>
        <w:t>50.9%，与增资日子公司净资产的差额为</w:t>
      </w:r>
      <w:r>
        <w:rPr>
          <w:rFonts w:ascii="宋体" w:hAnsi="宋体" w:cs="宋体" w:eastAsia="宋体" w:hint="default"/>
          <w:spacing w:val="-49"/>
          <w:sz w:val="18"/>
          <w:szCs w:val="18"/>
        </w:rPr>
        <w:t> </w:t>
      </w:r>
      <w:r>
        <w:rPr>
          <w:rFonts w:ascii="宋体" w:hAnsi="宋体" w:cs="宋体" w:eastAsia="宋体" w:hint="default"/>
          <w:sz w:val="18"/>
          <w:szCs w:val="18"/>
        </w:rPr>
        <w:t>907,284.57</w:t>
      </w:r>
      <w:r>
        <w:rPr>
          <w:rFonts w:ascii="宋体" w:hAnsi="宋体" w:cs="宋体" w:eastAsia="宋体" w:hint="default"/>
          <w:spacing w:val="-48"/>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2"/>
          <w:szCs w:val="22"/>
        </w:rPr>
      </w:pPr>
    </w:p>
    <w:p>
      <w:pPr>
        <w:pStyle w:val="Heading5"/>
        <w:spacing w:line="240" w:lineRule="auto"/>
        <w:ind w:right="0"/>
        <w:jc w:val="left"/>
        <w:rPr>
          <w:b w:val="0"/>
          <w:bCs w:val="0"/>
        </w:rPr>
      </w:pPr>
      <w:r>
        <w:rPr/>
        <w:t>56、库存股</w:t>
      </w:r>
      <w:r>
        <w:rPr>
          <w:b w:val="0"/>
          <w:bCs w:val="0"/>
        </w:rPr>
      </w:r>
    </w:p>
    <w:p>
      <w:pPr>
        <w:spacing w:line="240" w:lineRule="auto" w:before="9"/>
        <w:rPr>
          <w:rFonts w:ascii="宋体" w:hAnsi="宋体" w:cs="宋体" w:eastAsia="宋体" w:hint="default"/>
          <w:b/>
          <w:bCs/>
          <w:sz w:val="27"/>
          <w:szCs w:val="27"/>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57、其他综合收益</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2" w:right="21"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102"/>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single" w:sz="4" w:space="0" w:color="000000"/>
              <w:right w:val="single" w:sz="4" w:space="0" w:color="000000"/>
            </w:tcBorders>
            <w:shd w:val="clear" w:color="auto" w:fill="D2D2D2"/>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58、专项储备</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59、盈余公积</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38,585,421.05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5,762,715.00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44,348,136.05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38,585,421.05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5,762,715.00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44,348,136.05</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60、未分配利润</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359,270,926.02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301,892,391.10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359,270,926.02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301,892,391.10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82,717,605.13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76,872,684.10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5,762,715.00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4,897,188.53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17,516,352.75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14,596,960.65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418,709,463.40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359,270,926.02</w:t>
            </w:r>
          </w:p>
        </w:tc>
      </w:tr>
    </w:tbl>
    <w:p>
      <w:pPr>
        <w:spacing w:line="360" w:lineRule="auto" w:before="50"/>
        <w:ind w:left="112" w:right="3074"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 1)、由于《企业会计准则》及其相关新规定进行追溯调整，影响期初未分配利润元。</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2)、由于会计政策变更，影响期初未分配利润元。</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3)、由于重大会计差错更正，影响期初未分配利润元。</w:t>
      </w:r>
    </w:p>
    <w:p>
      <w:pPr>
        <w:spacing w:before="117"/>
        <w:ind w:left="112" w:right="0" w:firstLine="0"/>
        <w:jc w:val="left"/>
        <w:rPr>
          <w:rFonts w:ascii="宋体" w:hAnsi="宋体" w:cs="宋体" w:eastAsia="宋体" w:hint="default"/>
          <w:sz w:val="18"/>
          <w:szCs w:val="18"/>
        </w:rPr>
      </w:pPr>
      <w:r>
        <w:rPr>
          <w:rFonts w:ascii="宋体" w:hAnsi="宋体" w:cs="宋体" w:eastAsia="宋体" w:hint="default"/>
          <w:sz w:val="18"/>
          <w:szCs w:val="18"/>
        </w:rPr>
        <w:t>4)、由于同一控制导致的合并范围变更，影响期初未分配利润元。</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5)、其他调整合计影响期初未分配利润元。</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61、营业收入和营业成本</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995,167,322.26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749,819,135.80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991,565,757.23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786,780,303.49</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649,915.91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226,623.85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571,084.08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215.00</w:t>
            </w:r>
          </w:p>
        </w:tc>
      </w:tr>
    </w:tbl>
    <w:p>
      <w:pPr>
        <w:spacing w:after="0" w:line="240" w:lineRule="auto"/>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3" w:right="0"/>
              <w:jc w:val="left"/>
              <w:rPr>
                <w:rFonts w:ascii="宋体" w:hAnsi="宋体" w:cs="宋体" w:eastAsia="宋体" w:hint="default"/>
                <w:sz w:val="18"/>
                <w:szCs w:val="18"/>
              </w:rPr>
            </w:pPr>
            <w:r>
              <w:rPr>
                <w:rFonts w:ascii="宋体"/>
                <w:sz w:val="18"/>
              </w:rPr>
              <w:t>995,817,238.17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0" w:right="0"/>
              <w:jc w:val="left"/>
              <w:rPr>
                <w:rFonts w:ascii="宋体" w:hAnsi="宋体" w:cs="宋体" w:eastAsia="宋体" w:hint="default"/>
                <w:sz w:val="18"/>
                <w:szCs w:val="18"/>
              </w:rPr>
            </w:pPr>
            <w:r>
              <w:rPr>
                <w:rFonts w:ascii="宋体"/>
                <w:sz w:val="18"/>
              </w:rPr>
              <w:t>750,045,759.65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1" w:right="0"/>
              <w:jc w:val="left"/>
              <w:rPr>
                <w:rFonts w:ascii="宋体" w:hAnsi="宋体" w:cs="宋体" w:eastAsia="宋体" w:hint="default"/>
                <w:sz w:val="18"/>
                <w:szCs w:val="18"/>
              </w:rPr>
            </w:pPr>
            <w:r>
              <w:rPr>
                <w:rFonts w:ascii="宋体"/>
                <w:sz w:val="18"/>
              </w:rPr>
              <w:t>992,136,841.31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0" w:right="0"/>
              <w:jc w:val="left"/>
              <w:rPr>
                <w:rFonts w:ascii="宋体" w:hAnsi="宋体" w:cs="宋体" w:eastAsia="宋体" w:hint="default"/>
                <w:sz w:val="18"/>
                <w:szCs w:val="18"/>
              </w:rPr>
            </w:pPr>
            <w:r>
              <w:rPr>
                <w:rFonts w:ascii="宋体"/>
                <w:sz w:val="18"/>
              </w:rPr>
              <w:t>786,780,518.49</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62、税金及附加</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1,260,936.29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1,527,024.20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1,012,861.50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1,269,850.99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821,851.24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731,763.92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174,785.38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196,901.79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2,150.00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36,379.49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378,440.96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290,435.21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-91,113.65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6,266,667.34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12,116.23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353,902.95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3,572,027.95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10,672,925.89</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63、销售费用</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8,421,640.04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6,344,471.56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374,333.01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334,079.37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1,748,010.86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1,621,707.00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3,522,052.21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2,376,608.26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16,429,714.76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16,218,691.96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722,299.47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955,884.13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740,346.12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440,895.14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937,371.74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326,068.79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221,748.88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1,685,582.68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350,470.06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51,913.17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5,697,431.62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5,051,597.36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39,165,418.77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35,407,499.42</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footerReference w:type="default" r:id="rId31"/>
          <w:pgSz w:w="11910" w:h="16840"/>
          <w:pgMar w:footer="937" w:header="746" w:top="1040" w:bottom="1120" w:left="1020" w:right="1020"/>
          <w:pgNumType w:start="15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64、管理费用</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26,948,666.32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24,957,962.88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38,354,805.07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16,802,776.16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23,710,747.66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19,520,063.98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32,867.58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53,070.00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7,394,110.75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5,379,909.17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1,229,749.64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314,640.96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2,143,741.56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2,234,533.54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2,383,469.19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2,083,992.23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800,364.62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671,980.43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551,579.07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718,644.00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108,585.48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57,950.92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1,050,599.37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1,127,581.73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10,008,365.24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7,891,699.45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114,717,651.55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81,814,805.45</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65、财务费用</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893,173.42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403,115.23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3,499,898.69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4,263,279.70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134,031.10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29,876.83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329,845.58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280,698.02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-2,410,910.79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-3,549,589.62</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66、资产减值损失</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9,587,057.29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8,772,749.37</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689,815.65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2,309,828.03</w:t>
            </w:r>
          </w:p>
        </w:tc>
      </w:tr>
    </w:tbl>
    <w:p>
      <w:pPr>
        <w:spacing w:after="0" w:line="240" w:lineRule="auto"/>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90" w:right="0"/>
              <w:jc w:val="left"/>
              <w:rPr>
                <w:rFonts w:ascii="宋体" w:hAnsi="宋体" w:cs="宋体" w:eastAsia="宋体" w:hint="default"/>
                <w:sz w:val="18"/>
                <w:szCs w:val="18"/>
              </w:rPr>
            </w:pPr>
            <w:r>
              <w:rPr>
                <w:rFonts w:ascii="宋体"/>
                <w:sz w:val="18"/>
              </w:rPr>
              <w:t>10,276,872.94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85" w:right="0"/>
              <w:jc w:val="left"/>
              <w:rPr>
                <w:rFonts w:ascii="宋体" w:hAnsi="宋体" w:cs="宋体" w:eastAsia="宋体" w:hint="default"/>
                <w:sz w:val="18"/>
                <w:szCs w:val="18"/>
              </w:rPr>
            </w:pPr>
            <w:r>
              <w:rPr>
                <w:rFonts w:ascii="宋体"/>
                <w:sz w:val="18"/>
              </w:rPr>
              <w:t>11,082,577.40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67、公允价值变动收益</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68、投资收益</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-307,141.17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-83,692.58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148,773.01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3,387,969.31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6,961,784.19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3,229,601.15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6,878,091.61</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69、资产处置收益</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24,213.23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-288,879.29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24,213.23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-288,879.29</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70、其他收益</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26,306,853.76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26,306,853.76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r>
        <w:rPr/>
        <w:t>71、营业外收入</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r>
        <w:rPr/>
        <w:pict>
          <v:group style="position:absolute;margin-left:269.549988pt;margin-top:308.700012pt;width:52.9pt;height:66.650pt;mso-position-horizontal-relative:page;mso-position-vertical-relative:page;z-index:-875488" coordorigin="5391,6174" coordsize="1058,1333">
            <v:shape style="position:absolute;left:5391;top:6174;width:1058;height:1333" coordorigin="5391,6174" coordsize="1058,1333" path="m5391,6174l6449,6174,6449,7507,5391,7507,5391,6174xe" filled="true" fillcolor="#ffffff" stroked="false">
              <v:path arrowok="t"/>
              <v:fill type="solid"/>
            </v:shape>
            <w10:wrap type="none"/>
          </v:group>
        </w:pict>
      </w:r>
      <w:r>
        <w:rPr/>
        <w:pict>
          <v:group style="position:absolute;margin-left:269.549988pt;margin-top:571.800049pt;width:52.9pt;height:66.650pt;mso-position-horizontal-relative:page;mso-position-vertical-relative:page;z-index:-875464" coordorigin="5391,11436" coordsize="1058,1333">
            <v:shape style="position:absolute;left:5391;top:11436;width:1058;height:1333" coordorigin="5391,11436" coordsize="1058,1333" path="m5391,11436l6449,11436,6449,12769,5391,12769,5391,11436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22,207,091.48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7,059.35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7,059.35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3,776.64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101,531.81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3,776.64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10,835.99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22,308,623.29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10,835.99</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6"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4" w:right="76"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29" w:hanging="44"/>
              <w:jc w:val="left"/>
              <w:rPr>
                <w:rFonts w:ascii="宋体" w:hAnsi="宋体" w:cs="宋体" w:eastAsia="宋体" w:hint="default"/>
                <w:sz w:val="18"/>
                <w:szCs w:val="18"/>
              </w:rPr>
            </w:pPr>
            <w:r>
              <w:rPr>
                <w:rFonts w:ascii="宋体" w:hAnsi="宋体" w:cs="宋体" w:eastAsia="宋体" w:hint="default"/>
                <w:sz w:val="18"/>
                <w:szCs w:val="18"/>
              </w:rPr>
              <w:t>与资产相关/ 与收益相关</w:t>
            </w: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30"/>
              <w:jc w:val="both"/>
              <w:rPr>
                <w:rFonts w:ascii="宋体" w:hAnsi="宋体" w:cs="宋体" w:eastAsia="宋体" w:hint="default"/>
                <w:sz w:val="18"/>
                <w:szCs w:val="18"/>
              </w:rPr>
            </w:pPr>
            <w:r>
              <w:rPr>
                <w:rFonts w:ascii="宋体" w:hAnsi="宋体" w:cs="宋体" w:eastAsia="宋体" w:hint="default"/>
                <w:sz w:val="18"/>
                <w:szCs w:val="18"/>
              </w:rPr>
              <w:t>烟台高新区 经济发展局 专项扶持基 金补贴</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128"/>
              <w:jc w:val="both"/>
              <w:rPr>
                <w:rFonts w:ascii="宋体" w:hAnsi="宋体" w:cs="宋体" w:eastAsia="宋体" w:hint="default"/>
                <w:sz w:val="18"/>
                <w:szCs w:val="18"/>
              </w:rPr>
            </w:pPr>
            <w:r>
              <w:rPr>
                <w:rFonts w:ascii="宋体" w:hAnsi="宋体" w:cs="宋体" w:eastAsia="宋体" w:hint="default"/>
                <w:sz w:val="18"/>
                <w:szCs w:val="18"/>
              </w:rPr>
              <w:t>烟台高新区 财政支付中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8,480,000.0</w:t>
            </w:r>
          </w:p>
          <w:p>
            <w:pPr>
              <w:pStyle w:val="TableParagraph"/>
              <w:spacing w:line="240" w:lineRule="auto" w:before="76"/>
              <w:ind w:right="22"/>
              <w:jc w:val="right"/>
              <w:rPr>
                <w:rFonts w:ascii="宋体" w:hAnsi="宋体" w:cs="宋体" w:eastAsia="宋体" w:hint="default"/>
                <w:sz w:val="18"/>
                <w:szCs w:val="18"/>
              </w:rPr>
            </w:pPr>
            <w:r>
              <w:rPr>
                <w:rFonts w:ascii="宋体"/>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shd w:val="clear" w:color="auto" w:fill="C6ECCC"/>
          </w:tcPr>
          <w:p>
            <w:pPr/>
          </w:p>
        </w:tc>
        <w:tc>
          <w:tcPr>
            <w:tcW w:w="1063" w:type="dxa"/>
            <w:tcBorders>
              <w:top w:val="single" w:sz="4" w:space="0" w:color="000000"/>
              <w:left w:val="single" w:sz="4" w:space="0" w:color="000000"/>
              <w:bottom w:val="nil" w:sz="6" w:space="0" w:color="auto"/>
              <w:right w:val="single" w:sz="4" w:space="0" w:color="000000"/>
            </w:tcBorders>
            <w:shd w:val="clear" w:color="auto" w:fill="C6EC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软件产品退 税</w:t>
            </w:r>
          </w:p>
        </w:tc>
        <w:tc>
          <w:tcPr>
            <w:tcW w:w="10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3" w:right="128"/>
              <w:jc w:val="left"/>
              <w:rPr>
                <w:rFonts w:ascii="宋体" w:hAnsi="宋体" w:cs="宋体" w:eastAsia="宋体" w:hint="default"/>
                <w:sz w:val="18"/>
                <w:szCs w:val="18"/>
              </w:rPr>
            </w:pPr>
            <w:r>
              <w:rPr>
                <w:rFonts w:ascii="宋体" w:hAnsi="宋体" w:cs="宋体" w:eastAsia="宋体" w:hint="default"/>
                <w:sz w:val="18"/>
                <w:szCs w:val="18"/>
              </w:rPr>
              <w:t>财政支付中 心</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4,302,468.9</w:t>
            </w:r>
          </w:p>
          <w:p>
            <w:pPr>
              <w:pStyle w:val="TableParagraph"/>
              <w:spacing w:line="240" w:lineRule="auto" w:before="76"/>
              <w:ind w:right="22"/>
              <w:jc w:val="right"/>
              <w:rPr>
                <w:rFonts w:ascii="宋体" w:hAnsi="宋体" w:cs="宋体" w:eastAsia="宋体" w:hint="default"/>
                <w:sz w:val="18"/>
                <w:szCs w:val="18"/>
              </w:rPr>
            </w:pPr>
            <w:r>
              <w:rPr>
                <w:rFonts w:ascii="宋体"/>
                <w:sz w:val="18"/>
              </w:rPr>
              <w:t>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shd w:val="clear" w:color="auto" w:fill="C6ECCC"/>
          </w:tcPr>
          <w:p>
            <w:pPr/>
          </w:p>
        </w:tc>
        <w:tc>
          <w:tcPr>
            <w:tcW w:w="1063" w:type="dxa"/>
            <w:tcBorders>
              <w:top w:val="nil" w:sz="6" w:space="0" w:color="auto"/>
              <w:left w:val="single" w:sz="4" w:space="0" w:color="000000"/>
              <w:bottom w:val="single" w:sz="4" w:space="0" w:color="000000"/>
              <w:right w:val="single" w:sz="4" w:space="0" w:color="000000"/>
            </w:tcBorders>
            <w:shd w:val="clear" w:color="auto" w:fill="C6EC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shd w:val="clear" w:color="auto" w:fill="C6ECCC"/>
          </w:tcPr>
          <w:p>
            <w:pPr/>
          </w:p>
        </w:tc>
        <w:tc>
          <w:tcPr>
            <w:tcW w:w="1063" w:type="dxa"/>
            <w:tcBorders>
              <w:top w:val="single" w:sz="4" w:space="0" w:color="000000"/>
              <w:left w:val="single" w:sz="4" w:space="0" w:color="000000"/>
              <w:bottom w:val="nil" w:sz="6" w:space="0" w:color="auto"/>
              <w:right w:val="single" w:sz="4" w:space="0" w:color="000000"/>
            </w:tcBorders>
            <w:shd w:val="clear" w:color="auto" w:fill="C6EC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30"/>
              <w:jc w:val="left"/>
              <w:rPr>
                <w:rFonts w:ascii="宋体" w:hAnsi="宋体" w:cs="宋体" w:eastAsia="宋体" w:hint="default"/>
                <w:sz w:val="18"/>
                <w:szCs w:val="18"/>
              </w:rPr>
            </w:pPr>
            <w:r>
              <w:rPr>
                <w:rFonts w:ascii="宋体" w:hAnsi="宋体" w:cs="宋体" w:eastAsia="宋体" w:hint="default"/>
                <w:sz w:val="18"/>
                <w:szCs w:val="18"/>
              </w:rPr>
              <w:t>递延收益转 入</w:t>
            </w:r>
          </w:p>
        </w:tc>
        <w:tc>
          <w:tcPr>
            <w:tcW w:w="10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财政支付中 心</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7,624,119.5</w:t>
            </w:r>
          </w:p>
          <w:p>
            <w:pPr>
              <w:pStyle w:val="TableParagraph"/>
              <w:spacing w:line="240" w:lineRule="auto" w:before="76"/>
              <w:ind w:right="22"/>
              <w:jc w:val="right"/>
              <w:rPr>
                <w:rFonts w:ascii="宋体" w:hAnsi="宋体" w:cs="宋体" w:eastAsia="宋体" w:hint="default"/>
                <w:sz w:val="18"/>
                <w:szCs w:val="18"/>
              </w:rPr>
            </w:pPr>
            <w:r>
              <w:rPr>
                <w:rFonts w:ascii="宋体"/>
                <w:sz w:val="18"/>
              </w:rPr>
              <w:t>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shd w:val="clear" w:color="auto" w:fill="C6ECCC"/>
          </w:tcPr>
          <w:p>
            <w:pPr/>
          </w:p>
        </w:tc>
        <w:tc>
          <w:tcPr>
            <w:tcW w:w="1063" w:type="dxa"/>
            <w:tcBorders>
              <w:top w:val="nil" w:sz="6" w:space="0" w:color="auto"/>
              <w:left w:val="single" w:sz="4" w:space="0" w:color="000000"/>
              <w:bottom w:val="single" w:sz="4" w:space="0" w:color="000000"/>
              <w:right w:val="single" w:sz="4" w:space="0" w:color="000000"/>
            </w:tcBorders>
            <w:shd w:val="clear" w:color="auto" w:fill="C6EC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合肥市财政</w:t>
            </w:r>
          </w:p>
        </w:tc>
        <w:tc>
          <w:tcPr>
            <w:tcW w:w="1063" w:type="dxa"/>
            <w:tcBorders>
              <w:top w:val="single" w:sz="4" w:space="0" w:color="000000"/>
              <w:left w:val="single" w:sz="4" w:space="0" w:color="000000"/>
              <w:bottom w:val="nil" w:sz="6" w:space="0" w:color="auto"/>
              <w:right w:val="single" w:sz="4" w:space="0" w:color="000000"/>
            </w:tcBorders>
            <w:shd w:val="clear" w:color="auto" w:fill="C6EC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国库支付中</w:t>
            </w:r>
          </w:p>
        </w:tc>
        <w:tc>
          <w:tcPr>
            <w:tcW w:w="1063" w:type="dxa"/>
            <w:tcBorders>
              <w:top w:val="nil" w:sz="6" w:space="0" w:color="auto"/>
              <w:left w:val="single" w:sz="4" w:space="0" w:color="000000"/>
              <w:bottom w:val="nil" w:sz="6" w:space="0" w:color="auto"/>
              <w:right w:val="single" w:sz="4" w:space="0" w:color="000000"/>
            </w:tcBorders>
            <w:shd w:val="clear" w:color="auto" w:fill="C6EC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心 2016</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0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合肥市高新</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特定行业</w:t>
            </w:r>
            <w:r>
              <w:rPr>
                <w:rFonts w:ascii="宋体" w:hAnsi="宋体" w:cs="宋体" w:eastAsia="宋体" w:hint="default"/>
                <w:spacing w:val="-75"/>
                <w:sz w:val="18"/>
                <w:szCs w:val="18"/>
              </w:rPr>
              <w:t>、</w:t>
            </w:r>
            <w:r>
              <w:rPr>
                <w:rFonts w:ascii="宋体" w:hAnsi="宋体" w:cs="宋体" w:eastAsia="宋体" w:hint="default"/>
                <w:sz w:val="18"/>
                <w:szCs w:val="18"/>
              </w:rPr>
              <w:t>产</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合肥市促进</w:t>
            </w:r>
          </w:p>
        </w:tc>
        <w:tc>
          <w:tcPr>
            <w:tcW w:w="10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区财政国库</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业而获得的</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500,000.00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新型工业化</w:t>
            </w:r>
          </w:p>
        </w:tc>
        <w:tc>
          <w:tcPr>
            <w:tcW w:w="10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支付中心</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pacing w:val="-75"/>
                <w:sz w:val="18"/>
                <w:szCs w:val="18"/>
              </w:rPr>
              <w:t>助</w:t>
            </w:r>
            <w:r>
              <w:rPr>
                <w:rFonts w:ascii="宋体" w:hAnsi="宋体" w:cs="宋体" w:eastAsia="宋体" w:hint="default"/>
                <w:sz w:val="18"/>
                <w:szCs w:val="18"/>
              </w:rPr>
              <w:t>（按国家</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发展政策奖</w:t>
            </w:r>
          </w:p>
        </w:tc>
        <w:tc>
          <w:tcPr>
            <w:tcW w:w="1063" w:type="dxa"/>
            <w:tcBorders>
              <w:top w:val="nil" w:sz="6" w:space="0" w:color="auto"/>
              <w:left w:val="single" w:sz="4" w:space="0" w:color="000000"/>
              <w:bottom w:val="nil" w:sz="6" w:space="0" w:color="auto"/>
              <w:right w:val="single" w:sz="4" w:space="0" w:color="000000"/>
            </w:tcBorders>
            <w:shd w:val="clear" w:color="auto" w:fill="C6EC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w:t>
            </w:r>
          </w:p>
        </w:tc>
        <w:tc>
          <w:tcPr>
            <w:tcW w:w="1063" w:type="dxa"/>
            <w:tcBorders>
              <w:top w:val="nil" w:sz="6" w:space="0" w:color="auto"/>
              <w:left w:val="single" w:sz="4" w:space="0" w:color="000000"/>
              <w:bottom w:val="single" w:sz="4" w:space="0" w:color="000000"/>
              <w:right w:val="single" w:sz="4" w:space="0" w:color="000000"/>
            </w:tcBorders>
            <w:shd w:val="clear" w:color="auto" w:fill="C6EC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shd w:val="clear" w:color="auto" w:fill="C6ECCC"/>
          </w:tcPr>
          <w:p>
            <w:pPr/>
          </w:p>
        </w:tc>
        <w:tc>
          <w:tcPr>
            <w:tcW w:w="1063" w:type="dxa"/>
            <w:tcBorders>
              <w:top w:val="single" w:sz="4" w:space="0" w:color="000000"/>
              <w:left w:val="single" w:sz="4" w:space="0" w:color="000000"/>
              <w:bottom w:val="nil" w:sz="6" w:space="0" w:color="auto"/>
              <w:right w:val="single" w:sz="4" w:space="0" w:color="000000"/>
            </w:tcBorders>
            <w:shd w:val="clear" w:color="auto" w:fill="C6EC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50"/>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软件企业税 收奖励</w:t>
            </w:r>
          </w:p>
        </w:tc>
        <w:tc>
          <w:tcPr>
            <w:tcW w:w="10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3" w:right="128"/>
              <w:jc w:val="left"/>
              <w:rPr>
                <w:rFonts w:ascii="宋体" w:hAnsi="宋体" w:cs="宋体" w:eastAsia="宋体" w:hint="default"/>
                <w:sz w:val="18"/>
                <w:szCs w:val="18"/>
              </w:rPr>
            </w:pPr>
            <w:r>
              <w:rPr>
                <w:rFonts w:ascii="宋体" w:hAnsi="宋体" w:cs="宋体" w:eastAsia="宋体" w:hint="default"/>
                <w:sz w:val="18"/>
                <w:szCs w:val="18"/>
              </w:rPr>
              <w:t>财政支付中 心</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376,923.00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shd w:val="clear" w:color="auto" w:fill="C6ECCC"/>
          </w:tcPr>
          <w:p>
            <w:pPr/>
          </w:p>
        </w:tc>
        <w:tc>
          <w:tcPr>
            <w:tcW w:w="1063" w:type="dxa"/>
            <w:tcBorders>
              <w:top w:val="nil" w:sz="6" w:space="0" w:color="auto"/>
              <w:left w:val="single" w:sz="4" w:space="0" w:color="000000"/>
              <w:bottom w:val="single" w:sz="4" w:space="0" w:color="000000"/>
              <w:right w:val="single" w:sz="4" w:space="0" w:color="000000"/>
            </w:tcBorders>
            <w:shd w:val="clear" w:color="auto" w:fill="C6EC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shd w:val="clear" w:color="auto" w:fill="C6ECCC"/>
          </w:tcPr>
          <w:p>
            <w:pPr/>
          </w:p>
        </w:tc>
        <w:tc>
          <w:tcPr>
            <w:tcW w:w="1063" w:type="dxa"/>
            <w:tcBorders>
              <w:top w:val="single" w:sz="4" w:space="0" w:color="000000"/>
              <w:left w:val="single" w:sz="4" w:space="0" w:color="000000"/>
              <w:bottom w:val="nil" w:sz="6" w:space="0" w:color="auto"/>
              <w:right w:val="single" w:sz="4" w:space="0" w:color="000000"/>
            </w:tcBorders>
            <w:shd w:val="clear" w:color="auto" w:fill="C6EC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因承担国家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合肥高新技</w:t>
            </w:r>
          </w:p>
        </w:tc>
        <w:tc>
          <w:tcPr>
            <w:tcW w:w="1063" w:type="dxa"/>
            <w:tcBorders>
              <w:top w:val="nil" w:sz="6" w:space="0" w:color="auto"/>
              <w:left w:val="single" w:sz="4" w:space="0" w:color="000000"/>
              <w:bottom w:val="nil" w:sz="6" w:space="0" w:color="auto"/>
              <w:right w:val="single" w:sz="4" w:space="0" w:color="000000"/>
            </w:tcBorders>
            <w:shd w:val="clear" w:color="auto" w:fill="C6EC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为保障某种</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6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85"/>
              <w:jc w:val="left"/>
              <w:rPr>
                <w:rFonts w:ascii="宋体" w:hAnsi="宋体" w:cs="宋体" w:eastAsia="宋体" w:hint="default"/>
                <w:sz w:val="18"/>
                <w:szCs w:val="18"/>
              </w:rPr>
            </w:pPr>
            <w:r>
              <w:rPr>
                <w:rFonts w:ascii="宋体" w:hAnsi="宋体" w:cs="宋体" w:eastAsia="宋体" w:hint="default"/>
                <w:sz w:val="18"/>
                <w:szCs w:val="18"/>
              </w:rPr>
              <w:t>术财政国库 支付中心 2015</w:t>
            </w:r>
            <w:r>
              <w:rPr>
                <w:rFonts w:ascii="宋体" w:hAnsi="宋体" w:cs="宋体" w:eastAsia="宋体" w:hint="default"/>
                <w:spacing w:val="-46"/>
                <w:sz w:val="18"/>
                <w:szCs w:val="18"/>
              </w:rPr>
              <w:t> </w:t>
            </w:r>
            <w:r>
              <w:rPr>
                <w:rFonts w:ascii="宋体" w:hAnsi="宋体" w:cs="宋体" w:eastAsia="宋体" w:hint="default"/>
                <w:sz w:val="18"/>
                <w:szCs w:val="18"/>
              </w:rPr>
              <w:t>年度促</w:t>
            </w:r>
            <w:r>
              <w:rPr>
                <w:rFonts w:ascii="宋体" w:hAnsi="宋体" w:cs="宋体" w:eastAsia="宋体" w:hint="default"/>
                <w:sz w:val="18"/>
                <w:szCs w:val="18"/>
              </w:rPr>
              <w:t> 进企业发展</w:t>
            </w:r>
          </w:p>
        </w:tc>
        <w:tc>
          <w:tcPr>
            <w:tcW w:w="106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合肥市高新 区财政国库 支付中心</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both"/>
              <w:rPr>
                <w:rFonts w:ascii="宋体" w:hAnsi="宋体" w:cs="宋体" w:eastAsia="宋体" w:hint="default"/>
                <w:sz w:val="18"/>
                <w:szCs w:val="18"/>
              </w:rPr>
            </w:pPr>
            <w:r>
              <w:rPr>
                <w:rFonts w:ascii="宋体" w:hAnsi="宋体" w:cs="宋体" w:eastAsia="宋体" w:hint="default"/>
                <w:sz w:val="18"/>
                <w:szCs w:val="18"/>
              </w:rPr>
              <w:t>公用事业或 社会必要产 品供应或价 格控制职能</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奖励资金</w:t>
            </w:r>
          </w:p>
        </w:tc>
        <w:tc>
          <w:tcPr>
            <w:tcW w:w="1063" w:type="dxa"/>
            <w:tcBorders>
              <w:top w:val="nil" w:sz="6" w:space="0" w:color="auto"/>
              <w:left w:val="single" w:sz="4" w:space="0" w:color="000000"/>
              <w:bottom w:val="nil" w:sz="6" w:space="0" w:color="auto"/>
              <w:right w:val="single" w:sz="4" w:space="0" w:color="000000"/>
            </w:tcBorders>
            <w:shd w:val="clear" w:color="auto" w:fill="C6EC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而获得的补</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065" w:type="dxa"/>
            <w:tcBorders>
              <w:top w:val="nil" w:sz="6" w:space="0" w:color="auto"/>
              <w:left w:val="single" w:sz="4" w:space="0" w:color="000000"/>
              <w:bottom w:val="single" w:sz="4" w:space="0" w:color="000000"/>
              <w:right w:val="single" w:sz="4" w:space="0" w:color="000000"/>
            </w:tcBorders>
            <w:shd w:val="clear" w:color="auto" w:fill="C6ECCC"/>
          </w:tcPr>
          <w:p>
            <w:pPr/>
          </w:p>
        </w:tc>
        <w:tc>
          <w:tcPr>
            <w:tcW w:w="1063" w:type="dxa"/>
            <w:tcBorders>
              <w:top w:val="nil" w:sz="6" w:space="0" w:color="auto"/>
              <w:left w:val="single" w:sz="4" w:space="0" w:color="000000"/>
              <w:bottom w:val="single" w:sz="4" w:space="0" w:color="000000"/>
              <w:right w:val="single" w:sz="4" w:space="0" w:color="000000"/>
            </w:tcBorders>
            <w:shd w:val="clear" w:color="auto" w:fill="C6EC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2586"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130"/>
              <w:jc w:val="both"/>
              <w:rPr>
                <w:rFonts w:ascii="宋体" w:hAnsi="宋体" w:cs="宋体" w:eastAsia="宋体" w:hint="default"/>
                <w:sz w:val="18"/>
                <w:szCs w:val="18"/>
              </w:rPr>
            </w:pPr>
            <w:r>
              <w:rPr>
                <w:rFonts w:ascii="宋体" w:hAnsi="宋体" w:cs="宋体" w:eastAsia="宋体" w:hint="default"/>
                <w:sz w:val="18"/>
                <w:szCs w:val="18"/>
              </w:rPr>
              <w:t>合肥市财政 局 岗位补 贴</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128"/>
              <w:jc w:val="both"/>
              <w:rPr>
                <w:rFonts w:ascii="宋体" w:hAnsi="宋体" w:cs="宋体" w:eastAsia="宋体" w:hint="default"/>
                <w:sz w:val="18"/>
                <w:szCs w:val="18"/>
              </w:rPr>
            </w:pPr>
            <w:r>
              <w:rPr>
                <w:rFonts w:ascii="宋体" w:hAnsi="宋体" w:cs="宋体" w:eastAsia="宋体" w:hint="default"/>
                <w:sz w:val="18"/>
                <w:szCs w:val="18"/>
              </w:rPr>
              <w:t>合肥市高新 区财政国库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0"/>
              <w:jc w:val="both"/>
              <w:rPr>
                <w:rFonts w:ascii="宋体" w:hAnsi="宋体" w:cs="宋体" w:eastAsia="宋体" w:hint="default"/>
                <w:sz w:val="18"/>
                <w:szCs w:val="18"/>
              </w:rPr>
            </w:pPr>
            <w:r>
              <w:rPr>
                <w:rFonts w:ascii="宋体" w:hAnsi="宋体" w:cs="宋体" w:eastAsia="宋体" w:hint="default"/>
                <w:sz w:val="18"/>
                <w:szCs w:val="18"/>
              </w:rPr>
              <w:t>职称培训及 实习生见习 补贴</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28"/>
              <w:jc w:val="both"/>
              <w:rPr>
                <w:rFonts w:ascii="宋体" w:hAnsi="宋体" w:cs="宋体" w:eastAsia="宋体" w:hint="default"/>
                <w:sz w:val="18"/>
                <w:szCs w:val="18"/>
              </w:rPr>
            </w:pPr>
            <w:r>
              <w:rPr>
                <w:rFonts w:ascii="宋体" w:hAnsi="宋体" w:cs="宋体" w:eastAsia="宋体" w:hint="default"/>
                <w:sz w:val="18"/>
                <w:szCs w:val="18"/>
              </w:rPr>
              <w:t>合肥市高新 区财政国库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120,400.00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30"/>
              <w:jc w:val="left"/>
              <w:rPr>
                <w:rFonts w:ascii="宋体" w:hAnsi="宋体" w:cs="宋体" w:eastAsia="宋体" w:hint="default"/>
                <w:sz w:val="18"/>
                <w:szCs w:val="18"/>
              </w:rPr>
            </w:pPr>
            <w:r>
              <w:rPr>
                <w:rFonts w:ascii="宋体" w:hAnsi="宋体" w:cs="宋体" w:eastAsia="宋体" w:hint="default"/>
                <w:sz w:val="18"/>
                <w:szCs w:val="18"/>
              </w:rPr>
              <w:t>其他项目补 助</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财政支付中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442,180.00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22,207,091.</w:t>
            </w:r>
          </w:p>
          <w:p>
            <w:pPr>
              <w:pStyle w:val="TableParagraph"/>
              <w:spacing w:line="240" w:lineRule="auto" w:before="76"/>
              <w:ind w:right="20"/>
              <w:jc w:val="right"/>
              <w:rPr>
                <w:rFonts w:ascii="宋体" w:hAnsi="宋体" w:cs="宋体" w:eastAsia="宋体" w:hint="default"/>
                <w:sz w:val="18"/>
                <w:szCs w:val="18"/>
              </w:rPr>
            </w:pPr>
            <w:r>
              <w:rPr>
                <w:rFonts w:ascii="宋体"/>
                <w:sz w:val="18"/>
              </w:rPr>
              <w:t>48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72、营业外支出</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947.00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26,259.00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947.00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2,513.78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36,282.67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2,513.78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45,378.47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130,084.90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45,378.47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3,264.12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494,668.84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3,264.12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52,103.37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687,295.41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73、所得税费用</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（1）所得税费用表</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20,119,036.24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15,890,006.37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-2,167,163.05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-930,016.01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17,951,873.19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14,959,990.36</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（2）会计利润与所得税费用调整过程</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109,969,818.86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按法定/适用税率计算的所得税费用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16,495,472.83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2,869,624.54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-739,247.28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-794,965.95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1,332,020.34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-2,334,064.86</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2,913,689.60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-3,150,414.37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1,359,758.34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17,951,873.19</w:t>
            </w:r>
          </w:p>
        </w:tc>
      </w:tr>
    </w:tbl>
    <w:p>
      <w:pPr>
        <w:spacing w:line="578" w:lineRule="auto" w:before="49"/>
        <w:ind w:left="112" w:right="7394" w:firstLine="0"/>
        <w:jc w:val="left"/>
        <w:rPr>
          <w:rFonts w:ascii="宋体" w:hAnsi="宋体" w:cs="宋体" w:eastAsia="宋体" w:hint="default"/>
          <w:sz w:val="18"/>
          <w:szCs w:val="18"/>
        </w:rPr>
      </w:pPr>
      <w:r>
        <w:rPr>
          <w:rFonts w:ascii="宋体" w:hAnsi="宋体" w:cs="宋体" w:eastAsia="宋体" w:hint="default"/>
          <w:sz w:val="18"/>
          <w:szCs w:val="18"/>
        </w:rPr>
        <w:t>其他说明 </w:t>
      </w:r>
      <w:r>
        <w:rPr>
          <w:rFonts w:ascii="宋体" w:hAnsi="宋体" w:cs="宋体" w:eastAsia="宋体" w:hint="default"/>
          <w:b/>
          <w:bCs/>
          <w:sz w:val="21"/>
          <w:szCs w:val="21"/>
        </w:rPr>
        <w:t>74、其他综合收益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p>
    <w:p>
      <w:pPr>
        <w:pStyle w:val="Heading5"/>
        <w:spacing w:line="240" w:lineRule="auto" w:before="99"/>
        <w:ind w:right="0"/>
        <w:jc w:val="left"/>
        <w:rPr>
          <w:b w:val="0"/>
          <w:bCs w:val="0"/>
        </w:rPr>
      </w:pPr>
      <w:r>
        <w:rPr/>
        <w:t>75、现金流量表项目</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（1）收到的其他与经营活动有关的现金</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79" w:right="0"/>
              <w:jc w:val="left"/>
              <w:rPr>
                <w:rFonts w:ascii="宋体" w:hAnsi="宋体" w:cs="宋体" w:eastAsia="宋体" w:hint="default"/>
                <w:sz w:val="18"/>
                <w:szCs w:val="18"/>
              </w:rPr>
            </w:pPr>
            <w:r>
              <w:rPr>
                <w:rFonts w:ascii="宋体"/>
                <w:sz w:val="18"/>
              </w:rPr>
              <w:t>2,564,157.10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76" w:right="0"/>
              <w:jc w:val="left"/>
              <w:rPr>
                <w:rFonts w:ascii="宋体" w:hAnsi="宋体" w:cs="宋体" w:eastAsia="宋体" w:hint="default"/>
                <w:sz w:val="18"/>
                <w:szCs w:val="18"/>
              </w:rPr>
            </w:pPr>
            <w:r>
              <w:rPr>
                <w:rFonts w:ascii="宋体"/>
                <w:sz w:val="18"/>
              </w:rPr>
              <w:t>2,864,970.82</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政府补贴收入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21,260,853.09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21,382,971.91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投标履约保证金及往来款项收入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139,566,479.18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125,827,142.13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3,776.64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101,531.81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并购日上海舶云持有现金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4,968,506.28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168,363,772.29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150,176,616.67</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（2）支付的其他与经营活动有关的现金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6,724.90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581,365.81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329,845.58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280,698.02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保证金等往来款项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139,106,668.67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111,230,079.15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支付的营业及管理费用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47,909,905.16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54,389,680.65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187,353,144.31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166,481,823.63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（3）收到的其他与投资活动有关的现金</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收回短期投资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370,000.00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370,000.00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（4）支付的其他与投资活动有关的现金</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（5）收到的其他与筹资活动有关的现金</w:t>
      </w:r>
      <w:r>
        <w:rPr>
          <w:b w:val="0"/>
          <w:bCs w:val="0"/>
        </w:rPr>
      </w:r>
    </w:p>
    <w:p>
      <w:pPr>
        <w:spacing w:line="240" w:lineRule="auto" w:before="7"/>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935,741.59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1,398,308.88</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31,756,390.38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6,416,599.11</w:t>
            </w:r>
          </w:p>
        </w:tc>
      </w:tr>
    </w:tbl>
    <w:p>
      <w:pPr>
        <w:spacing w:after="0" w:line="240" w:lineRule="auto"/>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90" w:right="0"/>
              <w:jc w:val="left"/>
              <w:rPr>
                <w:rFonts w:ascii="宋体" w:hAnsi="宋体" w:cs="宋体" w:eastAsia="宋体" w:hint="default"/>
                <w:sz w:val="18"/>
                <w:szCs w:val="18"/>
              </w:rPr>
            </w:pPr>
            <w:r>
              <w:rPr>
                <w:rFonts w:ascii="宋体"/>
                <w:sz w:val="18"/>
              </w:rPr>
              <w:t>32,692,131.97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76" w:right="0"/>
              <w:jc w:val="left"/>
              <w:rPr>
                <w:rFonts w:ascii="宋体" w:hAnsi="宋体" w:cs="宋体" w:eastAsia="宋体" w:hint="default"/>
                <w:sz w:val="18"/>
                <w:szCs w:val="18"/>
              </w:rPr>
            </w:pPr>
            <w:r>
              <w:rPr>
                <w:rFonts w:ascii="宋体"/>
                <w:sz w:val="18"/>
              </w:rPr>
              <w:t>7,814,907.99</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（6）支付的其他与筹资活动有关的现金</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14,988,072.70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31,538,016.88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14,988,072.70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31,538,016.88</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76、现金流量表补充资料</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（1）现金流量表补充资料</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92,017,945.67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83,178,654.12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10,276,872.94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11,082,577.40</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10,403,455.36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9,972,080.51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13,944,992.87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10,100,837.66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298,728.23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310,987.81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14,105.89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418,964.19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-176,599.27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-965,316.82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-3,229,601.15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-6,878,091.61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-2,406,076.54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-930,016.01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2"/>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-28,136.56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-3,584.79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-47,571,198.95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-14,450,466.24</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2"/>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-46,884,853.25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4,934,823.28</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3,249,351.58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13,614,573.15</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29,908,986.82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110,386,022.65</w:t>
            </w:r>
          </w:p>
        </w:tc>
      </w:tr>
    </w:tbl>
    <w:p>
      <w:pPr>
        <w:spacing w:after="0" w:line="240" w:lineRule="auto"/>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41"/>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 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3" w:right="0"/>
              <w:jc w:val="left"/>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96" w:right="0"/>
              <w:jc w:val="left"/>
              <w:rPr>
                <w:rFonts w:ascii="宋体" w:hAnsi="宋体" w:cs="宋体" w:eastAsia="宋体" w:hint="default"/>
                <w:sz w:val="18"/>
                <w:szCs w:val="18"/>
              </w:rPr>
            </w:pPr>
            <w:r>
              <w:rPr>
                <w:rFonts w:ascii="宋体"/>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3" w:right="0"/>
              <w:jc w:val="left"/>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6" w:right="0"/>
              <w:jc w:val="left"/>
              <w:rPr>
                <w:rFonts w:ascii="宋体" w:hAnsi="宋体" w:cs="宋体" w:eastAsia="宋体" w:hint="default"/>
                <w:sz w:val="18"/>
                <w:szCs w:val="18"/>
              </w:rPr>
            </w:pPr>
            <w:r>
              <w:rPr>
                <w:rFonts w:ascii="宋体"/>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651,295,154.65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714,033,790.20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714,033,790.20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749,708,207.10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-62,738,635.55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-35,674,416.90</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（2）本期支付的取得子公司的现金净额</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3,640,394.70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3,640,394.70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1,988,341.92</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安徽光大保险代理有限责任公司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1,819,771.39</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上海亲益保网络科技有限公司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168,570.53</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1,652,052.78</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（3）本期收到的处置子公司的现金净额</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（4）现金和现金等价物的构成</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651,295,154.65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714,033,790.20</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273,834.84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237,026.41</w:t>
            </w:r>
          </w:p>
        </w:tc>
      </w:tr>
    </w:tbl>
    <w:p>
      <w:pPr>
        <w:spacing w:after="0" w:line="240" w:lineRule="auto"/>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647,873,949.80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713,776,100.02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3,147,370.01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20,663.77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651,295,154.65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714,033,790.20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78" w:lineRule="auto" w:before="118"/>
        <w:ind w:left="112" w:right="4194" w:firstLine="0"/>
        <w:jc w:val="left"/>
        <w:rPr>
          <w:rFonts w:ascii="宋体" w:hAnsi="宋体" w:cs="宋体" w:eastAsia="宋体" w:hint="default"/>
          <w:sz w:val="21"/>
          <w:szCs w:val="21"/>
        </w:rPr>
      </w:pPr>
      <w:r>
        <w:rPr>
          <w:rFonts w:ascii="宋体" w:hAnsi="宋体" w:cs="宋体" w:eastAsia="宋体" w:hint="default"/>
          <w:b/>
          <w:bCs/>
          <w:sz w:val="21"/>
          <w:szCs w:val="21"/>
        </w:rPr>
        <w:t>77、所有者权益变动表项目注释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说明对上年期末余额进行调整的“其他”项目名称及调整金额等事项： </w:t>
      </w:r>
      <w:r>
        <w:rPr>
          <w:rFonts w:ascii="宋体" w:hAnsi="宋体" w:cs="宋体" w:eastAsia="宋体" w:hint="default"/>
          <w:b/>
          <w:bCs/>
          <w:sz w:val="21"/>
          <w:szCs w:val="21"/>
        </w:rPr>
        <w:t>78、所有权或使用权受到限制的资产</w:t>
      </w:r>
      <w:r>
        <w:rPr>
          <w:rFonts w:ascii="宋体" w:hAnsi="宋体" w:cs="宋体" w:eastAsia="宋体" w:hint="default"/>
          <w:sz w:val="21"/>
          <w:szCs w:val="21"/>
        </w:rPr>
      </w:r>
    </w:p>
    <w:p>
      <w:pPr>
        <w:spacing w:before="66"/>
        <w:ind w:left="0" w:right="15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14,988,072.70</w:t>
            </w:r>
          </w:p>
        </w:tc>
        <w:tc>
          <w:tcPr>
            <w:tcW w:w="31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票据、保函保证金等</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14,988,072.70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79、外币货币性项目</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（1）外币货币性项目</w:t>
      </w:r>
      <w:r>
        <w:rPr>
          <w:b w:val="0"/>
          <w:bCs w:val="0"/>
        </w:rPr>
      </w:r>
    </w:p>
    <w:p>
      <w:pPr>
        <w:spacing w:line="240" w:lineRule="auto" w:before="4"/>
        <w:rPr>
          <w:rFonts w:ascii="宋体" w:hAnsi="宋体" w:cs="宋体" w:eastAsia="宋体" w:hint="default"/>
          <w:b/>
          <w:bCs/>
          <w:sz w:val="24"/>
          <w:szCs w:val="24"/>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2,265,278.66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60" w:right="0"/>
              <w:jc w:val="left"/>
              <w:rPr>
                <w:rFonts w:ascii="宋体" w:hAnsi="宋体" w:cs="宋体" w:eastAsia="宋体" w:hint="default"/>
                <w:sz w:val="18"/>
                <w:szCs w:val="18"/>
              </w:rPr>
            </w:pPr>
            <w:r>
              <w:rPr>
                <w:rFonts w:ascii="宋体"/>
                <w:sz w:val="18"/>
              </w:rPr>
              <w:t>290,334.73</w:t>
            </w:r>
          </w:p>
        </w:tc>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sz w:val="18"/>
              </w:rPr>
              <w:t>7.8023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2,265,278.66</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73" w:lineRule="auto" w:before="118"/>
        <w:ind w:right="0"/>
        <w:jc w:val="left"/>
        <w:rPr>
          <w:b w:val="0"/>
          <w:bCs w:val="0"/>
        </w:rPr>
      </w:pPr>
      <w:r>
        <w:rPr>
          <w:spacing w:val="3"/>
          <w:w w:val="95"/>
        </w:rPr>
        <w:t>（2）境外经营实体说明，包括对于重要的境外经营实体，应披露其境外主要经营地、记账本位币及选择</w:t>
      </w:r>
      <w:r>
        <w:rPr>
          <w:spacing w:val="95"/>
          <w:w w:val="95"/>
        </w:rPr>
        <w:t> </w:t>
      </w:r>
      <w:r>
        <w:rPr>
          <w:spacing w:val="95"/>
          <w:w w:val="95"/>
        </w:rPr>
      </w:r>
      <w:r>
        <w:rPr/>
        <w:t>依据，记账本位币发生变化的还应披露原因。</w:t>
      </w:r>
      <w:r>
        <w:rPr>
          <w:b w:val="0"/>
          <w:bCs w:val="0"/>
        </w:rPr>
      </w:r>
    </w:p>
    <w:p>
      <w:pPr>
        <w:spacing w:line="240" w:lineRule="auto" w:before="6"/>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80、套期</w:t>
      </w:r>
      <w:r>
        <w:rPr>
          <w:b w:val="0"/>
          <w:bCs w:val="0"/>
        </w:rPr>
      </w:r>
    </w:p>
    <w:p>
      <w:pPr>
        <w:spacing w:line="240" w:lineRule="auto" w:before="12"/>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after="0"/>
        <w:jc w:val="left"/>
        <w:rPr>
          <w:rFonts w:ascii="宋体" w:hAnsi="宋体" w:cs="宋体" w:eastAsia="宋体" w:hint="default"/>
          <w:sz w:val="18"/>
          <w:szCs w:val="18"/>
        </w:rPr>
        <w:sectPr>
          <w:pgSz w:w="11910" w:h="16840"/>
          <w:pgMar w:header="746" w:footer="937" w:top="1040" w:bottom="1120" w:left="1020" w:right="980"/>
        </w:sectPr>
      </w:pPr>
    </w:p>
    <w:p>
      <w:pPr>
        <w:spacing w:line="240" w:lineRule="auto" w:before="6"/>
        <w:rPr>
          <w:rFonts w:ascii="宋体" w:hAnsi="宋体" w:cs="宋体" w:eastAsia="宋体" w:hint="default"/>
          <w:sz w:val="25"/>
          <w:szCs w:val="25"/>
        </w:rPr>
      </w:pPr>
    </w:p>
    <w:p>
      <w:pPr>
        <w:spacing w:line="501" w:lineRule="auto" w:before="34"/>
        <w:ind w:left="112" w:right="7309" w:firstLine="0"/>
        <w:jc w:val="left"/>
        <w:rPr>
          <w:rFonts w:ascii="宋体" w:hAnsi="宋体" w:cs="宋体" w:eastAsia="宋体" w:hint="default"/>
          <w:sz w:val="21"/>
          <w:szCs w:val="21"/>
        </w:rPr>
      </w:pPr>
      <w:r>
        <w:rPr>
          <w:rFonts w:ascii="宋体" w:hAnsi="宋体" w:cs="宋体" w:eastAsia="宋体" w:hint="default"/>
          <w:b/>
          <w:bCs/>
          <w:sz w:val="21"/>
          <w:szCs w:val="21"/>
        </w:rPr>
        <w:t>81、其他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宋体" w:hAnsi="宋体" w:cs="宋体" w:eastAsia="宋体" w:hint="default"/>
          <w:b/>
          <w:bCs/>
          <w:sz w:val="21"/>
          <w:szCs w:val="21"/>
        </w:rPr>
        <w:t>1、非同一控制下企业合并</w:t>
      </w:r>
      <w:r>
        <w:rPr>
          <w:rFonts w:ascii="宋体" w:hAnsi="宋体" w:cs="宋体" w:eastAsia="宋体" w:hint="default"/>
          <w:sz w:val="21"/>
          <w:szCs w:val="21"/>
        </w:rPr>
      </w:r>
    </w:p>
    <w:p>
      <w:pPr>
        <w:pStyle w:val="Heading5"/>
        <w:spacing w:line="240" w:lineRule="auto" w:before="108"/>
        <w:ind w:right="0"/>
        <w:jc w:val="left"/>
        <w:rPr>
          <w:b w:val="0"/>
          <w:bCs w:val="0"/>
        </w:rPr>
      </w:pPr>
      <w:r>
        <w:rPr/>
        <w:t>（1）本期发生的非同一控制下企业合并</w:t>
      </w:r>
      <w:r>
        <w:rPr>
          <w:b w:val="0"/>
          <w:bCs w:val="0"/>
        </w:rPr>
      </w:r>
    </w:p>
    <w:p>
      <w:pPr>
        <w:spacing w:line="240" w:lineRule="auto" w:before="7"/>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7" w:right="75"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6"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安徽光大保 险代理有限 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3,640,394.7</w:t>
            </w:r>
          </w:p>
          <w:p>
            <w:pPr>
              <w:pStyle w:val="TableParagraph"/>
              <w:spacing w:line="240" w:lineRule="auto" w:before="76"/>
              <w:ind w:right="21"/>
              <w:jc w:val="right"/>
              <w:rPr>
                <w:rFonts w:ascii="宋体" w:hAnsi="宋体" w:cs="宋体" w:eastAsia="宋体" w:hint="default"/>
                <w:sz w:val="18"/>
                <w:szCs w:val="18"/>
              </w:rPr>
            </w:pPr>
            <w:r>
              <w:rPr>
                <w:rFonts w:ascii="宋体"/>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100.00%</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6"/>
              <w:jc w:val="left"/>
              <w:rPr>
                <w:rFonts w:ascii="宋体" w:hAnsi="宋体" w:cs="宋体" w:eastAsia="宋体" w:hint="default"/>
                <w:sz w:val="18"/>
                <w:szCs w:val="18"/>
              </w:rPr>
            </w:pPr>
            <w:r>
              <w:rPr>
                <w:rFonts w:ascii="宋体" w:hAnsi="宋体" w:cs="宋体" w:eastAsia="宋体" w:hint="default"/>
                <w:sz w:val="18"/>
                <w:szCs w:val="18"/>
              </w:rPr>
              <w:t>能够控制其 经营等活动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39,230.51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-29,423.62</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8"/>
              <w:jc w:val="both"/>
              <w:rPr>
                <w:rFonts w:ascii="宋体" w:hAnsi="宋体" w:cs="宋体" w:eastAsia="宋体" w:hint="default"/>
                <w:sz w:val="18"/>
                <w:szCs w:val="18"/>
              </w:rPr>
            </w:pPr>
            <w:r>
              <w:rPr>
                <w:rFonts w:ascii="宋体" w:hAnsi="宋体" w:cs="宋体" w:eastAsia="宋体" w:hint="default"/>
                <w:sz w:val="18"/>
                <w:szCs w:val="18"/>
              </w:rPr>
              <w:t>上海亲益保 网络科技有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31,000,000.</w:t>
            </w:r>
          </w:p>
          <w:p>
            <w:pPr>
              <w:pStyle w:val="TableParagraph"/>
              <w:spacing w:line="240" w:lineRule="auto" w:before="76"/>
              <w:ind w:right="21"/>
              <w:jc w:val="right"/>
              <w:rPr>
                <w:rFonts w:ascii="宋体" w:hAnsi="宋体" w:cs="宋体" w:eastAsia="宋体" w:hint="default"/>
                <w:sz w:val="18"/>
                <w:szCs w:val="18"/>
              </w:rPr>
            </w:pPr>
            <w:r>
              <w:rPr>
                <w:rFonts w:ascii="宋体"/>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100.00%</w:t>
            </w:r>
          </w:p>
        </w:tc>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股权支付购 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08</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26"/>
              <w:jc w:val="left"/>
              <w:rPr>
                <w:rFonts w:ascii="宋体" w:hAnsi="宋体" w:cs="宋体" w:eastAsia="宋体" w:hint="default"/>
                <w:sz w:val="18"/>
                <w:szCs w:val="18"/>
              </w:rPr>
            </w:pPr>
            <w:r>
              <w:rPr>
                <w:rFonts w:ascii="宋体" w:hAnsi="宋体" w:cs="宋体" w:eastAsia="宋体" w:hint="default"/>
                <w:sz w:val="18"/>
                <w:szCs w:val="18"/>
              </w:rPr>
              <w:t>能够控制其 经营等活动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1,078.48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宋体" w:hAnsi="宋体" w:cs="宋体" w:eastAsia="宋体" w:hint="default"/>
                <w:sz w:val="18"/>
                <w:szCs w:val="18"/>
              </w:rPr>
            </w:pPr>
            <w:r>
              <w:rPr>
                <w:rFonts w:ascii="宋体"/>
                <w:spacing w:val="-1"/>
                <w:sz w:val="18"/>
              </w:rPr>
              <w:t>-212,514.06</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（2）合并成本及商誉</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安徽光大保险代理有限责任公司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上海亲益保网络科技有限公司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3,640,394.70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--购买日之前持有的股权于购买日的公 允价值</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31,000,000.00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3,640,394.70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31,000,000.00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1,839,769.28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482,519.09</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4"/>
              <w:jc w:val="left"/>
              <w:rPr>
                <w:rFonts w:ascii="宋体" w:hAnsi="宋体" w:cs="宋体" w:eastAsia="宋体" w:hint="default"/>
                <w:sz w:val="18"/>
                <w:szCs w:val="18"/>
              </w:rPr>
            </w:pPr>
            <w:r>
              <w:rPr>
                <w:rFonts w:ascii="宋体" w:hAnsi="宋体" w:cs="宋体" w:eastAsia="宋体" w:hint="default"/>
                <w:sz w:val="18"/>
                <w:szCs w:val="18"/>
              </w:rPr>
              <w:t>商誉/合并成本小于取得的可辨认净资 产公允价值份额的金额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1,800,625.42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30,517,480.91</w:t>
            </w:r>
          </w:p>
        </w:tc>
      </w:tr>
    </w:tbl>
    <w:p>
      <w:pPr>
        <w:spacing w:line="357" w:lineRule="auto" w:before="51"/>
        <w:ind w:left="112" w:right="505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（3）被购买方于购买日可辨认资产、负债</w:t>
      </w:r>
      <w:r>
        <w:rPr>
          <w:b w:val="0"/>
          <w:bCs w:val="0"/>
        </w:rPr>
      </w:r>
    </w:p>
    <w:p>
      <w:pPr>
        <w:spacing w:line="240" w:lineRule="auto" w:before="2"/>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647" w:right="0"/>
              <w:jc w:val="left"/>
              <w:rPr>
                <w:rFonts w:ascii="宋体" w:hAnsi="宋体" w:cs="宋体" w:eastAsia="宋体" w:hint="default"/>
                <w:sz w:val="18"/>
                <w:szCs w:val="18"/>
              </w:rPr>
            </w:pPr>
            <w:r>
              <w:rPr>
                <w:rFonts w:ascii="宋体" w:hAnsi="宋体" w:cs="宋体" w:eastAsia="宋体" w:hint="default"/>
                <w:sz w:val="18"/>
                <w:szCs w:val="18"/>
              </w:rPr>
              <w:t>安徽光大保险代理有限责任公司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上海亲益保网络科技有限公司</w:t>
            </w:r>
          </w:p>
        </w:tc>
      </w:tr>
      <w:tr>
        <w:trPr>
          <w:trHeight w:val="40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after="0" w:line="240" w:lineRule="auto"/>
        <w:jc w:val="left"/>
        <w:rPr>
          <w:rFonts w:ascii="宋体" w:hAnsi="宋体" w:cs="宋体" w:eastAsia="宋体" w:hint="default"/>
          <w:sz w:val="18"/>
          <w:szCs w:val="18"/>
        </w:rPr>
        <w:sectPr>
          <w:footerReference w:type="default" r:id="rId32"/>
          <w:pgSz w:w="11910" w:h="16840"/>
          <w:pgMar w:footer="937" w:header="746" w:top="1040" w:bottom="1120" w:left="1020" w:right="1020"/>
          <w:pgNumType w:start="16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1,819,771.39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1,819,771.39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168,570.53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168,570.53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26,096.86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26,096.86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370,000.00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455,338.35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455,338.35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减：应交税金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-3,901.03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-3,901.03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17,389.79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17,389.79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506,000.00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1,839,769.28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1,839,769.28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482,519.09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482,519.09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1,839,769.28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1,839,769.28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482,519.09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482,519.09</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w:t>
      </w:r>
    </w:p>
    <w:p>
      <w:pPr>
        <w:pStyle w:val="BodyText"/>
        <w:spacing w:line="273" w:lineRule="auto" w:before="91"/>
        <w:ind w:right="0" w:firstLine="420"/>
        <w:jc w:val="left"/>
      </w:pPr>
      <w:r>
        <w:rPr>
          <w:w w:val="95"/>
        </w:rPr>
        <w:t>由于两家公司属于轻资产公司，固定资产很小，在基础法下评估净增值几乎可以或略，其公允价值和</w:t>
      </w:r>
      <w:r>
        <w:rPr>
          <w:w w:val="99"/>
        </w:rPr>
        <w:t> </w:t>
      </w:r>
      <w:r>
        <w:rPr/>
        <w:t>账面价值差异较小，故按照账面价值确认其公允价值。</w:t>
      </w:r>
    </w:p>
    <w:p>
      <w:pPr>
        <w:spacing w:line="331" w:lineRule="auto" w:before="74"/>
        <w:ind w:left="112" w:right="5234" w:firstLine="0"/>
        <w:jc w:val="left"/>
        <w:rPr>
          <w:rFonts w:ascii="宋体" w:hAnsi="宋体" w:cs="宋体" w:eastAsia="宋体" w:hint="default"/>
          <w:sz w:val="18"/>
          <w:szCs w:val="18"/>
        </w:rPr>
      </w:pPr>
      <w:r>
        <w:rPr>
          <w:rFonts w:ascii="宋体" w:hAnsi="宋体" w:cs="宋体" w:eastAsia="宋体" w:hint="default"/>
          <w:sz w:val="18"/>
          <w:szCs w:val="18"/>
        </w:rPr>
        <w:t>企业合并中承担的被购买方的或有负债： </w:t>
      </w:r>
      <w:r>
        <w:rPr>
          <w:rFonts w:ascii="宋体" w:hAnsi="宋体" w:cs="宋体" w:eastAsia="宋体" w:hint="default"/>
          <w:w w:val="95"/>
          <w:sz w:val="21"/>
          <w:szCs w:val="21"/>
        </w:rPr>
        <w:t>企业合并中无需要承担的被购买方的或有负债情况</w:t>
      </w:r>
      <w:r>
        <w:rPr>
          <w:rFonts w:ascii="宋体" w:hAnsi="宋体" w:cs="宋体" w:eastAsia="宋体" w:hint="default"/>
          <w:spacing w:val="18"/>
          <w:w w:val="95"/>
          <w:sz w:val="21"/>
          <w:szCs w:val="21"/>
        </w:rPr>
        <w:t> </w:t>
      </w:r>
      <w:r>
        <w:rPr>
          <w:rFonts w:ascii="宋体" w:hAnsi="宋体" w:cs="宋体" w:eastAsia="宋体" w:hint="default"/>
          <w:spacing w:val="18"/>
          <w:w w:val="95"/>
          <w:sz w:val="21"/>
          <w:szCs w:val="21"/>
        </w:rPr>
      </w:r>
      <w:r>
        <w:rPr>
          <w:rFonts w:ascii="宋体" w:hAnsi="宋体" w:cs="宋体" w:eastAsia="宋体" w:hint="default"/>
          <w:sz w:val="18"/>
          <w:szCs w:val="18"/>
        </w:rPr>
        <w:t>其他说明：</w:t>
      </w:r>
    </w:p>
    <w:p>
      <w:pPr>
        <w:spacing w:line="240" w:lineRule="auto" w:before="10"/>
        <w:rPr>
          <w:rFonts w:ascii="宋体" w:hAnsi="宋体" w:cs="宋体" w:eastAsia="宋体" w:hint="default"/>
          <w:sz w:val="21"/>
          <w:szCs w:val="21"/>
        </w:rPr>
      </w:pPr>
    </w:p>
    <w:p>
      <w:pPr>
        <w:pStyle w:val="Heading5"/>
        <w:spacing w:line="240" w:lineRule="auto"/>
        <w:ind w:right="0"/>
        <w:jc w:val="left"/>
        <w:rPr>
          <w:b w:val="0"/>
          <w:bCs w:val="0"/>
        </w:rPr>
      </w:pPr>
      <w:r>
        <w:rPr/>
        <w:t>（4）购买日之前持有的股权按照公允价值重新计量产生的利得或损失</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5"/>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（5）购买日或合并当期期末无法合理确定合并对价或被购买方可辨认资产、负债公允价值的相关说明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5"/>
          <w:szCs w:val="25"/>
        </w:rPr>
      </w:pPr>
    </w:p>
    <w:p>
      <w:pPr>
        <w:pStyle w:val="Heading5"/>
        <w:spacing w:line="537" w:lineRule="auto"/>
        <w:ind w:right="7519"/>
        <w:jc w:val="left"/>
        <w:rPr>
          <w:b w:val="0"/>
          <w:bCs w:val="0"/>
        </w:rPr>
      </w:pPr>
      <w:r>
        <w:rPr/>
        <w:t>（6）其他说明</w:t>
      </w:r>
      <w:r>
        <w:rPr>
          <w:w w:val="99"/>
        </w:rPr>
        <w:t> </w:t>
      </w:r>
      <w:r>
        <w:rPr/>
        <w:t>2、同一控制下企业合并</w:t>
      </w:r>
      <w:r>
        <w:rPr>
          <w:b w:val="0"/>
          <w:bCs w:val="0"/>
        </w:rPr>
      </w:r>
    </w:p>
    <w:p>
      <w:pPr>
        <w:pStyle w:val="Heading5"/>
        <w:spacing w:line="240" w:lineRule="auto" w:before="76"/>
        <w:ind w:right="0"/>
        <w:jc w:val="left"/>
        <w:rPr>
          <w:b w:val="0"/>
          <w:bCs w:val="0"/>
        </w:rPr>
      </w:pPr>
      <w:r>
        <w:rPr/>
        <w:t>（1）本期发生的同一控制下企业合并</w:t>
      </w:r>
      <w:r>
        <w:rPr>
          <w:b w:val="0"/>
          <w:bCs w:val="0"/>
        </w:rPr>
      </w:r>
    </w:p>
    <w:p>
      <w:pPr>
        <w:spacing w:line="240" w:lineRule="auto" w:before="9"/>
        <w:rPr>
          <w:rFonts w:ascii="宋体" w:hAnsi="宋体" w:cs="宋体" w:eastAsia="宋体" w:hint="default"/>
          <w:b/>
          <w:bCs/>
          <w:sz w:val="27"/>
          <w:szCs w:val="27"/>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6"/>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7"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6"/>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（2）合并成本</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9"/>
        <w:rPr>
          <w:rFonts w:ascii="宋体" w:hAnsi="宋体" w:cs="宋体" w:eastAsia="宋体" w:hint="default"/>
          <w:sz w:val="26"/>
          <w:szCs w:val="26"/>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（3）合并日被合并方资产、负债的账面价值</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823"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pt;mso-position-horizontal-relative:char;mso-position-vertical-relative:line" coordorigin="0,0" coordsize="9590,824">
            <v:group style="position:absolute;left:13;top:13;width:3185;height:397" coordorigin="13,13" coordsize="3185,397">
              <v:shape style="position:absolute;left:13;top:13;width:3185;height:397" coordorigin="13,13" coordsize="3185,397" path="m13,13l3198,13,3198,410,13,410,13,13xe" filled="true" fillcolor="#d2d2d2" stroked="false">
                <v:path arrowok="t"/>
                <v:fill type="solid"/>
              </v:shape>
            </v:group>
            <v:group style="position:absolute;left:3203;top:13;width:6375;height:397" coordorigin="3203,13" coordsize="6375,397">
              <v:shape style="position:absolute;left:3203;top:13;width:6375;height:397" coordorigin="3203,13" coordsize="6375,397" path="m3203,13l9578,13,9578,410,3203,410,3203,13xe" filled="true" fillcolor="#e0ffff" stroked="false">
                <v:path arrowok="t"/>
                <v:fill type="solid"/>
              </v:shape>
            </v:group>
            <v:group style="position:absolute;left:13;top:415;width:3185;height:397" coordorigin="13,415" coordsize="3185,397">
              <v:shape style="position:absolute;left:13;top:415;width:3185;height:397" coordorigin="13,415" coordsize="3185,397" path="m13,415l3198,415,3198,812,13,812,13,415xe" filled="true" fillcolor="#d2d2d2" stroked="false">
                <v:path arrowok="t"/>
                <v:fill type="solid"/>
              </v:shape>
            </v:group>
            <v:group style="position:absolute;left:3203;top:415;width:3185;height:397" coordorigin="3203,415" coordsize="3185,397">
              <v:shape style="position:absolute;left:3203;top:415;width:3185;height:397" coordorigin="3203,415" coordsize="3185,397" path="m3203,415l6388,415,6388,812,3203,812,3203,415xe" filled="true" fillcolor="#d2d2d2" stroked="false">
                <v:path arrowok="t"/>
                <v:fill type="solid"/>
              </v:shape>
            </v:group>
            <v:group style="position:absolute;left:6393;top:415;width:3185;height:397" coordorigin="6393,415" coordsize="3185,397">
              <v:shape style="position:absolute;left:6393;top:415;width:3185;height:397" coordorigin="6393,415" coordsize="3185,397" path="m6393,415l9578,415,9578,812,6393,812,6393,415xe" filled="true" fillcolor="#d2d2d2"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00000">
                <v:path arrowok="t"/>
              </v:shape>
            </v:group>
            <v:group style="position:absolute;left:5;top:412;width:9580;height:2" coordorigin="5,412" coordsize="9580,2">
              <v:shape style="position:absolute;left:5;top:412;width:9580;height:2" coordorigin="5,412" coordsize="9580,0" path="m5,412l9584,412e" filled="false" stroked="true" strokeweight=".48pt" strokecolor="#000000">
                <v:path arrowok="t"/>
              </v:shape>
            </v:group>
            <v:group style="position:absolute;left:5;top:814;width:9580;height:2" coordorigin="5,814" coordsize="9580,2">
              <v:shape style="position:absolute;left:5;top:814;width:9580;height:2" coordorigin="5,814" coordsize="9580,0" path="m5,814l9584,814e" filled="false" stroked="true" strokeweight=".48pt" strokecolor="#000000">
                <v:path arrowok="t"/>
              </v:shape>
            </v:group>
            <v:group style="position:absolute;left:10;top:5;width:2;height:814" coordorigin="10,5" coordsize="2,814">
              <v:shape style="position:absolute;left:10;top:5;width:2;height:814" coordorigin="10,5" coordsize="0,814" path="m10,5l10,818e" filled="false" stroked="true" strokeweight=".48pt" strokecolor="#000000">
                <v:path arrowok="t"/>
              </v:shape>
            </v:group>
            <v:group style="position:absolute;left:3200;top:5;width:2;height:804" coordorigin="3200,5" coordsize="2,804">
              <v:shape style="position:absolute;left:3200;top:5;width:2;height:804" coordorigin="3200,5" coordsize="0,804" path="m3200,5l3200,809e" filled="false" stroked="true" strokeweight=".48pt" strokecolor="#000000">
                <v:path arrowok="t"/>
              </v:shape>
            </v:group>
            <v:group style="position:absolute;left:6390;top:407;width:2;height:402" coordorigin="6390,407" coordsize="2,402">
              <v:shape style="position:absolute;left:6390;top:407;width:2;height:402" coordorigin="6390,407" coordsize="0,402" path="m6390,407l6390,809e" filled="false" stroked="true" strokeweight=".48pt" strokecolor="#000000">
                <v:path arrowok="t"/>
              </v:shape>
            </v:group>
            <v:group style="position:absolute;left:9580;top:14;width:2;height:804" coordorigin="9580,14" coordsize="2,804">
              <v:shape style="position:absolute;left:9580;top:14;width:2;height:804" coordorigin="9580,14" coordsize="0,804" path="m9580,14l9580,818e" filled="false" stroked="true" strokeweight=".48pt" strokecolor="#000000">
                <v:path arrowok="t"/>
              </v:shape>
              <v:shape style="position:absolute;left:3200;top:412;width:3190;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5"/>
                        <w:ind w:left="0" w:right="1"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7"/>
        <w:ind w:left="112" w:right="649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r>
        <w:rPr/>
        <w:t>3、反向购买</w:t>
      </w:r>
      <w:r>
        <w:rPr>
          <w:b w:val="0"/>
          <w:bCs w:val="0"/>
        </w:rPr>
      </w:r>
    </w:p>
    <w:p>
      <w:pPr>
        <w:spacing w:line="240" w:lineRule="auto" w:before="9"/>
        <w:rPr>
          <w:rFonts w:ascii="宋体" w:hAnsi="宋体" w:cs="宋体" w:eastAsia="宋体" w:hint="default"/>
          <w:b/>
          <w:bCs/>
          <w:sz w:val="27"/>
          <w:szCs w:val="27"/>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性交易处理时调整权益的金额及其计算：</w:t>
      </w:r>
    </w:p>
    <w:p>
      <w:pPr>
        <w:spacing w:line="240" w:lineRule="auto" w:before="6"/>
        <w:rPr>
          <w:rFonts w:ascii="宋体" w:hAnsi="宋体" w:cs="宋体" w:eastAsia="宋体" w:hint="default"/>
          <w:sz w:val="22"/>
          <w:szCs w:val="22"/>
        </w:rPr>
      </w:pPr>
    </w:p>
    <w:p>
      <w:pPr>
        <w:pStyle w:val="Heading5"/>
        <w:spacing w:line="240" w:lineRule="auto"/>
        <w:ind w:right="0"/>
        <w:jc w:val="left"/>
        <w:rPr>
          <w:b w:val="0"/>
          <w:bCs w:val="0"/>
        </w:rPr>
      </w:pPr>
      <w:r>
        <w:rPr/>
        <w:t>4、处置子公司</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57" w:lineRule="auto" w:before="117"/>
        <w:ind w:left="112" w:right="3974" w:firstLine="0"/>
        <w:jc w:val="left"/>
        <w:rPr>
          <w:rFonts w:ascii="宋体" w:hAnsi="宋体" w:cs="宋体" w:eastAsia="宋体" w:hint="default"/>
          <w:sz w:val="18"/>
          <w:szCs w:val="18"/>
        </w:rPr>
      </w:pPr>
      <w:r>
        <w:rPr>
          <w:rFonts w:ascii="宋体" w:hAnsi="宋体" w:cs="宋体" w:eastAsia="宋体" w:hint="default"/>
          <w:sz w:val="18"/>
          <w:szCs w:val="18"/>
        </w:rPr>
        <w:t>□ 是 √ 否 是否存在通过多次交易分步处置对子公司投资且在本期丧失控制权的情形</w:t>
      </w:r>
    </w:p>
    <w:p>
      <w:pPr>
        <w:spacing w:before="29"/>
        <w:ind w:left="112"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spacing w:line="576" w:lineRule="auto" w:before="118"/>
        <w:ind w:left="112" w:right="2894" w:firstLine="0"/>
        <w:jc w:val="left"/>
        <w:rPr>
          <w:rFonts w:ascii="宋体" w:hAnsi="宋体" w:cs="宋体" w:eastAsia="宋体" w:hint="default"/>
          <w:sz w:val="21"/>
          <w:szCs w:val="21"/>
        </w:rPr>
      </w:pPr>
      <w:r>
        <w:rPr>
          <w:rFonts w:ascii="宋体" w:hAnsi="宋体" w:cs="宋体" w:eastAsia="宋体" w:hint="default"/>
          <w:b/>
          <w:bCs/>
          <w:sz w:val="21"/>
          <w:szCs w:val="21"/>
        </w:rPr>
        <w:t>5、其他原因的合并范围变动</w:t>
      </w:r>
      <w:r>
        <w:rPr>
          <w:rFonts w:ascii="宋体" w:hAnsi="宋体" w:cs="宋体" w:eastAsia="宋体" w:hint="default"/>
          <w:b/>
          <w:bCs/>
          <w:w w:val="99"/>
          <w:sz w:val="21"/>
          <w:szCs w:val="21"/>
        </w:rPr>
        <w:t> </w:t>
      </w:r>
      <w:r>
        <w:rPr>
          <w:rFonts w:ascii="宋体" w:hAnsi="宋体" w:cs="宋体" w:eastAsia="宋体" w:hint="default"/>
          <w:sz w:val="18"/>
          <w:szCs w:val="18"/>
        </w:rPr>
        <w:t>说明其他原因导致的合并范围变动（如，新设子公司、清算子公司等）及其相关情况： </w:t>
      </w:r>
      <w:r>
        <w:rPr>
          <w:rFonts w:ascii="宋体" w:hAnsi="宋体" w:cs="宋体" w:eastAsia="宋体" w:hint="default"/>
          <w:b/>
          <w:bCs/>
          <w:sz w:val="21"/>
          <w:szCs w:val="21"/>
        </w:rPr>
        <w:t>6、其他</w:t>
      </w:r>
      <w:r>
        <w:rPr>
          <w:rFonts w:ascii="宋体" w:hAnsi="宋体" w:cs="宋体" w:eastAsia="宋体" w:hint="default"/>
          <w:sz w:val="21"/>
          <w:szCs w:val="21"/>
        </w:rPr>
      </w:r>
    </w:p>
    <w:p>
      <w:pPr>
        <w:pStyle w:val="Heading4"/>
        <w:spacing w:line="240" w:lineRule="auto" w:before="20"/>
        <w:ind w:right="0"/>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t>1、在子公司中的权益</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58" w:hRule="exact"/>
        </w:trPr>
        <w:tc>
          <w:tcPr>
            <w:tcW w:w="1371"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天津市金飞博光</w:t>
            </w:r>
          </w:p>
        </w:tc>
        <w:tc>
          <w:tcPr>
            <w:tcW w:w="1367" w:type="dxa"/>
            <w:tcBorders>
              <w:top w:val="single" w:sz="4" w:space="0" w:color="000000"/>
              <w:left w:val="single" w:sz="4" w:space="0" w:color="000000"/>
              <w:bottom w:val="nil" w:sz="6" w:space="0" w:color="auto"/>
              <w:right w:val="single" w:sz="4" w:space="0" w:color="000000"/>
            </w:tcBorders>
            <w:shd w:val="clear" w:color="auto" w:fill="C6ECCC"/>
          </w:tcPr>
          <w:p>
            <w:pPr/>
          </w:p>
        </w:tc>
        <w:tc>
          <w:tcPr>
            <w:tcW w:w="1367" w:type="dxa"/>
            <w:tcBorders>
              <w:top w:val="single" w:sz="4" w:space="0" w:color="000000"/>
              <w:left w:val="single" w:sz="4" w:space="0" w:color="000000"/>
              <w:bottom w:val="nil" w:sz="6" w:space="0" w:color="auto"/>
              <w:right w:val="single" w:sz="4" w:space="0" w:color="000000"/>
            </w:tcBorders>
            <w:shd w:val="clear" w:color="auto" w:fill="C6ECCC"/>
          </w:tcPr>
          <w:p>
            <w:pPr/>
          </w:p>
        </w:tc>
        <w:tc>
          <w:tcPr>
            <w:tcW w:w="1367" w:type="dxa"/>
            <w:tcBorders>
              <w:top w:val="single" w:sz="4" w:space="0" w:color="000000"/>
              <w:left w:val="single" w:sz="4" w:space="0" w:color="000000"/>
              <w:bottom w:val="nil" w:sz="6" w:space="0" w:color="auto"/>
              <w:right w:val="single" w:sz="4" w:space="0" w:color="000000"/>
            </w:tcBorders>
            <w:shd w:val="clear" w:color="auto" w:fill="C6ECCC"/>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通讯技术有限公</w:t>
            </w:r>
          </w:p>
        </w:tc>
        <w:tc>
          <w:tcPr>
            <w:tcW w:w="136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6" w:hRule="exact"/>
        </w:trPr>
        <w:tc>
          <w:tcPr>
            <w:tcW w:w="1371"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single" w:sz="4" w:space="0" w:color="000000"/>
              <w:right w:val="single" w:sz="4" w:space="0" w:color="000000"/>
            </w:tcBorders>
            <w:shd w:val="clear" w:color="auto" w:fill="C6ECCC"/>
          </w:tcPr>
          <w:p>
            <w:pPr/>
          </w:p>
        </w:tc>
        <w:tc>
          <w:tcPr>
            <w:tcW w:w="1367" w:type="dxa"/>
            <w:tcBorders>
              <w:top w:val="nil" w:sz="6" w:space="0" w:color="auto"/>
              <w:left w:val="single" w:sz="4" w:space="0" w:color="000000"/>
              <w:bottom w:val="single" w:sz="4" w:space="0" w:color="000000"/>
              <w:right w:val="single" w:sz="4" w:space="0" w:color="000000"/>
            </w:tcBorders>
            <w:shd w:val="clear" w:color="auto" w:fill="C6ECCC"/>
          </w:tcPr>
          <w:p>
            <w:pPr/>
          </w:p>
        </w:tc>
        <w:tc>
          <w:tcPr>
            <w:tcW w:w="1367" w:type="dxa"/>
            <w:tcBorders>
              <w:top w:val="nil" w:sz="6" w:space="0" w:color="auto"/>
              <w:left w:val="single" w:sz="4" w:space="0" w:color="000000"/>
              <w:bottom w:val="single" w:sz="4" w:space="0" w:color="000000"/>
              <w:right w:val="single" w:sz="4" w:space="0" w:color="000000"/>
            </w:tcBorders>
            <w:shd w:val="clear" w:color="auto" w:fill="C6ECCC"/>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天津市天安怡和</w:t>
            </w:r>
          </w:p>
        </w:tc>
        <w:tc>
          <w:tcPr>
            <w:tcW w:w="1367" w:type="dxa"/>
            <w:tcBorders>
              <w:top w:val="single" w:sz="4" w:space="0" w:color="000000"/>
              <w:left w:val="single" w:sz="4" w:space="0" w:color="000000"/>
              <w:bottom w:val="nil" w:sz="6" w:space="0" w:color="auto"/>
              <w:right w:val="single" w:sz="4" w:space="0" w:color="000000"/>
            </w:tcBorders>
            <w:shd w:val="clear" w:color="auto" w:fill="C6ECCC"/>
          </w:tcPr>
          <w:p>
            <w:pPr/>
          </w:p>
        </w:tc>
        <w:tc>
          <w:tcPr>
            <w:tcW w:w="1367" w:type="dxa"/>
            <w:tcBorders>
              <w:top w:val="single" w:sz="4" w:space="0" w:color="000000"/>
              <w:left w:val="single" w:sz="4" w:space="0" w:color="000000"/>
              <w:bottom w:val="nil" w:sz="6" w:space="0" w:color="auto"/>
              <w:right w:val="single" w:sz="4" w:space="0" w:color="000000"/>
            </w:tcBorders>
            <w:shd w:val="clear" w:color="auto" w:fill="C6ECCC"/>
          </w:tcPr>
          <w:p>
            <w:pPr/>
          </w:p>
        </w:tc>
        <w:tc>
          <w:tcPr>
            <w:tcW w:w="1367" w:type="dxa"/>
            <w:tcBorders>
              <w:top w:val="single" w:sz="4" w:space="0" w:color="000000"/>
              <w:left w:val="single" w:sz="4" w:space="0" w:color="000000"/>
              <w:bottom w:val="nil" w:sz="6" w:space="0" w:color="auto"/>
              <w:right w:val="single" w:sz="4" w:space="0" w:color="000000"/>
            </w:tcBorders>
            <w:shd w:val="clear" w:color="auto" w:fill="C6ECCC"/>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信息技术有限公</w:t>
            </w:r>
          </w:p>
        </w:tc>
        <w:tc>
          <w:tcPr>
            <w:tcW w:w="136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5" w:hRule="exact"/>
        </w:trPr>
        <w:tc>
          <w:tcPr>
            <w:tcW w:w="1371"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single" w:sz="4" w:space="0" w:color="000000"/>
              <w:right w:val="single" w:sz="4" w:space="0" w:color="000000"/>
            </w:tcBorders>
            <w:shd w:val="clear" w:color="auto" w:fill="C6ECCC"/>
          </w:tcPr>
          <w:p>
            <w:pPr/>
          </w:p>
        </w:tc>
        <w:tc>
          <w:tcPr>
            <w:tcW w:w="1367" w:type="dxa"/>
            <w:tcBorders>
              <w:top w:val="nil" w:sz="6" w:space="0" w:color="auto"/>
              <w:left w:val="single" w:sz="4" w:space="0" w:color="000000"/>
              <w:bottom w:val="single" w:sz="4" w:space="0" w:color="000000"/>
              <w:right w:val="single" w:sz="4" w:space="0" w:color="000000"/>
            </w:tcBorders>
            <w:shd w:val="clear" w:color="auto" w:fill="C6ECCC"/>
          </w:tcPr>
          <w:p>
            <w:pPr/>
          </w:p>
        </w:tc>
        <w:tc>
          <w:tcPr>
            <w:tcW w:w="1367" w:type="dxa"/>
            <w:tcBorders>
              <w:top w:val="nil" w:sz="6" w:space="0" w:color="auto"/>
              <w:left w:val="single" w:sz="4" w:space="0" w:color="000000"/>
              <w:bottom w:val="single" w:sz="4" w:space="0" w:color="000000"/>
              <w:right w:val="single" w:sz="4" w:space="0" w:color="000000"/>
            </w:tcBorders>
            <w:shd w:val="clear" w:color="auto" w:fill="C6ECCC"/>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6" w:footer="937" w:top="1040" w:bottom="1120" w:left="1020" w:right="1020"/>
        </w:sectPr>
      </w:pPr>
    </w:p>
    <w:p>
      <w:pPr>
        <w:spacing w:line="240" w:lineRule="auto" w:before="2"/>
        <w:rPr>
          <w:rFonts w:ascii="宋体" w:hAnsi="宋体" w:cs="宋体" w:eastAsia="宋体" w:hint="default"/>
          <w:b/>
          <w:bCs/>
          <w:sz w:val="29"/>
          <w:szCs w:val="29"/>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天津信息港甲子 科技有限公司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安徽皖通城市智 能交通科技有限 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重庆皖通科技有 限责任公司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烟台华东电子软 件技术有限公司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安徽汉高信息科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安徽行云天下科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烟台华东数据科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宁波拖柜宝物流 科技有限责任公 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烟台华东电子科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安徽光大保险代 理有限责任公司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保险代理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上海亲益保网络 科技有限公司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上海舶云供应链 管理有限公司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物流服务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52.50%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76"/>
              <w:jc w:val="both"/>
              <w:rPr>
                <w:rFonts w:ascii="宋体" w:hAnsi="宋体" w:cs="宋体" w:eastAsia="宋体" w:hint="default"/>
                <w:sz w:val="18"/>
                <w:szCs w:val="18"/>
              </w:rPr>
            </w:pPr>
            <w:r>
              <w:rPr>
                <w:rFonts w:ascii="宋体" w:hAnsi="宋体" w:cs="宋体" w:eastAsia="宋体" w:hint="default"/>
                <w:sz w:val="18"/>
                <w:szCs w:val="18"/>
              </w:rPr>
              <w:t>浙江自贸区舶云 智慧物流有限公 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舟山市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舟山市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物流服务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357" w:lineRule="auto" w:before="51"/>
        <w:ind w:left="112" w:right="181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9"/>
        <w:ind w:left="112" w:right="667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t>（2）重要的非全资子公司</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36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本期归属于少数股东的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 w:right="0"/>
              <w:jc w:val="left"/>
              <w:rPr>
                <w:rFonts w:ascii="宋体" w:hAnsi="宋体" w:cs="宋体" w:eastAsia="宋体" w:hint="default"/>
                <w:sz w:val="18"/>
                <w:szCs w:val="18"/>
              </w:rPr>
            </w:pPr>
            <w:r>
              <w:rPr>
                <w:rFonts w:ascii="宋体" w:hAnsi="宋体" w:cs="宋体" w:eastAsia="宋体" w:hint="default"/>
                <w:sz w:val="18"/>
                <w:szCs w:val="18"/>
              </w:rPr>
              <w:t>本期向少数股东宣告分</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72"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0" w:right="0"/>
              <w:jc w:val="left"/>
              <w:rPr>
                <w:rFonts w:ascii="宋体" w:hAnsi="宋体" w:cs="宋体" w:eastAsia="宋体" w:hint="default"/>
                <w:sz w:val="18"/>
                <w:szCs w:val="18"/>
              </w:rPr>
            </w:pPr>
            <w:r>
              <w:rPr>
                <w:rFonts w:ascii="宋体" w:hAnsi="宋体" w:cs="宋体" w:eastAsia="宋体" w:hint="default"/>
                <w:sz w:val="18"/>
                <w:szCs w:val="18"/>
              </w:rPr>
              <w:t>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安徽汉高信息科技有限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18"/>
                <w:szCs w:val="18"/>
              </w:rPr>
            </w:pPr>
            <w:r>
              <w:rPr>
                <w:rFonts w:ascii="宋体"/>
                <w:sz w:val="18"/>
              </w:rPr>
              <w:t>10,275,541.07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9" w:right="0"/>
              <w:jc w:val="left"/>
              <w:rPr>
                <w:rFonts w:ascii="宋体" w:hAnsi="宋体" w:cs="宋体" w:eastAsia="宋体" w:hint="default"/>
                <w:sz w:val="18"/>
                <w:szCs w:val="18"/>
              </w:rPr>
            </w:pPr>
            <w:r>
              <w:rPr>
                <w:rFonts w:ascii="宋体"/>
                <w:sz w:val="18"/>
              </w:rPr>
              <w:t>4,949,000.00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0" w:right="0"/>
              <w:jc w:val="left"/>
              <w:rPr>
                <w:rFonts w:ascii="宋体" w:hAnsi="宋体" w:cs="宋体" w:eastAsia="宋体" w:hint="default"/>
                <w:sz w:val="18"/>
                <w:szCs w:val="18"/>
              </w:rPr>
            </w:pPr>
            <w:r>
              <w:rPr>
                <w:rFonts w:ascii="宋体"/>
                <w:sz w:val="18"/>
              </w:rPr>
              <w:t>39,904,202.83</w:t>
            </w:r>
          </w:p>
        </w:tc>
      </w:tr>
    </w:tbl>
    <w:p>
      <w:pPr>
        <w:spacing w:line="360" w:lineRule="auto" w:before="50"/>
        <w:ind w:left="112" w:right="541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t>（3）重要非全资子公司的主要财务信息</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安徽汉</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高信息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1" w:right="0"/>
              <w:jc w:val="center"/>
              <w:rPr>
                <w:rFonts w:ascii="宋体" w:hAnsi="宋体" w:cs="宋体" w:eastAsia="宋体" w:hint="default"/>
                <w:sz w:val="18"/>
                <w:szCs w:val="18"/>
              </w:rPr>
            </w:pPr>
            <w:r>
              <w:rPr>
                <w:rFonts w:ascii="宋体"/>
                <w:sz w:val="18"/>
              </w:rPr>
              <w:t>189,401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32,399,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221,800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140,363</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8" w:right="0"/>
              <w:jc w:val="center"/>
              <w:rPr>
                <w:rFonts w:ascii="宋体" w:hAnsi="宋体" w:cs="宋体" w:eastAsia="宋体" w:hint="default"/>
                <w:sz w:val="18"/>
                <w:szCs w:val="18"/>
              </w:rPr>
            </w:pPr>
            <w:r>
              <w:rPr>
                <w:rFonts w:ascii="宋体"/>
                <w:sz w:val="18"/>
              </w:rPr>
              <w:t>140,363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 w:right="0"/>
              <w:jc w:val="center"/>
              <w:rPr>
                <w:rFonts w:ascii="宋体" w:hAnsi="宋体" w:cs="宋体" w:eastAsia="宋体" w:hint="default"/>
                <w:sz w:val="18"/>
                <w:szCs w:val="18"/>
              </w:rPr>
            </w:pPr>
            <w:r>
              <w:rPr>
                <w:rFonts w:ascii="宋体"/>
                <w:sz w:val="18"/>
              </w:rPr>
              <w:t>182,481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18,899,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201,380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130,813</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2" w:right="0"/>
              <w:jc w:val="left"/>
              <w:rPr>
                <w:rFonts w:ascii="宋体" w:hAnsi="宋体" w:cs="宋体" w:eastAsia="宋体" w:hint="default"/>
                <w:sz w:val="18"/>
                <w:szCs w:val="18"/>
              </w:rPr>
            </w:pPr>
            <w:r>
              <w:rPr>
                <w:rFonts w:ascii="宋体"/>
                <w:sz w:val="18"/>
              </w:rPr>
              <w:t>130,813</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1" w:right="0"/>
              <w:jc w:val="center"/>
              <w:rPr>
                <w:rFonts w:ascii="宋体" w:hAnsi="宋体" w:cs="宋体" w:eastAsia="宋体" w:hint="default"/>
                <w:sz w:val="18"/>
                <w:szCs w:val="18"/>
              </w:rPr>
            </w:pPr>
            <w:r>
              <w:rPr>
                <w:rFonts w:ascii="宋体"/>
                <w:sz w:val="18"/>
              </w:rPr>
              <w:t>,810.89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147.12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,958.01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,809.38</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8" w:right="0"/>
              <w:jc w:val="center"/>
              <w:rPr>
                <w:rFonts w:ascii="宋体" w:hAnsi="宋体" w:cs="宋体" w:eastAsia="宋体" w:hint="default"/>
                <w:sz w:val="18"/>
                <w:szCs w:val="18"/>
              </w:rPr>
            </w:pPr>
            <w:r>
              <w:rPr>
                <w:rFonts w:ascii="宋体"/>
                <w:sz w:val="18"/>
              </w:rPr>
              <w:t>,809.38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6" w:right="0"/>
              <w:jc w:val="center"/>
              <w:rPr>
                <w:rFonts w:ascii="宋体" w:hAnsi="宋体" w:cs="宋体" w:eastAsia="宋体" w:hint="default"/>
                <w:sz w:val="18"/>
                <w:szCs w:val="18"/>
              </w:rPr>
            </w:pPr>
            <w:r>
              <w:rPr>
                <w:rFonts w:ascii="宋体"/>
                <w:sz w:val="18"/>
              </w:rPr>
              <w:t>,160.84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096.19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,257.03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,600.37</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2" w:right="0"/>
              <w:jc w:val="left"/>
              <w:rPr>
                <w:rFonts w:ascii="宋体" w:hAnsi="宋体" w:cs="宋体" w:eastAsia="宋体" w:hint="default"/>
                <w:sz w:val="18"/>
                <w:szCs w:val="18"/>
              </w:rPr>
            </w:pPr>
            <w:r>
              <w:rPr>
                <w:rFonts w:ascii="宋体"/>
                <w:sz w:val="18"/>
              </w:rPr>
              <w:t>,600.37</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before="5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8"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安徽汉高信 息科技有限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288,175,151</w:t>
            </w:r>
          </w:p>
          <w:p>
            <w:pPr>
              <w:pStyle w:val="TableParagraph"/>
              <w:spacing w:line="240" w:lineRule="auto" w:before="76"/>
              <w:ind w:right="22"/>
              <w:jc w:val="right"/>
              <w:rPr>
                <w:rFonts w:ascii="宋体" w:hAnsi="宋体" w:cs="宋体" w:eastAsia="宋体" w:hint="default"/>
                <w:sz w:val="18"/>
                <w:szCs w:val="18"/>
              </w:rPr>
            </w:pPr>
            <w:r>
              <w:rPr>
                <w:rFonts w:ascii="宋体"/>
                <w:spacing w:val="-1"/>
                <w:sz w:val="18"/>
              </w:rPr>
              <w:t>.44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20,970,491.</w:t>
            </w:r>
          </w:p>
          <w:p>
            <w:pPr>
              <w:pStyle w:val="TableParagraph"/>
              <w:spacing w:line="240" w:lineRule="auto" w:before="76"/>
              <w:ind w:right="21"/>
              <w:jc w:val="right"/>
              <w:rPr>
                <w:rFonts w:ascii="宋体" w:hAnsi="宋体" w:cs="宋体" w:eastAsia="宋体" w:hint="default"/>
                <w:sz w:val="18"/>
                <w:szCs w:val="18"/>
              </w:rPr>
            </w:pPr>
            <w:r>
              <w:rPr>
                <w:rFonts w:ascii="宋体"/>
                <w:sz w:val="18"/>
              </w:rPr>
              <w:t>97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20,970,491.</w:t>
            </w:r>
          </w:p>
          <w:p>
            <w:pPr>
              <w:pStyle w:val="TableParagraph"/>
              <w:spacing w:line="240" w:lineRule="auto" w:before="76"/>
              <w:ind w:right="20"/>
              <w:jc w:val="right"/>
              <w:rPr>
                <w:rFonts w:ascii="宋体" w:hAnsi="宋体" w:cs="宋体" w:eastAsia="宋体" w:hint="default"/>
                <w:sz w:val="18"/>
                <w:szCs w:val="18"/>
              </w:rPr>
            </w:pPr>
            <w:r>
              <w:rPr>
                <w:rFonts w:ascii="宋体"/>
                <w:sz w:val="18"/>
              </w:rPr>
              <w:t>97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31,971,271.</w:t>
            </w:r>
          </w:p>
          <w:p>
            <w:pPr>
              <w:pStyle w:val="TableParagraph"/>
              <w:spacing w:line="240" w:lineRule="auto" w:before="76"/>
              <w:ind w:right="20"/>
              <w:jc w:val="right"/>
              <w:rPr>
                <w:rFonts w:ascii="宋体" w:hAnsi="宋体" w:cs="宋体" w:eastAsia="宋体" w:hint="default"/>
                <w:sz w:val="18"/>
                <w:szCs w:val="18"/>
              </w:rPr>
            </w:pPr>
            <w:r>
              <w:rPr>
                <w:rFonts w:ascii="宋体"/>
                <w:sz w:val="18"/>
              </w:rPr>
              <w:t>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254,531,432</w:t>
            </w:r>
          </w:p>
          <w:p>
            <w:pPr>
              <w:pStyle w:val="TableParagraph"/>
              <w:spacing w:line="240" w:lineRule="auto" w:before="76"/>
              <w:ind w:right="22"/>
              <w:jc w:val="right"/>
              <w:rPr>
                <w:rFonts w:ascii="宋体" w:hAnsi="宋体" w:cs="宋体" w:eastAsia="宋体" w:hint="default"/>
                <w:sz w:val="18"/>
                <w:szCs w:val="18"/>
              </w:rPr>
            </w:pPr>
            <w:r>
              <w:rPr>
                <w:rFonts w:ascii="宋体"/>
                <w:spacing w:val="-1"/>
                <w:sz w:val="18"/>
              </w:rPr>
              <w:t>.80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14,774,876.</w:t>
            </w:r>
          </w:p>
          <w:p>
            <w:pPr>
              <w:pStyle w:val="TableParagraph"/>
              <w:spacing w:line="240" w:lineRule="auto" w:before="76"/>
              <w:ind w:right="19"/>
              <w:jc w:val="right"/>
              <w:rPr>
                <w:rFonts w:ascii="宋体" w:hAnsi="宋体" w:cs="宋体" w:eastAsia="宋体" w:hint="default"/>
                <w:sz w:val="18"/>
                <w:szCs w:val="18"/>
              </w:rPr>
            </w:pPr>
            <w:r>
              <w:rPr>
                <w:rFonts w:ascii="宋体"/>
                <w:sz w:val="18"/>
              </w:rPr>
              <w:t>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14,774,876.</w:t>
            </w:r>
          </w:p>
          <w:p>
            <w:pPr>
              <w:pStyle w:val="TableParagraph"/>
              <w:spacing w:line="240" w:lineRule="auto" w:before="76"/>
              <w:ind w:right="19"/>
              <w:jc w:val="right"/>
              <w:rPr>
                <w:rFonts w:ascii="宋体" w:hAnsi="宋体" w:cs="宋体" w:eastAsia="宋体" w:hint="default"/>
                <w:sz w:val="18"/>
                <w:szCs w:val="18"/>
              </w:rPr>
            </w:pPr>
            <w:r>
              <w:rPr>
                <w:rFonts w:ascii="宋体"/>
                <w:sz w:val="18"/>
              </w:rPr>
              <w:t>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7,641,108.2</w:t>
            </w:r>
          </w:p>
          <w:p>
            <w:pPr>
              <w:pStyle w:val="TableParagraph"/>
              <w:spacing w:line="240" w:lineRule="auto" w:before="76"/>
              <w:ind w:right="22"/>
              <w:jc w:val="right"/>
              <w:rPr>
                <w:rFonts w:ascii="宋体" w:hAnsi="宋体" w:cs="宋体" w:eastAsia="宋体" w:hint="default"/>
                <w:sz w:val="18"/>
                <w:szCs w:val="18"/>
              </w:rPr>
            </w:pPr>
            <w:r>
              <w:rPr>
                <w:rFonts w:ascii="宋体"/>
                <w:sz w:val="18"/>
              </w:rPr>
              <w:t>6</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right="112" w:firstLine="420"/>
        <w:jc w:val="both"/>
      </w:pPr>
      <w:r>
        <w:rPr>
          <w:w w:val="95"/>
        </w:rPr>
        <w:t>这些子公司的主要财务信息为本公司内各企业之间相互抵消前的金额，但经过了合并日公允价值及统</w:t>
      </w:r>
      <w:r>
        <w:rPr>
          <w:w w:val="99"/>
        </w:rPr>
        <w:t> </w:t>
      </w:r>
      <w:r>
        <w:rPr/>
        <w:t>一会计政策的调整。</w:t>
      </w:r>
    </w:p>
    <w:p>
      <w:pPr>
        <w:spacing w:line="240" w:lineRule="auto" w:before="9"/>
        <w:rPr>
          <w:rFonts w:ascii="宋体" w:hAnsi="宋体" w:cs="宋体" w:eastAsia="宋体" w:hint="default"/>
          <w:sz w:val="23"/>
          <w:szCs w:val="23"/>
        </w:rPr>
      </w:pPr>
    </w:p>
    <w:p>
      <w:pPr>
        <w:pStyle w:val="Heading5"/>
        <w:spacing w:line="240" w:lineRule="auto"/>
        <w:ind w:right="0"/>
        <w:jc w:val="left"/>
        <w:rPr>
          <w:b w:val="0"/>
          <w:bCs w:val="0"/>
        </w:rPr>
      </w:pPr>
      <w:r>
        <w:rPr/>
        <w:t>（4）使用企业集团资产和清偿企业集团债务的重大限制</w:t>
      </w:r>
      <w:r>
        <w:rPr>
          <w:b w:val="0"/>
          <w:bCs w:val="0"/>
        </w:rPr>
      </w:r>
    </w:p>
    <w:p>
      <w:pPr>
        <w:spacing w:line="240" w:lineRule="auto" w:before="10"/>
        <w:rPr>
          <w:rFonts w:ascii="宋体" w:hAnsi="宋体" w:cs="宋体" w:eastAsia="宋体" w:hint="default"/>
          <w:b/>
          <w:bCs/>
          <w:sz w:val="25"/>
          <w:szCs w:val="25"/>
        </w:rPr>
      </w:pPr>
    </w:p>
    <w:p>
      <w:pPr>
        <w:pStyle w:val="Heading5"/>
        <w:spacing w:line="578" w:lineRule="auto"/>
        <w:ind w:right="3076"/>
        <w:jc w:val="left"/>
        <w:rPr>
          <w:b w:val="0"/>
          <w:bCs w:val="0"/>
        </w:rPr>
      </w:pPr>
      <w:r>
        <w:rPr>
          <w:w w:val="95"/>
        </w:rPr>
        <w:t>（5）向纳入合并财务报表范围的结构化主体提供的财务支持或其他支持</w:t>
      </w:r>
      <w:r>
        <w:rPr>
          <w:spacing w:val="18"/>
          <w:w w:val="95"/>
        </w:rPr>
        <w:t> </w:t>
      </w:r>
      <w:r>
        <w:rPr>
          <w:spacing w:val="18"/>
          <w:w w:val="95"/>
        </w:rPr>
      </w:r>
      <w:r>
        <w:rPr>
          <w:rFonts w:ascii="宋体" w:hAnsi="宋体" w:cs="宋体" w:eastAsia="宋体" w:hint="default"/>
          <w:b w:val="0"/>
          <w:bCs w:val="0"/>
          <w:sz w:val="18"/>
          <w:szCs w:val="18"/>
        </w:rPr>
        <w:t>其他说明： </w:t>
      </w:r>
      <w:r>
        <w:rPr/>
        <w:t>2、在子公司的所有者权益份额发生变化且仍控制子公司的交易</w:t>
      </w:r>
      <w:r>
        <w:rPr>
          <w:b w:val="0"/>
          <w:bCs w:val="0"/>
        </w:rPr>
      </w:r>
    </w:p>
    <w:p>
      <w:pPr>
        <w:pStyle w:val="Heading5"/>
        <w:spacing w:line="240" w:lineRule="auto" w:before="41"/>
        <w:ind w:right="0"/>
        <w:jc w:val="left"/>
        <w:rPr>
          <w:b w:val="0"/>
          <w:bCs w:val="0"/>
        </w:rPr>
      </w:pPr>
      <w:r>
        <w:rPr/>
        <w:t>（1）在子公司所有者权益份额发生变化的情况说明</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right="110" w:firstLine="420"/>
        <w:jc w:val="both"/>
      </w:pPr>
      <w:r>
        <w:rPr>
          <w:w w:val="95"/>
        </w:rPr>
        <w:t>（1）2017年6月28日安徽行云天下科技有限公司召开的2017年度第一次临时股东会审议通过增资扩股</w:t>
      </w:r>
      <w:r>
        <w:rPr>
          <w:w w:val="99"/>
        </w:rPr>
        <w:t> </w:t>
      </w:r>
      <w:r>
        <w:rPr>
          <w:spacing w:val="-3"/>
        </w:rPr>
        <w:t>方案：本公司用自有资金1,000万元，以现金方式对控股子公司安徽行云天下科技有限公司（以下简称“行</w:t>
      </w:r>
      <w:r>
        <w:rPr>
          <w:w w:val="99"/>
        </w:rPr>
        <w:t> </w:t>
      </w:r>
      <w:r>
        <w:rPr>
          <w:spacing w:val="-5"/>
        </w:rPr>
        <w:t>云天下”）进行增资；宗继、季擎、张之平、上海优能慧斯生物科技有限公司、上海亲保投资合伙企业（有</w:t>
      </w:r>
      <w:r>
        <w:rPr>
          <w:w w:val="99"/>
        </w:rPr>
        <w:t> </w:t>
      </w:r>
      <w:r>
        <w:rPr>
          <w:spacing w:val="2"/>
          <w:w w:val="95"/>
        </w:rPr>
        <w:t>限合伙）、上海和牛投资合伙企业（有限合伙）、上海菁葵创业投资中心（有限合伙）等7位股东（以下</w:t>
      </w:r>
      <w:r>
        <w:rPr>
          <w:spacing w:val="2"/>
        </w:rPr>
      </w:r>
    </w:p>
    <w:p>
      <w:pPr>
        <w:spacing w:after="0" w:line="273" w:lineRule="auto"/>
        <w:jc w:val="both"/>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BodyText"/>
        <w:spacing w:line="273" w:lineRule="auto" w:before="34"/>
        <w:ind w:right="94"/>
        <w:jc w:val="left"/>
      </w:pPr>
      <w:r>
        <w:rPr>
          <w:spacing w:val="2"/>
        </w:rPr>
        <w:t>简称“宗继等7位股东”）以其所持的上海亲益保网络科技有限公司（以下简称“亲益保”）100%股权作</w:t>
      </w:r>
      <w:r>
        <w:rPr>
          <w:w w:val="99"/>
        </w:rPr>
        <w:t> </w:t>
      </w:r>
      <w:r>
        <w:rPr>
          <w:spacing w:val="2"/>
        </w:rPr>
        <w:t>价3,100万元对行云天下进行增资；同意安徽天行健健康管理有限公司将所持行云天下股权全部转让给郭</w:t>
      </w:r>
      <w:r>
        <w:rPr>
          <w:w w:val="99"/>
        </w:rPr>
        <w:t> </w:t>
      </w:r>
      <w:r>
        <w:rPr/>
        <w:t>轶超，同时郭轶超用自有资金30万元，以现金方式对行云天下进行增资；增资完成后行云天下的注册资本</w:t>
      </w:r>
      <w:r>
        <w:rPr>
          <w:w w:val="99"/>
        </w:rPr>
        <w:t> </w:t>
      </w:r>
      <w:r>
        <w:rPr>
          <w:w w:val="95"/>
        </w:rPr>
        <w:t>增至6,680万元，宗继等7位股东将合计持有行云天下46.41%的股权，郭轶超将持有行云天下2.69%的股权，</w:t>
      </w:r>
      <w:r>
        <w:rPr>
          <w:spacing w:val="46"/>
          <w:w w:val="95"/>
        </w:rPr>
        <w:t> </w:t>
      </w:r>
      <w:r>
        <w:rPr>
          <w:spacing w:val="46"/>
          <w:w w:val="95"/>
        </w:rPr>
      </w:r>
      <w:r>
        <w:rPr>
          <w:spacing w:val="2"/>
        </w:rPr>
        <w:t>公司持有行云天下50.90%的股权，行云天下仍为公司的控股子公司。该次增资已于2017年8月15日办妥工</w:t>
      </w:r>
      <w:r>
        <w:rPr>
          <w:w w:val="99"/>
        </w:rPr>
        <w:t> </w:t>
      </w:r>
      <w:r>
        <w:rPr/>
        <w:t>商变更登记手续；</w:t>
      </w:r>
    </w:p>
    <w:p>
      <w:pPr>
        <w:pStyle w:val="BodyText"/>
        <w:spacing w:line="273" w:lineRule="auto"/>
        <w:ind w:right="210" w:firstLine="420"/>
        <w:jc w:val="both"/>
      </w:pPr>
      <w:r>
        <w:rPr>
          <w:w w:val="95"/>
        </w:rPr>
        <w:t>（2）2017年6月28日经公司第四届董事会第五次会议审议通过：本公司拟向控股子公司重庆皖通科技</w:t>
      </w:r>
      <w:r>
        <w:rPr>
          <w:w w:val="99"/>
        </w:rPr>
        <w:t> </w:t>
      </w:r>
      <w:r>
        <w:rPr>
          <w:spacing w:val="2"/>
          <w:w w:val="95"/>
        </w:rPr>
        <w:t>有限责任公司（以下简称“重庆皖通”）自然人股东王伟收购其所持有的重庆皖通34%股权。交易双方于</w:t>
      </w:r>
      <w:r>
        <w:rPr>
          <w:spacing w:val="45"/>
          <w:w w:val="95"/>
        </w:rPr>
        <w:t> </w:t>
      </w:r>
      <w:r>
        <w:rPr>
          <w:spacing w:val="45"/>
          <w:w w:val="95"/>
        </w:rPr>
      </w:r>
      <w:r>
        <w:rPr>
          <w:w w:val="95"/>
        </w:rPr>
        <w:t>2017年6月28日签署了《股权转让协议》。本次交易完成后，公司持有重庆皖通85%股权，重庆皖通仍为公</w:t>
      </w:r>
      <w:r>
        <w:rPr>
          <w:spacing w:val="44"/>
          <w:w w:val="95"/>
        </w:rPr>
        <w:t> </w:t>
      </w:r>
      <w:r>
        <w:rPr>
          <w:spacing w:val="44"/>
          <w:w w:val="95"/>
        </w:rPr>
      </w:r>
      <w:r>
        <w:rPr/>
        <w:t>司控股子公司。该次收购已于2017年6月30日完成。</w:t>
      </w:r>
    </w:p>
    <w:p>
      <w:pPr>
        <w:spacing w:line="240" w:lineRule="auto" w:before="7"/>
        <w:rPr>
          <w:rFonts w:ascii="宋体" w:hAnsi="宋体" w:cs="宋体" w:eastAsia="宋体" w:hint="default"/>
          <w:sz w:val="23"/>
          <w:szCs w:val="23"/>
        </w:rPr>
      </w:pPr>
    </w:p>
    <w:p>
      <w:pPr>
        <w:pStyle w:val="Heading5"/>
        <w:spacing w:line="240" w:lineRule="auto"/>
        <w:ind w:right="94"/>
        <w:jc w:val="left"/>
        <w:rPr>
          <w:b w:val="0"/>
          <w:bCs w:val="0"/>
        </w:rPr>
      </w:pPr>
      <w:r>
        <w:rPr/>
        <w:t>（2）交易对于少数股东权益及归属于母公司所有者权益的影响</w:t>
      </w:r>
      <w:r>
        <w:rPr>
          <w:b w:val="0"/>
          <w:bCs w:val="0"/>
        </w:rPr>
      </w:r>
    </w:p>
    <w:p>
      <w:pPr>
        <w:spacing w:line="240" w:lineRule="auto" w:before="9"/>
        <w:rPr>
          <w:rFonts w:ascii="宋体" w:hAnsi="宋体" w:cs="宋体" w:eastAsia="宋体" w:hint="default"/>
          <w:b/>
          <w:bCs/>
          <w:sz w:val="27"/>
          <w:szCs w:val="27"/>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09" w:right="0"/>
              <w:jc w:val="left"/>
              <w:rPr>
                <w:rFonts w:ascii="宋体" w:hAnsi="宋体" w:cs="宋体" w:eastAsia="宋体" w:hint="default"/>
                <w:sz w:val="18"/>
                <w:szCs w:val="18"/>
              </w:rPr>
            </w:pPr>
            <w:r>
              <w:rPr>
                <w:rFonts w:ascii="宋体" w:hAnsi="宋体" w:cs="宋体" w:eastAsia="宋体" w:hint="default"/>
                <w:sz w:val="18"/>
                <w:szCs w:val="18"/>
              </w:rPr>
              <w:t>重庆皖通科技有限责任公司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09" w:right="0"/>
              <w:jc w:val="left"/>
              <w:rPr>
                <w:rFonts w:ascii="宋体" w:hAnsi="宋体" w:cs="宋体" w:eastAsia="宋体" w:hint="default"/>
                <w:sz w:val="18"/>
                <w:szCs w:val="18"/>
              </w:rPr>
            </w:pPr>
            <w:r>
              <w:rPr>
                <w:rFonts w:ascii="宋体" w:hAnsi="宋体" w:cs="宋体" w:eastAsia="宋体" w:hint="default"/>
                <w:sz w:val="18"/>
                <w:szCs w:val="18"/>
              </w:rPr>
              <w:t>安徽行云天下科技有限公司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购买成本/处置对价合计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10,000,000.00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减：按取得/处置的股权比例计算的子公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247,965.83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10,907,284.57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52,034.17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-907,284.57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-52,034.17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907,284.57</w:t>
            </w:r>
          </w:p>
        </w:tc>
      </w:tr>
    </w:tbl>
    <w:p>
      <w:pPr>
        <w:spacing w:before="52"/>
        <w:ind w:left="112" w:right="9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94"/>
        <w:jc w:val="left"/>
        <w:rPr>
          <w:b w:val="0"/>
          <w:bCs w:val="0"/>
        </w:rPr>
      </w:pPr>
      <w:r>
        <w:rPr/>
        <w:t>3、在合营安排或联营企业中的权益</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94"/>
        <w:jc w:val="left"/>
        <w:rPr>
          <w:b w:val="0"/>
          <w:bCs w:val="0"/>
        </w:rPr>
      </w:pPr>
      <w:r>
        <w:rPr/>
        <w:t>（1）重要的合营企业或联营企业</w:t>
      </w:r>
      <w:r>
        <w:rPr>
          <w:b w:val="0"/>
          <w:bCs w:val="0"/>
        </w:rPr>
      </w:r>
    </w:p>
    <w:p>
      <w:pPr>
        <w:spacing w:line="240" w:lineRule="auto" w:before="11"/>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50"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50"/>
        <w:ind w:left="112" w:right="94"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5"/>
        <w:ind w:left="112" w:right="94"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5"/>
          <w:sz w:val="18"/>
          <w:szCs w:val="18"/>
        </w:rPr>
        <w:t> </w:t>
      </w:r>
      <w:r>
        <w:rPr>
          <w:rFonts w:ascii="宋体" w:hAnsi="宋体" w:cs="宋体" w:eastAsia="宋体" w:hint="default"/>
          <w:sz w:val="18"/>
          <w:szCs w:val="18"/>
        </w:rPr>
        <w:t>20%以下表决权但具有重大影响，或者持有</w:t>
      </w:r>
      <w:r>
        <w:rPr>
          <w:rFonts w:ascii="宋体" w:hAnsi="宋体" w:cs="宋体" w:eastAsia="宋体" w:hint="default"/>
          <w:spacing w:val="-47"/>
          <w:sz w:val="18"/>
          <w:szCs w:val="18"/>
        </w:rPr>
        <w:t> </w:t>
      </w:r>
      <w:r>
        <w:rPr>
          <w:rFonts w:ascii="宋体" w:hAnsi="宋体" w:cs="宋体" w:eastAsia="宋体" w:hint="default"/>
          <w:sz w:val="18"/>
          <w:szCs w:val="18"/>
        </w:rPr>
        <w:t>20%或以上表决权但不具有重大影响的依据：</w:t>
      </w:r>
    </w:p>
    <w:p>
      <w:pPr>
        <w:spacing w:line="240" w:lineRule="auto" w:before="0"/>
        <w:rPr>
          <w:rFonts w:ascii="宋体" w:hAnsi="宋体" w:cs="宋体" w:eastAsia="宋体" w:hint="default"/>
          <w:sz w:val="18"/>
          <w:szCs w:val="18"/>
        </w:rPr>
      </w:pPr>
    </w:p>
    <w:p>
      <w:pPr>
        <w:pStyle w:val="Heading5"/>
        <w:spacing w:line="240" w:lineRule="auto" w:before="118"/>
        <w:ind w:right="94"/>
        <w:jc w:val="left"/>
        <w:rPr>
          <w:b w:val="0"/>
          <w:bCs w:val="0"/>
        </w:rPr>
      </w:pPr>
      <w:r>
        <w:rPr/>
        <w:t>（2）重要合营企业的主要财务信息</w:t>
      </w:r>
      <w:r>
        <w:rPr>
          <w:b w:val="0"/>
          <w:bCs w:val="0"/>
        </w:rPr>
      </w:r>
    </w:p>
    <w:p>
      <w:pPr>
        <w:spacing w:line="240" w:lineRule="auto" w:before="4"/>
        <w:rPr>
          <w:rFonts w:ascii="宋体" w:hAnsi="宋体" w:cs="宋体" w:eastAsia="宋体" w:hint="default"/>
          <w:b/>
          <w:bCs/>
          <w:sz w:val="24"/>
          <w:szCs w:val="24"/>
        </w:rPr>
      </w:pPr>
    </w:p>
    <w:p>
      <w:pPr>
        <w:spacing w:before="44"/>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5" w:right="0"/>
              <w:jc w:val="left"/>
              <w:rPr>
                <w:rFonts w:ascii="宋体" w:hAnsi="宋体" w:cs="宋体" w:eastAsia="宋体" w:hint="default"/>
                <w:sz w:val="18"/>
                <w:szCs w:val="18"/>
              </w:rPr>
            </w:pPr>
            <w:r>
              <w:rPr>
                <w:rFonts w:ascii="宋体" w:hAnsi="宋体" w:cs="宋体" w:eastAsia="宋体" w:hint="default"/>
                <w:sz w:val="18"/>
                <w:szCs w:val="18"/>
              </w:rPr>
              <w:t>期末余额/本期发生额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期初余额/上期发生额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12" w:right="9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6" w:footer="937" w:top="1040" w:bottom="1120" w:left="1020" w:right="9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（3）重要联营企业的主要财务信息</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5" w:right="0"/>
              <w:jc w:val="left"/>
              <w:rPr>
                <w:rFonts w:ascii="宋体" w:hAnsi="宋体" w:cs="宋体" w:eastAsia="宋体" w:hint="default"/>
                <w:sz w:val="18"/>
                <w:szCs w:val="18"/>
              </w:rPr>
            </w:pPr>
            <w:r>
              <w:rPr>
                <w:rFonts w:ascii="宋体" w:hAnsi="宋体" w:cs="宋体" w:eastAsia="宋体" w:hint="default"/>
                <w:sz w:val="18"/>
                <w:szCs w:val="18"/>
              </w:rPr>
              <w:t>期末余额/本期发生额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4" w:right="0"/>
              <w:jc w:val="left"/>
              <w:rPr>
                <w:rFonts w:ascii="宋体" w:hAnsi="宋体" w:cs="宋体" w:eastAsia="宋体" w:hint="default"/>
                <w:sz w:val="18"/>
                <w:szCs w:val="18"/>
              </w:rPr>
            </w:pPr>
            <w:r>
              <w:rPr>
                <w:rFonts w:ascii="宋体" w:hAnsi="宋体" w:cs="宋体" w:eastAsia="宋体" w:hint="default"/>
                <w:sz w:val="18"/>
                <w:szCs w:val="18"/>
              </w:rPr>
              <w:t>期初余额/上期发生额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（4）不重要的合营企业和联营企业的汇总财务信息</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8" w:right="0"/>
              <w:jc w:val="left"/>
              <w:rPr>
                <w:rFonts w:ascii="宋体" w:hAnsi="宋体" w:cs="宋体" w:eastAsia="宋体" w:hint="default"/>
                <w:sz w:val="18"/>
                <w:szCs w:val="18"/>
              </w:rPr>
            </w:pPr>
            <w:r>
              <w:rPr>
                <w:rFonts w:ascii="宋体" w:hAnsi="宋体" w:cs="宋体" w:eastAsia="宋体" w:hint="default"/>
                <w:sz w:val="18"/>
                <w:szCs w:val="18"/>
              </w:rPr>
              <w:t>期末余额/本期发生额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2,203,345.93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-16,654.07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-16,654.07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（5）合营企业或联营企业向本公司转移资金的能力存在重大限制的说明</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（6）合营企业或联营企业发生的超额亏损</w:t>
      </w:r>
      <w:r>
        <w:rPr>
          <w:b w:val="0"/>
          <w:bCs w:val="0"/>
        </w:rPr>
      </w:r>
    </w:p>
    <w:p>
      <w:pPr>
        <w:spacing w:line="240" w:lineRule="auto" w:before="7"/>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50" w:right="21"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武汉宏途科技有限公司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89" w:right="0"/>
              <w:jc w:val="left"/>
              <w:rPr>
                <w:rFonts w:ascii="宋体" w:hAnsi="宋体" w:cs="宋体" w:eastAsia="宋体" w:hint="default"/>
                <w:sz w:val="18"/>
                <w:szCs w:val="18"/>
              </w:rPr>
            </w:pPr>
            <w:r>
              <w:rPr>
                <w:rFonts w:ascii="宋体"/>
                <w:sz w:val="18"/>
              </w:rPr>
              <w:t>-2,963,127.47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99" w:right="0"/>
              <w:jc w:val="left"/>
              <w:rPr>
                <w:rFonts w:ascii="宋体" w:hAnsi="宋体" w:cs="宋体" w:eastAsia="宋体" w:hint="default"/>
                <w:sz w:val="18"/>
                <w:szCs w:val="18"/>
              </w:rPr>
            </w:pPr>
            <w:r>
              <w:rPr>
                <w:rFonts w:ascii="宋体"/>
                <w:sz w:val="18"/>
              </w:rPr>
              <w:t>-10,453,319.78</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0" w:right="0"/>
              <w:jc w:val="left"/>
              <w:rPr>
                <w:rFonts w:ascii="宋体" w:hAnsi="宋体" w:cs="宋体" w:eastAsia="宋体" w:hint="default"/>
                <w:sz w:val="18"/>
                <w:szCs w:val="18"/>
              </w:rPr>
            </w:pPr>
            <w:r>
              <w:rPr>
                <w:rFonts w:ascii="宋体"/>
                <w:sz w:val="18"/>
              </w:rPr>
              <w:t>-13,416,447.25</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35" w:lineRule="auto" w:before="118"/>
        <w:ind w:left="112" w:right="6044" w:firstLine="0"/>
        <w:jc w:val="left"/>
        <w:rPr>
          <w:rFonts w:ascii="宋体" w:hAnsi="宋体" w:cs="宋体" w:eastAsia="宋体" w:hint="default"/>
          <w:sz w:val="21"/>
          <w:szCs w:val="21"/>
        </w:rPr>
      </w:pPr>
      <w:r>
        <w:rPr>
          <w:rFonts w:ascii="宋体" w:hAnsi="宋体" w:cs="宋体" w:eastAsia="宋体" w:hint="default"/>
          <w:b/>
          <w:bCs/>
          <w:sz w:val="21"/>
          <w:szCs w:val="21"/>
        </w:rPr>
        <w:t>（7）与合营企业投资相关的未确认承诺</w:t>
      </w:r>
      <w:r>
        <w:rPr>
          <w:rFonts w:ascii="宋体" w:hAnsi="宋体" w:cs="宋体" w:eastAsia="宋体" w:hint="default"/>
          <w:b/>
          <w:bCs/>
          <w:w w:val="99"/>
          <w:sz w:val="21"/>
          <w:szCs w:val="21"/>
        </w:rPr>
        <w:t> </w:t>
      </w:r>
      <w:r>
        <w:rPr>
          <w:rFonts w:ascii="宋体" w:hAnsi="宋体" w:cs="宋体" w:eastAsia="宋体" w:hint="default"/>
          <w:sz w:val="21"/>
          <w:szCs w:val="21"/>
        </w:rPr>
        <w:t>本公司无需要披露的承诺事项</w:t>
      </w:r>
    </w:p>
    <w:p>
      <w:pPr>
        <w:pStyle w:val="Heading5"/>
        <w:spacing w:line="537" w:lineRule="auto" w:before="79"/>
        <w:ind w:right="5200"/>
        <w:jc w:val="left"/>
        <w:rPr>
          <w:b w:val="0"/>
          <w:bCs w:val="0"/>
        </w:rPr>
      </w:pPr>
      <w:r>
        <w:rPr/>
        <w:t>（8）与合营企业或联营企业投资相关的或有负债</w:t>
      </w:r>
      <w:r>
        <w:rPr>
          <w:w w:val="99"/>
        </w:rPr>
        <w:t> </w:t>
      </w:r>
      <w:r>
        <w:rPr/>
        <w:t>4、重要的共同经营</w:t>
      </w:r>
      <w:r>
        <w:rPr>
          <w:b w:val="0"/>
          <w:bCs w:val="0"/>
        </w:rPr>
      </w:r>
    </w:p>
    <w:p>
      <w:pPr>
        <w:spacing w:line="240" w:lineRule="auto" w:before="13"/>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持股比例/享有的份额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after="0" w:line="240" w:lineRule="auto"/>
        <w:jc w:val="center"/>
        <w:rPr>
          <w:rFonts w:ascii="宋体" w:hAnsi="宋体" w:cs="宋体" w:eastAsia="宋体" w:hint="default"/>
          <w:sz w:val="18"/>
          <w:szCs w:val="18"/>
        </w:rPr>
        <w:sectPr>
          <w:pgSz w:w="11910" w:h="16840"/>
          <w:pgMar w:header="746" w:footer="937" w:top="1040" w:bottom="1120" w:left="1020" w:right="1020"/>
        </w:sectPr>
      </w:pPr>
    </w:p>
    <w:p>
      <w:pPr>
        <w:spacing w:line="240" w:lineRule="auto" w:before="9"/>
        <w:rPr>
          <w:rFonts w:ascii="宋体" w:hAnsi="宋体" w:cs="宋体" w:eastAsia="宋体" w:hint="default"/>
          <w:b/>
          <w:bCs/>
          <w:sz w:val="26"/>
          <w:szCs w:val="26"/>
        </w:rPr>
      </w:pPr>
    </w:p>
    <w:p>
      <w:pPr>
        <w:spacing w:line="357" w:lineRule="auto" w:before="44"/>
        <w:ind w:left="112" w:right="461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12" w:right="9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78" w:lineRule="auto" w:before="118"/>
        <w:ind w:left="112" w:right="654" w:firstLine="0"/>
        <w:jc w:val="left"/>
        <w:rPr>
          <w:rFonts w:ascii="宋体" w:hAnsi="宋体" w:cs="宋体" w:eastAsia="宋体" w:hint="default"/>
          <w:sz w:val="21"/>
          <w:szCs w:val="21"/>
        </w:rPr>
      </w:pPr>
      <w:r>
        <w:rPr>
          <w:rFonts w:ascii="宋体" w:hAnsi="宋体" w:cs="宋体" w:eastAsia="宋体" w:hint="default"/>
          <w:b/>
          <w:bCs/>
          <w:sz w:val="21"/>
          <w:szCs w:val="21"/>
        </w:rPr>
        <w:t>5、在未纳入合并财务报表范围的结构化主体中的权益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18"/>
          <w:szCs w:val="18"/>
        </w:rPr>
        <w:t>未纳入合并财务报表范围的结构化主体的相关说明：本公司不存在未纳入合并财务报表范围的结构化主体中的权益。 </w:t>
      </w:r>
      <w:r>
        <w:rPr>
          <w:rFonts w:ascii="宋体" w:hAnsi="宋体" w:cs="宋体" w:eastAsia="宋体" w:hint="default"/>
          <w:b/>
          <w:bCs/>
          <w:sz w:val="21"/>
          <w:szCs w:val="21"/>
        </w:rPr>
        <w:t>6、其他</w:t>
      </w:r>
      <w:r>
        <w:rPr>
          <w:rFonts w:ascii="宋体" w:hAnsi="宋体" w:cs="宋体" w:eastAsia="宋体" w:hint="default"/>
          <w:sz w:val="21"/>
          <w:szCs w:val="21"/>
        </w:rPr>
      </w:r>
    </w:p>
    <w:p>
      <w:pPr>
        <w:pStyle w:val="Heading4"/>
        <w:spacing w:line="240" w:lineRule="auto" w:before="18"/>
        <w:ind w:right="94"/>
        <w:jc w:val="left"/>
        <w:rPr>
          <w:b w:val="0"/>
          <w:bCs w:val="0"/>
        </w:rPr>
      </w:pP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212" w:firstLine="420"/>
        <w:jc w:val="both"/>
      </w:pPr>
      <w:r>
        <w:rPr>
          <w:w w:val="95"/>
        </w:rPr>
        <w:t>本公司的经营活动会面临各种金融风险：信用风险、流动风险和市场风险（主要为汇率风险和利率风</w:t>
      </w:r>
      <w:r>
        <w:rPr>
          <w:w w:val="99"/>
        </w:rPr>
        <w:t> </w:t>
      </w:r>
      <w:r>
        <w:rPr>
          <w:w w:val="95"/>
        </w:rPr>
        <w:t>险）。本公司整体的风险管理计划针对金融市场的不可预见性，力求减少对本公司财务业绩的潜在不利影   </w:t>
      </w:r>
      <w:r>
        <w:rPr>
          <w:spacing w:val="37"/>
          <w:w w:val="95"/>
        </w:rPr>
        <w:t> </w:t>
      </w:r>
      <w:r>
        <w:rPr>
          <w:spacing w:val="37"/>
          <w:w w:val="95"/>
        </w:rPr>
      </w:r>
      <w:r>
        <w:rPr/>
        <w:t>响。</w:t>
      </w:r>
    </w:p>
    <w:p>
      <w:pPr>
        <w:pStyle w:val="BodyText"/>
        <w:spacing w:line="273" w:lineRule="auto"/>
        <w:ind w:left="892" w:right="94" w:firstLine="67"/>
        <w:jc w:val="left"/>
      </w:pPr>
      <w:r>
        <w:rPr>
          <w:rFonts w:ascii="宋体" w:hAnsi="宋体" w:cs="宋体" w:eastAsia="宋体" w:hint="default"/>
          <w:b/>
          <w:bCs/>
        </w:rPr>
        <w:t>1.信用风险</w:t>
      </w:r>
      <w:r>
        <w:rPr>
          <w:rFonts w:ascii="宋体" w:hAnsi="宋体" w:cs="宋体" w:eastAsia="宋体" w:hint="default"/>
          <w:b/>
          <w:bCs/>
          <w:w w:val="99"/>
        </w:rPr>
        <w:t> </w:t>
      </w:r>
      <w:r>
        <w:rPr>
          <w:spacing w:val="-1"/>
          <w:w w:val="95"/>
        </w:rPr>
        <w:t>本公司的信用风险主要来自货币资金、应收票据、应收账款、其他应收款和可供出售金融资产等。</w:t>
      </w:r>
      <w:r>
        <w:rPr>
          <w:spacing w:val="-1"/>
        </w:rPr>
      </w:r>
    </w:p>
    <w:p>
      <w:pPr>
        <w:pStyle w:val="BodyText"/>
        <w:spacing w:line="273" w:lineRule="auto"/>
        <w:ind w:left="892" w:right="94" w:hanging="420"/>
        <w:jc w:val="left"/>
      </w:pPr>
      <w:r>
        <w:rPr/>
        <w:t>管理层已制定适当的信用政策，并且不断监察这些信用风险的敞口。</w:t>
      </w:r>
      <w:r>
        <w:rPr>
          <w:w w:val="99"/>
        </w:rPr>
        <w:t> </w:t>
      </w:r>
      <w:r>
        <w:rPr>
          <w:w w:val="95"/>
        </w:rPr>
        <w:t>本公司持有的货币资金，主要存放于国有控股银行和其他大中型商业银行等金融机构，管理层认</w:t>
      </w:r>
      <w:r>
        <w:rPr/>
      </w:r>
    </w:p>
    <w:p>
      <w:pPr>
        <w:pStyle w:val="BodyText"/>
        <w:spacing w:line="273" w:lineRule="auto"/>
        <w:ind w:left="472" w:right="94"/>
        <w:jc w:val="left"/>
      </w:pPr>
      <w:r>
        <w:rPr>
          <w:w w:val="95"/>
        </w:rPr>
        <w:t>为这些商业银行具备较高信誉和资产状况，不存在重大的信用风险，不会产生因对方单位违约而导致</w:t>
      </w:r>
      <w:r>
        <w:rPr>
          <w:spacing w:val="38"/>
          <w:w w:val="95"/>
        </w:rPr>
        <w:t> </w:t>
      </w:r>
      <w:r>
        <w:rPr>
          <w:spacing w:val="38"/>
          <w:w w:val="95"/>
        </w:rPr>
      </w:r>
      <w:r>
        <w:rPr/>
        <w:t>的任何重大损失。</w:t>
      </w:r>
    </w:p>
    <w:p>
      <w:pPr>
        <w:pStyle w:val="BodyText"/>
        <w:spacing w:line="273" w:lineRule="auto"/>
        <w:ind w:left="472" w:right="253" w:firstLine="420"/>
        <w:jc w:val="both"/>
      </w:pPr>
      <w:r>
        <w:rPr>
          <w:w w:val="95"/>
        </w:rPr>
        <w:t>对于应收账款、其他应收款和应收票据，本公司设定相关政策以控制信用风险敞口。本公司基于</w:t>
      </w:r>
      <w:r>
        <w:rPr>
          <w:w w:val="99"/>
        </w:rPr>
        <w:t> </w:t>
      </w:r>
      <w:r>
        <w:rPr>
          <w:w w:val="95"/>
        </w:rPr>
        <w:t>对客户的财务状况、从第三方获取担保的可能性、信用记录及其它因素诸如目前市场状况等评估客户</w:t>
      </w:r>
      <w:r>
        <w:rPr>
          <w:spacing w:val="38"/>
          <w:w w:val="95"/>
        </w:rPr>
        <w:t> </w:t>
      </w:r>
      <w:r>
        <w:rPr>
          <w:spacing w:val="38"/>
          <w:w w:val="95"/>
        </w:rPr>
      </w:r>
      <w:r>
        <w:rPr>
          <w:w w:val="95"/>
        </w:rPr>
        <w:t>的信用资质并设置相应信用期。本公司会定期对客户信用记录进行监控，对于信用记录不良的客户，</w:t>
      </w:r>
      <w:r>
        <w:rPr>
          <w:spacing w:val="38"/>
          <w:w w:val="95"/>
        </w:rPr>
        <w:t> </w:t>
      </w:r>
      <w:r>
        <w:rPr>
          <w:spacing w:val="38"/>
          <w:w w:val="95"/>
        </w:rPr>
      </w:r>
      <w:r>
        <w:rPr>
          <w:w w:val="95"/>
        </w:rPr>
        <w:t>本公司会采用书面催款、缩短信用期或取消信用期等方式，以确保本公司的整体信用风险在可控的范  </w:t>
      </w:r>
      <w:r>
        <w:rPr>
          <w:spacing w:val="38"/>
          <w:w w:val="95"/>
        </w:rPr>
        <w:t> </w:t>
      </w:r>
      <w:r>
        <w:rPr>
          <w:spacing w:val="38"/>
          <w:w w:val="95"/>
        </w:rPr>
      </w:r>
      <w:r>
        <w:rPr/>
        <w:t>围内。</w:t>
      </w:r>
    </w:p>
    <w:p>
      <w:pPr>
        <w:pStyle w:val="BodyText"/>
        <w:spacing w:line="273" w:lineRule="auto"/>
        <w:ind w:left="472" w:right="253" w:firstLine="420"/>
        <w:jc w:val="both"/>
      </w:pPr>
      <w:r>
        <w:rPr/>
        <w:t>截止2017年12月31日，本公司的前五大客户的应收账款占本公司应收账款总额20.94%</w:t>
      </w:r>
      <w:r>
        <w:rPr>
          <w:spacing w:val="-19"/>
        </w:rPr>
        <w:t> </w:t>
      </w:r>
      <w:r>
        <w:rPr/>
        <w:t>(2016年：</w:t>
      </w:r>
      <w:r>
        <w:rPr>
          <w:w w:val="99"/>
        </w:rPr>
        <w:t> </w:t>
      </w:r>
      <w:r>
        <w:rPr/>
        <w:t>18.86%)</w:t>
      </w:r>
      <w:r>
        <w:rPr>
          <w:spacing w:val="-3"/>
        </w:rPr>
        <w:t> </w:t>
      </w:r>
      <w:r>
        <w:rPr/>
        <w:t>。</w:t>
      </w:r>
    </w:p>
    <w:p>
      <w:pPr>
        <w:pStyle w:val="BodyText"/>
        <w:spacing w:line="273" w:lineRule="auto"/>
        <w:ind w:left="472" w:right="253" w:firstLine="420"/>
        <w:jc w:val="both"/>
      </w:pPr>
      <w:r>
        <w:rPr>
          <w:w w:val="95"/>
        </w:rPr>
        <w:t>本公司投资的银行理财产品，交易对方的信用评级须高于或与本公司相同。鉴于交易对方的信用</w:t>
      </w:r>
      <w:r>
        <w:rPr>
          <w:w w:val="99"/>
        </w:rPr>
        <w:t> </w:t>
      </w:r>
      <w:r>
        <w:rPr/>
        <w:t>评级良好，本公司管理层并不预期交易对方会无法履行义务。</w:t>
      </w:r>
    </w:p>
    <w:p>
      <w:pPr>
        <w:pStyle w:val="BodyText"/>
        <w:spacing w:line="273" w:lineRule="auto"/>
        <w:ind w:left="472" w:right="94" w:firstLine="420"/>
        <w:jc w:val="left"/>
      </w:pPr>
      <w:r>
        <w:rPr/>
        <w:t>本公司所承受的最大信用风险敞口为资产负债表中每项金融资产(包括衍生金融工具)</w:t>
      </w:r>
      <w:r>
        <w:rPr>
          <w:spacing w:val="-9"/>
        </w:rPr>
        <w:t> </w:t>
      </w:r>
      <w:r>
        <w:rPr/>
        <w:t>的账面金</w:t>
      </w:r>
      <w:r>
        <w:rPr>
          <w:w w:val="99"/>
        </w:rPr>
        <w:t> </w:t>
      </w:r>
      <w:r>
        <w:rPr>
          <w:w w:val="95"/>
        </w:rPr>
        <w:t>额。除附注十二所载本公司作出的财务担保外，本公司没有提供任何其他可能令本公司承受信用风险</w:t>
      </w:r>
      <w:r>
        <w:rPr>
          <w:spacing w:val="38"/>
          <w:w w:val="95"/>
        </w:rPr>
        <w:t> </w:t>
      </w:r>
      <w:r>
        <w:rPr>
          <w:spacing w:val="38"/>
          <w:w w:val="95"/>
        </w:rPr>
      </w:r>
      <w:r>
        <w:rPr/>
        <w:t>的担保。</w:t>
      </w:r>
    </w:p>
    <w:p>
      <w:pPr>
        <w:pStyle w:val="BodyText"/>
        <w:spacing w:line="273" w:lineRule="auto" w:before="127"/>
        <w:ind w:left="892" w:right="94" w:firstLine="67"/>
        <w:jc w:val="left"/>
      </w:pPr>
      <w:r>
        <w:rPr>
          <w:rFonts w:ascii="宋体" w:hAnsi="宋体" w:cs="宋体" w:eastAsia="宋体" w:hint="default"/>
          <w:b/>
          <w:bCs/>
        </w:rPr>
        <w:t>2.流动性风险</w:t>
      </w:r>
      <w:r>
        <w:rPr>
          <w:rFonts w:ascii="宋体" w:hAnsi="宋体" w:cs="宋体" w:eastAsia="宋体" w:hint="default"/>
          <w:b/>
          <w:bCs/>
          <w:w w:val="99"/>
        </w:rPr>
        <w:t> </w:t>
      </w:r>
      <w:r>
        <w:rPr>
          <w:w w:val="95"/>
        </w:rPr>
        <w:t>流动性风险是指本公司无法及时获得充足资金,满足业务发展需要或偿付到期债务以及其他支付</w:t>
      </w:r>
      <w:r>
        <w:rPr/>
      </w:r>
    </w:p>
    <w:p>
      <w:pPr>
        <w:pStyle w:val="BodyText"/>
        <w:spacing w:line="240" w:lineRule="auto"/>
        <w:ind w:left="472" w:right="94"/>
        <w:jc w:val="left"/>
      </w:pPr>
      <w:r>
        <w:rPr/>
        <w:t>义务的风险。</w:t>
      </w:r>
    </w:p>
    <w:p>
      <w:pPr>
        <w:pStyle w:val="BodyText"/>
        <w:spacing w:line="273" w:lineRule="auto" w:before="37"/>
        <w:ind w:left="472" w:right="253" w:firstLine="420"/>
        <w:jc w:val="both"/>
      </w:pPr>
      <w:r>
        <w:rPr>
          <w:w w:val="95"/>
        </w:rPr>
        <w:t>本公司财务部门持续监控公司短期和长期的资金需求，以确保维持充裕的现金储备；同时持续监</w:t>
      </w:r>
      <w:r>
        <w:rPr>
          <w:w w:val="99"/>
        </w:rPr>
        <w:t> </w:t>
      </w:r>
      <w:r>
        <w:rPr>
          <w:w w:val="95"/>
        </w:rPr>
        <w:t>控是否符合借款协议的规定，从主要金融机构获得提供足够备用资金的承诺，以满足短期和长期的资</w:t>
      </w:r>
      <w:r>
        <w:rPr>
          <w:spacing w:val="38"/>
          <w:w w:val="95"/>
        </w:rPr>
        <w:t> </w:t>
      </w:r>
      <w:r>
        <w:rPr>
          <w:spacing w:val="38"/>
          <w:w w:val="95"/>
        </w:rPr>
      </w:r>
      <w:r>
        <w:rPr/>
        <w:t>金需求。</w:t>
      </w:r>
    </w:p>
    <w:p>
      <w:pPr>
        <w:pStyle w:val="BodyText"/>
        <w:spacing w:line="273" w:lineRule="auto"/>
        <w:ind w:left="892" w:right="94"/>
        <w:jc w:val="left"/>
      </w:pPr>
      <w:r>
        <w:rPr>
          <w:rFonts w:ascii="宋体" w:hAnsi="宋体" w:cs="宋体" w:eastAsia="宋体" w:hint="default"/>
          <w:b/>
          <w:bCs/>
        </w:rPr>
        <w:t>3.汇率风险</w:t>
      </w:r>
      <w:r>
        <w:rPr>
          <w:rFonts w:ascii="宋体" w:hAnsi="宋体" w:cs="宋体" w:eastAsia="宋体" w:hint="default"/>
          <w:b/>
          <w:bCs/>
          <w:w w:val="99"/>
        </w:rPr>
        <w:t> </w:t>
      </w:r>
      <w:r>
        <w:rPr>
          <w:w w:val="95"/>
        </w:rPr>
        <w:t>本公司的主要经营位于中国境内，主要业务以人民币结算。但本公司已确认的外币资产和负债及</w:t>
      </w:r>
      <w:r>
        <w:rPr/>
      </w:r>
    </w:p>
    <w:p>
      <w:pPr>
        <w:pStyle w:val="BodyText"/>
        <w:spacing w:line="273" w:lineRule="auto"/>
        <w:ind w:left="472" w:right="94"/>
        <w:jc w:val="left"/>
      </w:pPr>
      <w:r>
        <w:rPr>
          <w:spacing w:val="-1"/>
          <w:w w:val="95"/>
        </w:rPr>
        <w:t>未来的外币交易依然存在汇率风险。本公司财务部门负责监控公司外币交易和外币资产及负债的规模，</w:t>
      </w:r>
      <w:r>
        <w:rPr>
          <w:spacing w:val="31"/>
          <w:w w:val="95"/>
        </w:rPr>
        <w:t> </w:t>
      </w:r>
      <w:r>
        <w:rPr>
          <w:spacing w:val="31"/>
          <w:w w:val="95"/>
        </w:rPr>
      </w:r>
      <w:r>
        <w:rPr/>
        <w:t>以最大程度降低面临的汇率风险。</w:t>
      </w:r>
    </w:p>
    <w:p>
      <w:pPr>
        <w:pStyle w:val="BodyText"/>
        <w:spacing w:line="240" w:lineRule="auto"/>
        <w:ind w:left="892" w:right="94"/>
        <w:jc w:val="left"/>
      </w:pPr>
      <w:r>
        <w:rPr/>
        <w:t>（2）截止2017年12月31日，本公司持有的外币金融资产和外币金融负债详见本报告六、注释48.</w:t>
      </w:r>
    </w:p>
    <w:p>
      <w:pPr>
        <w:spacing w:after="0" w:line="240" w:lineRule="auto"/>
        <w:jc w:val="left"/>
        <w:sectPr>
          <w:pgSz w:w="11910" w:h="16840"/>
          <w:pgMar w:header="746" w:footer="937" w:top="1040" w:bottom="1120" w:left="1020" w:right="920"/>
        </w:sectPr>
      </w:pPr>
    </w:p>
    <w:p>
      <w:pPr>
        <w:spacing w:line="240" w:lineRule="auto" w:before="6"/>
        <w:rPr>
          <w:rFonts w:ascii="宋体" w:hAnsi="宋体" w:cs="宋体" w:eastAsia="宋体" w:hint="default"/>
          <w:sz w:val="25"/>
          <w:szCs w:val="25"/>
        </w:rPr>
      </w:pPr>
    </w:p>
    <w:p>
      <w:pPr>
        <w:pStyle w:val="BodyText"/>
        <w:spacing w:line="273" w:lineRule="auto" w:before="34"/>
        <w:ind w:left="892" w:right="0"/>
        <w:jc w:val="left"/>
      </w:pPr>
      <w:r>
        <w:rPr>
          <w:rFonts w:ascii="宋体" w:hAnsi="宋体" w:cs="宋体" w:eastAsia="宋体" w:hint="default"/>
          <w:b/>
          <w:bCs/>
        </w:rPr>
        <w:t>4.利率风险</w:t>
      </w:r>
      <w:r>
        <w:rPr>
          <w:rFonts w:ascii="宋体" w:hAnsi="宋体" w:cs="宋体" w:eastAsia="宋体" w:hint="default"/>
          <w:b/>
          <w:bCs/>
          <w:w w:val="99"/>
        </w:rPr>
        <w:t> </w:t>
      </w:r>
      <w:r>
        <w:rPr>
          <w:w w:val="95"/>
        </w:rPr>
        <w:t>本公司的利率风险主要产生于银行借款</w:t>
      </w:r>
      <w:r>
        <w:rPr>
          <w:color w:val="0000CC"/>
          <w:w w:val="95"/>
        </w:rPr>
        <w:t>。</w:t>
      </w:r>
      <w:r>
        <w:rPr>
          <w:w w:val="95"/>
        </w:rPr>
        <w:t>浮动利率的金融负债使本公司面临现金流量利率风险，</w:t>
      </w:r>
      <w:r>
        <w:rPr/>
      </w:r>
    </w:p>
    <w:p>
      <w:pPr>
        <w:pStyle w:val="BodyText"/>
        <w:spacing w:line="273" w:lineRule="auto"/>
        <w:ind w:left="472" w:right="0"/>
        <w:jc w:val="left"/>
      </w:pPr>
      <w:r>
        <w:rPr>
          <w:w w:val="95"/>
        </w:rPr>
        <w:t>固定利率的金融负债使本公司面临公允价值利率风险。本公司根据当时的市场环境来决定固定利率及</w:t>
      </w:r>
      <w:r>
        <w:rPr>
          <w:spacing w:val="38"/>
          <w:w w:val="95"/>
        </w:rPr>
        <w:t> </w:t>
      </w:r>
      <w:r>
        <w:rPr>
          <w:spacing w:val="38"/>
          <w:w w:val="95"/>
        </w:rPr>
      </w:r>
      <w:r>
        <w:rPr/>
        <w:t>浮动利率合同的相对比例。</w:t>
      </w:r>
    </w:p>
    <w:p>
      <w:pPr>
        <w:pStyle w:val="BodyText"/>
        <w:spacing w:line="273" w:lineRule="auto"/>
        <w:ind w:left="472" w:right="153" w:firstLine="420"/>
        <w:jc w:val="both"/>
      </w:pPr>
      <w:r>
        <w:rPr>
          <w:w w:val="95"/>
        </w:rPr>
        <w:t>本公司财务部门持续监控公司利率水平。利率上升会增加新增带息债务的成本以及本公司尚未付</w:t>
      </w:r>
      <w:r>
        <w:rPr>
          <w:w w:val="99"/>
        </w:rPr>
        <w:t> </w:t>
      </w:r>
      <w:r>
        <w:rPr>
          <w:w w:val="95"/>
        </w:rPr>
        <w:t>清的以浮动利率计息的带息债务的利息支出，并对本公司的财务业绩产生重大的不利影响，管理层会</w:t>
      </w:r>
      <w:r>
        <w:rPr>
          <w:spacing w:val="38"/>
          <w:w w:val="95"/>
        </w:rPr>
        <w:t> </w:t>
      </w:r>
      <w:r>
        <w:rPr>
          <w:spacing w:val="38"/>
          <w:w w:val="95"/>
        </w:rPr>
      </w:r>
      <w:r>
        <w:rPr/>
        <w:t>依据最新的市场状况及时做出调整。</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t>1、以公允价值计量的资产和负债的期末公允价值</w:t>
      </w:r>
      <w:r>
        <w:rPr>
          <w:b w:val="0"/>
          <w:bCs w:val="0"/>
        </w:rPr>
      </w:r>
    </w:p>
    <w:p>
      <w:pPr>
        <w:spacing w:line="240" w:lineRule="auto" w:before="7"/>
        <w:rPr>
          <w:rFonts w:ascii="宋体" w:hAnsi="宋体" w:cs="宋体" w:eastAsia="宋体" w:hint="default"/>
          <w:b/>
          <w:bCs/>
          <w:sz w:val="27"/>
          <w:szCs w:val="27"/>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2、持续和非持续第一层次公允价值计量项目市价的确定依据</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3、持续和非持续第二层次公允价值计量项目，采用的估值技术和重要参数的定性及定量信息</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4、持续和非持续第三层次公允价值计量项目，采用的估值技术和重要参数的定性及定量信息</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5、持续的第三层次公允价值计量项目，期初与期末账面价值间的调节信息及不可观察参数敏感性分析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6、持续的公允价值计量项目，本期内发生各层级之间转换的，转换的原因及确定转换时点的政策</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7、本期内发生的估值技术变更及变更原因</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8、不以公允价值计量的金融资产和金融负债的公允价值情况</w:t>
      </w:r>
      <w:r>
        <w:rPr>
          <w:b w:val="0"/>
          <w:bCs w:val="0"/>
        </w:rPr>
      </w:r>
    </w:p>
    <w:p>
      <w:pPr>
        <w:spacing w:line="240" w:lineRule="auto" w:before="12"/>
        <w:rPr>
          <w:rFonts w:ascii="宋体" w:hAnsi="宋体" w:cs="宋体" w:eastAsia="宋体" w:hint="default"/>
          <w:b/>
          <w:bCs/>
          <w:sz w:val="25"/>
          <w:szCs w:val="25"/>
        </w:rPr>
      </w:pPr>
    </w:p>
    <w:p>
      <w:pPr>
        <w:spacing w:line="501" w:lineRule="auto" w:before="0"/>
        <w:ind w:left="112" w:right="7083" w:firstLine="0"/>
        <w:jc w:val="left"/>
        <w:rPr>
          <w:rFonts w:ascii="宋体" w:hAnsi="宋体" w:cs="宋体" w:eastAsia="宋体" w:hint="default"/>
          <w:sz w:val="21"/>
          <w:szCs w:val="21"/>
        </w:rPr>
      </w:pPr>
      <w:r>
        <w:rPr>
          <w:rFonts w:ascii="宋体" w:hAnsi="宋体" w:cs="宋体" w:eastAsia="宋体" w:hint="default"/>
          <w:b/>
          <w:bCs/>
          <w:sz w:val="21"/>
          <w:szCs w:val="21"/>
        </w:rPr>
        <w:t>9、其他</w:t>
      </w:r>
      <w:r>
        <w:rPr>
          <w:rFonts w:ascii="宋体" w:hAnsi="宋体" w:cs="宋体" w:eastAsia="宋体" w:hint="default"/>
          <w:b/>
          <w:bCs/>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宋体" w:hAnsi="宋体" w:cs="宋体" w:eastAsia="宋体" w:hint="default"/>
          <w:b/>
          <w:bCs/>
          <w:sz w:val="21"/>
          <w:szCs w:val="21"/>
        </w:rPr>
        <w:t>1、本企业的母公司情况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0" w:hanging="269"/>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0"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王中胜</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6.06%</w:t>
            </w:r>
          </w:p>
        </w:tc>
      </w:tr>
    </w:tbl>
    <w:p>
      <w:pPr>
        <w:spacing w:after="0" w:line="240" w:lineRule="auto"/>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b/>
          <w:bCs/>
          <w:sz w:val="29"/>
          <w:szCs w:val="29"/>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杨世宁</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5.70%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5.70%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杨新子</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3.86%</w:t>
            </w:r>
          </w:p>
        </w:tc>
      </w:tr>
    </w:tbl>
    <w:p>
      <w:pPr>
        <w:spacing w:line="360" w:lineRule="auto" w:before="50"/>
        <w:ind w:left="112" w:right="199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本企业的母公司情况的说明：上述持股比例未考虑收购成都赛英科技有限公司而增加股份的影响。 本企业最终控制方是。</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78" w:lineRule="auto" w:before="0"/>
        <w:ind w:left="112" w:right="4904" w:firstLine="0"/>
        <w:jc w:val="left"/>
        <w:rPr>
          <w:rFonts w:ascii="宋体" w:hAnsi="宋体" w:cs="宋体" w:eastAsia="宋体" w:hint="default"/>
          <w:sz w:val="21"/>
          <w:szCs w:val="21"/>
        </w:rPr>
      </w:pPr>
      <w:r>
        <w:rPr>
          <w:rFonts w:ascii="宋体" w:hAnsi="宋体" w:cs="宋体" w:eastAsia="宋体" w:hint="default"/>
          <w:b/>
          <w:bCs/>
          <w:sz w:val="21"/>
          <w:szCs w:val="21"/>
        </w:rPr>
        <w:t>2、本企业的子公司情况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本企业子公司的情况详见附注七（一）在子公司中的权益。 </w:t>
      </w:r>
      <w:r>
        <w:rPr>
          <w:rFonts w:ascii="宋体" w:hAnsi="宋体" w:cs="宋体" w:eastAsia="宋体" w:hint="default"/>
          <w:b/>
          <w:bCs/>
          <w:sz w:val="21"/>
          <w:szCs w:val="21"/>
        </w:rPr>
        <w:t>3、本企业合营和联营企业情况</w:t>
      </w:r>
      <w:r>
        <w:rPr>
          <w:rFonts w:ascii="宋体" w:hAnsi="宋体" w:cs="宋体" w:eastAsia="宋体" w:hint="default"/>
          <w:sz w:val="21"/>
          <w:szCs w:val="21"/>
        </w:rPr>
      </w:r>
    </w:p>
    <w:p>
      <w:pPr>
        <w:spacing w:line="357" w:lineRule="auto" w:before="66"/>
        <w:ind w:left="112" w:right="127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本企业重要的合营或联营企业详见附注七（二）在合营安排或联营企业中的权益。 本期与本公司发生关联方交易，或前期与本公司发生关联方交易形成余额的其他合营或联营企业情况如下：</w:t>
      </w: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7;height:397" coordorigin="13,12" coordsize="4777,397">
              <v:shape style="position:absolute;left:13;top:12;width:4777;height:397" coordorigin="13,12" coordsize="4777,397" path="m13,12l4790,12,4790,409,13,409,13,12xe" filled="true" fillcolor="#d2d2d2" stroked="false">
                <v:path arrowok="t"/>
                <v:fill type="solid"/>
              </v:shape>
            </v:group>
            <v:group style="position:absolute;left:4795;top:12;width:4781;height:397" coordorigin="4795,12" coordsize="4781,397">
              <v:shape style="position:absolute;left:4795;top:12;width:4781;height:397" coordorigin="4795,12" coordsize="4781,397" path="m4795,12l9576,12,9576,409,4795,409,4795,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5"/>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spacing w:before="64"/>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4、其他关联方情况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2914"/>
        <w:gridCol w:w="6654"/>
      </w:tblGrid>
      <w:tr>
        <w:trPr>
          <w:trHeight w:val="402" w:hRule="exact"/>
        </w:trPr>
        <w:tc>
          <w:tcPr>
            <w:tcW w:w="2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6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2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王夕众</w:t>
            </w:r>
          </w:p>
        </w:tc>
        <w:tc>
          <w:tcPr>
            <w:tcW w:w="66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董事、烟台华东电子软件技术有限公司董事</w:t>
            </w:r>
          </w:p>
        </w:tc>
      </w:tr>
      <w:tr>
        <w:trPr>
          <w:trHeight w:val="402" w:hRule="exact"/>
        </w:trPr>
        <w:tc>
          <w:tcPr>
            <w:tcW w:w="2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李天华</w:t>
            </w:r>
          </w:p>
        </w:tc>
        <w:tc>
          <w:tcPr>
            <w:tcW w:w="66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2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66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董事、副总经理、董秘</w:t>
            </w:r>
          </w:p>
        </w:tc>
      </w:tr>
      <w:tr>
        <w:trPr>
          <w:trHeight w:val="402" w:hRule="exact"/>
        </w:trPr>
        <w:tc>
          <w:tcPr>
            <w:tcW w:w="2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孙胜</w:t>
            </w:r>
          </w:p>
        </w:tc>
        <w:tc>
          <w:tcPr>
            <w:tcW w:w="66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2" w:hRule="exact"/>
        </w:trPr>
        <w:tc>
          <w:tcPr>
            <w:tcW w:w="2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孔梅</w:t>
            </w:r>
          </w:p>
        </w:tc>
        <w:tc>
          <w:tcPr>
            <w:tcW w:w="66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副总经理、子公司安徽皖通城市智能交通科技有限公司董事长。</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5、关联交易情况</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（1）购销商品、提供和接受劳务的关联交易</w:t>
      </w:r>
      <w:r>
        <w:rPr>
          <w:b w:val="0"/>
          <w:bCs w:val="0"/>
        </w:rPr>
      </w:r>
    </w:p>
    <w:p>
      <w:pPr>
        <w:spacing w:line="240" w:lineRule="auto" w:before="4"/>
        <w:rPr>
          <w:rFonts w:ascii="宋体" w:hAnsi="宋体" w:cs="宋体" w:eastAsia="宋体" w:hint="default"/>
          <w:b/>
          <w:bCs/>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采购商品/接受劳务情况表</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（2）关联受托管理/承包及委托管理/出包情况</w:t>
      </w:r>
      <w:r>
        <w:rPr>
          <w:b w:val="0"/>
          <w:bCs w:val="0"/>
        </w:rPr>
      </w:r>
    </w:p>
    <w:p>
      <w:pPr>
        <w:spacing w:line="240" w:lineRule="auto" w:before="4"/>
        <w:rPr>
          <w:rFonts w:ascii="宋体" w:hAnsi="宋体" w:cs="宋体" w:eastAsia="宋体" w:hint="default"/>
          <w:b/>
          <w:bCs/>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本公司受托管理/承包情况表：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35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委托方/出包方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受托方/承包方</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受托/承包资产</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受托/承包起始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受托/承包终止</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托管收益/承包</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48" w:right="0"/>
              <w:jc w:val="left"/>
              <w:rPr>
                <w:rFonts w:ascii="宋体" w:hAnsi="宋体" w:cs="宋体" w:eastAsia="宋体" w:hint="default"/>
                <w:sz w:val="18"/>
                <w:szCs w:val="18"/>
              </w:rPr>
            </w:pPr>
            <w:r>
              <w:rPr>
                <w:rFonts w:ascii="宋体" w:hAnsi="宋体" w:cs="宋体" w:eastAsia="宋体" w:hint="default"/>
                <w:sz w:val="18"/>
                <w:szCs w:val="18"/>
              </w:rPr>
              <w:t>本期确认的托管</w:t>
            </w:r>
          </w:p>
        </w:tc>
      </w:tr>
      <w:tr>
        <w:trPr>
          <w:trHeight w:val="35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收益定价依据</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收益/承包收益</w:t>
            </w:r>
          </w:p>
        </w:tc>
      </w:tr>
    </w:tbl>
    <w:p>
      <w:pPr>
        <w:spacing w:after="0" w:line="240" w:lineRule="auto"/>
        <w:jc w:val="left"/>
        <w:rPr>
          <w:rFonts w:ascii="宋体" w:hAnsi="宋体" w:cs="宋体" w:eastAsia="宋体" w:hint="default"/>
          <w:sz w:val="18"/>
          <w:szCs w:val="18"/>
        </w:rPr>
        <w:sectPr>
          <w:footerReference w:type="default" r:id="rId33"/>
          <w:pgSz w:w="11910" w:h="16840"/>
          <w:pgMar w:footer="937" w:header="746" w:top="1040" w:bottom="1120" w:left="1020" w:right="1020"/>
          <w:pgNumType w:start="170"/>
        </w:sectPr>
      </w:pPr>
    </w:p>
    <w:p>
      <w:pPr>
        <w:spacing w:line="357" w:lineRule="auto" w:before="51"/>
        <w:ind w:left="112" w:right="-18" w:firstLine="0"/>
        <w:jc w:val="left"/>
        <w:rPr>
          <w:rFonts w:ascii="宋体" w:hAnsi="宋体" w:cs="宋体" w:eastAsia="宋体" w:hint="default"/>
          <w:sz w:val="18"/>
          <w:szCs w:val="18"/>
        </w:rPr>
      </w:pPr>
      <w:r>
        <w:rPr>
          <w:rFonts w:ascii="宋体" w:hAnsi="宋体" w:cs="宋体" w:eastAsia="宋体" w:hint="default"/>
          <w:sz w:val="18"/>
          <w:szCs w:val="18"/>
        </w:rPr>
        <w:t>关联托管/承包情况说明 本公司委托管理/出包情况表：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20" w:left="1020" w:right="1020"/>
          <w:cols w:num="2" w:equalWidth="0">
            <w:col w:w="2545" w:space="6285"/>
            <w:col w:w="104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359"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委托方/出包方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受托方/承包方</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委托/出包资产</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委托/出包起始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委托/出包终止</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托管费/出包费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本期确认的托管</w:t>
            </w:r>
          </w:p>
        </w:tc>
      </w:tr>
      <w:tr>
        <w:trPr>
          <w:trHeight w:val="35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定价依据</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费/出包费</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关联管理/出包情况说明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（3）关联租赁情况</w:t>
      </w:r>
      <w:r>
        <w:rPr>
          <w:b w:val="0"/>
          <w:bCs w:val="0"/>
        </w:rPr>
      </w:r>
    </w:p>
    <w:p>
      <w:pPr>
        <w:spacing w:line="240" w:lineRule="auto" w:before="2"/>
        <w:rPr>
          <w:rFonts w:ascii="宋体" w:hAnsi="宋体" w:cs="宋体" w:eastAsia="宋体" w:hint="default"/>
          <w:b/>
          <w:bCs/>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（4）关联担保情况</w:t>
      </w:r>
      <w:r>
        <w:rPr>
          <w:b w:val="0"/>
          <w:bCs w:val="0"/>
        </w:rPr>
      </w:r>
    </w:p>
    <w:p>
      <w:pPr>
        <w:spacing w:line="240" w:lineRule="auto" w:before="4"/>
        <w:rPr>
          <w:rFonts w:ascii="宋体" w:hAnsi="宋体" w:cs="宋体" w:eastAsia="宋体" w:hint="default"/>
          <w:b/>
          <w:bCs/>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74"/>
        <w:gridCol w:w="1454"/>
        <w:gridCol w:w="1914"/>
        <w:gridCol w:w="1914"/>
        <w:gridCol w:w="1914"/>
      </w:tblGrid>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22,950,000.00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22,950,000.00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安徽汉高信息科技有限公司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66,300,000.00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after="0"/>
        <w:jc w:val="left"/>
        <w:rPr>
          <w:rFonts w:ascii="宋体" w:hAnsi="宋体" w:cs="宋体" w:eastAsia="宋体" w:hint="default"/>
          <w:sz w:val="18"/>
          <w:szCs w:val="18"/>
        </w:rPr>
        <w:sectPr>
          <w:type w:val="continuous"/>
          <w:pgSz w:w="11910" w:h="16840"/>
          <w:pgMar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（5）关联方资金拆借</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（6）关联方资产转让、债务重组情况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（7）关键管理人员报酬</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331.29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283.41</w:t>
            </w:r>
          </w:p>
        </w:tc>
      </w:tr>
    </w:tbl>
    <w:p>
      <w:pPr>
        <w:spacing w:line="240" w:lineRule="auto" w:before="3"/>
        <w:rPr>
          <w:rFonts w:ascii="宋体" w:hAnsi="宋体" w:cs="宋体" w:eastAsia="宋体" w:hint="default"/>
          <w:sz w:val="19"/>
          <w:szCs w:val="19"/>
        </w:rPr>
      </w:pPr>
    </w:p>
    <w:p>
      <w:pPr>
        <w:pStyle w:val="Heading5"/>
        <w:spacing w:line="537" w:lineRule="auto" w:before="34"/>
        <w:ind w:right="7519"/>
        <w:jc w:val="left"/>
        <w:rPr>
          <w:b w:val="0"/>
          <w:bCs w:val="0"/>
        </w:rPr>
      </w:pPr>
      <w:r>
        <w:rPr/>
        <w:t>（8）其他关联交易：无</w:t>
      </w:r>
      <w:r>
        <w:rPr>
          <w:w w:val="99"/>
        </w:rPr>
        <w:t> </w:t>
      </w:r>
      <w:r>
        <w:rPr/>
        <w:t>6、关联方应收应付款项</w:t>
      </w:r>
      <w:r>
        <w:rPr>
          <w:b w:val="0"/>
          <w:bCs w:val="0"/>
        </w:rPr>
      </w:r>
    </w:p>
    <w:p>
      <w:pPr>
        <w:pStyle w:val="Heading5"/>
        <w:spacing w:line="240" w:lineRule="auto" w:before="77"/>
        <w:ind w:right="0"/>
        <w:jc w:val="left"/>
        <w:rPr>
          <w:b w:val="0"/>
          <w:bCs w:val="0"/>
        </w:rPr>
      </w:pPr>
      <w:r>
        <w:rPr/>
        <w:t>（1）应收项目</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r>
        <w:rPr/>
        <w:t>（2）应付项目</w:t>
      </w:r>
      <w:r>
        <w:rPr>
          <w:b w:val="0"/>
          <w:bCs w:val="0"/>
        </w:rPr>
      </w:r>
    </w:p>
    <w:p>
      <w:pPr>
        <w:spacing w:line="240" w:lineRule="auto" w:before="7"/>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r>
        <w:rPr/>
        <w:t>7、关联方承诺</w:t>
      </w:r>
      <w:r>
        <w:rPr>
          <w:b w:val="0"/>
          <w:bCs w:val="0"/>
        </w:rPr>
      </w:r>
    </w:p>
    <w:p>
      <w:pPr>
        <w:spacing w:line="240" w:lineRule="auto" w:before="10"/>
        <w:rPr>
          <w:rFonts w:ascii="宋体" w:hAnsi="宋体" w:cs="宋体" w:eastAsia="宋体" w:hint="default"/>
          <w:b/>
          <w:bCs/>
          <w:sz w:val="25"/>
          <w:szCs w:val="25"/>
        </w:rPr>
      </w:pPr>
    </w:p>
    <w:p>
      <w:pPr>
        <w:spacing w:line="501" w:lineRule="auto" w:before="0"/>
        <w:ind w:left="112" w:right="7730" w:firstLine="0"/>
        <w:jc w:val="left"/>
        <w:rPr>
          <w:rFonts w:ascii="宋体" w:hAnsi="宋体" w:cs="宋体" w:eastAsia="宋体" w:hint="default"/>
          <w:sz w:val="21"/>
          <w:szCs w:val="21"/>
        </w:rPr>
      </w:pPr>
      <w:r>
        <w:rPr>
          <w:rFonts w:ascii="宋体" w:hAnsi="宋体" w:cs="宋体" w:eastAsia="宋体" w:hint="default"/>
          <w:b/>
          <w:bCs/>
          <w:sz w:val="21"/>
          <w:szCs w:val="21"/>
        </w:rPr>
        <w:t>8、其他</w:t>
      </w:r>
      <w:r>
        <w:rPr>
          <w:rFonts w:ascii="宋体" w:hAnsi="宋体" w:cs="宋体" w:eastAsia="宋体" w:hint="default"/>
          <w:b/>
          <w:bCs/>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宋体" w:hAnsi="宋体" w:cs="宋体" w:eastAsia="宋体" w:hint="default"/>
          <w:b/>
          <w:bCs/>
          <w:sz w:val="21"/>
          <w:szCs w:val="21"/>
        </w:rPr>
        <w:t>1、股份支付总体情况</w:t>
      </w:r>
      <w:r>
        <w:rPr>
          <w:rFonts w:ascii="宋体" w:hAnsi="宋体" w:cs="宋体" w:eastAsia="宋体" w:hint="default"/>
          <w:sz w:val="21"/>
          <w:szCs w:val="21"/>
        </w:rPr>
      </w:r>
    </w:p>
    <w:p>
      <w:pPr>
        <w:spacing w:before="133"/>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2、以权益结算的股份支付情况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3、以现金结算的股份支付情况</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4、股份支付的修改、终止情况</w:t>
      </w:r>
      <w:r>
        <w:rPr>
          <w:b w:val="0"/>
          <w:bCs w:val="0"/>
        </w:rPr>
      </w:r>
    </w:p>
    <w:p>
      <w:pPr>
        <w:spacing w:line="240" w:lineRule="auto" w:before="10"/>
        <w:rPr>
          <w:rFonts w:ascii="宋体" w:hAnsi="宋体" w:cs="宋体" w:eastAsia="宋体" w:hint="default"/>
          <w:b/>
          <w:bCs/>
          <w:sz w:val="25"/>
          <w:szCs w:val="25"/>
        </w:rPr>
      </w:pPr>
    </w:p>
    <w:p>
      <w:pPr>
        <w:spacing w:line="501" w:lineRule="auto" w:before="0"/>
        <w:ind w:left="112" w:right="7324" w:firstLine="0"/>
        <w:jc w:val="left"/>
        <w:rPr>
          <w:rFonts w:ascii="宋体" w:hAnsi="宋体" w:cs="宋体" w:eastAsia="宋体" w:hint="default"/>
          <w:sz w:val="21"/>
          <w:szCs w:val="21"/>
        </w:rPr>
      </w:pPr>
      <w:r>
        <w:rPr>
          <w:rFonts w:ascii="宋体" w:hAnsi="宋体" w:cs="宋体" w:eastAsia="宋体" w:hint="default"/>
          <w:b/>
          <w:bCs/>
          <w:sz w:val="21"/>
          <w:szCs w:val="21"/>
        </w:rPr>
        <w:t>5、其他</w:t>
      </w:r>
      <w:r>
        <w:rPr>
          <w:rFonts w:ascii="宋体" w:hAnsi="宋体" w:cs="宋体" w:eastAsia="宋体" w:hint="default"/>
          <w:b/>
          <w:bCs/>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宋体" w:hAnsi="宋体" w:cs="宋体" w:eastAsia="宋体" w:hint="default"/>
          <w:b/>
          <w:bCs/>
          <w:sz w:val="21"/>
          <w:szCs w:val="21"/>
        </w:rPr>
        <w:t>1、重要承诺事项</w:t>
      </w:r>
      <w:r>
        <w:rPr>
          <w:rFonts w:ascii="宋体" w:hAnsi="宋体" w:cs="宋体" w:eastAsia="宋体" w:hint="default"/>
          <w:sz w:val="21"/>
          <w:szCs w:val="21"/>
        </w:rPr>
      </w:r>
    </w:p>
    <w:p>
      <w:pPr>
        <w:spacing w:before="133"/>
        <w:ind w:left="11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537" w:lineRule="auto" w:before="89"/>
        <w:ind w:left="112" w:right="6164" w:firstLine="0"/>
        <w:jc w:val="left"/>
        <w:rPr>
          <w:rFonts w:ascii="宋体" w:hAnsi="宋体" w:cs="宋体" w:eastAsia="宋体" w:hint="default"/>
          <w:sz w:val="21"/>
          <w:szCs w:val="21"/>
        </w:rPr>
      </w:pPr>
      <w:r>
        <w:rPr>
          <w:rFonts w:ascii="宋体" w:hAnsi="宋体" w:cs="宋体" w:eastAsia="宋体" w:hint="default"/>
          <w:sz w:val="21"/>
          <w:szCs w:val="21"/>
        </w:rPr>
        <w:t>本公司不存在需要披露的重要承诺事项</w:t>
      </w:r>
      <w:r>
        <w:rPr>
          <w:rFonts w:ascii="宋体" w:hAnsi="宋体" w:cs="宋体" w:eastAsia="宋体" w:hint="default"/>
          <w:w w:val="99"/>
          <w:sz w:val="21"/>
          <w:szCs w:val="21"/>
        </w:rPr>
        <w:t> </w:t>
      </w:r>
      <w:r>
        <w:rPr>
          <w:rFonts w:ascii="宋体" w:hAnsi="宋体" w:cs="宋体" w:eastAsia="宋体" w:hint="default"/>
          <w:b/>
          <w:bCs/>
          <w:sz w:val="21"/>
          <w:szCs w:val="21"/>
        </w:rPr>
        <w:t>2、或有事项</w:t>
      </w:r>
      <w:r>
        <w:rPr>
          <w:rFonts w:ascii="宋体" w:hAnsi="宋体" w:cs="宋体" w:eastAsia="宋体" w:hint="default"/>
          <w:sz w:val="21"/>
          <w:szCs w:val="21"/>
        </w:rPr>
      </w:r>
    </w:p>
    <w:p>
      <w:pPr>
        <w:pStyle w:val="Heading5"/>
        <w:spacing w:line="240" w:lineRule="auto" w:before="79"/>
        <w:ind w:right="0"/>
        <w:jc w:val="left"/>
        <w:rPr>
          <w:b w:val="0"/>
          <w:bCs w:val="0"/>
        </w:rPr>
      </w:pPr>
      <w:r>
        <w:rPr/>
        <w:t>（1）资产负债表日存在的重要或有事项</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left="535" w:right="0"/>
        <w:jc w:val="left"/>
        <w:rPr>
          <w:b w:val="0"/>
          <w:bCs w:val="0"/>
        </w:rPr>
      </w:pPr>
      <w:r>
        <w:rPr/>
        <w:t>1.开出保函、信用证</w:t>
      </w:r>
      <w:r>
        <w:rPr>
          <w:b w:val="0"/>
          <w:bCs w:val="0"/>
        </w:rPr>
      </w:r>
    </w:p>
    <w:p>
      <w:pPr>
        <w:pStyle w:val="BodyText"/>
        <w:spacing w:line="273" w:lineRule="auto" w:before="37"/>
        <w:ind w:right="0" w:firstLine="420"/>
        <w:jc w:val="left"/>
      </w:pPr>
      <w:r>
        <w:rPr>
          <w:w w:val="95"/>
        </w:rPr>
        <w:t>（1）本公司获得银行承兑汇票保证金额3,893,895.00元；银行保函金额59,527,789.22元，其中：履</w:t>
      </w:r>
      <w:r>
        <w:rPr>
          <w:w w:val="99"/>
        </w:rPr>
        <w:t> </w:t>
      </w:r>
      <w:r>
        <w:rPr/>
        <w:t>约保函金额31,258,330.57元，预付款保函金额858,057.00元，投标保证金额6,400,000.00元，信贷保函</w:t>
      </w:r>
      <w:r>
        <w:rPr>
          <w:w w:val="99"/>
        </w:rPr>
        <w:t> </w:t>
      </w:r>
      <w:r>
        <w:rPr/>
        <w:t>20,000,000.00元，质保保函1,011,401.65元。</w:t>
      </w:r>
    </w:p>
    <w:p>
      <w:pPr>
        <w:pStyle w:val="BodyText"/>
        <w:spacing w:line="273" w:lineRule="auto"/>
        <w:ind w:right="0" w:firstLine="420"/>
        <w:jc w:val="left"/>
      </w:pPr>
      <w:r>
        <w:rPr>
          <w:w w:val="95"/>
        </w:rPr>
        <w:t>（2）子公司烟台华东电子软件技术有限公司获取中国光大银行烟台分行综合授信，本年度申请了履</w:t>
      </w:r>
      <w:r>
        <w:rPr>
          <w:spacing w:val="-85"/>
          <w:w w:val="95"/>
        </w:rPr>
        <w:t> </w:t>
      </w:r>
      <w:r>
        <w:rPr>
          <w:spacing w:val="-85"/>
          <w:w w:val="95"/>
        </w:rPr>
      </w:r>
      <w:r>
        <w:rPr/>
        <w:t>约保函金额2,863,766.70元。</w:t>
      </w:r>
    </w:p>
    <w:p>
      <w:pPr>
        <w:pStyle w:val="BodyText"/>
        <w:spacing w:line="273" w:lineRule="auto"/>
        <w:ind w:right="0" w:firstLine="420"/>
        <w:jc w:val="left"/>
      </w:pPr>
      <w:r>
        <w:rPr>
          <w:w w:val="95"/>
        </w:rPr>
        <w:t>（3）子公司安徽汉高信息科技有限公司获得银行承兑汇票保证金额9,403,012.00元；银行保函金额</w:t>
      </w:r>
      <w:r>
        <w:rPr>
          <w:spacing w:val="-85"/>
          <w:w w:val="95"/>
        </w:rPr>
        <w:t> </w:t>
      </w:r>
      <w:r>
        <w:rPr>
          <w:spacing w:val="-85"/>
          <w:w w:val="95"/>
        </w:rPr>
      </w:r>
      <w:r>
        <w:rPr/>
        <w:t>16,436,440.93元，均为履约保函金额16,436,440.93元。</w:t>
      </w:r>
    </w:p>
    <w:p>
      <w:pPr>
        <w:pStyle w:val="BodyText"/>
        <w:spacing w:line="273" w:lineRule="auto"/>
        <w:ind w:right="2753" w:firstLine="422"/>
        <w:jc w:val="left"/>
      </w:pPr>
      <w:r>
        <w:rPr>
          <w:rFonts w:ascii="宋体" w:hAnsi="宋体" w:cs="宋体" w:eastAsia="宋体" w:hint="default"/>
          <w:b/>
          <w:bCs/>
        </w:rPr>
        <w:t>2.其他事项</w:t>
      </w:r>
      <w:r>
        <w:rPr>
          <w:rFonts w:ascii="宋体" w:hAnsi="宋体" w:cs="宋体" w:eastAsia="宋体" w:hint="default"/>
          <w:b/>
          <w:bCs/>
          <w:w w:val="99"/>
        </w:rPr>
        <w:t> </w:t>
      </w:r>
      <w:r>
        <w:rPr>
          <w:w w:val="95"/>
        </w:rPr>
        <w:t>截至2017年12月31日止，本公司无其他需要披露的重要或有事项</w:t>
      </w:r>
      <w:r>
        <w:rPr/>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（2）公司没有需要披露的重要或有事项，也应予以说明</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spacing w:line="501" w:lineRule="auto" w:before="0"/>
        <w:ind w:left="112" w:right="6842" w:firstLine="0"/>
        <w:jc w:val="left"/>
        <w:rPr>
          <w:rFonts w:ascii="宋体" w:hAnsi="宋体" w:cs="宋体" w:eastAsia="宋体" w:hint="default"/>
          <w:sz w:val="21"/>
          <w:szCs w:val="21"/>
        </w:rPr>
      </w:pPr>
      <w:r>
        <w:rPr>
          <w:rFonts w:ascii="宋体" w:hAnsi="宋体" w:cs="宋体" w:eastAsia="宋体" w:hint="default"/>
          <w:b/>
          <w:bCs/>
          <w:sz w:val="21"/>
          <w:szCs w:val="21"/>
        </w:rPr>
        <w:t>3、其他</w:t>
      </w:r>
      <w:r>
        <w:rPr>
          <w:rFonts w:ascii="宋体" w:hAnsi="宋体" w:cs="宋体" w:eastAsia="宋体" w:hint="default"/>
          <w:b/>
          <w:bCs/>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宋体" w:hAnsi="宋体" w:cs="宋体" w:eastAsia="宋体" w:hint="default"/>
          <w:b/>
          <w:bCs/>
          <w:sz w:val="21"/>
          <w:szCs w:val="21"/>
        </w:rPr>
        <w:t>1、重要的非调整事项</w:t>
      </w:r>
      <w:r>
        <w:rPr>
          <w:rFonts w:ascii="宋体" w:hAnsi="宋体" w:cs="宋体" w:eastAsia="宋体" w:hint="default"/>
          <w:sz w:val="21"/>
          <w:szCs w:val="21"/>
        </w:rPr>
      </w:r>
    </w:p>
    <w:p>
      <w:pPr>
        <w:spacing w:before="13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684"/>
        <w:gridCol w:w="3960"/>
        <w:gridCol w:w="1995"/>
        <w:gridCol w:w="1929"/>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33" w:right="90" w:hanging="540"/>
              <w:jc w:val="left"/>
              <w:rPr>
                <w:rFonts w:ascii="宋体" w:hAnsi="宋体" w:cs="宋体" w:eastAsia="宋体" w:hint="default"/>
                <w:sz w:val="18"/>
                <w:szCs w:val="18"/>
              </w:rPr>
            </w:pPr>
            <w:r>
              <w:rPr>
                <w:rFonts w:ascii="宋体" w:hAnsi="宋体" w:cs="宋体" w:eastAsia="宋体" w:hint="default"/>
                <w:sz w:val="18"/>
                <w:szCs w:val="18"/>
              </w:rPr>
              <w:t>对财务状况和经营成果 的影响数</w:t>
            </w:r>
          </w:p>
        </w:tc>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358" w:hRule="exact"/>
        </w:trPr>
        <w:tc>
          <w:tcPr>
            <w:tcW w:w="1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960"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年第二次临</w:t>
            </w:r>
          </w:p>
        </w:tc>
        <w:tc>
          <w:tcPr>
            <w:tcW w:w="1995" w:type="dxa"/>
            <w:tcBorders>
              <w:top w:val="single" w:sz="4" w:space="0" w:color="000000"/>
              <w:left w:val="single" w:sz="4" w:space="0" w:color="000000"/>
              <w:bottom w:val="nil" w:sz="6" w:space="0" w:color="auto"/>
              <w:right w:val="single" w:sz="4" w:space="0" w:color="000000"/>
            </w:tcBorders>
          </w:tcPr>
          <w:p>
            <w:pPr/>
          </w:p>
        </w:tc>
        <w:tc>
          <w:tcPr>
            <w:tcW w:w="1929"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1684" w:type="dxa"/>
            <w:tcBorders>
              <w:top w:val="nil" w:sz="6" w:space="0" w:color="auto"/>
              <w:left w:val="single" w:sz="4" w:space="0" w:color="000000"/>
              <w:bottom w:val="nil" w:sz="6" w:space="0" w:color="auto"/>
              <w:right w:val="single" w:sz="4" w:space="0" w:color="000000"/>
            </w:tcBorders>
            <w:shd w:val="clear" w:color="auto" w:fill="D2D2D2"/>
          </w:tcPr>
          <w:p>
            <w:pPr/>
          </w:p>
        </w:tc>
        <w:tc>
          <w:tcPr>
            <w:tcW w:w="396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时股东大会审议通过，并于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8"/>
                <w:sz w:val="18"/>
                <w:szCs w:val="18"/>
              </w:rPr>
              <w:t> </w:t>
            </w:r>
            <w:r>
              <w:rPr>
                <w:rFonts w:ascii="宋体" w:hAnsi="宋体" w:cs="宋体" w:eastAsia="宋体" w:hint="default"/>
                <w:sz w:val="18"/>
                <w:szCs w:val="18"/>
              </w:rPr>
              <w:t>日经</w:t>
            </w:r>
          </w:p>
        </w:tc>
        <w:tc>
          <w:tcPr>
            <w:tcW w:w="1995" w:type="dxa"/>
            <w:tcBorders>
              <w:top w:val="nil" w:sz="6" w:space="0" w:color="auto"/>
              <w:left w:val="single" w:sz="4" w:space="0" w:color="000000"/>
              <w:bottom w:val="nil" w:sz="6" w:space="0" w:color="auto"/>
              <w:right w:val="single" w:sz="4" w:space="0" w:color="000000"/>
            </w:tcBorders>
          </w:tcPr>
          <w:p>
            <w:pPr/>
          </w:p>
        </w:tc>
        <w:tc>
          <w:tcPr>
            <w:tcW w:w="1929" w:type="dxa"/>
            <w:vMerge/>
            <w:tcBorders>
              <w:left w:val="single" w:sz="4" w:space="0" w:color="000000"/>
              <w:right w:val="single" w:sz="4" w:space="0" w:color="000000"/>
            </w:tcBorders>
            <w:shd w:val="clear" w:color="auto" w:fill="C6ECCC"/>
          </w:tcPr>
          <w:p>
            <w:pPr/>
          </w:p>
        </w:tc>
      </w:tr>
      <w:tr>
        <w:trPr>
          <w:trHeight w:val="312" w:hRule="exact"/>
        </w:trPr>
        <w:tc>
          <w:tcPr>
            <w:tcW w:w="1684" w:type="dxa"/>
            <w:tcBorders>
              <w:top w:val="nil" w:sz="6" w:space="0" w:color="auto"/>
              <w:left w:val="single" w:sz="4" w:space="0" w:color="000000"/>
              <w:bottom w:val="nil" w:sz="6" w:space="0" w:color="auto"/>
              <w:right w:val="single" w:sz="4" w:space="0" w:color="000000"/>
            </w:tcBorders>
            <w:shd w:val="clear" w:color="auto" w:fill="D2D2D2"/>
          </w:tcPr>
          <w:p>
            <w:pPr/>
          </w:p>
        </w:tc>
        <w:tc>
          <w:tcPr>
            <w:tcW w:w="396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中国证券监督管理委员会证监许可[2017]2457</w:t>
            </w:r>
            <w:r>
              <w:rPr>
                <w:rFonts w:ascii="宋体" w:hAnsi="宋体" w:cs="宋体" w:eastAsia="宋体" w:hint="default"/>
                <w:spacing w:val="-49"/>
                <w:sz w:val="18"/>
                <w:szCs w:val="18"/>
              </w:rPr>
              <w:t> </w:t>
            </w:r>
            <w:r>
              <w:rPr>
                <w:rFonts w:ascii="宋体" w:hAnsi="宋体" w:cs="宋体" w:eastAsia="宋体" w:hint="default"/>
                <w:sz w:val="18"/>
                <w:szCs w:val="18"/>
              </w:rPr>
              <w:t>号</w:t>
            </w:r>
          </w:p>
        </w:tc>
        <w:tc>
          <w:tcPr>
            <w:tcW w:w="1995" w:type="dxa"/>
            <w:tcBorders>
              <w:top w:val="nil" w:sz="6" w:space="0" w:color="auto"/>
              <w:left w:val="single" w:sz="4" w:space="0" w:color="000000"/>
              <w:bottom w:val="nil" w:sz="6" w:space="0" w:color="auto"/>
              <w:right w:val="single" w:sz="4" w:space="0" w:color="000000"/>
            </w:tcBorders>
          </w:tcPr>
          <w:p>
            <w:pPr/>
          </w:p>
        </w:tc>
        <w:tc>
          <w:tcPr>
            <w:tcW w:w="1929" w:type="dxa"/>
            <w:vMerge/>
            <w:tcBorders>
              <w:left w:val="single" w:sz="4" w:space="0" w:color="000000"/>
              <w:right w:val="single" w:sz="4" w:space="0" w:color="000000"/>
            </w:tcBorders>
            <w:shd w:val="clear" w:color="auto" w:fill="C6ECCC"/>
          </w:tcPr>
          <w:p>
            <w:pPr/>
          </w:p>
        </w:tc>
      </w:tr>
      <w:tr>
        <w:trPr>
          <w:trHeight w:val="312" w:hRule="exact"/>
        </w:trPr>
        <w:tc>
          <w:tcPr>
            <w:tcW w:w="1684" w:type="dxa"/>
            <w:tcBorders>
              <w:top w:val="nil" w:sz="6" w:space="0" w:color="auto"/>
              <w:left w:val="single" w:sz="4" w:space="0" w:color="000000"/>
              <w:bottom w:val="nil" w:sz="6" w:space="0" w:color="auto"/>
              <w:right w:val="single" w:sz="4" w:space="0" w:color="000000"/>
            </w:tcBorders>
            <w:shd w:val="clear" w:color="auto" w:fill="D2D2D2"/>
          </w:tcPr>
          <w:p>
            <w:pPr/>
          </w:p>
        </w:tc>
        <w:tc>
          <w:tcPr>
            <w:tcW w:w="396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文《关于核准安徽皖通科技股份有限公司向易增辉</w:t>
            </w:r>
          </w:p>
        </w:tc>
        <w:tc>
          <w:tcPr>
            <w:tcW w:w="1995" w:type="dxa"/>
            <w:tcBorders>
              <w:top w:val="nil" w:sz="6" w:space="0" w:color="auto"/>
              <w:left w:val="single" w:sz="4" w:space="0" w:color="000000"/>
              <w:bottom w:val="nil" w:sz="6" w:space="0" w:color="auto"/>
              <w:right w:val="single" w:sz="4" w:space="0" w:color="000000"/>
            </w:tcBorders>
          </w:tcPr>
          <w:p>
            <w:pPr/>
          </w:p>
        </w:tc>
        <w:tc>
          <w:tcPr>
            <w:tcW w:w="1929" w:type="dxa"/>
            <w:vMerge/>
            <w:tcBorders>
              <w:left w:val="single" w:sz="4" w:space="0" w:color="000000"/>
              <w:right w:val="single" w:sz="4" w:space="0" w:color="000000"/>
            </w:tcBorders>
            <w:shd w:val="clear" w:color="auto" w:fill="C6ECCC"/>
          </w:tcPr>
          <w:p>
            <w:pPr/>
          </w:p>
        </w:tc>
      </w:tr>
      <w:tr>
        <w:trPr>
          <w:trHeight w:val="312" w:hRule="exact"/>
        </w:trPr>
        <w:tc>
          <w:tcPr>
            <w:tcW w:w="1684" w:type="dxa"/>
            <w:tcBorders>
              <w:top w:val="nil" w:sz="6" w:space="0" w:color="auto"/>
              <w:left w:val="single" w:sz="4" w:space="0" w:color="000000"/>
              <w:bottom w:val="nil" w:sz="6" w:space="0" w:color="auto"/>
              <w:right w:val="single" w:sz="4" w:space="0" w:color="000000"/>
            </w:tcBorders>
            <w:shd w:val="clear" w:color="auto" w:fill="D2D2D2"/>
          </w:tcPr>
          <w:p>
            <w:pPr/>
          </w:p>
        </w:tc>
        <w:tc>
          <w:tcPr>
            <w:tcW w:w="396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等发行股份购买资产并配套募集资金的批复》的核</w:t>
            </w:r>
          </w:p>
        </w:tc>
        <w:tc>
          <w:tcPr>
            <w:tcW w:w="1995" w:type="dxa"/>
            <w:tcBorders>
              <w:top w:val="nil" w:sz="6" w:space="0" w:color="auto"/>
              <w:left w:val="single" w:sz="4" w:space="0" w:color="000000"/>
              <w:bottom w:val="nil" w:sz="6" w:space="0" w:color="auto"/>
              <w:right w:val="single" w:sz="4" w:space="0" w:color="000000"/>
            </w:tcBorders>
          </w:tcPr>
          <w:p>
            <w:pPr/>
          </w:p>
        </w:tc>
        <w:tc>
          <w:tcPr>
            <w:tcW w:w="1929" w:type="dxa"/>
            <w:vMerge/>
            <w:tcBorders>
              <w:left w:val="single" w:sz="4" w:space="0" w:color="000000"/>
              <w:right w:val="single" w:sz="4" w:space="0" w:color="000000"/>
            </w:tcBorders>
            <w:shd w:val="clear" w:color="auto" w:fill="C6ECCC"/>
          </w:tcPr>
          <w:p>
            <w:pPr/>
          </w:p>
        </w:tc>
      </w:tr>
      <w:tr>
        <w:trPr>
          <w:trHeight w:val="312" w:hRule="exact"/>
        </w:trPr>
        <w:tc>
          <w:tcPr>
            <w:tcW w:w="1684" w:type="dxa"/>
            <w:tcBorders>
              <w:top w:val="nil" w:sz="6" w:space="0" w:color="auto"/>
              <w:left w:val="single" w:sz="4" w:space="0" w:color="000000"/>
              <w:bottom w:val="nil" w:sz="6" w:space="0" w:color="auto"/>
              <w:right w:val="single" w:sz="4" w:space="0" w:color="000000"/>
            </w:tcBorders>
            <w:shd w:val="clear" w:color="auto" w:fill="D2D2D2"/>
          </w:tcPr>
          <w:p>
            <w:pPr/>
          </w:p>
        </w:tc>
        <w:tc>
          <w:tcPr>
            <w:tcW w:w="396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准，公司采取非公开发行方式向易增辉等</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名自</w:t>
            </w:r>
          </w:p>
        </w:tc>
        <w:tc>
          <w:tcPr>
            <w:tcW w:w="1995" w:type="dxa"/>
            <w:tcBorders>
              <w:top w:val="nil" w:sz="6" w:space="0" w:color="auto"/>
              <w:left w:val="single" w:sz="4" w:space="0" w:color="000000"/>
              <w:bottom w:val="nil" w:sz="6" w:space="0" w:color="auto"/>
              <w:right w:val="single" w:sz="4" w:space="0" w:color="000000"/>
            </w:tcBorders>
          </w:tcPr>
          <w:p>
            <w:pPr/>
          </w:p>
        </w:tc>
        <w:tc>
          <w:tcPr>
            <w:tcW w:w="1929" w:type="dxa"/>
            <w:vMerge/>
            <w:tcBorders>
              <w:left w:val="single" w:sz="4" w:space="0" w:color="000000"/>
              <w:right w:val="single" w:sz="4" w:space="0" w:color="000000"/>
            </w:tcBorders>
            <w:shd w:val="clear" w:color="auto" w:fill="C6ECCC"/>
          </w:tcPr>
          <w:p>
            <w:pPr/>
          </w:p>
        </w:tc>
      </w:tr>
      <w:tr>
        <w:trPr>
          <w:trHeight w:val="624" w:hRule="exact"/>
        </w:trPr>
        <w:tc>
          <w:tcPr>
            <w:tcW w:w="1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396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然人发行人民币普通股（A</w:t>
            </w:r>
            <w:r>
              <w:rPr>
                <w:rFonts w:ascii="宋体" w:hAnsi="宋体" w:cs="宋体" w:eastAsia="宋体" w:hint="default"/>
                <w:spacing w:val="-63"/>
                <w:sz w:val="18"/>
                <w:szCs w:val="18"/>
              </w:rPr>
              <w:t> </w:t>
            </w:r>
            <w:r>
              <w:rPr>
                <w:rFonts w:ascii="宋体" w:hAnsi="宋体" w:cs="宋体" w:eastAsia="宋体" w:hint="default"/>
                <w:sz w:val="18"/>
                <w:szCs w:val="18"/>
              </w:rPr>
              <w:t>股）31,875,457</w:t>
            </w:r>
            <w:r>
              <w:rPr>
                <w:rFonts w:ascii="宋体" w:hAnsi="宋体" w:cs="宋体" w:eastAsia="宋体" w:hint="default"/>
                <w:spacing w:val="-63"/>
                <w:sz w:val="18"/>
                <w:szCs w:val="18"/>
              </w:rPr>
              <w:t> </w:t>
            </w:r>
            <w:r>
              <w:rPr>
                <w:rFonts w:ascii="宋体" w:hAnsi="宋体" w:cs="宋体" w:eastAsia="宋体" w:hint="default"/>
                <w:spacing w:val="-7"/>
                <w:sz w:val="18"/>
                <w:szCs w:val="18"/>
              </w:rPr>
              <w:t>股，购</w:t>
            </w:r>
            <w:r>
              <w:rPr>
                <w:rFonts w:ascii="宋体" w:hAnsi="宋体" w:cs="宋体" w:eastAsia="宋体" w:hint="default"/>
                <w:sz w:val="18"/>
                <w:szCs w:val="18"/>
              </w:rPr>
              <w:t> 买成都赛英科技有限公司 100%股权。 2018 年</w:t>
            </w:r>
            <w:r>
              <w:rPr>
                <w:rFonts w:ascii="宋体" w:hAnsi="宋体" w:cs="宋体" w:eastAsia="宋体" w:hint="default"/>
                <w:spacing w:val="29"/>
                <w:sz w:val="18"/>
                <w:szCs w:val="18"/>
              </w:rPr>
              <w:t> </w:t>
            </w:r>
            <w:r>
              <w:rPr>
                <w:rFonts w:ascii="宋体" w:hAnsi="宋体" w:cs="宋体" w:eastAsia="宋体" w:hint="default"/>
                <w:sz w:val="18"/>
                <w:szCs w:val="18"/>
              </w:rPr>
              <w:t>1</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42" w:right="0"/>
              <w:jc w:val="left"/>
              <w:rPr>
                <w:rFonts w:ascii="宋体" w:hAnsi="宋体" w:cs="宋体" w:eastAsia="宋体" w:hint="default"/>
                <w:sz w:val="18"/>
                <w:szCs w:val="18"/>
              </w:rPr>
            </w:pPr>
            <w:r>
              <w:rPr>
                <w:rFonts w:ascii="宋体"/>
                <w:sz w:val="18"/>
              </w:rPr>
              <w:t>34,216,400</w:t>
            </w:r>
          </w:p>
        </w:tc>
        <w:tc>
          <w:tcPr>
            <w:tcW w:w="1929" w:type="dxa"/>
            <w:vMerge/>
            <w:tcBorders>
              <w:left w:val="single" w:sz="4" w:space="0" w:color="000000"/>
              <w:right w:val="single" w:sz="4" w:space="0" w:color="000000"/>
            </w:tcBorders>
            <w:shd w:val="clear" w:color="auto" w:fill="C6ECCC"/>
          </w:tcPr>
          <w:p>
            <w:pPr/>
          </w:p>
        </w:tc>
      </w:tr>
      <w:tr>
        <w:trPr>
          <w:trHeight w:val="312" w:hRule="exact"/>
        </w:trPr>
        <w:tc>
          <w:tcPr>
            <w:tcW w:w="1684" w:type="dxa"/>
            <w:tcBorders>
              <w:top w:val="nil" w:sz="6" w:space="0" w:color="auto"/>
              <w:left w:val="single" w:sz="4" w:space="0" w:color="000000"/>
              <w:bottom w:val="nil" w:sz="6" w:space="0" w:color="auto"/>
              <w:right w:val="single" w:sz="4" w:space="0" w:color="000000"/>
            </w:tcBorders>
            <w:shd w:val="clear" w:color="auto" w:fill="D2D2D2"/>
          </w:tcPr>
          <w:p>
            <w:pPr/>
          </w:p>
        </w:tc>
        <w:tc>
          <w:tcPr>
            <w:tcW w:w="396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1"/>
                <w:sz w:val="18"/>
                <w:szCs w:val="18"/>
              </w:rPr>
              <w:t> </w:t>
            </w:r>
            <w:r>
              <w:rPr>
                <w:rFonts w:ascii="宋体" w:hAnsi="宋体" w:cs="宋体" w:eastAsia="宋体" w:hint="default"/>
                <w:sz w:val="18"/>
                <w:szCs w:val="18"/>
              </w:rPr>
              <w:t>23</w:t>
            </w:r>
            <w:r>
              <w:rPr>
                <w:rFonts w:ascii="宋体" w:hAnsi="宋体" w:cs="宋体" w:eastAsia="宋体" w:hint="default"/>
                <w:spacing w:val="1"/>
                <w:sz w:val="18"/>
                <w:szCs w:val="18"/>
              </w:rPr>
              <w:t> </w:t>
            </w:r>
            <w:r>
              <w:rPr>
                <w:rFonts w:ascii="宋体" w:hAnsi="宋体" w:cs="宋体" w:eastAsia="宋体" w:hint="default"/>
                <w:spacing w:val="-10"/>
                <w:sz w:val="18"/>
                <w:szCs w:val="18"/>
              </w:rPr>
              <w:t>日，易增辉等</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名自然人与公司于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p>
        </w:tc>
        <w:tc>
          <w:tcPr>
            <w:tcW w:w="1995" w:type="dxa"/>
            <w:tcBorders>
              <w:top w:val="nil" w:sz="6" w:space="0" w:color="auto"/>
              <w:left w:val="single" w:sz="4" w:space="0" w:color="000000"/>
              <w:bottom w:val="nil" w:sz="6" w:space="0" w:color="auto"/>
              <w:right w:val="single" w:sz="4" w:space="0" w:color="000000"/>
            </w:tcBorders>
          </w:tcPr>
          <w:p>
            <w:pPr/>
          </w:p>
        </w:tc>
        <w:tc>
          <w:tcPr>
            <w:tcW w:w="1929" w:type="dxa"/>
            <w:vMerge/>
            <w:tcBorders>
              <w:left w:val="single" w:sz="4" w:space="0" w:color="000000"/>
              <w:right w:val="single" w:sz="4" w:space="0" w:color="000000"/>
            </w:tcBorders>
            <w:shd w:val="clear" w:color="auto" w:fill="C6ECCC"/>
          </w:tcPr>
          <w:p>
            <w:pPr/>
          </w:p>
        </w:tc>
      </w:tr>
      <w:tr>
        <w:trPr>
          <w:trHeight w:val="312" w:hRule="exact"/>
        </w:trPr>
        <w:tc>
          <w:tcPr>
            <w:tcW w:w="1684" w:type="dxa"/>
            <w:tcBorders>
              <w:top w:val="nil" w:sz="6" w:space="0" w:color="auto"/>
              <w:left w:val="single" w:sz="4" w:space="0" w:color="000000"/>
              <w:bottom w:val="nil" w:sz="6" w:space="0" w:color="auto"/>
              <w:right w:val="single" w:sz="4" w:space="0" w:color="000000"/>
            </w:tcBorders>
            <w:shd w:val="clear" w:color="auto" w:fill="D2D2D2"/>
          </w:tcPr>
          <w:p>
            <w:pPr/>
          </w:p>
        </w:tc>
        <w:tc>
          <w:tcPr>
            <w:tcW w:w="396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日就出资的股权完成变更登记手续，并取</w:t>
            </w:r>
          </w:p>
        </w:tc>
        <w:tc>
          <w:tcPr>
            <w:tcW w:w="1995" w:type="dxa"/>
            <w:tcBorders>
              <w:top w:val="nil" w:sz="6" w:space="0" w:color="auto"/>
              <w:left w:val="single" w:sz="4" w:space="0" w:color="000000"/>
              <w:bottom w:val="nil" w:sz="6" w:space="0" w:color="auto"/>
              <w:right w:val="single" w:sz="4" w:space="0" w:color="000000"/>
            </w:tcBorders>
          </w:tcPr>
          <w:p>
            <w:pPr/>
          </w:p>
        </w:tc>
        <w:tc>
          <w:tcPr>
            <w:tcW w:w="1929" w:type="dxa"/>
            <w:vMerge/>
            <w:tcBorders>
              <w:left w:val="single" w:sz="4" w:space="0" w:color="000000"/>
              <w:right w:val="single" w:sz="4" w:space="0" w:color="000000"/>
            </w:tcBorders>
            <w:shd w:val="clear" w:color="auto" w:fill="C6ECCC"/>
          </w:tcPr>
          <w:p>
            <w:pPr/>
          </w:p>
        </w:tc>
      </w:tr>
      <w:tr>
        <w:trPr>
          <w:trHeight w:val="312" w:hRule="exact"/>
        </w:trPr>
        <w:tc>
          <w:tcPr>
            <w:tcW w:w="1684" w:type="dxa"/>
            <w:tcBorders>
              <w:top w:val="nil" w:sz="6" w:space="0" w:color="auto"/>
              <w:left w:val="single" w:sz="4" w:space="0" w:color="000000"/>
              <w:bottom w:val="nil" w:sz="6" w:space="0" w:color="auto"/>
              <w:right w:val="single" w:sz="4" w:space="0" w:color="000000"/>
            </w:tcBorders>
            <w:shd w:val="clear" w:color="auto" w:fill="D2D2D2"/>
          </w:tcPr>
          <w:p>
            <w:pPr/>
          </w:p>
        </w:tc>
        <w:tc>
          <w:tcPr>
            <w:tcW w:w="396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得成都市工商行政管理局换发的企业法人营业执</w:t>
            </w:r>
          </w:p>
        </w:tc>
        <w:tc>
          <w:tcPr>
            <w:tcW w:w="1995" w:type="dxa"/>
            <w:tcBorders>
              <w:top w:val="nil" w:sz="6" w:space="0" w:color="auto"/>
              <w:left w:val="single" w:sz="4" w:space="0" w:color="000000"/>
              <w:bottom w:val="nil" w:sz="6" w:space="0" w:color="auto"/>
              <w:right w:val="single" w:sz="4" w:space="0" w:color="000000"/>
            </w:tcBorders>
          </w:tcPr>
          <w:p>
            <w:pPr/>
          </w:p>
        </w:tc>
        <w:tc>
          <w:tcPr>
            <w:tcW w:w="1929" w:type="dxa"/>
            <w:vMerge/>
            <w:tcBorders>
              <w:left w:val="single" w:sz="4" w:space="0" w:color="000000"/>
              <w:right w:val="single" w:sz="4" w:space="0" w:color="000000"/>
            </w:tcBorders>
            <w:shd w:val="clear" w:color="auto" w:fill="C6ECCC"/>
          </w:tcPr>
          <w:p>
            <w:pPr/>
          </w:p>
        </w:tc>
      </w:tr>
      <w:tr>
        <w:trPr>
          <w:trHeight w:val="312" w:hRule="exact"/>
        </w:trPr>
        <w:tc>
          <w:tcPr>
            <w:tcW w:w="1684" w:type="dxa"/>
            <w:tcBorders>
              <w:top w:val="nil" w:sz="6" w:space="0" w:color="auto"/>
              <w:left w:val="single" w:sz="4" w:space="0" w:color="000000"/>
              <w:bottom w:val="nil" w:sz="6" w:space="0" w:color="auto"/>
              <w:right w:val="single" w:sz="4" w:space="0" w:color="000000"/>
            </w:tcBorders>
            <w:shd w:val="clear" w:color="auto" w:fill="D2D2D2"/>
          </w:tcPr>
          <w:p>
            <w:pPr/>
          </w:p>
        </w:tc>
        <w:tc>
          <w:tcPr>
            <w:tcW w:w="396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照，易增辉等</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名自然人合计持有的赛英科技的</w:t>
            </w:r>
          </w:p>
        </w:tc>
        <w:tc>
          <w:tcPr>
            <w:tcW w:w="1995" w:type="dxa"/>
            <w:tcBorders>
              <w:top w:val="nil" w:sz="6" w:space="0" w:color="auto"/>
              <w:left w:val="single" w:sz="4" w:space="0" w:color="000000"/>
              <w:bottom w:val="nil" w:sz="6" w:space="0" w:color="auto"/>
              <w:right w:val="single" w:sz="4" w:space="0" w:color="000000"/>
            </w:tcBorders>
          </w:tcPr>
          <w:p>
            <w:pPr/>
          </w:p>
        </w:tc>
        <w:tc>
          <w:tcPr>
            <w:tcW w:w="1929" w:type="dxa"/>
            <w:vMerge/>
            <w:tcBorders>
              <w:left w:val="single" w:sz="4" w:space="0" w:color="000000"/>
              <w:right w:val="single" w:sz="4" w:space="0" w:color="000000"/>
            </w:tcBorders>
            <w:shd w:val="clear" w:color="auto" w:fill="C6ECCC"/>
          </w:tcPr>
          <w:p>
            <w:pPr/>
          </w:p>
        </w:tc>
      </w:tr>
      <w:tr>
        <w:trPr>
          <w:trHeight w:val="312" w:hRule="exact"/>
        </w:trPr>
        <w:tc>
          <w:tcPr>
            <w:tcW w:w="1684" w:type="dxa"/>
            <w:tcBorders>
              <w:top w:val="nil" w:sz="6" w:space="0" w:color="auto"/>
              <w:left w:val="single" w:sz="4" w:space="0" w:color="000000"/>
              <w:bottom w:val="nil" w:sz="6" w:space="0" w:color="auto"/>
              <w:right w:val="single" w:sz="4" w:space="0" w:color="000000"/>
            </w:tcBorders>
            <w:shd w:val="clear" w:color="auto" w:fill="D2D2D2"/>
          </w:tcPr>
          <w:p>
            <w:pPr/>
          </w:p>
        </w:tc>
        <w:tc>
          <w:tcPr>
            <w:tcW w:w="396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100%股权过户至皖通科技名下，皖通科技持有赛英</w:t>
            </w:r>
          </w:p>
        </w:tc>
        <w:tc>
          <w:tcPr>
            <w:tcW w:w="1995" w:type="dxa"/>
            <w:tcBorders>
              <w:top w:val="nil" w:sz="6" w:space="0" w:color="auto"/>
              <w:left w:val="single" w:sz="4" w:space="0" w:color="000000"/>
              <w:bottom w:val="nil" w:sz="6" w:space="0" w:color="auto"/>
              <w:right w:val="single" w:sz="4" w:space="0" w:color="000000"/>
            </w:tcBorders>
          </w:tcPr>
          <w:p>
            <w:pPr/>
          </w:p>
        </w:tc>
        <w:tc>
          <w:tcPr>
            <w:tcW w:w="1929" w:type="dxa"/>
            <w:vMerge/>
            <w:tcBorders>
              <w:left w:val="single" w:sz="4" w:space="0" w:color="000000"/>
              <w:right w:val="single" w:sz="4" w:space="0" w:color="000000"/>
            </w:tcBorders>
            <w:shd w:val="clear" w:color="auto" w:fill="C6ECCC"/>
          </w:tcPr>
          <w:p>
            <w:pPr/>
          </w:p>
        </w:tc>
      </w:tr>
      <w:tr>
        <w:trPr>
          <w:trHeight w:val="356" w:hRule="exact"/>
        </w:trPr>
        <w:tc>
          <w:tcPr>
            <w:tcW w:w="1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3960"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w:t>
            </w:r>
            <w:r>
              <w:rPr>
                <w:rFonts w:ascii="宋体" w:hAnsi="宋体" w:cs="宋体" w:eastAsia="宋体" w:hint="default"/>
                <w:spacing w:val="-4"/>
                <w:sz w:val="18"/>
                <w:szCs w:val="18"/>
              </w:rPr>
              <w:t> </w:t>
            </w:r>
            <w:r>
              <w:rPr>
                <w:rFonts w:ascii="宋体" w:hAnsi="宋体" w:cs="宋体" w:eastAsia="宋体" w:hint="default"/>
                <w:sz w:val="18"/>
                <w:szCs w:val="18"/>
              </w:rPr>
              <w:t>100%的股权。</w:t>
            </w:r>
          </w:p>
        </w:tc>
        <w:tc>
          <w:tcPr>
            <w:tcW w:w="1995" w:type="dxa"/>
            <w:tcBorders>
              <w:top w:val="nil" w:sz="6" w:space="0" w:color="auto"/>
              <w:left w:val="single" w:sz="4" w:space="0" w:color="000000"/>
              <w:bottom w:val="single" w:sz="4" w:space="0" w:color="000000"/>
              <w:right w:val="single" w:sz="4" w:space="0" w:color="000000"/>
            </w:tcBorders>
          </w:tcPr>
          <w:p>
            <w:pPr/>
          </w:p>
        </w:tc>
        <w:tc>
          <w:tcPr>
            <w:tcW w:w="1929" w:type="dxa"/>
            <w:vMerge/>
            <w:tcBorders>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2、利润分配情况：无</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3、销售退回</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4、其他资产负债表日后事项说明</w:t>
      </w:r>
      <w:r>
        <w:rPr>
          <w:b w:val="0"/>
          <w:bCs w:val="0"/>
        </w:rPr>
      </w:r>
    </w:p>
    <w:p>
      <w:pPr>
        <w:spacing w:line="240" w:lineRule="auto" w:before="10"/>
        <w:rPr>
          <w:rFonts w:ascii="宋体" w:hAnsi="宋体" w:cs="宋体" w:eastAsia="宋体" w:hint="default"/>
          <w:b/>
          <w:bCs/>
          <w:sz w:val="25"/>
          <w:szCs w:val="25"/>
        </w:rPr>
      </w:pPr>
    </w:p>
    <w:p>
      <w:pPr>
        <w:pStyle w:val="Heading5"/>
        <w:spacing w:line="273" w:lineRule="auto"/>
        <w:ind w:right="0"/>
        <w:jc w:val="left"/>
        <w:rPr>
          <w:b w:val="0"/>
          <w:bCs w:val="0"/>
        </w:rPr>
      </w:pPr>
      <w:r>
        <w:rPr>
          <w:w w:val="95"/>
        </w:rPr>
        <w:t>除存在上述资产负债表日后事项外，截至财务报告批准报出日止，本公司无其他应披露未披露的重大资产</w:t>
      </w:r>
      <w:r>
        <w:rPr>
          <w:spacing w:val="7"/>
          <w:w w:val="95"/>
        </w:rPr>
        <w:t> </w:t>
      </w:r>
      <w:r>
        <w:rPr>
          <w:spacing w:val="7"/>
          <w:w w:val="95"/>
        </w:rPr>
      </w:r>
      <w:r>
        <w:rPr/>
        <w:t>负债表日后事项。</w:t>
      </w:r>
      <w:r>
        <w:rPr>
          <w:b w:val="0"/>
          <w:bCs w:val="0"/>
        </w:rPr>
      </w:r>
    </w:p>
    <w:p>
      <w:pPr>
        <w:spacing w:after="0" w:line="273" w:lineRule="auto"/>
        <w:jc w:val="left"/>
        <w:sectPr>
          <w:pgSz w:w="11910" w:h="16840"/>
          <w:pgMar w:header="746" w:footer="937" w:top="1040" w:bottom="1120" w:left="1020" w:right="1020"/>
        </w:sectPr>
      </w:pPr>
    </w:p>
    <w:p>
      <w:pPr>
        <w:spacing w:line="240" w:lineRule="auto" w:before="5"/>
        <w:rPr>
          <w:rFonts w:ascii="宋体" w:hAnsi="宋体" w:cs="宋体" w:eastAsia="宋体" w:hint="default"/>
          <w:b/>
          <w:bCs/>
          <w:sz w:val="24"/>
          <w:szCs w:val="24"/>
        </w:rPr>
      </w:pPr>
    </w:p>
    <w:p>
      <w:pPr>
        <w:pStyle w:val="Heading4"/>
        <w:spacing w:line="240" w:lineRule="auto" w:before="26"/>
        <w:ind w:right="0"/>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t>1、前期会计差错更正：无</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2、债务重组：无</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3、资产置换：无</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（1）非货币性资产交换</w:t>
      </w:r>
      <w:r>
        <w:rPr>
          <w:b w:val="0"/>
          <w:bCs w:val="0"/>
        </w:rPr>
      </w:r>
    </w:p>
    <w:p>
      <w:pPr>
        <w:spacing w:line="240" w:lineRule="auto" w:before="12"/>
        <w:rPr>
          <w:rFonts w:ascii="宋体" w:hAnsi="宋体" w:cs="宋体" w:eastAsia="宋体" w:hint="default"/>
          <w:b/>
          <w:bCs/>
          <w:sz w:val="25"/>
          <w:szCs w:val="25"/>
        </w:rPr>
      </w:pPr>
    </w:p>
    <w:p>
      <w:pPr>
        <w:pStyle w:val="Heading5"/>
        <w:spacing w:line="535" w:lineRule="auto"/>
        <w:ind w:right="7961"/>
        <w:jc w:val="left"/>
        <w:rPr>
          <w:b w:val="0"/>
          <w:bCs w:val="0"/>
        </w:rPr>
      </w:pPr>
      <w:r>
        <w:rPr/>
        <w:t>（2）其他资产置换</w:t>
      </w:r>
      <w:r>
        <w:rPr>
          <w:w w:val="99"/>
        </w:rPr>
        <w:t> </w:t>
      </w:r>
      <w:r>
        <w:rPr/>
        <w:t>4、年金计划：无</w:t>
      </w:r>
      <w:r>
        <w:rPr>
          <w:b w:val="0"/>
          <w:bCs w:val="0"/>
        </w:rPr>
      </w:r>
    </w:p>
    <w:p>
      <w:pPr>
        <w:pStyle w:val="Heading5"/>
        <w:spacing w:line="240" w:lineRule="auto" w:before="81"/>
        <w:ind w:right="0"/>
        <w:jc w:val="left"/>
        <w:rPr>
          <w:b w:val="0"/>
          <w:bCs w:val="0"/>
        </w:rPr>
      </w:pPr>
      <w:r>
        <w:rPr/>
        <w:t>5、终止经营：无</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6、分部信息</w:t>
      </w:r>
      <w:r>
        <w:rPr>
          <w:b w:val="0"/>
          <w:bCs w:val="0"/>
        </w:rPr>
      </w:r>
    </w:p>
    <w:p>
      <w:pPr>
        <w:spacing w:line="610" w:lineRule="atLeast" w:before="4"/>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（1）报告分部的确定依据与会计政策</w:t>
      </w:r>
      <w:r>
        <w:rPr>
          <w:rFonts w:ascii="宋体" w:hAnsi="宋体" w:cs="宋体" w:eastAsia="宋体" w:hint="default"/>
          <w:b/>
          <w:bCs/>
          <w:w w:val="99"/>
          <w:sz w:val="21"/>
          <w:szCs w:val="21"/>
        </w:rPr>
        <w:t> </w:t>
      </w:r>
      <w:r>
        <w:rPr>
          <w:rFonts w:ascii="宋体" w:hAnsi="宋体" w:cs="宋体" w:eastAsia="宋体" w:hint="default"/>
          <w:w w:val="95"/>
          <w:sz w:val="21"/>
          <w:szCs w:val="21"/>
        </w:rPr>
        <w:t>本公司以内部组织结构、管理要求、内部报告制度为依据确定经营分部。本公司的经营分部是指同时</w:t>
      </w:r>
      <w:r>
        <w:rPr>
          <w:rFonts w:ascii="宋体" w:hAnsi="宋体" w:cs="宋体" w:eastAsia="宋体" w:hint="default"/>
          <w:sz w:val="21"/>
          <w:szCs w:val="21"/>
        </w:rPr>
      </w:r>
    </w:p>
    <w:p>
      <w:pPr>
        <w:pStyle w:val="BodyText"/>
        <w:spacing w:line="307" w:lineRule="auto" w:before="37"/>
        <w:ind w:left="532" w:right="2914" w:hanging="420"/>
        <w:jc w:val="left"/>
      </w:pPr>
      <w:r>
        <w:rPr/>
        <w:t>满足下列条件的组成部分：</w:t>
      </w:r>
      <w:r>
        <w:rPr>
          <w:w w:val="99"/>
        </w:rPr>
        <w:t> </w:t>
      </w:r>
      <w:r>
        <w:rPr>
          <w:w w:val="95"/>
        </w:rPr>
        <w:t>1）该组成部分能够在日常活动中产生收入、发生费用；</w:t>
      </w:r>
      <w:r>
        <w:rPr/>
      </w:r>
    </w:p>
    <w:p>
      <w:pPr>
        <w:pStyle w:val="BodyText"/>
        <w:spacing w:line="240" w:lineRule="auto" w:before="19"/>
        <w:ind w:left="532" w:right="0"/>
        <w:jc w:val="left"/>
      </w:pPr>
      <w:r>
        <w:rPr/>
        <w:t>2）管理层能够定期评价该组成部分的经营成果，以决定向其配置资源、评价其业绩；</w:t>
      </w:r>
    </w:p>
    <w:p>
      <w:pPr>
        <w:pStyle w:val="BodyText"/>
        <w:spacing w:line="307" w:lineRule="auto" w:before="75"/>
        <w:ind w:left="532" w:right="0"/>
        <w:jc w:val="left"/>
      </w:pPr>
      <w:r>
        <w:rPr/>
        <w:t>3）能够取得该组成部分的财务状况、经营成果和现金流量等有关会计信息。</w:t>
      </w:r>
      <w:r>
        <w:rPr>
          <w:w w:val="99"/>
        </w:rPr>
        <w:t> </w:t>
      </w:r>
      <w:r>
        <w:rPr>
          <w:w w:val="95"/>
        </w:rPr>
        <w:t>本公司以经营分部为基础确定报告分部，满足下列条件之一的经营分部确定为报告分部：</w:t>
      </w:r>
      <w:r>
        <w:rPr>
          <w:spacing w:val="90"/>
          <w:w w:val="95"/>
        </w:rPr>
        <w:t> </w:t>
      </w:r>
      <w:r>
        <w:rPr>
          <w:spacing w:val="90"/>
          <w:w w:val="95"/>
        </w:rPr>
      </w:r>
      <w:r>
        <w:rPr/>
        <w:t>1）该经营分部的分部收入占所有分部收入合计的</w:t>
      </w:r>
      <w:r>
        <w:rPr>
          <w:spacing w:val="-66"/>
        </w:rPr>
        <w:t> </w:t>
      </w:r>
      <w:r>
        <w:rPr>
          <w:rFonts w:ascii="Times New Roman" w:hAnsi="Times New Roman" w:cs="Times New Roman" w:eastAsia="Times New Roman" w:hint="default"/>
        </w:rPr>
        <w:t>10%</w:t>
      </w:r>
      <w:r>
        <w:rPr/>
        <w:t>或者以上；</w:t>
      </w:r>
    </w:p>
    <w:p>
      <w:pPr>
        <w:pStyle w:val="BodyText"/>
        <w:spacing w:line="273" w:lineRule="auto" w:before="0"/>
        <w:ind w:right="0" w:firstLine="420"/>
        <w:jc w:val="left"/>
      </w:pPr>
      <w:r>
        <w:rPr>
          <w:w w:val="95"/>
        </w:rPr>
        <w:t>2）该分部的分部利润（亏损）的绝对额，占所有盈利分部利润合计额或者所有亏损分部亏损合计额</w:t>
      </w:r>
      <w:r>
        <w:rPr>
          <w:spacing w:val="-85"/>
          <w:w w:val="95"/>
        </w:rPr>
        <w:t> </w:t>
      </w:r>
      <w:r>
        <w:rPr>
          <w:spacing w:val="-85"/>
          <w:w w:val="95"/>
        </w:rPr>
      </w:r>
      <w:r>
        <w:rPr/>
        <w:t>的绝对额两者中较大者的</w:t>
      </w:r>
      <w:r>
        <w:rPr>
          <w:spacing w:val="-61"/>
        </w:rPr>
        <w:t> </w:t>
      </w:r>
      <w:r>
        <w:rPr>
          <w:rFonts w:ascii="Times New Roman" w:hAnsi="Times New Roman" w:cs="Times New Roman" w:eastAsia="Times New Roman" w:hint="default"/>
        </w:rPr>
        <w:t>10%</w:t>
      </w:r>
      <w:r>
        <w:rPr/>
        <w:t>或者以上。</w:t>
      </w:r>
    </w:p>
    <w:p>
      <w:pPr>
        <w:pStyle w:val="BodyText"/>
        <w:spacing w:line="264" w:lineRule="auto" w:before="29"/>
        <w:ind w:right="0" w:firstLine="420"/>
        <w:jc w:val="left"/>
      </w:pPr>
      <w:r>
        <w:rPr/>
        <w:t>按上述会计政策确定的报告分部的经营分部的对外交易收入合计额占合并总收入的比重未达到</w:t>
      </w:r>
      <w:r>
        <w:rPr>
          <w:spacing w:val="-55"/>
        </w:rPr>
        <w:t> </w:t>
      </w:r>
      <w:r>
        <w:rPr>
          <w:rFonts w:ascii="Times New Roman" w:hAnsi="Times New Roman" w:cs="Times New Roman" w:eastAsia="Times New Roman" w:hint="default"/>
        </w:rPr>
        <w:t>75%</w:t>
      </w:r>
      <w:r>
        <w:rPr>
          <w:rFonts w:ascii="Times New Roman" w:hAnsi="Times New Roman" w:cs="Times New Roman" w:eastAsia="Times New Roman" w:hint="default"/>
          <w:w w:val="99"/>
        </w:rPr>
        <w:t> </w:t>
      </w:r>
      <w:r>
        <w:rPr>
          <w:w w:val="95"/>
        </w:rPr>
        <w:t>时，增加报告分部的数量，按下述规定将其他未作为报告分部的经营分部纳入报告分部的范围，直到该比  </w:t>
      </w:r>
      <w:r>
        <w:rPr>
          <w:spacing w:val="37"/>
          <w:w w:val="95"/>
        </w:rPr>
        <w:t> </w:t>
      </w:r>
      <w:r>
        <w:rPr>
          <w:spacing w:val="37"/>
          <w:w w:val="95"/>
        </w:rPr>
      </w:r>
      <w:r>
        <w:rPr/>
        <w:t>重达到</w:t>
      </w:r>
      <w:r>
        <w:rPr>
          <w:spacing w:val="-55"/>
        </w:rPr>
        <w:t> </w:t>
      </w:r>
      <w:r>
        <w:rPr>
          <w:rFonts w:ascii="Times New Roman" w:hAnsi="Times New Roman" w:cs="Times New Roman" w:eastAsia="Times New Roman" w:hint="default"/>
        </w:rPr>
        <w:t>75%</w:t>
      </w:r>
      <w:r>
        <w:rPr/>
        <w:t>：</w:t>
      </w:r>
    </w:p>
    <w:p>
      <w:pPr>
        <w:pStyle w:val="BodyText"/>
        <w:spacing w:line="240" w:lineRule="auto" w:before="39"/>
        <w:ind w:left="532" w:right="0"/>
        <w:jc w:val="left"/>
      </w:pPr>
      <w:r>
        <w:rPr/>
        <w:t>1）将管理层认为披露该经营分部信息对会计信息使用者有用的经营分部确定为报告分部；</w:t>
      </w:r>
    </w:p>
    <w:p>
      <w:pPr>
        <w:pStyle w:val="BodyText"/>
        <w:spacing w:line="273" w:lineRule="auto" w:before="75"/>
        <w:ind w:right="0" w:firstLine="420"/>
        <w:jc w:val="left"/>
      </w:pPr>
      <w:r>
        <w:rPr>
          <w:w w:val="95"/>
        </w:rPr>
        <w:t>2）将该经营分部与一个或一个以上的具有相似经济特征、满足经营分部合并条件的其他经营分部合</w:t>
      </w:r>
      <w:r>
        <w:rPr>
          <w:spacing w:val="-85"/>
          <w:w w:val="95"/>
        </w:rPr>
        <w:t> </w:t>
      </w:r>
      <w:r>
        <w:rPr>
          <w:spacing w:val="-85"/>
          <w:w w:val="95"/>
        </w:rPr>
      </w:r>
      <w:r>
        <w:rPr/>
        <w:t>并，作为一个报告分部。</w:t>
      </w:r>
    </w:p>
    <w:p>
      <w:pPr>
        <w:pStyle w:val="BodyText"/>
        <w:spacing w:line="273" w:lineRule="auto" w:before="48"/>
        <w:ind w:right="0" w:firstLine="420"/>
        <w:jc w:val="left"/>
      </w:pPr>
      <w:r>
        <w:rPr>
          <w:w w:val="95"/>
        </w:rPr>
        <w:t>分部间转移价格参照市场价格确定，与各分部共同使用的资产、相关的费用按照收入比例在不同的分</w:t>
      </w:r>
      <w:r>
        <w:rPr>
          <w:w w:val="99"/>
        </w:rPr>
        <w:t> </w:t>
      </w:r>
      <w:r>
        <w:rPr/>
        <w:t>部之间分配。</w:t>
      </w:r>
    </w:p>
    <w:p>
      <w:pPr>
        <w:pStyle w:val="BodyText"/>
        <w:spacing w:line="307" w:lineRule="auto" w:before="48"/>
        <w:ind w:left="532" w:right="0"/>
        <w:jc w:val="left"/>
      </w:pPr>
      <w:r>
        <w:rPr/>
        <w:t>本公司确定报告分部考虑的因素、报告分部的产品和劳务的类型：</w:t>
      </w:r>
      <w:r>
        <w:rPr>
          <w:w w:val="99"/>
        </w:rPr>
        <w:t> </w:t>
      </w:r>
      <w:r>
        <w:rPr>
          <w:w w:val="95"/>
        </w:rPr>
        <w:t>本公司的报告分部都是提供不同产品和劳务的业务单元。由于各种业务需要不同的技术和市场战略，</w:t>
      </w:r>
      <w:r>
        <w:rPr/>
      </w:r>
    </w:p>
    <w:p>
      <w:pPr>
        <w:pStyle w:val="BodyText"/>
        <w:spacing w:line="253" w:lineRule="exact" w:before="0"/>
        <w:ind w:right="0"/>
        <w:jc w:val="left"/>
      </w:pPr>
      <w:r>
        <w:rPr/>
        <w:t>因此本公司分别独立管理各个报告分部的生产经营活动，分别评价其经营成果，以决定向其配置资源、评</w:t>
      </w:r>
    </w:p>
    <w:p>
      <w:pPr>
        <w:pStyle w:val="BodyText"/>
        <w:spacing w:line="240" w:lineRule="auto" w:before="37"/>
        <w:ind w:right="0"/>
        <w:jc w:val="left"/>
      </w:pPr>
      <w:r>
        <w:rPr/>
        <w:t>价其业绩。</w:t>
      </w:r>
    </w:p>
    <w:p>
      <w:pPr>
        <w:pStyle w:val="BodyText"/>
        <w:spacing w:line="259" w:lineRule="auto" w:before="78"/>
        <w:ind w:right="0" w:firstLine="420"/>
        <w:jc w:val="left"/>
      </w:pPr>
      <w:r>
        <w:rPr>
          <w:w w:val="95"/>
        </w:rPr>
        <w:t>本公司有</w:t>
      </w:r>
      <w:r>
        <w:rPr>
          <w:rFonts w:ascii="Arial Narrow" w:hAnsi="Arial Narrow" w:cs="Arial Narrow" w:eastAsia="Arial Narrow" w:hint="default"/>
          <w:w w:val="95"/>
        </w:rPr>
        <w:t>2</w:t>
      </w:r>
      <w:r>
        <w:rPr>
          <w:w w:val="95"/>
        </w:rPr>
        <w:t>个报告分部：技术工程施工分部、其他分部。技术工程施工分部分部负责工程施工，其他</w:t>
      </w:r>
      <w:r>
        <w:rPr>
          <w:spacing w:val="-87"/>
          <w:w w:val="95"/>
        </w:rPr>
        <w:t> </w:t>
      </w:r>
      <w:r>
        <w:rPr>
          <w:spacing w:val="-87"/>
          <w:w w:val="95"/>
        </w:rPr>
      </w:r>
      <w:r>
        <w:rPr/>
        <w:t>分部主要负责互联网运营业务。</w:t>
      </w:r>
    </w:p>
    <w:p>
      <w:pPr>
        <w:spacing w:after="0" w:line="259" w:lineRule="auto"/>
        <w:jc w:val="left"/>
        <w:sectPr>
          <w:pgSz w:w="11910" w:h="16840"/>
          <w:pgMar w:header="746" w:footer="937" w:top="1040" w:bottom="1120" w:left="1020" w:right="100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（2）报告分部的财务信息</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技术工程施工分部</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994,753,574.95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2,403,366.48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-1,339,703.26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995,817,238.17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二、营业费用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147,660,984.44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3,494,777.39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-11,164.19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151,472,159.53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112,719,976.63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-2,750,157.77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109,969,818.86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四、所得税费用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17,986,605.10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-34,731.91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17,951,873.19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五、净利润（亏损）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94,733,371.53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-2,715,425.86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92,017,945.67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1,938,906,363.71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101,080,923.95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-5,789,659.07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pacing w:val="-1"/>
                <w:sz w:val="18"/>
              </w:rPr>
              <w:t>2,034,197,628.59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七、负债总额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570,554,441.40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32,187,378.07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-4,461,120.00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598,280,699.47</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（3）公司无报告分部的，或者不能披露各报告分部的资产总额和负债总额的，应说明原因</w:t>
      </w:r>
      <w:r>
        <w:rPr>
          <w:b w:val="0"/>
          <w:bCs w:val="0"/>
        </w:rPr>
      </w:r>
    </w:p>
    <w:p>
      <w:pPr>
        <w:spacing w:line="240" w:lineRule="auto" w:before="12"/>
        <w:rPr>
          <w:rFonts w:ascii="宋体" w:hAnsi="宋体" w:cs="宋体" w:eastAsia="宋体" w:hint="default"/>
          <w:b/>
          <w:bCs/>
          <w:sz w:val="25"/>
          <w:szCs w:val="25"/>
        </w:rPr>
      </w:pPr>
    </w:p>
    <w:p>
      <w:pPr>
        <w:pStyle w:val="Heading5"/>
        <w:spacing w:line="535" w:lineRule="auto"/>
        <w:ind w:right="5411"/>
        <w:jc w:val="left"/>
        <w:rPr>
          <w:b w:val="0"/>
          <w:bCs w:val="0"/>
        </w:rPr>
      </w:pPr>
      <w:r>
        <w:rPr/>
        <w:t>（4）其他说明</w:t>
      </w:r>
      <w:r>
        <w:rPr>
          <w:w w:val="99"/>
        </w:rPr>
        <w:t> </w:t>
      </w:r>
      <w:r>
        <w:rPr/>
        <w:t>7、其他对投资者决策有影响的重要交易和事项</w:t>
      </w:r>
      <w:r>
        <w:rPr>
          <w:b w:val="0"/>
          <w:bCs w:val="0"/>
        </w:rPr>
      </w:r>
    </w:p>
    <w:p>
      <w:pPr>
        <w:spacing w:line="501" w:lineRule="auto" w:before="81"/>
        <w:ind w:left="112" w:right="5879" w:firstLine="0"/>
        <w:jc w:val="left"/>
        <w:rPr>
          <w:rFonts w:ascii="宋体" w:hAnsi="宋体" w:cs="宋体" w:eastAsia="宋体" w:hint="default"/>
          <w:sz w:val="21"/>
          <w:szCs w:val="21"/>
        </w:rPr>
      </w:pPr>
      <w:r>
        <w:rPr>
          <w:rFonts w:ascii="宋体" w:hAnsi="宋体" w:cs="宋体" w:eastAsia="宋体" w:hint="default"/>
          <w:b/>
          <w:bCs/>
          <w:sz w:val="21"/>
          <w:szCs w:val="21"/>
        </w:rPr>
        <w:t>8、其他</w:t>
      </w:r>
      <w:r>
        <w:rPr>
          <w:rFonts w:ascii="宋体" w:hAnsi="宋体" w:cs="宋体" w:eastAsia="宋体" w:hint="default"/>
          <w:b/>
          <w:bCs/>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宋体" w:hAnsi="宋体" w:cs="宋体" w:eastAsia="宋体" w:hint="default"/>
          <w:b/>
          <w:bCs/>
          <w:sz w:val="21"/>
          <w:szCs w:val="21"/>
        </w:rPr>
        <w:t>1、应收账款</w:t>
      </w:r>
      <w:r>
        <w:rPr>
          <w:rFonts w:ascii="宋体" w:hAnsi="宋体" w:cs="宋体" w:eastAsia="宋体" w:hint="default"/>
          <w:sz w:val="21"/>
          <w:szCs w:val="21"/>
        </w:rPr>
      </w:r>
    </w:p>
    <w:p>
      <w:pPr>
        <w:pStyle w:val="Heading5"/>
        <w:spacing w:line="240" w:lineRule="auto" w:before="110"/>
        <w:ind w:right="0"/>
        <w:jc w:val="left"/>
        <w:rPr>
          <w:b w:val="0"/>
          <w:bCs w:val="0"/>
        </w:rPr>
      </w:pPr>
      <w:r>
        <w:rPr/>
        <w:t>（1）应收账款分类披露</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6" w:right="0"/>
              <w:jc w:val="center"/>
              <w:rPr>
                <w:rFonts w:ascii="宋体" w:hAnsi="宋体" w:cs="宋体" w:eastAsia="宋体" w:hint="default"/>
                <w:sz w:val="18"/>
                <w:szCs w:val="18"/>
              </w:rPr>
            </w:pPr>
            <w:r>
              <w:rPr>
                <w:rFonts w:ascii="宋体"/>
                <w:sz w:val="18"/>
              </w:rPr>
              <w:t>3,999,1</w:t>
            </w:r>
          </w:p>
          <w:p>
            <w:pPr>
              <w:pStyle w:val="TableParagraph"/>
              <w:spacing w:line="240" w:lineRule="auto" w:before="76"/>
              <w:ind w:left="256" w:right="0"/>
              <w:jc w:val="center"/>
              <w:rPr>
                <w:rFonts w:ascii="宋体" w:hAnsi="宋体" w:cs="宋体" w:eastAsia="宋体" w:hint="default"/>
                <w:sz w:val="18"/>
                <w:szCs w:val="18"/>
              </w:rPr>
            </w:pPr>
            <w:r>
              <w:rPr>
                <w:rFonts w:ascii="宋体"/>
                <w:sz w:val="18"/>
              </w:rPr>
              <w:t>74.00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2.11%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8"/>
                <w:szCs w:val="18"/>
              </w:rPr>
            </w:pPr>
            <w:r>
              <w:rPr>
                <w:rFonts w:ascii="宋体"/>
                <w:sz w:val="18"/>
              </w:rPr>
              <w:t>3,999,1</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74.00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sz w:val="18"/>
              </w:rPr>
              <w:t>3,999,</w:t>
            </w:r>
          </w:p>
          <w:p>
            <w:pPr>
              <w:pStyle w:val="TableParagraph"/>
              <w:spacing w:line="240" w:lineRule="auto" w:before="76"/>
              <w:ind w:left="81" w:right="0"/>
              <w:jc w:val="left"/>
              <w:rPr>
                <w:rFonts w:ascii="宋体" w:hAnsi="宋体" w:cs="宋体" w:eastAsia="宋体" w:hint="default"/>
                <w:sz w:val="18"/>
                <w:szCs w:val="18"/>
              </w:rPr>
            </w:pPr>
            <w:r>
              <w:rPr>
                <w:rFonts w:ascii="宋体"/>
                <w:sz w:val="18"/>
              </w:rPr>
              <w:t>174.00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2.73%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3,999,17</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4.00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185,864</w:t>
            </w:r>
          </w:p>
          <w:p>
            <w:pPr>
              <w:pStyle w:val="TableParagraph"/>
              <w:spacing w:line="240" w:lineRule="auto" w:before="76"/>
              <w:ind w:left="99" w:right="0"/>
              <w:jc w:val="left"/>
              <w:rPr>
                <w:rFonts w:ascii="宋体" w:hAnsi="宋体" w:cs="宋体" w:eastAsia="宋体" w:hint="default"/>
                <w:sz w:val="18"/>
                <w:szCs w:val="18"/>
              </w:rPr>
            </w:pPr>
            <w:r>
              <w:rPr>
                <w:rFonts w:ascii="宋体"/>
                <w:sz w:val="18"/>
              </w:rPr>
              <w:t>,722.55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97.89%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13,362,</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329.24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7.19%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sz w:val="18"/>
              </w:rPr>
              <w:t>172,502,</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393.31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142,46</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5,964.</w:t>
            </w:r>
          </w:p>
          <w:p>
            <w:pPr>
              <w:pStyle w:val="TableParagraph"/>
              <w:spacing w:line="240" w:lineRule="auto" w:before="76"/>
              <w:ind w:right="19"/>
              <w:jc w:val="right"/>
              <w:rPr>
                <w:rFonts w:ascii="宋体" w:hAnsi="宋体" w:cs="宋体" w:eastAsia="宋体" w:hint="default"/>
                <w:sz w:val="18"/>
                <w:szCs w:val="18"/>
              </w:rPr>
            </w:pPr>
            <w:r>
              <w:rPr>
                <w:rFonts w:ascii="宋体"/>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97.27%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9,516,19</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6.68%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132,949,7</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74.70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189,863</w:t>
            </w:r>
          </w:p>
          <w:p>
            <w:pPr>
              <w:pStyle w:val="TableParagraph"/>
              <w:spacing w:line="240" w:lineRule="auto" w:before="76"/>
              <w:ind w:left="99" w:right="0"/>
              <w:jc w:val="left"/>
              <w:rPr>
                <w:rFonts w:ascii="宋体" w:hAnsi="宋体" w:cs="宋体" w:eastAsia="宋体" w:hint="default"/>
                <w:sz w:val="18"/>
                <w:szCs w:val="18"/>
              </w:rPr>
            </w:pPr>
            <w:r>
              <w:rPr>
                <w:rFonts w:ascii="宋体"/>
                <w:sz w:val="18"/>
              </w:rPr>
              <w:t>,896.55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17,361,</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503.24</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sz w:val="18"/>
              </w:rPr>
              <w:t>172,502,</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393.31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146,46</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5,138.</w:t>
            </w:r>
          </w:p>
          <w:p>
            <w:pPr>
              <w:pStyle w:val="TableParagraph"/>
              <w:spacing w:line="240" w:lineRule="auto" w:before="76"/>
              <w:ind w:right="19"/>
              <w:jc w:val="right"/>
              <w:rPr>
                <w:rFonts w:ascii="宋体" w:hAnsi="宋体" w:cs="宋体" w:eastAsia="宋体" w:hint="default"/>
                <w:sz w:val="18"/>
                <w:szCs w:val="18"/>
              </w:rPr>
            </w:pPr>
            <w:r>
              <w:rPr>
                <w:rFonts w:ascii="宋体"/>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13,515,3</w:t>
            </w:r>
          </w:p>
          <w:p>
            <w:pPr>
              <w:pStyle w:val="TableParagraph"/>
              <w:spacing w:line="240" w:lineRule="auto" w:before="76"/>
              <w:ind w:left="328" w:right="0"/>
              <w:jc w:val="left"/>
              <w:rPr>
                <w:rFonts w:ascii="宋体" w:hAnsi="宋体" w:cs="宋体" w:eastAsia="宋体" w:hint="default"/>
                <w:sz w:val="18"/>
                <w:szCs w:val="18"/>
              </w:rPr>
            </w:pPr>
            <w:r>
              <w:rPr>
                <w:rFonts w:ascii="宋体"/>
                <w:sz w:val="18"/>
              </w:rPr>
              <w:t>64.00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132,949,7</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74.70</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6" w:footer="937" w:top="1040" w:bottom="1120" w:left="1020" w:right="102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5"/>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20" w:left="1020" w:right="1020"/>
          <w:cols w:num="2" w:equalWidth="0">
            <w:col w:w="4253" w:space="457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0"/>
              <w:ind w:left="22" w:right="159"/>
              <w:jc w:val="left"/>
              <w:rPr>
                <w:rFonts w:ascii="宋体" w:hAnsi="宋体" w:cs="宋体" w:eastAsia="宋体" w:hint="default"/>
                <w:sz w:val="18"/>
                <w:szCs w:val="18"/>
              </w:rPr>
            </w:pPr>
            <w:r>
              <w:rPr>
                <w:rFonts w:ascii="宋体" w:hAnsi="宋体" w:cs="宋体" w:eastAsia="宋体" w:hint="default"/>
                <w:sz w:val="18"/>
                <w:szCs w:val="18"/>
              </w:rPr>
              <w:t>北京星纪开元科技发展 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3,999,174.00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3,999,174.00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50" w:right="0"/>
              <w:jc w:val="left"/>
              <w:rPr>
                <w:rFonts w:ascii="宋体" w:hAnsi="宋体" w:cs="宋体" w:eastAsia="宋体" w:hint="default"/>
                <w:sz w:val="18"/>
                <w:szCs w:val="18"/>
              </w:rPr>
            </w:pPr>
            <w:r>
              <w:rPr>
                <w:rFonts w:ascii="宋体"/>
                <w:sz w:val="18"/>
              </w:rPr>
              <w:t>100.00%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3,999,174.00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3,999,174.00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040" w:bottom="1120" w:left="1020" w:right="1020"/>
        </w:sectPr>
      </w:pPr>
    </w:p>
    <w:p>
      <w:pPr>
        <w:spacing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20" w:left="1020" w:right="1020"/>
          <w:cols w:num="2" w:equalWidth="0">
            <w:col w:w="4073" w:space="475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其中：6</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97,864,788.86</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29,147,030.38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1,457,351.52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127,011,819.24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1,457,351.52</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27,323,292.79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2,732,329.28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20,574,190.94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4,114,838.19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10,955,419.58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5,057,810.25</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7,360,646.41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2,208,193.92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1,241,928.06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496,771.22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2,352,845.11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2,352,845.11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185,864,722.55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13,362,329.24</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12" w:right="541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60" w:lineRule="auto" w:before="29"/>
        <w:ind w:left="112" w:right="5774"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t>（2）本期计提、收回或转回的坏账准备情况</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40" w:bottom="1120" w:left="1020" w:right="1020"/>
        </w:sectPr>
      </w:pPr>
    </w:p>
    <w:p>
      <w:pPr>
        <w:spacing w:line="360" w:lineRule="auto" w:before="44"/>
        <w:ind w:left="112"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3,846,139.24</w:t>
      </w:r>
      <w:r>
        <w:rPr>
          <w:rFonts w:ascii="宋体" w:hAnsi="宋体" w:cs="宋体" w:eastAsia="宋体" w:hint="default"/>
          <w:spacing w:val="-47"/>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9"/>
          <w:sz w:val="18"/>
          <w:szCs w:val="18"/>
        </w:rPr>
        <w:t> </w:t>
      </w:r>
      <w:r>
        <w:rPr>
          <w:rFonts w:ascii="宋体" w:hAnsi="宋体" w:cs="宋体" w:eastAsia="宋体" w:hint="default"/>
          <w:sz w:val="18"/>
          <w:szCs w:val="18"/>
        </w:rPr>
        <w:t>元。</w:t>
      </w:r>
      <w:r>
        <w:rPr>
          <w:rFonts w:ascii="宋体" w:hAnsi="宋体" w:cs="宋体" w:eastAsia="宋体" w:hint="default"/>
          <w:sz w:val="18"/>
          <w:szCs w:val="18"/>
        </w:rPr>
        <w:t>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20" w:left="1020" w:right="1020"/>
          <w:cols w:num="2" w:equalWidth="0">
            <w:col w:w="6593" w:space="2236"/>
            <w:col w:w="104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（3）本期实际核销的应收账款情况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78;height:397" coordorigin="13,13" coordsize="4978,397">
              <v:shape style="position:absolute;left:13;top:13;width:4978;height:397" coordorigin="13,13" coordsize="4978,397" path="m13,13l4991,13,4991,410,13,410,13,13xe" filled="true" fillcolor="#d2d2d2" stroked="false">
                <v:path arrowok="t"/>
                <v:fill type="solid"/>
              </v:shape>
            </v:group>
            <v:group style="position:absolute;left:4996;top:13;width:4580;height:397" coordorigin="4996,13" coordsize="4580,397">
              <v:shape style="position:absolute;left:4996;top:13;width:4580;height:397" coordorigin="4996,13" coordsize="4580,397" path="m4996,13l9576,13,9576,410,4996,410,4996,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（4）按欠款方归集的期末余额前五名的应收账款情况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06" w:type="dxa"/>
        <w:tblLayout w:type="fixed"/>
        <w:tblCellMar>
          <w:top w:w="0" w:type="dxa"/>
          <w:left w:w="0" w:type="dxa"/>
          <w:bottom w:w="0" w:type="dxa"/>
          <w:right w:w="0" w:type="dxa"/>
        </w:tblCellMar>
        <w:tblLook w:val="01E0"/>
      </w:tblPr>
      <w:tblGrid>
        <w:gridCol w:w="2239"/>
        <w:gridCol w:w="2430"/>
        <w:gridCol w:w="2505"/>
        <w:gridCol w:w="2415"/>
      </w:tblGrid>
      <w:tr>
        <w:trPr>
          <w:trHeight w:val="347" w:hRule="exact"/>
        </w:trPr>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7" w:right="0"/>
              <w:jc w:val="left"/>
              <w:rPr>
                <w:rFonts w:ascii="宋体" w:hAnsi="宋体" w:cs="宋体" w:eastAsia="宋体" w:hint="default"/>
                <w:sz w:val="18"/>
                <w:szCs w:val="18"/>
              </w:rPr>
            </w:pPr>
            <w:r>
              <w:rPr>
                <w:rFonts w:ascii="宋体" w:hAnsi="宋体" w:cs="宋体" w:eastAsia="宋体" w:hint="default"/>
                <w:sz w:val="18"/>
                <w:szCs w:val="18"/>
              </w:rPr>
              <w:t>期末余额（元）</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9"/>
              <w:jc w:val="right"/>
              <w:rPr>
                <w:rFonts w:ascii="宋体" w:hAnsi="宋体" w:cs="宋体" w:eastAsia="宋体" w:hint="default"/>
                <w:sz w:val="18"/>
                <w:szCs w:val="18"/>
              </w:rPr>
            </w:pPr>
            <w:r>
              <w:rPr>
                <w:rFonts w:ascii="宋体" w:hAnsi="宋体" w:cs="宋体" w:eastAsia="宋体" w:hint="default"/>
                <w:spacing w:val="-1"/>
                <w:sz w:val="18"/>
                <w:szCs w:val="18"/>
              </w:rPr>
              <w:t>占应收账款期末余额的比例(%)</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0" w:right="0"/>
              <w:jc w:val="left"/>
              <w:rPr>
                <w:rFonts w:ascii="宋体" w:hAnsi="宋体" w:cs="宋体" w:eastAsia="宋体" w:hint="default"/>
                <w:sz w:val="18"/>
                <w:szCs w:val="18"/>
              </w:rPr>
            </w:pPr>
            <w:r>
              <w:rPr>
                <w:rFonts w:ascii="宋体" w:hAnsi="宋体" w:cs="宋体" w:eastAsia="宋体" w:hint="default"/>
                <w:sz w:val="18"/>
                <w:szCs w:val="18"/>
              </w:rPr>
              <w:t>已计提坏账准备（元）</w:t>
            </w:r>
          </w:p>
        </w:tc>
      </w:tr>
      <w:tr>
        <w:trPr>
          <w:trHeight w:val="347" w:hRule="exact"/>
        </w:trPr>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11,885,516.54</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6.26</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54,839.48</w:t>
            </w:r>
          </w:p>
        </w:tc>
      </w:tr>
      <w:tr>
        <w:trPr>
          <w:trHeight w:val="347" w:hRule="exact"/>
        </w:trPr>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8,983,674.00</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4.73</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pacing w:val="-1"/>
                <w:sz w:val="18"/>
              </w:rPr>
              <w:t>2,022,407.30</w:t>
            </w:r>
          </w:p>
        </w:tc>
      </w:tr>
      <w:tr>
        <w:trPr>
          <w:trHeight w:val="347" w:hRule="exact"/>
        </w:trPr>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pacing w:val="-1"/>
                <w:sz w:val="18"/>
              </w:rPr>
              <w:t>8,378,927.00</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z w:val="18"/>
              </w:rPr>
              <w:t>4.41</w:t>
            </w:r>
          </w:p>
        </w:tc>
        <w:tc>
          <w:tcPr>
            <w:tcW w:w="241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7,358,328.70</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3.88</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735,832.87</w:t>
            </w:r>
          </w:p>
        </w:tc>
      </w:tr>
      <w:tr>
        <w:trPr>
          <w:trHeight w:val="347" w:hRule="exact"/>
        </w:trPr>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pacing w:val="-1"/>
                <w:sz w:val="18"/>
              </w:rPr>
              <w:t>7,137,955.84</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z w:val="18"/>
              </w:rPr>
              <w:t>3.76</w:t>
            </w:r>
          </w:p>
        </w:tc>
        <w:tc>
          <w:tcPr>
            <w:tcW w:w="241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43,744,402.08</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23.04</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2,813,079.65</w:t>
            </w:r>
          </w:p>
        </w:tc>
      </w:tr>
    </w:tbl>
    <w:p>
      <w:pPr>
        <w:spacing w:line="240" w:lineRule="auto" w:before="3"/>
        <w:rPr>
          <w:rFonts w:ascii="宋体" w:hAnsi="宋体" w:cs="宋体" w:eastAsia="宋体" w:hint="default"/>
          <w:b/>
          <w:bCs/>
          <w:sz w:val="19"/>
          <w:szCs w:val="19"/>
        </w:rPr>
      </w:pPr>
    </w:p>
    <w:p>
      <w:pPr>
        <w:pStyle w:val="Heading5"/>
        <w:spacing w:line="240" w:lineRule="auto" w:before="34"/>
        <w:ind w:right="0"/>
        <w:jc w:val="left"/>
        <w:rPr>
          <w:b w:val="0"/>
          <w:bCs w:val="0"/>
        </w:rPr>
      </w:pPr>
      <w:r>
        <w:rPr/>
        <w:t>（5）因金融资产转移而终止确认的应收账款</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r>
        <w:rPr/>
        <w:t>（6）转移应收账款且继续涉入形成的资产、负债金额</w:t>
      </w:r>
      <w:r>
        <w:rPr>
          <w:b w:val="0"/>
          <w:bCs w:val="0"/>
        </w:rPr>
      </w:r>
    </w:p>
    <w:p>
      <w:pPr>
        <w:spacing w:line="240" w:lineRule="auto" w:before="12"/>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2、其他应收款</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（1）其他应收款分类披露</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91,051,</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117.90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99.17%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8"/>
                <w:szCs w:val="18"/>
              </w:rPr>
            </w:pPr>
            <w:r>
              <w:rPr>
                <w:rFonts w:ascii="宋体"/>
                <w:sz w:val="18"/>
              </w:rPr>
              <w:t>9,276,3</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57.76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10.19%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81,774,7</w:t>
            </w:r>
          </w:p>
          <w:p>
            <w:pPr>
              <w:pStyle w:val="TableParagraph"/>
              <w:spacing w:line="240" w:lineRule="auto" w:before="76"/>
              <w:ind w:left="306" w:right="0"/>
              <w:jc w:val="left"/>
              <w:rPr>
                <w:rFonts w:ascii="宋体" w:hAnsi="宋体" w:cs="宋体" w:eastAsia="宋体" w:hint="default"/>
                <w:sz w:val="18"/>
                <w:szCs w:val="18"/>
              </w:rPr>
            </w:pPr>
            <w:r>
              <w:rPr>
                <w:rFonts w:ascii="宋体"/>
                <w:sz w:val="18"/>
              </w:rPr>
              <w:t>60.14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64,630</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,088.8</w:t>
            </w:r>
          </w:p>
          <w:p>
            <w:pPr>
              <w:pStyle w:val="TableParagraph"/>
              <w:spacing w:line="240" w:lineRule="auto" w:before="76"/>
              <w:ind w:right="21"/>
              <w:jc w:val="right"/>
              <w:rPr>
                <w:rFonts w:ascii="宋体" w:hAnsi="宋体" w:cs="宋体" w:eastAsia="宋体" w:hint="default"/>
                <w:sz w:val="18"/>
                <w:szCs w:val="18"/>
              </w:rPr>
            </w:pPr>
            <w:r>
              <w:rPr>
                <w:rFonts w:ascii="宋体"/>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98.47%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6,104,65</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8.39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9.45%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58,525,43</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0.50</w:t>
            </w:r>
          </w:p>
        </w:tc>
      </w:tr>
      <w:tr>
        <w:trPr>
          <w:trHeight w:val="102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762,880</w:t>
            </w:r>
          </w:p>
          <w:p>
            <w:pPr>
              <w:pStyle w:val="TableParagraph"/>
              <w:spacing w:line="240" w:lineRule="auto" w:before="76"/>
              <w:ind w:left="459" w:right="0"/>
              <w:jc w:val="left"/>
              <w:rPr>
                <w:rFonts w:ascii="宋体" w:hAnsi="宋体" w:cs="宋体" w:eastAsia="宋体" w:hint="default"/>
                <w:sz w:val="18"/>
                <w:szCs w:val="18"/>
              </w:rPr>
            </w:pPr>
            <w:r>
              <w:rPr>
                <w:rFonts w:ascii="宋体"/>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0.83%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762,880</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sz w:val="18"/>
              </w:rPr>
              <w:t>1,003,</w:t>
            </w:r>
          </w:p>
          <w:p>
            <w:pPr>
              <w:pStyle w:val="TableParagraph"/>
              <w:spacing w:line="240" w:lineRule="auto" w:before="76"/>
              <w:ind w:left="81" w:right="0"/>
              <w:jc w:val="left"/>
              <w:rPr>
                <w:rFonts w:ascii="宋体" w:hAnsi="宋体" w:cs="宋体" w:eastAsia="宋体" w:hint="default"/>
                <w:sz w:val="18"/>
                <w:szCs w:val="18"/>
              </w:rPr>
            </w:pPr>
            <w:r>
              <w:rPr>
                <w:rFonts w:ascii="宋体"/>
                <w:sz w:val="18"/>
              </w:rPr>
              <w:t>440.00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1.53%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1,003,44</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91,813,</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997.90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0" w:right="0"/>
              <w:jc w:val="left"/>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10,039,</w:t>
            </w:r>
          </w:p>
          <w:p>
            <w:pPr>
              <w:pStyle w:val="TableParagraph"/>
              <w:spacing w:line="240" w:lineRule="auto" w:before="76"/>
              <w:ind w:left="190" w:right="0"/>
              <w:jc w:val="left"/>
              <w:rPr>
                <w:rFonts w:ascii="宋体" w:hAnsi="宋体" w:cs="宋体" w:eastAsia="宋体" w:hint="default"/>
                <w:sz w:val="18"/>
                <w:szCs w:val="18"/>
              </w:rPr>
            </w:pPr>
            <w:r>
              <w:rPr>
                <w:rFonts w:ascii="宋体"/>
                <w:sz w:val="18"/>
              </w:rPr>
              <w:t>237.76</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81,774,7</w:t>
            </w:r>
          </w:p>
          <w:p>
            <w:pPr>
              <w:pStyle w:val="TableParagraph"/>
              <w:spacing w:line="240" w:lineRule="auto" w:before="76"/>
              <w:ind w:left="306" w:right="0"/>
              <w:jc w:val="left"/>
              <w:rPr>
                <w:rFonts w:ascii="宋体" w:hAnsi="宋体" w:cs="宋体" w:eastAsia="宋体" w:hint="default"/>
                <w:sz w:val="18"/>
                <w:szCs w:val="18"/>
              </w:rPr>
            </w:pPr>
            <w:r>
              <w:rPr>
                <w:rFonts w:ascii="宋体"/>
                <w:sz w:val="18"/>
              </w:rPr>
              <w:t>60.14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65,633</w:t>
            </w:r>
          </w:p>
          <w:p>
            <w:pPr>
              <w:pStyle w:val="TableParagraph"/>
              <w:spacing w:line="240" w:lineRule="auto" w:before="76"/>
              <w:ind w:right="19"/>
              <w:jc w:val="right"/>
              <w:rPr>
                <w:rFonts w:ascii="宋体" w:hAnsi="宋体" w:cs="宋体" w:eastAsia="宋体" w:hint="default"/>
                <w:sz w:val="18"/>
                <w:szCs w:val="18"/>
              </w:rPr>
            </w:pPr>
            <w:r>
              <w:rPr>
                <w:rFonts w:ascii="宋体"/>
                <w:spacing w:val="-1"/>
                <w:sz w:val="18"/>
              </w:rPr>
              <w:t>,528.8</w:t>
            </w:r>
          </w:p>
          <w:p>
            <w:pPr>
              <w:pStyle w:val="TableParagraph"/>
              <w:spacing w:line="240" w:lineRule="auto" w:before="76"/>
              <w:ind w:right="21"/>
              <w:jc w:val="right"/>
              <w:rPr>
                <w:rFonts w:ascii="宋体" w:hAnsi="宋体" w:cs="宋体" w:eastAsia="宋体" w:hint="default"/>
                <w:sz w:val="18"/>
                <w:szCs w:val="18"/>
              </w:rPr>
            </w:pPr>
            <w:r>
              <w:rPr>
                <w:rFonts w:ascii="宋体"/>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9" w:right="0"/>
              <w:jc w:val="left"/>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sz w:val="18"/>
              </w:rPr>
              <w:t>7,108,09</w:t>
            </w:r>
          </w:p>
          <w:p>
            <w:pPr>
              <w:pStyle w:val="TableParagraph"/>
              <w:spacing w:line="240" w:lineRule="auto" w:before="76"/>
              <w:ind w:left="420" w:right="0"/>
              <w:jc w:val="left"/>
              <w:rPr>
                <w:rFonts w:ascii="宋体" w:hAnsi="宋体" w:cs="宋体" w:eastAsia="宋体" w:hint="default"/>
                <w:sz w:val="18"/>
                <w:szCs w:val="18"/>
              </w:rPr>
            </w:pPr>
            <w:r>
              <w:rPr>
                <w:rFonts w:ascii="宋体"/>
                <w:sz w:val="18"/>
              </w:rPr>
              <w:t>8.39</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58,525,43</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0.50</w:t>
            </w:r>
          </w:p>
        </w:tc>
      </w:tr>
    </w:tbl>
    <w:p>
      <w:pPr>
        <w:spacing w:after="0" w:line="240" w:lineRule="auto"/>
        <w:jc w:val="left"/>
        <w:rPr>
          <w:rFonts w:ascii="宋体" w:hAnsi="宋体" w:cs="宋体" w:eastAsia="宋体" w:hint="default"/>
          <w:sz w:val="18"/>
          <w:szCs w:val="18"/>
        </w:rPr>
        <w:sectPr>
          <w:pgSz w:w="11910" w:h="16840"/>
          <w:pgMar w:header="746" w:footer="937" w:top="1040" w:bottom="1120" w:left="1020" w:right="1020"/>
        </w:sectPr>
      </w:pPr>
    </w:p>
    <w:p>
      <w:pPr>
        <w:spacing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57" w:lineRule="auto" w:before="117"/>
        <w:ind w:left="112"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9"/>
        <w:ind w:left="112"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20" w:left="1020" w:right="1020"/>
          <w:cols w:num="2" w:equalWidth="0">
            <w:col w:w="4433" w:space="4396"/>
            <w:col w:w="104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其中：6</w:t>
            </w:r>
            <w:r>
              <w:rPr>
                <w:rFonts w:ascii="宋体" w:hAnsi="宋体" w:cs="宋体" w:eastAsia="宋体" w:hint="default"/>
                <w:spacing w:val="-46"/>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30,129,556.29</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19,173,220.23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958,661.01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49,302,776.52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958,661.01</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21,053,203.59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2,105,320.36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10,484,086.69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2,096,817.34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10,211,051.10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4,115,559.05</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4,350,612.10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1,305,183.63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5,083,439.30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2,033,375.72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776,999.70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776,999.70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91,051,117.90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9,276,357.76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2"/>
        <w:ind w:left="112" w:right="52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60" w:lineRule="auto" w:before="29"/>
        <w:ind w:left="112" w:right="5594"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（2）本期计提、收回或转回的坏账准备情况</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40" w:bottom="1120" w:left="1020" w:right="1020"/>
        </w:sectPr>
      </w:pPr>
    </w:p>
    <w:p>
      <w:pPr>
        <w:spacing w:line="357" w:lineRule="auto" w:before="44"/>
        <w:ind w:left="112" w:right="-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宋体" w:hAnsi="宋体" w:cs="宋体" w:eastAsia="宋体" w:hint="default"/>
          <w:sz w:val="18"/>
          <w:szCs w:val="18"/>
        </w:rPr>
        <w:t>3,171,699.37</w:t>
      </w:r>
      <w:r>
        <w:rPr>
          <w:rFonts w:ascii="宋体" w:hAnsi="宋体" w:cs="宋体" w:eastAsia="宋体" w:hint="default"/>
          <w:spacing w:val="-48"/>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宋体" w:hAnsi="宋体" w:cs="宋体" w:eastAsia="宋体" w:hint="default"/>
          <w:sz w:val="18"/>
          <w:szCs w:val="18"/>
        </w:rPr>
        <w:t>215,000.00</w:t>
      </w:r>
      <w:r>
        <w:rPr>
          <w:rFonts w:ascii="宋体" w:hAnsi="宋体" w:cs="宋体" w:eastAsia="宋体" w:hint="default"/>
          <w:spacing w:val="-50"/>
          <w:sz w:val="18"/>
          <w:szCs w:val="18"/>
        </w:rPr>
        <w:t> </w:t>
      </w:r>
      <w:r>
        <w:rPr>
          <w:rFonts w:ascii="宋体" w:hAnsi="宋体" w:cs="宋体" w:eastAsia="宋体" w:hint="default"/>
          <w:sz w:val="18"/>
          <w:szCs w:val="18"/>
        </w:rPr>
        <w:t>元。</w:t>
      </w:r>
      <w:r>
        <w:rPr>
          <w:rFonts w:ascii="宋体" w:hAnsi="宋体" w:cs="宋体" w:eastAsia="宋体" w:hint="default"/>
          <w:sz w:val="18"/>
          <w:szCs w:val="18"/>
        </w:rPr>
        <w:t>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40" w:bottom="1120" w:left="1020" w:right="1020"/>
          <w:cols w:num="2" w:equalWidth="0">
            <w:col w:w="7133" w:space="169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合肥易畅电子科技有限公司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215,000.00</w:t>
            </w:r>
          </w:p>
        </w:tc>
        <w:tc>
          <w:tcPr>
            <w:tcW w:w="31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现金收回</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215,000.00</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（3）本期实际核销的其他应收款情况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25,560.00</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（4）其他应收款按款项性质分类情况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85,292,613.18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55,400,918.30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2,327,102.94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1,019,361.94</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6,400,000.00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794,281.78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2,813,248.65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91,813,997.90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65,633,528.89</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（5）按欠款方归集的期末余额前五名的其他应收款情况</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25,069,364.32</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27.30%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1,757,473.19</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3,583,066.00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4.79%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439,882.00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3,058,680.05</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307,315.05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2,330,126.40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206,803.01</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2,118,055.90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58,253.16</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36,159,292.67</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41.86%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2,769,726.41</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r>
        <w:rPr/>
        <w:t>（6）涉及政府补助的应收款项</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7" w:right="64"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746" w:footer="937" w:top="1040" w:bottom="1120" w:left="1020" w:right="1020"/>
        </w:sectPr>
      </w:pPr>
    </w:p>
    <w:p>
      <w:pPr>
        <w:spacing w:line="240" w:lineRule="auto" w:before="6"/>
        <w:rPr>
          <w:rFonts w:ascii="宋体" w:hAnsi="宋体" w:cs="宋体" w:eastAsia="宋体" w:hint="default"/>
          <w:sz w:val="25"/>
          <w:szCs w:val="25"/>
        </w:rPr>
      </w:pPr>
    </w:p>
    <w:p>
      <w:pPr>
        <w:pStyle w:val="Heading5"/>
        <w:spacing w:line="240" w:lineRule="auto" w:before="34"/>
        <w:ind w:right="0"/>
        <w:jc w:val="left"/>
        <w:rPr>
          <w:b w:val="0"/>
          <w:bCs w:val="0"/>
        </w:rPr>
      </w:pPr>
      <w:r>
        <w:rPr/>
        <w:t>（7）因金融资产转移而终止确认的其他应收款</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（8）转移其他应收款且继续涉入形成的资产、负债金额</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3、长期股权投资</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 w:right="0"/>
              <w:jc w:val="center"/>
              <w:rPr>
                <w:rFonts w:ascii="宋体" w:hAnsi="宋体" w:cs="宋体" w:eastAsia="宋体" w:hint="default"/>
                <w:sz w:val="18"/>
                <w:szCs w:val="18"/>
              </w:rPr>
            </w:pPr>
            <w:r>
              <w:rPr>
                <w:rFonts w:ascii="宋体"/>
                <w:sz w:val="18"/>
              </w:rPr>
              <w:t>443,204,131.41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 w:right="0"/>
              <w:jc w:val="center"/>
              <w:rPr>
                <w:rFonts w:ascii="宋体" w:hAnsi="宋体" w:cs="宋体" w:eastAsia="宋体" w:hint="default"/>
                <w:sz w:val="18"/>
                <w:szCs w:val="18"/>
              </w:rPr>
            </w:pPr>
            <w:r>
              <w:rPr>
                <w:rFonts w:ascii="宋体"/>
                <w:sz w:val="18"/>
              </w:rPr>
              <w:t>443,204,131.41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 w:right="0"/>
              <w:jc w:val="center"/>
              <w:rPr>
                <w:rFonts w:ascii="宋体" w:hAnsi="宋体" w:cs="宋体" w:eastAsia="宋体" w:hint="default"/>
                <w:sz w:val="18"/>
                <w:szCs w:val="18"/>
              </w:rPr>
            </w:pPr>
            <w:r>
              <w:rPr>
                <w:rFonts w:ascii="宋体"/>
                <w:sz w:val="18"/>
              </w:rPr>
              <w:t>432,904,131.41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 w:right="0"/>
              <w:jc w:val="center"/>
              <w:rPr>
                <w:rFonts w:ascii="宋体" w:hAnsi="宋体" w:cs="宋体" w:eastAsia="宋体" w:hint="default"/>
                <w:sz w:val="18"/>
                <w:szCs w:val="18"/>
              </w:rPr>
            </w:pPr>
            <w:r>
              <w:rPr>
                <w:rFonts w:ascii="宋体"/>
                <w:sz w:val="18"/>
              </w:rPr>
              <w:t>432,904,131.41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 w:right="0"/>
              <w:jc w:val="center"/>
              <w:rPr>
                <w:rFonts w:ascii="宋体" w:hAnsi="宋体" w:cs="宋体" w:eastAsia="宋体" w:hint="default"/>
                <w:sz w:val="18"/>
                <w:szCs w:val="18"/>
              </w:rPr>
            </w:pPr>
            <w:r>
              <w:rPr>
                <w:rFonts w:ascii="宋体"/>
                <w:sz w:val="18"/>
              </w:rPr>
              <w:t>443,204,131.41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 w:right="0"/>
              <w:jc w:val="center"/>
              <w:rPr>
                <w:rFonts w:ascii="宋体" w:hAnsi="宋体" w:cs="宋体" w:eastAsia="宋体" w:hint="default"/>
                <w:sz w:val="18"/>
                <w:szCs w:val="18"/>
              </w:rPr>
            </w:pPr>
            <w:r>
              <w:rPr>
                <w:rFonts w:ascii="宋体"/>
                <w:sz w:val="18"/>
              </w:rPr>
              <w:t>443,204,131.41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 w:right="0"/>
              <w:jc w:val="center"/>
              <w:rPr>
                <w:rFonts w:ascii="宋体" w:hAnsi="宋体" w:cs="宋体" w:eastAsia="宋体" w:hint="default"/>
                <w:sz w:val="18"/>
                <w:szCs w:val="18"/>
              </w:rPr>
            </w:pPr>
            <w:r>
              <w:rPr>
                <w:rFonts w:ascii="宋体"/>
                <w:sz w:val="18"/>
              </w:rPr>
              <w:t>432,904,131.41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 w:right="0"/>
              <w:jc w:val="center"/>
              <w:rPr>
                <w:rFonts w:ascii="宋体" w:hAnsi="宋体" w:cs="宋体" w:eastAsia="宋体" w:hint="default"/>
                <w:sz w:val="18"/>
                <w:szCs w:val="18"/>
              </w:rPr>
            </w:pPr>
            <w:r>
              <w:rPr>
                <w:rFonts w:ascii="宋体"/>
                <w:sz w:val="18"/>
              </w:rPr>
              <w:t>432,904,131.41</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r>
        <w:rPr/>
        <w:t>（1）对子公司投资</w:t>
      </w:r>
      <w:r>
        <w:rPr>
          <w:b w:val="0"/>
          <w:bCs w:val="0"/>
        </w:rPr>
      </w:r>
    </w:p>
    <w:p>
      <w:pPr>
        <w:spacing w:line="240" w:lineRule="auto" w:before="7"/>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7"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52"/>
              <w:jc w:val="both"/>
              <w:rPr>
                <w:rFonts w:ascii="宋体" w:hAnsi="宋体" w:cs="宋体" w:eastAsia="宋体" w:hint="default"/>
                <w:sz w:val="18"/>
                <w:szCs w:val="18"/>
              </w:rPr>
            </w:pPr>
            <w:r>
              <w:rPr>
                <w:rFonts w:ascii="宋体" w:hAnsi="宋体" w:cs="宋体" w:eastAsia="宋体" w:hint="default"/>
                <w:sz w:val="18"/>
                <w:szCs w:val="18"/>
              </w:rPr>
              <w:t>天津市金飞博光 通讯技术有限公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4,027,343.90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pacing w:val="-1"/>
                <w:sz w:val="18"/>
              </w:rPr>
              <w:t>4,027,343.90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天津市天安怡和 信息技术有限公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45,964,273.77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45,964,273.77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重庆皖通科技有 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2,550,000.00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2,850,000.00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安徽汉高信息科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21,030,000.00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21,030,000.00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烟台华东电子软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330,232,513.74</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330,232,513.74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安徽皖通城市智 能交通科技有限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spacing w:val="-1"/>
                <w:sz w:val="18"/>
              </w:rPr>
              <w:t>5,100,000.00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宋体" w:hAnsi="宋体" w:cs="宋体" w:eastAsia="宋体" w:hint="default"/>
                <w:sz w:val="18"/>
                <w:szCs w:val="18"/>
              </w:rPr>
            </w:pPr>
            <w:r>
              <w:rPr>
                <w:rFonts w:ascii="宋体"/>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安徽行云天下科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432,904,131.41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10,300,000.00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443,204,131.41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（2）对联营、合营企业投资</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34"/>
          <w:pgSz w:w="11910" w:h="16840"/>
          <w:pgMar w:footer="937" w:header="746" w:top="1040" w:bottom="1120" w:left="1020" w:right="1020"/>
          <w:pgNumType w:start="18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5"/>
        <w:spacing w:line="537" w:lineRule="auto" w:before="34"/>
        <w:ind w:right="7519"/>
        <w:jc w:val="left"/>
        <w:rPr>
          <w:b w:val="0"/>
          <w:bCs w:val="0"/>
        </w:rPr>
      </w:pPr>
      <w:r>
        <w:rPr/>
        <w:t>（3）其他说明</w:t>
      </w:r>
      <w:r>
        <w:rPr>
          <w:w w:val="99"/>
        </w:rPr>
        <w:t> </w:t>
      </w:r>
      <w:r>
        <w:rPr/>
        <w:t>4、营业收入和营业成本</w:t>
      </w:r>
      <w:r>
        <w:rPr>
          <w:b w:val="0"/>
          <w:bCs w:val="0"/>
        </w:rPr>
      </w:r>
    </w:p>
    <w:p>
      <w:pPr>
        <w:spacing w:before="102"/>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560,857,343.31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432,293,875.65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603,223,104.96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496,995,911.51</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42,612.40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82,503.12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560,899,955.71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432,293,875.65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603,305,608.08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496,995,911.51</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5、投资收益</w:t>
      </w:r>
      <w:r>
        <w:rPr>
          <w:b w:val="0"/>
          <w:bCs w:val="0"/>
        </w:rPr>
      </w:r>
    </w:p>
    <w:p>
      <w:pPr>
        <w:spacing w:line="240" w:lineRule="auto" w:before="4"/>
        <w:rPr>
          <w:rFonts w:ascii="宋体" w:hAnsi="宋体" w:cs="宋体" w:eastAsia="宋体" w:hint="default"/>
          <w:b/>
          <w:bCs/>
          <w:sz w:val="24"/>
          <w:szCs w:val="24"/>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5,151,000.00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2,983,602.36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148,773.01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3,371,109.59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5,682,141.12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8,670,882.60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8,665,743.48</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r>
        <w:rPr/>
        <w:t>6、其他</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0"/>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t>1、当期非经常性损益明细表</w:t>
      </w:r>
      <w:r>
        <w:rPr>
          <w:b w:val="0"/>
          <w:bCs w:val="0"/>
        </w:rPr>
      </w:r>
    </w:p>
    <w:p>
      <w:pPr>
        <w:spacing w:line="240" w:lineRule="auto" w:before="4"/>
        <w:rPr>
          <w:rFonts w:ascii="宋体" w:hAnsi="宋体" w:cs="宋体" w:eastAsia="宋体" w:hint="default"/>
          <w:b/>
          <w:bCs/>
          <w:sz w:val="24"/>
          <w:szCs w:val="24"/>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-14,105.89</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26,306,853.76</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1"/>
              <w:ind w:right="66"/>
              <w:jc w:val="center"/>
              <w:rPr>
                <w:rFonts w:ascii="宋体" w:hAnsi="宋体" w:cs="宋体" w:eastAsia="宋体" w:hint="default"/>
                <w:sz w:val="18"/>
                <w:szCs w:val="18"/>
              </w:rPr>
            </w:pPr>
            <w:r>
              <w:rPr>
                <w:rFonts w:ascii="宋体" w:hAnsi="宋体" w:cs="宋体" w:eastAsia="宋体" w:hint="default"/>
                <w:sz w:val="18"/>
                <w:szCs w:val="18"/>
              </w:rPr>
              <w:t>主要系本期收到烟台高新区经济发展局</w:t>
            </w:r>
          </w:p>
        </w:tc>
      </w:tr>
    </w:tbl>
    <w:p>
      <w:pPr>
        <w:spacing w:after="0" w:line="240" w:lineRule="auto"/>
        <w:jc w:val="center"/>
        <w:rPr>
          <w:rFonts w:ascii="宋体" w:hAnsi="宋体" w:cs="宋体" w:eastAsia="宋体" w:hint="default"/>
          <w:sz w:val="18"/>
          <w:szCs w:val="18"/>
        </w:rPr>
        <w:sectPr>
          <w:pgSz w:w="11910" w:h="16840"/>
          <w:pgMar w:header="746" w:footer="937" w:top="1040" w:bottom="1120" w:left="1020" w:right="1020"/>
        </w:sectPr>
      </w:pPr>
    </w:p>
    <w:p>
      <w:pPr>
        <w:spacing w:line="240" w:lineRule="auto" w:before="2"/>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67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49"/>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专项扶持基本补贴所致</w:t>
            </w: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4,323,710.90</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215,000.00</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-2,948.26</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6,723,244.49</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336,134.86</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23,769,131.16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7"/>
          <w:sz w:val="18"/>
          <w:szCs w:val="18"/>
        </w:rPr>
        <w:t>号——非经常性损益》定义界定的非经常性损益项目，以及把《公</w:t>
      </w:r>
    </w:p>
    <w:p>
      <w:pPr>
        <w:spacing w:line="316" w:lineRule="auto" w:before="76"/>
        <w:ind w:left="112" w:right="14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59"/>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2、净资产收益率及每股收益</w:t>
      </w:r>
      <w:r>
        <w:rPr>
          <w:b w:val="0"/>
          <w:bCs w:val="0"/>
        </w:rPr>
      </w:r>
    </w:p>
    <w:p>
      <w:pPr>
        <w:spacing w:line="240" w:lineRule="auto" w:before="10"/>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1"/>
                <w:sz w:val="18"/>
                <w:szCs w:val="18"/>
              </w:rPr>
              <w:t>基本每股收益（元/股）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1"/>
                <w:sz w:val="18"/>
                <w:szCs w:val="18"/>
              </w:rPr>
              <w:t>稀释每股收益（元/股）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6.26%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0.2361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0.2361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0.1683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0.1683</w:t>
            </w:r>
          </w:p>
        </w:tc>
      </w:tr>
    </w:tbl>
    <w:p>
      <w:pPr>
        <w:spacing w:line="240" w:lineRule="auto" w:before="4"/>
        <w:rPr>
          <w:rFonts w:ascii="宋体" w:hAnsi="宋体" w:cs="宋体" w:eastAsia="宋体" w:hint="default"/>
          <w:b/>
          <w:bCs/>
          <w:sz w:val="19"/>
          <w:szCs w:val="19"/>
        </w:rPr>
      </w:pPr>
    </w:p>
    <w:p>
      <w:pPr>
        <w:pStyle w:val="Heading5"/>
        <w:spacing w:line="240" w:lineRule="auto" w:before="34"/>
        <w:ind w:right="0"/>
        <w:jc w:val="left"/>
        <w:rPr>
          <w:b w:val="0"/>
          <w:bCs w:val="0"/>
        </w:rPr>
      </w:pPr>
      <w:r>
        <w:rPr/>
        <w:t>3、境内外会计准则下会计数据差异</w:t>
      </w:r>
      <w:r>
        <w:rPr>
          <w:b w:val="0"/>
          <w:bCs w:val="0"/>
        </w:rPr>
      </w:r>
    </w:p>
    <w:p>
      <w:pPr>
        <w:spacing w:line="240" w:lineRule="auto" w:before="12"/>
        <w:rPr>
          <w:rFonts w:ascii="宋体" w:hAnsi="宋体" w:cs="宋体" w:eastAsia="宋体" w:hint="default"/>
          <w:b/>
          <w:bCs/>
          <w:sz w:val="25"/>
          <w:szCs w:val="25"/>
        </w:rPr>
      </w:pPr>
    </w:p>
    <w:p>
      <w:pPr>
        <w:pStyle w:val="Heading5"/>
        <w:spacing w:line="240" w:lineRule="auto"/>
        <w:ind w:right="0"/>
        <w:jc w:val="left"/>
        <w:rPr>
          <w:b w:val="0"/>
          <w:bCs w:val="0"/>
        </w:rPr>
      </w:pPr>
      <w:r>
        <w:rPr/>
        <w:t>（1）同时按照国际会计准则与按中国会计准则披露的财务报告中净利润和净资产差异情况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（2）同时按照境外会计准则与按中国会计准则披露的财务报告中净利润和净资产差异情况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pStyle w:val="Heading5"/>
        <w:spacing w:line="273" w:lineRule="auto" w:before="118"/>
        <w:ind w:right="0"/>
        <w:jc w:val="left"/>
        <w:rPr>
          <w:b w:val="0"/>
          <w:bCs w:val="0"/>
        </w:rPr>
      </w:pPr>
      <w:r>
        <w:rPr>
          <w:spacing w:val="3"/>
          <w:w w:val="95"/>
        </w:rPr>
        <w:t>（3）境内外会计准则下会计数据差异原因说明，对已经境外审计机构审计的数据进行差异调节的，应注</w:t>
      </w:r>
      <w:r>
        <w:rPr>
          <w:spacing w:val="95"/>
          <w:w w:val="95"/>
        </w:rPr>
        <w:t> </w:t>
      </w:r>
      <w:r>
        <w:rPr>
          <w:spacing w:val="95"/>
          <w:w w:val="95"/>
        </w:rPr>
      </w:r>
      <w:r>
        <w:rPr/>
        <w:t>明该境外机构的名称</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0"/>
        <w:jc w:val="left"/>
        <w:rPr>
          <w:b w:val="0"/>
          <w:bCs w:val="0"/>
        </w:rPr>
      </w:pPr>
      <w:r>
        <w:rPr/>
        <w:t>4、其他</w:t>
      </w:r>
      <w:r>
        <w:rPr>
          <w:b w:val="0"/>
          <w:bCs w:val="0"/>
        </w:rPr>
      </w:r>
    </w:p>
    <w:p>
      <w:pPr>
        <w:spacing w:after="0" w:line="240" w:lineRule="auto"/>
        <w:jc w:val="left"/>
        <w:sectPr>
          <w:pgSz w:w="11910" w:h="16840"/>
          <w:pgMar w:header="746" w:footer="937" w:top="1040" w:bottom="1120" w:left="1020" w:right="98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1"/>
          <w:szCs w:val="21"/>
        </w:rPr>
      </w:pPr>
    </w:p>
    <w:p>
      <w:pPr>
        <w:pStyle w:val="Heading1"/>
        <w:spacing w:line="240" w:lineRule="auto"/>
        <w:ind w:left="3247" w:right="0"/>
        <w:jc w:val="left"/>
        <w:rPr>
          <w:b w:val="0"/>
          <w:bCs w:val="0"/>
        </w:rPr>
      </w:pPr>
      <w:bookmarkStart w:name="_bookmark11" w:id="12"/>
      <w:bookmarkEnd w:id="12"/>
      <w:r>
        <w:rPr>
          <w:b w:val="0"/>
          <w:bCs w:val="0"/>
        </w:rPr>
      </w:r>
      <w:r>
        <w:rPr/>
        <w:t>第十二节</w:t>
      </w:r>
      <w:r>
        <w:rPr>
          <w:spacing w:val="-10"/>
        </w:rPr>
        <w:t> </w:t>
      </w:r>
      <w:r>
        <w:rPr/>
        <w:t>备查文件目录</w:t>
      </w:r>
      <w:r>
        <w:rPr>
          <w:b w:val="0"/>
          <w:bCs w:val="0"/>
        </w:rPr>
      </w:r>
    </w:p>
    <w:p>
      <w:pPr>
        <w:spacing w:line="240" w:lineRule="auto" w:before="5"/>
        <w:rPr>
          <w:rFonts w:ascii="宋体" w:hAnsi="宋体" w:cs="宋体" w:eastAsia="宋体" w:hint="default"/>
          <w:b/>
          <w:bCs/>
          <w:sz w:val="46"/>
          <w:szCs w:val="46"/>
        </w:rPr>
      </w:pPr>
    </w:p>
    <w:p>
      <w:pPr>
        <w:pStyle w:val="BodyText"/>
        <w:spacing w:line="408" w:lineRule="auto" w:before="0"/>
        <w:ind w:right="0"/>
        <w:jc w:val="left"/>
      </w:pPr>
      <w:r>
        <w:rPr/>
        <w:t>一、载有董事长签名的公司2017年年度报告全文；</w:t>
      </w:r>
      <w:r>
        <w:rPr>
          <w:w w:val="99"/>
        </w:rPr>
        <w:t> </w:t>
      </w:r>
      <w:r>
        <w:rPr/>
        <w:t>二、载有公司法定代表人、主管会计工作负责人、会计机构负责人签名并盖章的财务报告文本；</w:t>
      </w:r>
      <w:r>
        <w:rPr>
          <w:w w:val="99"/>
        </w:rPr>
        <w:t> </w:t>
      </w:r>
      <w:r>
        <w:rPr>
          <w:w w:val="95"/>
        </w:rPr>
        <w:t>三、报告期内在《证券时报》、《中国证券报》、巨潮资讯网上公开披露过的所有公司文件的正本及公告</w:t>
      </w:r>
      <w:r>
        <w:rPr>
          <w:spacing w:val="38"/>
          <w:w w:val="95"/>
        </w:rPr>
        <w:t> </w:t>
      </w:r>
      <w:r>
        <w:rPr>
          <w:spacing w:val="38"/>
          <w:w w:val="95"/>
        </w:rPr>
      </w:r>
      <w:r>
        <w:rPr/>
        <w:t>的原稿；</w:t>
      </w:r>
    </w:p>
    <w:p>
      <w:pPr>
        <w:pStyle w:val="BodyText"/>
        <w:spacing w:line="240" w:lineRule="auto" w:before="46"/>
        <w:ind w:right="0"/>
        <w:jc w:val="left"/>
      </w:pPr>
      <w:r>
        <w:rPr/>
        <w:t>四、以上备查文件备置地点：公司董事会办公室。</w:t>
      </w:r>
    </w:p>
    <w:sectPr>
      <w:pgSz w:w="11910" w:h="16840"/>
      <w:pgMar w:header="746" w:footer="937" w:top="1040" w:bottom="112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40002pt;margin-top:795.687988pt;width:6.5pt;height:11pt;mso-position-horizontal-relative:page;mso-position-vertical-relative:page;z-index:-8763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4.047974pt;width:13.1pt;height:11pt;mso-position-horizontal-relative:page;mso-position-vertical-relative:page;z-index:-876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4.047974pt;width:13.1pt;height:11pt;mso-position-horizontal-relative:page;mso-position-vertical-relative:page;z-index:-876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4.047974pt;width:13.1pt;height:11pt;mso-position-horizontal-relative:page;mso-position-vertical-relative:page;z-index:-876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4.047974pt;width:17.5pt;height:11pt;mso-position-horizontal-relative:page;mso-position-vertical-relative:page;z-index:-876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4.047974pt;width:17.3pt;height:11pt;mso-position-horizontal-relative:page;mso-position-vertical-relative:page;z-index:-876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4.047974pt;width:17.5pt;height:11pt;mso-position-horizontal-relative:page;mso-position-vertical-relative:page;z-index:-876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4.047974pt;width:17.5pt;height:11pt;mso-position-horizontal-relative:page;mso-position-vertical-relative:page;z-index:-875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4.047974pt;width:17.5pt;height:11pt;mso-position-horizontal-relative:page;mso-position-vertical-relative:page;z-index:-875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4.047974pt;width:17.5pt;height:11pt;mso-position-horizontal-relative:page;mso-position-vertical-relative:page;z-index:-875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4.047974pt;width:17.5pt;height:11pt;mso-position-horizontal-relative:page;mso-position-vertical-relative:page;z-index:-875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4.047974pt;width:8.5pt;height:11pt;mso-position-horizontal-relative:page;mso-position-vertical-relative:page;z-index:-876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4.047974pt;width:17.5pt;height:11pt;mso-position-horizontal-relative:page;mso-position-vertical-relative:page;z-index:-875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4.047974pt;width:17.5pt;height:11pt;mso-position-horizontal-relative:page;mso-position-vertical-relative:page;z-index:-875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4.047974pt;width:13.1pt;height:11pt;mso-position-horizontal-relative:page;mso-position-vertical-relative:page;z-index:-876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4.047974pt;width:13.1pt;height:11pt;mso-position-horizontal-relative:page;mso-position-vertical-relative:page;z-index:-876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4.047974pt;width:13.1pt;height:11pt;mso-position-horizontal-relative:page;mso-position-vertical-relative:page;z-index:-876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4.047974pt;width:13.1pt;height:11pt;mso-position-horizontal-relative:page;mso-position-vertical-relative:page;z-index:-876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4.047974pt;width:13.1pt;height:11pt;mso-position-horizontal-relative:page;mso-position-vertical-relative:page;z-index:-876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4.047974pt;width:13.1pt;height:11pt;mso-position-horizontal-relative:page;mso-position-vertical-relative:page;z-index:-876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8997pt;margin-top:784.047974pt;width:13.1pt;height:11pt;mso-position-horizontal-relative:page;mso-position-vertical-relative:page;z-index:-876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19995pt;margin-top:36.315651pt;width:195.45pt;height:11pt;mso-position-horizontal-relative:page;mso-position-vertical-relative:page;z-index:-8763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安徽皖通科技股份有限公司</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12"/>
    </w:pPr>
    <w:rPr>
      <w:rFonts w:ascii="宋体" w:hAnsi="宋体" w:eastAsia="宋体"/>
      <w:b/>
      <w:bCs/>
      <w:sz w:val="24"/>
      <w:szCs w:val="24"/>
    </w:rPr>
  </w:style>
  <w:style w:styleId="BodyText" w:type="paragraph">
    <w:name w:val="Body Text"/>
    <w:basedOn w:val="Normal"/>
    <w:uiPriority w:val="1"/>
    <w:qFormat/>
    <w:pPr>
      <w:spacing w:before="7"/>
      <w:ind w:left="112"/>
    </w:pPr>
    <w:rPr>
      <w:rFonts w:ascii="宋体" w:hAnsi="宋体" w:eastAsia="宋体"/>
      <w:sz w:val="21"/>
      <w:szCs w:val="21"/>
    </w:rPr>
  </w:style>
  <w:style w:styleId="Heading1" w:type="paragraph">
    <w:name w:val="Heading 1"/>
    <w:basedOn w:val="Normal"/>
    <w:uiPriority w:val="1"/>
    <w:qFormat/>
    <w:pPr>
      <w:ind w:left="1780"/>
      <w:outlineLvl w:val="1"/>
    </w:pPr>
    <w:rPr>
      <w:rFonts w:ascii="宋体" w:hAnsi="宋体" w:eastAsia="宋体"/>
      <w:b/>
      <w:bCs/>
      <w:sz w:val="32"/>
      <w:szCs w:val="32"/>
    </w:rPr>
  </w:style>
  <w:style w:styleId="Heading2" w:type="paragraph">
    <w:name w:val="Heading 2"/>
    <w:basedOn w:val="Normal"/>
    <w:uiPriority w:val="1"/>
    <w:qFormat/>
    <w:pPr>
      <w:ind w:left="674"/>
      <w:outlineLvl w:val="2"/>
    </w:pPr>
    <w:rPr>
      <w:rFonts w:ascii="宋体" w:hAnsi="宋体" w:eastAsia="宋体"/>
      <w:b/>
      <w:bCs/>
      <w:sz w:val="28"/>
      <w:szCs w:val="28"/>
    </w:rPr>
  </w:style>
  <w:style w:styleId="Heading3" w:type="paragraph">
    <w:name w:val="Heading 3"/>
    <w:basedOn w:val="Normal"/>
    <w:uiPriority w:val="1"/>
    <w:qFormat/>
    <w:pPr>
      <w:spacing w:before="82"/>
      <w:ind w:left="112" w:firstLine="561"/>
      <w:outlineLvl w:val="3"/>
    </w:pPr>
    <w:rPr>
      <w:rFonts w:ascii="宋体" w:hAnsi="宋体" w:eastAsia="宋体"/>
      <w:sz w:val="28"/>
      <w:szCs w:val="28"/>
    </w:rPr>
  </w:style>
  <w:style w:styleId="Heading4" w:type="paragraph">
    <w:name w:val="Heading 4"/>
    <w:basedOn w:val="Normal"/>
    <w:uiPriority w:val="1"/>
    <w:qFormat/>
    <w:pPr>
      <w:ind w:left="112"/>
      <w:outlineLvl w:val="4"/>
    </w:pPr>
    <w:rPr>
      <w:rFonts w:ascii="宋体" w:hAnsi="宋体" w:eastAsia="宋体"/>
      <w:b/>
      <w:bCs/>
      <w:sz w:val="24"/>
      <w:szCs w:val="24"/>
    </w:rPr>
  </w:style>
  <w:style w:styleId="Heading5" w:type="paragraph">
    <w:name w:val="Heading 5"/>
    <w:basedOn w:val="Normal"/>
    <w:uiPriority w:val="1"/>
    <w:qFormat/>
    <w:pPr>
      <w:ind w:left="11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wantong-tech.net/" TargetMode="External"/><Relationship Id="rId10" Type="http://schemas.openxmlformats.org/officeDocument/2006/relationships/hyperlink" Target="mailto:wtkj@wantong-tech.net" TargetMode="External"/><Relationship Id="rId11" Type="http://schemas.openxmlformats.org/officeDocument/2006/relationships/hyperlink" Target="mailto:dspan@wantong-tech.net" TargetMode="External"/><Relationship Id="rId12" Type="http://schemas.openxmlformats.org/officeDocument/2006/relationships/hyperlink" Target="http://www.cninfo.com.cn/" TargetMode="External"/><Relationship Id="rId13" Type="http://schemas.openxmlformats.org/officeDocument/2006/relationships/hyperlink" Target="http://www.chinaports.com/"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yperlink" Target="http://www.cninfo.c/" TargetMode="Externa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安徽皖通科技股份有限公司</dc:creator>
  <dc:title>安徽皖通科技股份有限公司2017年年度报告全文</dc:title>
  <dcterms:created xsi:type="dcterms:W3CDTF">2020-05-02T22:06:20Z</dcterms:created>
  <dcterms:modified xsi:type="dcterms:W3CDTF">2020-05-02T22:06:20Z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2018-04-16T00:00:00Z</vt:filetime>
  </property>
  <property fmtid="{D5CDD505-2E9C-101B-9397-08002B2CF9AE}" pid="3" name="Creator">
    <vt:lpwstr>WPS Office</vt:lpwstr>
  </property>
  <property fmtid="{D5CDD505-2E9C-101B-9397-08002B2CF9AE}" pid="4" name="LastSaved">
    <vt:filetime>2020-05-02T00:00:00Z</vt:filetime>
  </property>
</Properties>
</file>