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line="621" w:lineRule="exact" w:before="0"/>
        <w:ind w:left="0" w:right="1019" w:firstLine="0"/>
        <w:jc w:val="center"/>
        <w:rPr>
          <w:rFonts w:ascii="宋体" w:hAnsi="宋体" w:cs="宋体" w:eastAsia="宋体" w:hint="default"/>
          <w:sz w:val="52"/>
          <w:szCs w:val="52"/>
        </w:rPr>
      </w:pPr>
      <w:r>
        <w:rPr/>
        <w:pict>
          <v:group style="position:absolute;margin-left:56.700001pt;margin-top:-72.333282pt;width:481.9pt;height:.1pt;mso-position-horizontal-relative:page;mso-position-vertical-relative:paragraph;z-index:0" coordorigin="1134,-1447" coordsize="9638,2">
            <v:shape style="position:absolute;left:1134;top:-1447;width:9638;height:2" coordorigin="1134,-1447" coordsize="9638,0" path="m1134,-1447l10772,-1447e" filled="false" stroked="true" strokeweight=".72pt" strokecolor="#000000">
              <v:path arrowok="t"/>
            </v:shape>
            <w10:wrap type="none"/>
          </v:group>
        </w:pict>
      </w:r>
      <w:r>
        <w:rPr>
          <w:rFonts w:ascii="宋体" w:hAnsi="宋体" w:cs="宋体" w:eastAsia="宋体" w:hint="default"/>
          <w:b/>
          <w:bCs/>
          <w:sz w:val="52"/>
          <w:szCs w:val="52"/>
        </w:rPr>
        <w:t>安徽皖通科技股份有限公司</w:t>
      </w:r>
      <w:r>
        <w:rPr>
          <w:rFonts w:ascii="宋体" w:hAnsi="宋体" w:cs="宋体" w:eastAsia="宋体" w:hint="default"/>
          <w:sz w:val="52"/>
          <w:szCs w:val="52"/>
        </w:rPr>
      </w:r>
    </w:p>
    <w:p>
      <w:pPr>
        <w:spacing w:before="414"/>
        <w:ind w:left="0" w:right="998" w:firstLine="0"/>
        <w:jc w:val="center"/>
        <w:rPr>
          <w:rFonts w:ascii="Arial" w:hAnsi="Arial" w:cs="Arial" w:eastAsia="Arial" w:hint="default"/>
          <w:sz w:val="32"/>
          <w:szCs w:val="32"/>
        </w:rPr>
      </w:pPr>
      <w:r>
        <w:rPr>
          <w:rFonts w:ascii="Arial"/>
          <w:b/>
          <w:sz w:val="32"/>
        </w:rPr>
        <w:t>Anhui Wantong Technology</w:t>
      </w:r>
      <w:r>
        <w:rPr>
          <w:rFonts w:ascii="Arial"/>
          <w:b/>
          <w:spacing w:val="-15"/>
          <w:sz w:val="32"/>
        </w:rPr>
        <w:t> </w:t>
      </w:r>
      <w:r>
        <w:rPr>
          <w:rFonts w:ascii="Arial"/>
          <w:b/>
          <w:sz w:val="32"/>
        </w:rPr>
        <w:t>Co.,Ltd.</w:t>
      </w:r>
      <w:r>
        <w:rPr>
          <w:rFonts w:ascii="Arial"/>
          <w:sz w:val="32"/>
        </w:rPr>
      </w:r>
    </w:p>
    <w:p>
      <w:pPr>
        <w:spacing w:before="258"/>
        <w:ind w:left="0" w:right="1021" w:firstLine="0"/>
        <w:jc w:val="center"/>
        <w:rPr>
          <w:rFonts w:ascii="宋体" w:hAnsi="宋体" w:cs="宋体" w:eastAsia="宋体" w:hint="default"/>
          <w:sz w:val="30"/>
          <w:szCs w:val="30"/>
        </w:rPr>
      </w:pPr>
      <w:r>
        <w:rPr>
          <w:rFonts w:ascii="宋体" w:hAnsi="宋体" w:cs="宋体" w:eastAsia="宋体" w:hint="default"/>
          <w:b/>
          <w:bCs/>
          <w:sz w:val="30"/>
          <w:szCs w:val="30"/>
        </w:rPr>
        <w:t>（安徽省合肥市高新区皖水路589号）</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spacing w:line="1320" w:lineRule="exact"/>
        <w:ind w:left="3996"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1190244" cy="8382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90244" cy="838200"/>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1081" w:lineRule="exact" w:before="0"/>
        <w:ind w:left="1980" w:right="2127" w:firstLine="0"/>
        <w:jc w:val="left"/>
        <w:rPr>
          <w:rFonts w:ascii="黑体" w:hAnsi="黑体" w:cs="黑体" w:eastAsia="黑体" w:hint="default"/>
          <w:sz w:val="84"/>
          <w:szCs w:val="84"/>
        </w:rPr>
      </w:pPr>
      <w:r>
        <w:rPr>
          <w:rFonts w:ascii="黑体" w:hAnsi="黑体" w:cs="黑体" w:eastAsia="黑体" w:hint="default"/>
          <w:b/>
          <w:bCs/>
          <w:spacing w:val="2"/>
          <w:sz w:val="84"/>
          <w:szCs w:val="84"/>
        </w:rPr>
        <w:t>2018年年度报告</w:t>
      </w:r>
      <w:r>
        <w:rPr>
          <w:rFonts w:ascii="黑体" w:hAnsi="黑体" w:cs="黑体" w:eastAsia="黑体" w:hint="default"/>
          <w:spacing w:val="2"/>
          <w:sz w:val="84"/>
          <w:szCs w:val="84"/>
        </w:rPr>
      </w:r>
    </w:p>
    <w:p>
      <w:pPr>
        <w:spacing w:line="240" w:lineRule="auto" w:before="0"/>
        <w:rPr>
          <w:rFonts w:ascii="黑体" w:hAnsi="黑体" w:cs="黑体" w:eastAsia="黑体" w:hint="default"/>
          <w:b/>
          <w:bCs/>
          <w:sz w:val="84"/>
          <w:szCs w:val="84"/>
        </w:rPr>
      </w:pPr>
    </w:p>
    <w:p>
      <w:pPr>
        <w:spacing w:line="240" w:lineRule="auto" w:before="0"/>
        <w:rPr>
          <w:rFonts w:ascii="黑体" w:hAnsi="黑体" w:cs="黑体" w:eastAsia="黑体" w:hint="default"/>
          <w:b/>
          <w:bCs/>
          <w:sz w:val="84"/>
          <w:szCs w:val="84"/>
        </w:rPr>
      </w:pPr>
    </w:p>
    <w:p>
      <w:pPr>
        <w:spacing w:line="240" w:lineRule="auto" w:before="4"/>
        <w:rPr>
          <w:rFonts w:ascii="黑体" w:hAnsi="黑体" w:cs="黑体" w:eastAsia="黑体" w:hint="default"/>
          <w:b/>
          <w:bCs/>
          <w:sz w:val="69"/>
          <w:szCs w:val="69"/>
        </w:rPr>
      </w:pPr>
    </w:p>
    <w:p>
      <w:pPr>
        <w:spacing w:line="379" w:lineRule="auto" w:before="0"/>
        <w:ind w:left="3314" w:right="2127" w:firstLine="0"/>
        <w:jc w:val="left"/>
        <w:rPr>
          <w:rFonts w:ascii="宋体" w:hAnsi="宋体" w:cs="宋体" w:eastAsia="宋体" w:hint="default"/>
          <w:sz w:val="32"/>
          <w:szCs w:val="32"/>
        </w:rPr>
      </w:pPr>
      <w:r>
        <w:rPr>
          <w:rFonts w:ascii="宋体" w:hAnsi="宋体" w:cs="宋体" w:eastAsia="宋体" w:hint="default"/>
          <w:b/>
          <w:bCs/>
          <w:sz w:val="32"/>
          <w:szCs w:val="32"/>
        </w:rPr>
        <w:t>股票代码：002331</w:t>
      </w:r>
      <w:r>
        <w:rPr>
          <w:rFonts w:ascii="宋体" w:hAnsi="宋体" w:cs="宋体" w:eastAsia="宋体" w:hint="default"/>
          <w:b/>
          <w:bCs/>
          <w:w w:val="98"/>
          <w:sz w:val="32"/>
          <w:szCs w:val="32"/>
        </w:rPr>
        <w:t> </w:t>
      </w:r>
      <w:r>
        <w:rPr>
          <w:rFonts w:ascii="宋体" w:hAnsi="宋体" w:cs="宋体" w:eastAsia="宋体" w:hint="default"/>
          <w:b/>
          <w:bCs/>
          <w:sz w:val="32"/>
          <w:szCs w:val="32"/>
        </w:rPr>
        <w:t>股票简称：皖通科技</w:t>
      </w:r>
      <w:r>
        <w:rPr>
          <w:rFonts w:ascii="宋体" w:hAnsi="宋体" w:cs="宋体" w:eastAsia="宋体" w:hint="default"/>
          <w:b/>
          <w:bCs/>
          <w:w w:val="99"/>
          <w:sz w:val="32"/>
          <w:szCs w:val="32"/>
        </w:rPr>
        <w:t> </w:t>
      </w:r>
      <w:r>
        <w:rPr>
          <w:rFonts w:ascii="宋体" w:hAnsi="宋体" w:cs="宋体" w:eastAsia="宋体" w:hint="default"/>
          <w:b/>
          <w:bCs/>
          <w:w w:val="95"/>
          <w:sz w:val="32"/>
          <w:szCs w:val="32"/>
        </w:rPr>
        <w:t>披露日期：2019年4月23日</w:t>
      </w:r>
      <w:r>
        <w:rPr>
          <w:rFonts w:ascii="宋体" w:hAnsi="宋体" w:cs="宋体" w:eastAsia="宋体" w:hint="default"/>
          <w:sz w:val="32"/>
          <w:szCs w:val="32"/>
        </w:rPr>
      </w:r>
    </w:p>
    <w:p>
      <w:pPr>
        <w:spacing w:after="0" w:line="379" w:lineRule="auto"/>
        <w:jc w:val="left"/>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212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8"/>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128" w:firstLine="561"/>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spacing w:val="-135"/>
        </w:rPr>
        <w:t> </w:t>
      </w:r>
      <w:r>
        <w:rPr>
          <w:spacing w:val="-135"/>
        </w:rPr>
      </w:r>
      <w:r>
        <w:rPr/>
        <w:t>带的法律责任。</w:t>
      </w:r>
      <w:r>
        <w:rPr>
          <w:b w:val="0"/>
          <w:bCs w:val="0"/>
        </w:rPr>
      </w:r>
    </w:p>
    <w:p>
      <w:pPr>
        <w:pStyle w:val="Heading2"/>
        <w:spacing w:line="408" w:lineRule="auto" w:before="160"/>
        <w:ind w:right="1130" w:firstLine="561"/>
        <w:jc w:val="both"/>
        <w:rPr>
          <w:b w:val="0"/>
          <w:bCs w:val="0"/>
        </w:rPr>
      </w:pPr>
      <w:r>
        <w:rPr>
          <w:spacing w:val="-3"/>
        </w:rPr>
        <w:t>公司负责人周发展、主管会计工作负责人卢玉平及会计机构负责人(会计主</w:t>
      </w:r>
      <w:r>
        <w:rPr>
          <w:w w:val="99"/>
        </w:rPr>
        <w:t> </w:t>
      </w:r>
      <w:r>
        <w:rPr/>
        <w:t>管人员)诸黎明声明：保证年度报告中财务报告的真实、准确、完整。</w:t>
      </w:r>
      <w:r>
        <w:rPr>
          <w:b w:val="0"/>
          <w:bCs w:val="0"/>
        </w:rPr>
      </w:r>
    </w:p>
    <w:p>
      <w:pPr>
        <w:pStyle w:val="Heading2"/>
        <w:spacing w:line="475" w:lineRule="auto" w:before="162"/>
        <w:ind w:left="674" w:right="0"/>
        <w:jc w:val="left"/>
        <w:rPr>
          <w:b w:val="0"/>
          <w:bCs w:val="0"/>
        </w:rPr>
      </w:pPr>
      <w:r>
        <w:rPr/>
        <w:t>所有董事均已出席了审议本报告的董事会会议。</w:t>
      </w:r>
      <w:r>
        <w:rPr>
          <w:w w:val="99"/>
        </w:rPr>
        <w:t> </w:t>
      </w:r>
      <w:r>
        <w:rPr>
          <w:spacing w:val="2"/>
        </w:rPr>
        <w:t>本报告中涉及的对未来年度计划及发展规划等前瞻性陈述，不构成公司对</w:t>
      </w:r>
      <w:r>
        <w:rPr>
          <w:b w:val="0"/>
          <w:bCs w:val="0"/>
          <w:spacing w:val="2"/>
        </w:rPr>
      </w:r>
    </w:p>
    <w:p>
      <w:pPr>
        <w:pStyle w:val="Heading2"/>
        <w:spacing w:line="350" w:lineRule="exact"/>
        <w:ind w:right="2127"/>
        <w:jc w:val="left"/>
        <w:rPr>
          <w:b w:val="0"/>
          <w:bCs w:val="0"/>
        </w:rPr>
      </w:pPr>
      <w:r>
        <w:rPr/>
        <w:t>投资者的实质承诺，请投资者注意投资风险。</w:t>
      </w:r>
      <w:r>
        <w:rPr>
          <w:b w:val="0"/>
          <w:bCs w:val="0"/>
        </w:rPr>
      </w:r>
    </w:p>
    <w:p>
      <w:pPr>
        <w:spacing w:line="240" w:lineRule="auto" w:before="3"/>
        <w:rPr>
          <w:rFonts w:ascii="宋体" w:hAnsi="宋体" w:cs="宋体" w:eastAsia="宋体" w:hint="default"/>
          <w:b/>
          <w:bCs/>
          <w:sz w:val="27"/>
          <w:szCs w:val="27"/>
        </w:rPr>
      </w:pPr>
    </w:p>
    <w:p>
      <w:pPr>
        <w:pStyle w:val="Heading2"/>
        <w:spacing w:line="408" w:lineRule="auto"/>
        <w:ind w:right="1127" w:firstLine="561"/>
        <w:jc w:val="both"/>
        <w:rPr>
          <w:b w:val="0"/>
          <w:bCs w:val="0"/>
        </w:rPr>
      </w:pPr>
      <w:r>
        <w:rPr/>
        <w:t>公司在本报告“第四节</w:t>
      </w:r>
      <w:r>
        <w:rPr>
          <w:spacing w:val="-7"/>
        </w:rPr>
        <w:t> </w:t>
      </w:r>
      <w:r>
        <w:rPr>
          <w:spacing w:val="-3"/>
        </w:rPr>
        <w:t>经营情况讨论与分析”中“九、公司未来发展的展</w:t>
      </w:r>
      <w:r>
        <w:rPr>
          <w:w w:val="99"/>
        </w:rPr>
        <w:t> </w:t>
      </w:r>
      <w:r>
        <w:rPr>
          <w:spacing w:val="-6"/>
          <w:w w:val="99"/>
        </w:rPr>
        <w:t>望”之“（四）企业面临的风险及应对措施”，详细描述了公司经营中可能存在</w:t>
      </w:r>
      <w:r>
        <w:rPr>
          <w:spacing w:val="-135"/>
          <w:w w:val="99"/>
        </w:rPr>
        <w:t> </w:t>
      </w:r>
      <w:r>
        <w:rPr>
          <w:spacing w:val="-135"/>
          <w:w w:val="99"/>
        </w:rPr>
      </w:r>
      <w:r>
        <w:rPr/>
        <w:t>的风险及应对措施，敬请投资者关注相关内容。</w:t>
      </w:r>
      <w:r>
        <w:rPr>
          <w:b w:val="0"/>
          <w:bCs w:val="0"/>
        </w:rPr>
      </w:r>
    </w:p>
    <w:p>
      <w:pPr>
        <w:pStyle w:val="Heading2"/>
        <w:spacing w:line="240" w:lineRule="auto" w:before="162"/>
        <w:ind w:left="674" w:right="0"/>
        <w:jc w:val="left"/>
        <w:rPr>
          <w:b w:val="0"/>
          <w:bCs w:val="0"/>
        </w:rPr>
      </w:pPr>
      <w:r>
        <w:rPr>
          <w:spacing w:val="2"/>
        </w:rPr>
        <w:t>公司经本次董事会审议通过的利润分配预案为：以</w:t>
      </w:r>
      <w:r>
        <w:rPr>
          <w:spacing w:val="-60"/>
        </w:rPr>
        <w:t> </w:t>
      </w:r>
      <w:r>
        <w:rPr/>
        <w:t>412,135,469</w:t>
      </w:r>
      <w:r>
        <w:rPr>
          <w:spacing w:val="-61"/>
        </w:rPr>
        <w:t> </w:t>
      </w:r>
      <w:r>
        <w:rPr/>
        <w:t>为基数，</w:t>
      </w:r>
      <w:r>
        <w:rPr>
          <w:b w:val="0"/>
          <w:bCs w:val="0"/>
        </w:rPr>
      </w:r>
    </w:p>
    <w:p>
      <w:pPr>
        <w:spacing w:line="240" w:lineRule="auto" w:before="9"/>
        <w:rPr>
          <w:rFonts w:ascii="宋体" w:hAnsi="宋体" w:cs="宋体" w:eastAsia="宋体" w:hint="default"/>
          <w:b/>
          <w:bCs/>
          <w:sz w:val="19"/>
          <w:szCs w:val="19"/>
        </w:rPr>
      </w:pPr>
    </w:p>
    <w:p>
      <w:pPr>
        <w:pStyle w:val="Heading2"/>
        <w:spacing w:line="408" w:lineRule="auto"/>
        <w:ind w:right="1125"/>
        <w:jc w:val="left"/>
        <w:rPr>
          <w:b w:val="0"/>
          <w:bCs w:val="0"/>
        </w:rPr>
      </w:pPr>
      <w:r>
        <w:rPr>
          <w:spacing w:val="2"/>
          <w:w w:val="99"/>
        </w:rPr>
        <w:t>向全体股东每</w:t>
      </w:r>
      <w:r>
        <w:rPr>
          <w:spacing w:val="-65"/>
          <w:w w:val="99"/>
        </w:rPr>
        <w:t> </w:t>
      </w:r>
      <w:r>
        <w:rPr>
          <w:w w:val="99"/>
        </w:rPr>
        <w:t>10</w:t>
      </w:r>
      <w:r>
        <w:rPr>
          <w:spacing w:val="-69"/>
          <w:w w:val="99"/>
        </w:rPr>
        <w:t> </w:t>
      </w:r>
      <w:r>
        <w:rPr>
          <w:spacing w:val="2"/>
          <w:w w:val="99"/>
        </w:rPr>
        <w:t>股派发现金红利</w:t>
      </w:r>
      <w:r>
        <w:rPr>
          <w:spacing w:val="-65"/>
          <w:w w:val="99"/>
        </w:rPr>
        <w:t> </w:t>
      </w:r>
      <w:r>
        <w:rPr>
          <w:w w:val="99"/>
        </w:rPr>
        <w:t>0.30</w:t>
      </w:r>
      <w:r>
        <w:rPr>
          <w:spacing w:val="-69"/>
          <w:w w:val="99"/>
        </w:rPr>
        <w:t> </w:t>
      </w:r>
      <w:r>
        <w:rPr>
          <w:spacing w:val="-14"/>
          <w:w w:val="99"/>
        </w:rPr>
        <w:t>元（含税），送红股</w:t>
      </w:r>
      <w:r>
        <w:rPr>
          <w:spacing w:val="-68"/>
          <w:w w:val="99"/>
        </w:rPr>
        <w:t> </w:t>
      </w:r>
      <w:r>
        <w:rPr>
          <w:w w:val="99"/>
        </w:rPr>
        <w:t>0</w:t>
      </w:r>
      <w:r>
        <w:rPr>
          <w:spacing w:val="-66"/>
          <w:w w:val="99"/>
        </w:rPr>
        <w:t> </w:t>
      </w:r>
      <w:r>
        <w:rPr>
          <w:spacing w:val="-16"/>
          <w:w w:val="99"/>
        </w:rPr>
        <w:t>股（含税），不以</w:t>
      </w:r>
      <w:r>
        <w:rPr>
          <w:w w:val="99"/>
        </w:rPr>
        <w:t> </w:t>
      </w:r>
      <w:r>
        <w:rPr/>
        <w:t>公积金转增股本。</w:t>
      </w:r>
      <w:r>
        <w:rPr>
          <w:b w:val="0"/>
          <w:bCs w:val="0"/>
        </w:rPr>
      </w:r>
    </w:p>
    <w:p>
      <w:pPr>
        <w:spacing w:after="0" w:line="408" w:lineRule="auto"/>
        <w:jc w:val="left"/>
        <w:sectPr>
          <w:footerReference w:type="default" r:id="rId8"/>
          <w:pgSz w:w="11910" w:h="16840"/>
          <w:pgMar w:footer="978" w:header="746" w:top="1060" w:bottom="1160" w:left="1020" w:right="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tabs>
          <w:tab w:pos="722" w:val="left" w:leader="none"/>
        </w:tabs>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51" w:val="right" w:leader="dot"/>
            </w:tabs>
            <w:spacing w:line="240" w:lineRule="auto" w:before="0"/>
            <w:ind w:right="0"/>
            <w:jc w:val="left"/>
            <w:rPr>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b w:val="0"/>
                <w:bCs w:val="0"/>
              </w:rPr>
              <w:tab/>
            </w:r>
            <w:r>
              <w:rPr/>
              <w:t>2</w:t>
            </w:r>
            <w:r>
              <w:rPr>
                <w:b w:val="0"/>
                <w:bCs w:val="0"/>
              </w:rPr>
            </w:r>
          </w:hyperlink>
        </w:p>
        <w:p>
          <w:pPr>
            <w:pStyle w:val="TOC1"/>
            <w:tabs>
              <w:tab w:pos="9751" w:val="right" w:leader="dot"/>
            </w:tabs>
            <w:spacing w:line="240" w:lineRule="auto"/>
            <w:ind w:right="0"/>
            <w:jc w:val="left"/>
            <w:rPr>
              <w:b w:val="0"/>
              <w:bCs w:val="0"/>
            </w:rPr>
          </w:pPr>
          <w:hyperlink w:history="true" w:anchor="_bookmark1">
            <w:r>
              <w:rPr/>
              <w:t>第二节 公司简介和主要财务指标</w:t>
            </w:r>
            <w:r>
              <w:rPr>
                <w:rFonts w:ascii="Times New Roman" w:hAnsi="Times New Roman" w:cs="Times New Roman" w:eastAsia="Times New Roman" w:hint="default"/>
                <w:b w:val="0"/>
                <w:bCs w:val="0"/>
              </w:rPr>
              <w:tab/>
            </w:r>
            <w:r>
              <w:rPr/>
              <w:t>5</w:t>
            </w:r>
            <w:r>
              <w:rPr>
                <w:b w:val="0"/>
                <w:bCs w:val="0"/>
              </w:rPr>
            </w:r>
          </w:hyperlink>
        </w:p>
        <w:p>
          <w:pPr>
            <w:pStyle w:val="TOC1"/>
            <w:tabs>
              <w:tab w:pos="9751" w:val="right" w:leader="dot"/>
            </w:tabs>
            <w:spacing w:line="240" w:lineRule="auto"/>
            <w:ind w:right="0"/>
            <w:jc w:val="left"/>
            <w:rPr>
              <w:b w:val="0"/>
              <w:bCs w:val="0"/>
            </w:rPr>
          </w:pPr>
          <w:hyperlink w:history="true" w:anchor="_bookmark2">
            <w:r>
              <w:rPr/>
              <w:t>第三节 公司业务概要</w:t>
            </w:r>
            <w:r>
              <w:rPr>
                <w:rFonts w:ascii="Times New Roman" w:hAnsi="Times New Roman" w:cs="Times New Roman" w:eastAsia="Times New Roman" w:hint="default"/>
                <w:b w:val="0"/>
                <w:bCs w:val="0"/>
              </w:rPr>
              <w:tab/>
            </w:r>
            <w:r>
              <w:rPr/>
              <w:t>9</w:t>
            </w:r>
            <w:r>
              <w:rPr>
                <w:b w:val="0"/>
                <w:bCs w:val="0"/>
              </w:rPr>
            </w:r>
          </w:hyperlink>
        </w:p>
        <w:p>
          <w:pPr>
            <w:pStyle w:val="TOC1"/>
            <w:tabs>
              <w:tab w:pos="9751" w:val="right" w:leader="dot"/>
            </w:tabs>
            <w:spacing w:line="240" w:lineRule="auto" w:before="192"/>
            <w:ind w:right="0"/>
            <w:jc w:val="left"/>
            <w:rPr>
              <w:b w:val="0"/>
              <w:bCs w:val="0"/>
            </w:rPr>
          </w:pPr>
          <w:hyperlink w:history="true" w:anchor="_bookmark3">
            <w:r>
              <w:rPr/>
              <w:t>第四节 经营情况讨论与分析</w:t>
            </w:r>
            <w:r>
              <w:rPr>
                <w:rFonts w:ascii="Times New Roman" w:hAnsi="Times New Roman" w:cs="Times New Roman" w:eastAsia="Times New Roman" w:hint="default"/>
                <w:b w:val="0"/>
                <w:bCs w:val="0"/>
              </w:rPr>
              <w:tab/>
            </w:r>
            <w:r>
              <w:rPr/>
              <w:t>12</w:t>
            </w:r>
            <w:r>
              <w:rPr>
                <w:b w:val="0"/>
                <w:bCs w:val="0"/>
              </w:rPr>
            </w:r>
          </w:hyperlink>
        </w:p>
        <w:p>
          <w:pPr>
            <w:pStyle w:val="TOC1"/>
            <w:tabs>
              <w:tab w:pos="9753" w:val="right" w:leader="dot"/>
            </w:tabs>
            <w:spacing w:line="240" w:lineRule="auto"/>
            <w:ind w:right="0"/>
            <w:jc w:val="left"/>
            <w:rPr>
              <w:b w:val="0"/>
              <w:bCs w:val="0"/>
            </w:rPr>
          </w:pPr>
          <w:hyperlink w:history="true" w:anchor="_bookmark4">
            <w:r>
              <w:rPr/>
              <w:t>第五节 重要事项</w:t>
            </w:r>
            <w:r>
              <w:rPr>
                <w:rFonts w:ascii="Times New Roman" w:hAnsi="Times New Roman" w:cs="Times New Roman" w:eastAsia="Times New Roman" w:hint="default"/>
                <w:b w:val="0"/>
                <w:bCs w:val="0"/>
              </w:rPr>
              <w:tab/>
            </w:r>
            <w:r>
              <w:rPr/>
              <w:t>32</w:t>
            </w:r>
            <w:r>
              <w:rPr>
                <w:b w:val="0"/>
                <w:bCs w:val="0"/>
              </w:rPr>
            </w:r>
          </w:hyperlink>
        </w:p>
        <w:p>
          <w:pPr>
            <w:pStyle w:val="TOC1"/>
            <w:tabs>
              <w:tab w:pos="9751" w:val="right" w:leader="dot"/>
            </w:tabs>
            <w:spacing w:line="240" w:lineRule="auto"/>
            <w:ind w:right="0"/>
            <w:jc w:val="left"/>
            <w:rPr>
              <w:b w:val="0"/>
              <w:bCs w:val="0"/>
            </w:rPr>
          </w:pPr>
          <w:hyperlink w:history="true" w:anchor="_bookmark5">
            <w:r>
              <w:rPr/>
              <w:t>第六节 股份变动及股东情况</w:t>
            </w:r>
            <w:r>
              <w:rPr>
                <w:rFonts w:ascii="Times New Roman" w:hAnsi="Times New Roman" w:cs="Times New Roman" w:eastAsia="Times New Roman" w:hint="default"/>
                <w:b w:val="0"/>
                <w:bCs w:val="0"/>
              </w:rPr>
              <w:tab/>
            </w:r>
            <w:r>
              <w:rPr/>
              <w:t>51</w:t>
            </w:r>
            <w:r>
              <w:rPr>
                <w:b w:val="0"/>
                <w:bCs w:val="0"/>
              </w:rPr>
            </w:r>
          </w:hyperlink>
        </w:p>
        <w:p>
          <w:pPr>
            <w:pStyle w:val="TOC1"/>
            <w:tabs>
              <w:tab w:pos="9751" w:val="right" w:leader="dot"/>
            </w:tabs>
            <w:spacing w:line="240" w:lineRule="auto" w:before="192"/>
            <w:ind w:right="0"/>
            <w:jc w:val="left"/>
            <w:rPr>
              <w:b w:val="0"/>
              <w:bCs w:val="0"/>
            </w:rPr>
          </w:pPr>
          <w:hyperlink w:history="true" w:anchor="_bookmark6">
            <w:r>
              <w:rPr/>
              <w:t>第七节 优先股相关情况</w:t>
            </w:r>
            <w:r>
              <w:rPr>
                <w:rFonts w:ascii="Times New Roman" w:hAnsi="Times New Roman" w:cs="Times New Roman" w:eastAsia="Times New Roman" w:hint="default"/>
                <w:b w:val="0"/>
                <w:bCs w:val="0"/>
              </w:rPr>
              <w:tab/>
            </w:r>
            <w:r>
              <w:rPr/>
              <w:t>60</w:t>
            </w:r>
            <w:r>
              <w:rPr>
                <w:b w:val="0"/>
                <w:bCs w:val="0"/>
              </w:rPr>
            </w:r>
          </w:hyperlink>
        </w:p>
        <w:p>
          <w:pPr>
            <w:pStyle w:val="TOC1"/>
            <w:tabs>
              <w:tab w:pos="9751" w:val="right" w:leader="dot"/>
            </w:tabs>
            <w:spacing w:line="240" w:lineRule="auto"/>
            <w:ind w:right="0"/>
            <w:jc w:val="left"/>
            <w:rPr>
              <w:b w:val="0"/>
              <w:bCs w:val="0"/>
            </w:rPr>
          </w:pPr>
          <w:hyperlink w:history="true" w:anchor="_bookmark7">
            <w:r>
              <w:rPr/>
              <w:t>第八节 董事、监事、高级管理人员和员工情况</w:t>
            </w:r>
            <w:r>
              <w:rPr>
                <w:rFonts w:ascii="Times New Roman" w:hAnsi="Times New Roman" w:cs="Times New Roman" w:eastAsia="Times New Roman" w:hint="default"/>
                <w:b w:val="0"/>
                <w:bCs w:val="0"/>
              </w:rPr>
              <w:tab/>
            </w:r>
            <w:r>
              <w:rPr/>
              <w:t>61</w:t>
            </w:r>
            <w:r>
              <w:rPr>
                <w:b w:val="0"/>
                <w:bCs w:val="0"/>
              </w:rPr>
            </w:r>
          </w:hyperlink>
        </w:p>
        <w:p>
          <w:pPr>
            <w:pStyle w:val="TOC1"/>
            <w:tabs>
              <w:tab w:pos="9753" w:val="right" w:leader="dot"/>
            </w:tabs>
            <w:spacing w:line="240" w:lineRule="auto"/>
            <w:ind w:right="0"/>
            <w:jc w:val="left"/>
            <w:rPr>
              <w:b w:val="0"/>
              <w:bCs w:val="0"/>
            </w:rPr>
          </w:pPr>
          <w:hyperlink w:history="true" w:anchor="_bookmark8">
            <w:r>
              <w:rPr/>
              <w:t>第九节 公司治理</w:t>
            </w:r>
            <w:r>
              <w:rPr>
                <w:rFonts w:ascii="Times New Roman" w:hAnsi="Times New Roman" w:cs="Times New Roman" w:eastAsia="Times New Roman" w:hint="default"/>
                <w:b w:val="0"/>
                <w:bCs w:val="0"/>
              </w:rPr>
              <w:tab/>
            </w:r>
            <w:r>
              <w:rPr/>
              <w:t>71</w:t>
            </w:r>
            <w:r>
              <w:rPr>
                <w:b w:val="0"/>
                <w:bCs w:val="0"/>
              </w:rPr>
            </w:r>
          </w:hyperlink>
        </w:p>
        <w:p>
          <w:pPr>
            <w:pStyle w:val="TOC1"/>
            <w:tabs>
              <w:tab w:pos="9751" w:val="right" w:leader="dot"/>
            </w:tabs>
            <w:spacing w:line="240" w:lineRule="auto" w:before="192"/>
            <w:ind w:right="0"/>
            <w:jc w:val="left"/>
            <w:rPr>
              <w:b w:val="0"/>
              <w:bCs w:val="0"/>
            </w:rPr>
          </w:pPr>
          <w:hyperlink w:history="true" w:anchor="_bookmark9">
            <w:r>
              <w:rPr/>
              <w:t>第十节 公司债券相关情况</w:t>
            </w:r>
            <w:r>
              <w:rPr>
                <w:rFonts w:ascii="Times New Roman" w:hAnsi="Times New Roman" w:cs="Times New Roman" w:eastAsia="Times New Roman" w:hint="default"/>
                <w:b w:val="0"/>
                <w:bCs w:val="0"/>
              </w:rPr>
              <w:tab/>
            </w:r>
            <w:r>
              <w:rPr/>
              <w:t>78</w:t>
            </w:r>
            <w:r>
              <w:rPr>
                <w:b w:val="0"/>
                <w:bCs w:val="0"/>
              </w:rPr>
            </w:r>
          </w:hyperlink>
        </w:p>
        <w:p>
          <w:pPr>
            <w:pStyle w:val="TOC1"/>
            <w:tabs>
              <w:tab w:pos="9751" w:val="right" w:leader="dot"/>
            </w:tabs>
            <w:spacing w:line="240" w:lineRule="auto"/>
            <w:ind w:right="0"/>
            <w:jc w:val="left"/>
            <w:rPr>
              <w:b w:val="0"/>
              <w:bCs w:val="0"/>
            </w:rPr>
          </w:pPr>
          <w:hyperlink w:history="true" w:anchor="_bookmark10">
            <w:r>
              <w:rPr/>
              <w:t>第十一节 财务报告</w:t>
            </w:r>
            <w:r>
              <w:rPr>
                <w:rFonts w:ascii="Times New Roman" w:hAnsi="Times New Roman" w:cs="Times New Roman" w:eastAsia="Times New Roman" w:hint="default"/>
                <w:b w:val="0"/>
                <w:bCs w:val="0"/>
              </w:rPr>
              <w:tab/>
            </w:r>
            <w:r>
              <w:rPr/>
              <w:t>79</w:t>
            </w:r>
            <w:r>
              <w:rPr>
                <w:b w:val="0"/>
                <w:bCs w:val="0"/>
              </w:rPr>
            </w:r>
          </w:hyperlink>
        </w:p>
        <w:p>
          <w:pPr>
            <w:pStyle w:val="TOC1"/>
            <w:tabs>
              <w:tab w:pos="9751" w:val="right" w:leader="dot"/>
            </w:tabs>
            <w:spacing w:line="240" w:lineRule="auto"/>
            <w:ind w:right="0"/>
            <w:jc w:val="left"/>
            <w:rPr>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t>210</w:t>
            </w:r>
            <w:r>
              <w:rPr>
                <w:b w:val="0"/>
                <w:bCs w:val="0"/>
              </w:rPr>
            </w:r>
          </w:hyperlink>
        </w:p>
        <w:p>
          <w:pPr/>
          <w:r>
            <w:fldChar w:fldCharType="end"/>
          </w:r>
        </w:p>
      </w:sdtContent>
    </w:sdt>
    <w:p>
      <w:pPr>
        <w:spacing w:after="0"/>
        <w:sectPr>
          <w:pgSz w:w="11910" w:h="16840"/>
          <w:pgMar w:header="746" w:footer="978" w:top="1060" w:bottom="1160" w:left="1020" w:right="0"/>
        </w:sectPr>
      </w:pPr>
    </w:p>
    <w:p>
      <w:pPr>
        <w:spacing w:before="947"/>
        <w:ind w:left="0" w:right="10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3"/>
          <w:szCs w:val="23"/>
        </w:rPr>
      </w:pPr>
    </w:p>
    <w:p>
      <w:pPr>
        <w:spacing w:before="0"/>
        <w:ind w:left="0" w:right="1141" w:firstLine="0"/>
        <w:jc w:val="right"/>
        <w:rPr>
          <w:rFonts w:ascii="宋体" w:hAnsi="宋体" w:cs="宋体" w:eastAsia="宋体" w:hint="default"/>
          <w:sz w:val="18"/>
          <w:szCs w:val="18"/>
        </w:rPr>
      </w:pPr>
      <w:r>
        <w:rPr/>
        <w:pict>
          <v:shape style="position:absolute;margin-left:56.459999pt;margin-top:-384.897308pt;width:479.2pt;height:558.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本公司、公司、皖通科技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独立财务顾问、华联联合证券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会计师、大华会计师事务所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华东电子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汉高信息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天安怡和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重庆皖通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行云天下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赛英科技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亲益保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光大保险代理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舶云供应链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EDI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电子数据交换</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高频交流变化电磁波，频率范围在</w:t>
                        </w:r>
                        <w:r>
                          <w:rPr>
                            <w:rFonts w:ascii="宋体" w:hAnsi="宋体" w:cs="宋体" w:eastAsia="宋体" w:hint="default"/>
                            <w:spacing w:val="-47"/>
                            <w:sz w:val="18"/>
                            <w:szCs w:val="18"/>
                          </w:rPr>
                          <w:t> </w:t>
                        </w:r>
                        <w:r>
                          <w:rPr>
                            <w:rFonts w:ascii="宋体" w:hAnsi="宋体" w:cs="宋体" w:eastAsia="宋体" w:hint="default"/>
                            <w:sz w:val="18"/>
                            <w:szCs w:val="18"/>
                          </w:rPr>
                          <w:t>300KHz～300GHz</w:t>
                        </w:r>
                        <w:r>
                          <w:rPr>
                            <w:rFonts w:ascii="宋体" w:hAnsi="宋体" w:cs="宋体" w:eastAsia="宋体" w:hint="default"/>
                            <w:spacing w:val="-48"/>
                            <w:sz w:val="18"/>
                            <w:szCs w:val="18"/>
                          </w:rPr>
                          <w:t> </w:t>
                        </w:r>
                        <w:r>
                          <w:rPr>
                            <w:rFonts w:ascii="宋体" w:hAnsi="宋体" w:cs="宋体" w:eastAsia="宋体" w:hint="default"/>
                            <w:sz w:val="18"/>
                            <w:szCs w:val="18"/>
                          </w:rPr>
                          <w:t>之间</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12"/>
                          <w:jc w:val="left"/>
                          <w:rPr>
                            <w:rFonts w:ascii="宋体" w:hAnsi="宋体" w:cs="宋体" w:eastAsia="宋体" w:hint="default"/>
                            <w:sz w:val="18"/>
                            <w:szCs w:val="18"/>
                          </w:rPr>
                        </w:pPr>
                        <w:r>
                          <w:rPr>
                            <w:rFonts w:ascii="宋体" w:hAnsi="宋体" w:cs="宋体" w:eastAsia="宋体" w:hint="default"/>
                            <w:sz w:val="18"/>
                            <w:szCs w:val="18"/>
                          </w:rPr>
                          <w:t>频率为</w:t>
                        </w:r>
                        <w:r>
                          <w:rPr>
                            <w:rFonts w:ascii="宋体" w:hAnsi="宋体" w:cs="宋体" w:eastAsia="宋体" w:hint="default"/>
                            <w:spacing w:val="-57"/>
                            <w:sz w:val="18"/>
                            <w:szCs w:val="18"/>
                          </w:rPr>
                          <w:t> </w:t>
                        </w:r>
                        <w:r>
                          <w:rPr>
                            <w:rFonts w:ascii="宋体" w:hAnsi="宋体" w:cs="宋体" w:eastAsia="宋体" w:hint="default"/>
                            <w:spacing w:val="-1"/>
                            <w:sz w:val="18"/>
                            <w:szCs w:val="18"/>
                          </w:rPr>
                          <w:t>300MHz~300GHz</w:t>
                        </w:r>
                        <w:r>
                          <w:rPr>
                            <w:rFonts w:ascii="宋体" w:hAnsi="宋体" w:cs="宋体" w:eastAsia="宋体" w:hint="default"/>
                            <w:spacing w:val="-55"/>
                            <w:sz w:val="18"/>
                            <w:szCs w:val="18"/>
                          </w:rPr>
                          <w:t> </w:t>
                        </w:r>
                        <w:r>
                          <w:rPr>
                            <w:rFonts w:ascii="宋体" w:hAnsi="宋体" w:cs="宋体" w:eastAsia="宋体" w:hint="default"/>
                            <w:spacing w:val="-5"/>
                            <w:sz w:val="18"/>
                            <w:szCs w:val="18"/>
                          </w:rPr>
                          <w:t>的电磁波，是无线电波中一个有限频带的简称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即波长在</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毫米~1</w:t>
                        </w:r>
                        <w:r>
                          <w:rPr>
                            <w:rFonts w:ascii="宋体" w:hAnsi="宋体" w:cs="宋体" w:eastAsia="宋体" w:hint="default"/>
                            <w:spacing w:val="-46"/>
                            <w:sz w:val="18"/>
                            <w:szCs w:val="18"/>
                          </w:rPr>
                          <w:t> </w:t>
                        </w:r>
                        <w:r>
                          <w:rPr>
                            <w:rFonts w:ascii="宋体" w:hAnsi="宋体" w:cs="宋体" w:eastAsia="宋体" w:hint="default"/>
                            <w:sz w:val="18"/>
                            <w:szCs w:val="18"/>
                          </w:rPr>
                          <w:t>米之间的电磁波</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毫米波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波长为</w:t>
                        </w:r>
                        <w:r>
                          <w:rPr>
                            <w:rFonts w:ascii="宋体" w:hAnsi="宋体" w:cs="宋体" w:eastAsia="宋体" w:hint="default"/>
                            <w:spacing w:val="-46"/>
                            <w:sz w:val="18"/>
                            <w:szCs w:val="18"/>
                          </w:rPr>
                          <w:t> </w:t>
                        </w:r>
                        <w:r>
                          <w:rPr>
                            <w:rFonts w:ascii="宋体" w:hAnsi="宋体" w:cs="宋体" w:eastAsia="宋体" w:hint="default"/>
                            <w:sz w:val="18"/>
                            <w:szCs w:val="18"/>
                          </w:rPr>
                          <w:t>1～10</w:t>
                        </w:r>
                        <w:r>
                          <w:rPr>
                            <w:rFonts w:ascii="宋体" w:hAnsi="宋体" w:cs="宋体" w:eastAsia="宋体" w:hint="default"/>
                            <w:spacing w:val="-47"/>
                            <w:sz w:val="18"/>
                            <w:szCs w:val="18"/>
                          </w:rPr>
                          <w:t> </w:t>
                        </w:r>
                        <w:r>
                          <w:rPr>
                            <w:rFonts w:ascii="宋体" w:hAnsi="宋体" w:cs="宋体" w:eastAsia="宋体" w:hint="default"/>
                            <w:sz w:val="18"/>
                            <w:szCs w:val="18"/>
                          </w:rPr>
                          <w:t>毫米的电磁波</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AI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人工智能</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IoT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CaaS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通信即服务</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IaaS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基础设施即服务</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PaaS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平台即服务</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软件即服务</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r>
        <w:rPr/>
        <w:pict>
          <v:shape style="position:absolute;margin-left:165pt;margin-top:292.700012pt;width:370.05pt;height:19.7pt;mso-position-horizontal-relative:page;mso-position-vertical-relative:page;z-index:-1109368"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06" w:right="212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皖通科技</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sz w:val="18"/>
              </w:rPr>
              <w:t>002331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皖通科技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Anhui Wantong Technology</w:t>
            </w:r>
            <w:r>
              <w:rPr>
                <w:rFonts w:ascii="宋体"/>
                <w:spacing w:val="-13"/>
                <w:sz w:val="18"/>
              </w:rPr>
              <w:t> </w:t>
            </w:r>
            <w:r>
              <w:rPr>
                <w:rFonts w:ascii="宋体"/>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WANTONG</w:t>
            </w:r>
            <w:r>
              <w:rPr>
                <w:rFonts w:ascii="宋体"/>
                <w:spacing w:val="-3"/>
                <w:sz w:val="18"/>
              </w:rPr>
              <w:t> </w:t>
            </w:r>
            <w:r>
              <w:rPr>
                <w:rFonts w:ascii="宋体"/>
                <w:sz w:val="18"/>
              </w:rPr>
              <w:t>TECH</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周发展</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230088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230088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hyperlink r:id="rId9">
              <w:r>
                <w:rPr>
                  <w:rFonts w:ascii="宋体"/>
                  <w:sz w:val="18"/>
                </w:rPr>
                <w:t>www.wantong-tech.net</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hyperlink r:id="rId10">
              <w:r>
                <w:rPr>
                  <w:rFonts w:ascii="宋体"/>
                  <w:sz w:val="18"/>
                </w:rPr>
                <w:t>wtkj@wantong-tech.net</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212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叶玲珍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0551-62969206</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0551-62969206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0551-62969207</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0551-62969207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hyperlink r:id="rId11">
              <w:r>
                <w:rPr>
                  <w:rFonts w:ascii="宋体"/>
                  <w:sz w:val="18"/>
                </w:rPr>
                <w:t>dspan@wantong-tech.net</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hyperlink r:id="rId12">
              <w:r>
                <w:rPr>
                  <w:rFonts w:ascii="宋体"/>
                  <w:sz w:val="18"/>
                </w:rPr>
                <w:t>lzye@wantong-tech.net</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212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1" w:right="0"/>
              <w:jc w:val="left"/>
              <w:rPr>
                <w:rFonts w:ascii="宋体" w:hAnsi="宋体" w:cs="宋体" w:eastAsia="宋体" w:hint="default"/>
                <w:sz w:val="18"/>
                <w:szCs w:val="18"/>
              </w:rPr>
            </w:pPr>
            <w:hyperlink r:id="rId13">
              <w:r>
                <w:rPr>
                  <w:rFonts w:ascii="宋体"/>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b/>
          <w:bCs/>
          <w:sz w:val="23"/>
          <w:szCs w:val="23"/>
        </w:rPr>
      </w:pPr>
    </w:p>
    <w:p>
      <w:pPr>
        <w:pStyle w:val="Heading4"/>
        <w:spacing w:line="240" w:lineRule="auto" w:before="26"/>
        <w:ind w:right="2127"/>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spacing w:before="44"/>
        <w:ind w:left="0" w:right="1141" w:firstLine="0"/>
        <w:jc w:val="right"/>
        <w:rPr>
          <w:rFonts w:ascii="宋体" w:hAnsi="宋体" w:cs="宋体" w:eastAsia="宋体" w:hint="default"/>
          <w:sz w:val="18"/>
          <w:szCs w:val="18"/>
        </w:rPr>
      </w:pPr>
      <w:r>
        <w:rPr/>
        <w:pict>
          <v:shape style="position:absolute;margin-left:56.459999pt;margin-top:-156.247269pt;width:479.15pt;height:191.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91340100711761244Q</w:t>
                        </w:r>
                      </w:p>
                    </w:tc>
                  </w:tr>
                  <w:tr>
                    <w:trPr>
                      <w:trHeight w:val="35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pacing w:val="-4"/>
                            <w:sz w:val="18"/>
                            <w:szCs w:val="18"/>
                          </w:rPr>
                          <w:t>月，公司完成对赛英科技</w:t>
                        </w:r>
                        <w:r>
                          <w:rPr>
                            <w:rFonts w:ascii="宋体" w:hAnsi="宋体" w:cs="宋体" w:eastAsia="宋体" w:hint="default"/>
                            <w:spacing w:val="-53"/>
                            <w:sz w:val="18"/>
                            <w:szCs w:val="18"/>
                          </w:rPr>
                          <w:t> </w:t>
                        </w:r>
                        <w:r>
                          <w:rPr>
                            <w:rFonts w:ascii="宋体" w:hAnsi="宋体" w:cs="宋体" w:eastAsia="宋体" w:hint="default"/>
                            <w:sz w:val="18"/>
                            <w:szCs w:val="18"/>
                          </w:rPr>
                          <w:t>100%股权的收购，主营业务新增军工电子信息</w:t>
                        </w:r>
                      </w:p>
                    </w:tc>
                  </w:tr>
                  <w:tr>
                    <w:trPr>
                      <w:trHeight w:val="35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版块。</w:t>
                        </w:r>
                      </w:p>
                    </w:tc>
                  </w:tr>
                  <w:tr>
                    <w:trPr>
                      <w:trHeight w:val="35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1、1999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日，安徽皖通高速公路股份有限公司为</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公司控股股东，持股比例为</w:t>
                        </w:r>
                        <w:r>
                          <w:rPr>
                            <w:rFonts w:ascii="宋体" w:hAnsi="宋体" w:cs="宋体" w:eastAsia="宋体" w:hint="default"/>
                            <w:spacing w:val="-45"/>
                            <w:sz w:val="18"/>
                            <w:szCs w:val="18"/>
                          </w:rPr>
                          <w:t> </w:t>
                        </w:r>
                        <w:r>
                          <w:rPr>
                            <w:rFonts w:ascii="宋体" w:hAnsi="宋体" w:cs="宋体" w:eastAsia="宋体" w:hint="default"/>
                            <w:sz w:val="18"/>
                            <w:szCs w:val="18"/>
                          </w:rPr>
                          <w:t>51%；</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2、2000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日，安徽皖通高速公路股份有限公司为</w:t>
                        </w:r>
                      </w:p>
                    </w:tc>
                  </w:tr>
                  <w:tr>
                    <w:trPr>
                      <w:trHeight w:val="66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公司控股股东，持股比例为</w:t>
                        </w:r>
                        <w:r>
                          <w:rPr>
                            <w:rFonts w:ascii="宋体" w:hAnsi="宋体" w:cs="宋体" w:eastAsia="宋体" w:hint="default"/>
                            <w:spacing w:val="-46"/>
                            <w:sz w:val="18"/>
                            <w:szCs w:val="18"/>
                          </w:rPr>
                          <w:t> </w:t>
                        </w:r>
                        <w:r>
                          <w:rPr>
                            <w:rFonts w:ascii="宋体" w:hAnsi="宋体" w:cs="宋体" w:eastAsia="宋体" w:hint="default"/>
                            <w:sz w:val="18"/>
                            <w:szCs w:val="18"/>
                          </w:rPr>
                          <w:t>75.5%；</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3、2004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日，安徽国元信托投资有限责任公司为公</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司控股股东，持股比例为</w:t>
                        </w:r>
                        <w:r>
                          <w:rPr>
                            <w:rFonts w:ascii="宋体" w:hAnsi="宋体" w:cs="宋体" w:eastAsia="宋体" w:hint="default"/>
                            <w:spacing w:val="-46"/>
                            <w:sz w:val="18"/>
                            <w:szCs w:val="18"/>
                          </w:rPr>
                          <w:t> </w:t>
                        </w:r>
                        <w:r>
                          <w:rPr>
                            <w:rFonts w:ascii="宋体" w:hAnsi="宋体" w:cs="宋体" w:eastAsia="宋体" w:hint="default"/>
                            <w:sz w:val="18"/>
                            <w:szCs w:val="18"/>
                          </w:rPr>
                          <w:t>75.5%；</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pacing w:val="-7"/>
                            <w:sz w:val="18"/>
                            <w:szCs w:val="18"/>
                          </w:rPr>
                          <w:t>4、2005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日至本报告期末，王中胜、杨世宁和杨新子为公司实际控制人</w:t>
                        </w:r>
                      </w:p>
                    </w:tc>
                  </w:tr>
                  <w:tr>
                    <w:trPr>
                      <w:trHeight w:val="35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日持股比例为</w:t>
                        </w:r>
                        <w:r>
                          <w:rPr>
                            <w:rFonts w:ascii="宋体" w:hAnsi="宋体" w:cs="宋体" w:eastAsia="宋体" w:hint="default"/>
                            <w:spacing w:val="-46"/>
                            <w:sz w:val="18"/>
                            <w:szCs w:val="18"/>
                          </w:rPr>
                          <w:t> </w:t>
                        </w:r>
                        <w:r>
                          <w:rPr>
                            <w:rFonts w:ascii="宋体" w:hAnsi="宋体" w:cs="宋体" w:eastAsia="宋体" w:hint="default"/>
                            <w:sz w:val="18"/>
                            <w:szCs w:val="18"/>
                          </w:rPr>
                          <w:t>12.56%。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7"/>
        <w:ind w:right="2127"/>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宋体" w:hAnsi="宋体" w:cs="宋体" w:eastAsia="宋体"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吕勇军、吴琳</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9"/>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上海市浦东新区东方路</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号</w:t>
            </w:r>
            <w:r>
              <w:rPr>
                <w:rFonts w:ascii="宋体" w:hAnsi="宋体" w:cs="宋体" w:eastAsia="宋体" w:hint="default"/>
                <w:sz w:val="18"/>
                <w:szCs w:val="18"/>
              </w:rPr>
              <w:t> 保利广场</w:t>
            </w:r>
            <w:r>
              <w:rPr>
                <w:rFonts w:ascii="宋体" w:hAnsi="宋体" w:cs="宋体" w:eastAsia="宋体" w:hint="default"/>
                <w:spacing w:val="-46"/>
                <w:sz w:val="18"/>
                <w:szCs w:val="18"/>
              </w:rPr>
              <w:t> </w:t>
            </w:r>
            <w:r>
              <w:rPr>
                <w:rFonts w:ascii="宋体" w:hAnsi="宋体" w:cs="宋体" w:eastAsia="宋体" w:hint="default"/>
                <w:sz w:val="18"/>
                <w:szCs w:val="18"/>
              </w:rPr>
              <w:t>E</w:t>
            </w:r>
            <w:r>
              <w:rPr>
                <w:rFonts w:ascii="宋体" w:hAnsi="宋体" w:cs="宋体" w:eastAsia="宋体" w:hint="default"/>
                <w:spacing w:val="-47"/>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宋体" w:hAnsi="宋体" w:cs="宋体" w:eastAsia="宋体" w:hint="default"/>
                <w:sz w:val="18"/>
                <w:szCs w:val="18"/>
              </w:rPr>
              <w:t>20F</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陈劭悦、李明晟</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sz w:val="18"/>
          <w:szCs w:val="18"/>
        </w:rPr>
      </w:pPr>
    </w:p>
    <w:p>
      <w:pPr>
        <w:pStyle w:val="Heading4"/>
        <w:spacing w:line="240" w:lineRule="auto" w:before="26"/>
        <w:ind w:right="2127"/>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1,249,370,240.05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995,817,238.17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992,136,841.31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105,820,825.29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82,717,605.13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76,872,684.10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95,896,839.50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58,948,473.97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56,384,785.39</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65,325,001.77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29,908,986.82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118.41%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110,386,022.65</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0.2745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0.2361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0.2194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0.2745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0.2361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0.2194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6.10%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2,837,023,835.92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2,034,197,628.59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39.47%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1,880,189,423.38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2,015,353,482.61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1,358,007,374.60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1,291,950,871.82</w:t>
            </w:r>
          </w:p>
        </w:tc>
      </w:tr>
    </w:tbl>
    <w:p>
      <w:pPr>
        <w:spacing w:line="240" w:lineRule="auto" w:before="2"/>
        <w:rPr>
          <w:rFonts w:ascii="宋体" w:hAnsi="宋体" w:cs="宋体" w:eastAsia="宋体" w:hint="default"/>
          <w:sz w:val="18"/>
          <w:szCs w:val="18"/>
        </w:rPr>
      </w:pPr>
    </w:p>
    <w:p>
      <w:pPr>
        <w:pStyle w:val="Heading4"/>
        <w:spacing w:line="240" w:lineRule="auto" w:before="26"/>
        <w:ind w:right="212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同时按照国际会计准则与按照中国会计准则披露的财务报告中净利润和净资产差异情况" w:id="12"/>
      <w:bookmarkEnd w:id="12"/>
      <w:r>
        <w:rPr>
          <w:b w:val="0"/>
          <w:bCs w:val="0"/>
        </w:rPr>
      </w:r>
      <w:r>
        <w:rPr/>
        <w:t>1、同时按照国际会计准则与按照中国会计准则披露的财务报告中净利润和净资产差异情况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2、同时按照境外会计准则与按照中国会计准则披露的财务报告中净利润和净资产差异情况" w:id="13"/>
      <w:bookmarkEnd w:id="13"/>
      <w:r>
        <w:rPr>
          <w:b w:val="0"/>
          <w:bCs w:val="0"/>
        </w:rPr>
      </w:r>
      <w:r>
        <w:rPr/>
        <w:t>2、同时按照境外会计准则与按照中国会计准则披露的财务报告中净利润和净资产差异情况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26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4"/>
        <w:spacing w:line="240" w:lineRule="auto"/>
        <w:ind w:right="2127"/>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266,991,988.91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220,744,137.70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246,822,150.40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7" w:right="0"/>
              <w:jc w:val="left"/>
              <w:rPr>
                <w:rFonts w:ascii="宋体" w:hAnsi="宋体" w:cs="宋体" w:eastAsia="宋体" w:hint="default"/>
                <w:sz w:val="18"/>
                <w:szCs w:val="18"/>
              </w:rPr>
            </w:pPr>
            <w:r>
              <w:rPr>
                <w:rFonts w:ascii="宋体"/>
                <w:sz w:val="18"/>
              </w:rPr>
              <w:t>514,811,963.00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12,754,018.48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22,731,152.12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33,214,544.72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6" w:right="0"/>
              <w:jc w:val="left"/>
              <w:rPr>
                <w:rFonts w:ascii="宋体" w:hAnsi="宋体" w:cs="宋体" w:eastAsia="宋体" w:hint="default"/>
                <w:sz w:val="18"/>
                <w:szCs w:val="18"/>
              </w:rPr>
            </w:pPr>
            <w:r>
              <w:rPr>
                <w:rFonts w:ascii="宋体"/>
                <w:sz w:val="18"/>
              </w:rPr>
              <w:t>37,121,109.97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11,479,778.63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19,057,359.43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33,068,890.02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6" w:right="0"/>
              <w:jc w:val="left"/>
              <w:rPr>
                <w:rFonts w:ascii="宋体" w:hAnsi="宋体" w:cs="宋体" w:eastAsia="宋体" w:hint="default"/>
                <w:sz w:val="18"/>
                <w:szCs w:val="18"/>
              </w:rPr>
            </w:pPr>
            <w:r>
              <w:rPr>
                <w:rFonts w:ascii="宋体"/>
                <w:sz w:val="18"/>
              </w:rPr>
              <w:t>32,290,811.42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-122,148,261.34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-58,164,829.20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21,399,882.59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7" w:right="0"/>
              <w:jc w:val="left"/>
              <w:rPr>
                <w:rFonts w:ascii="宋体" w:hAnsi="宋体" w:cs="宋体" w:eastAsia="宋体" w:hint="default"/>
                <w:sz w:val="18"/>
                <w:szCs w:val="18"/>
              </w:rPr>
            </w:pPr>
            <w:r>
              <w:rPr>
                <w:rFonts w:ascii="宋体"/>
                <w:sz w:val="18"/>
              </w:rPr>
              <w:t>232,682,463.59</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sz w:val="18"/>
              </w:rPr>
              <w:t>553,050.62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sz w:val="18"/>
              </w:rPr>
              <w:t>-14,105.89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sz w:val="18"/>
              </w:rPr>
              <w:t>-502,656.77</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9,973,716.77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26,306,853.76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17,904,622.57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2,434,007.71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215,000.00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103,696.54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-2,948.26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-455,678.70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13,207.59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4,323,710.90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6,961,784.19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2,510,067.69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6,723,244.49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3,586,070.25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643,625.75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336,134.86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-165,897.67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9,923,985.79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23,769,131.16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20,487,898.71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6" w:lineRule="auto" w:before="76"/>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59"/>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6" w:lineRule="auto" w:before="117"/>
        <w:ind w:left="11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8" w:right="2127"/>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2127"/>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p>
    <w:p>
      <w:pPr>
        <w:spacing w:line="240" w:lineRule="auto" w:before="1"/>
        <w:rPr>
          <w:rFonts w:ascii="宋体" w:hAnsi="宋体" w:cs="宋体" w:eastAsia="宋体" w:hint="default"/>
          <w:sz w:val="13"/>
          <w:szCs w:val="13"/>
        </w:rPr>
      </w:pPr>
    </w:p>
    <w:p>
      <w:pPr>
        <w:pStyle w:val="BodyText"/>
        <w:spacing w:line="408" w:lineRule="auto" w:before="0"/>
        <w:ind w:left="592" w:right="1122"/>
        <w:jc w:val="left"/>
      </w:pPr>
      <w:r>
        <w:rPr/>
        <w:t>（一）公司主要业务、产品、经营模式及业绩驱动因素</w:t>
      </w:r>
      <w:r>
        <w:rPr>
          <w:w w:val="99"/>
        </w:rPr>
        <w:t> </w:t>
      </w:r>
      <w:r>
        <w:rPr>
          <w:spacing w:val="-2"/>
        </w:rPr>
        <w:t>皖通科技是以物联网为支撑的大交通行业数字化龙头企业和信息化、智能化、物联化融于一体的产业</w:t>
      </w:r>
    </w:p>
    <w:p>
      <w:pPr>
        <w:pStyle w:val="BodyText"/>
        <w:spacing w:line="408" w:lineRule="auto" w:before="46"/>
        <w:ind w:right="0"/>
        <w:jc w:val="left"/>
      </w:pPr>
      <w:r>
        <w:rPr>
          <w:w w:val="95"/>
        </w:rPr>
        <w:t>互联网综合服务提供商。公司将智能感知、射频识别、无线定位通信等物联网技术应用到交通运输、智慧</w:t>
      </w:r>
      <w:r>
        <w:rPr>
          <w:spacing w:val="39"/>
          <w:w w:val="95"/>
        </w:rPr>
        <w:t> </w:t>
      </w:r>
      <w:r>
        <w:rPr>
          <w:spacing w:val="39"/>
          <w:w w:val="95"/>
        </w:rPr>
      </w:r>
      <w:r>
        <w:rPr>
          <w:w w:val="95"/>
        </w:rPr>
        <w:t>城市、军工电子、公共安全等大交通应用场景；通过为客户提供智能软件、软硬一体产品以及行业解决方</w:t>
      </w:r>
      <w:r>
        <w:rPr>
          <w:spacing w:val="40"/>
          <w:w w:val="95"/>
        </w:rPr>
        <w:t> </w:t>
      </w:r>
      <w:r>
        <w:rPr>
          <w:spacing w:val="40"/>
          <w:w w:val="95"/>
        </w:rPr>
      </w:r>
      <w:r>
        <w:rPr/>
        <w:t>案，构建大交通行业的知识图谱，并以此实现互联网+在传统行业落地深耕，推动从群体赋能到行业智能</w:t>
      </w:r>
      <w:r>
        <w:rPr>
          <w:w w:val="99"/>
        </w:rPr>
        <w:t> </w:t>
      </w:r>
      <w:r>
        <w:rPr/>
        <w:t>的产业升级。</w:t>
      </w:r>
    </w:p>
    <w:p>
      <w:pPr>
        <w:pStyle w:val="BodyText"/>
        <w:spacing w:line="408" w:lineRule="auto" w:before="46"/>
        <w:ind w:right="1132" w:firstLine="480"/>
        <w:jc w:val="both"/>
      </w:pPr>
      <w:r>
        <w:rPr>
          <w:spacing w:val="-2"/>
        </w:rPr>
        <w:t>报告期内，公司以大数据、物联网为技术驱动，不断优化“大交通信息化与智能化”产业链布局，为</w:t>
      </w:r>
      <w:r>
        <w:rPr>
          <w:w w:val="99"/>
        </w:rPr>
        <w:t> </w:t>
      </w:r>
      <w:r>
        <w:rPr>
          <w:w w:val="95"/>
        </w:rPr>
        <w:t>相关行业客户提供集软件开发、系统集成和运行维护为一体的信息化产品和服务，持续稳固高速公路信息</w:t>
      </w:r>
      <w:r>
        <w:rPr>
          <w:spacing w:val="37"/>
          <w:w w:val="95"/>
        </w:rPr>
        <w:t> </w:t>
      </w:r>
      <w:r>
        <w:rPr>
          <w:spacing w:val="37"/>
          <w:w w:val="95"/>
        </w:rPr>
      </w:r>
      <w:r>
        <w:rPr>
          <w:w w:val="95"/>
        </w:rPr>
        <w:t>化和港口航运信息化的市场龙头地位，努力拓展以城市智能交通和公共安全为核心的智慧城市业务；公司</w:t>
      </w:r>
      <w:r>
        <w:rPr>
          <w:spacing w:val="37"/>
          <w:w w:val="95"/>
        </w:rPr>
        <w:t> </w:t>
      </w:r>
      <w:r>
        <w:rPr>
          <w:spacing w:val="37"/>
          <w:w w:val="95"/>
        </w:rPr>
      </w:r>
      <w:r>
        <w:rPr>
          <w:w w:val="95"/>
        </w:rPr>
        <w:t>在报告期内完成对成都赛英科技有限公司100%股权的收购，主营业务新增军工电子信息业务版块，专注于</w:t>
      </w:r>
      <w:r>
        <w:rPr>
          <w:spacing w:val="40"/>
          <w:w w:val="95"/>
        </w:rPr>
        <w:t> </w:t>
      </w:r>
      <w:r>
        <w:rPr>
          <w:spacing w:val="40"/>
          <w:w w:val="95"/>
        </w:rPr>
      </w:r>
      <w:r>
        <w:rPr/>
        <w:t>嵌入软件式微波混合集成电路及雷达相关整机、系统产品的开发设计、生产、销售与服务。</w:t>
      </w:r>
    </w:p>
    <w:p>
      <w:pPr>
        <w:pStyle w:val="BodyText"/>
        <w:spacing w:line="408" w:lineRule="auto" w:before="46"/>
        <w:ind w:right="1025" w:firstLine="480"/>
        <w:jc w:val="left"/>
      </w:pPr>
      <w:r>
        <w:rPr>
          <w:w w:val="95"/>
        </w:rPr>
        <w:t>公司遵循“立足国内、面向海外”的市场战略，聚焦具有行业前瞻性的尖端技术，拓展多元化的运营</w:t>
      </w:r>
      <w:r>
        <w:rPr>
          <w:w w:val="99"/>
        </w:rPr>
        <w:t> </w:t>
      </w:r>
      <w:r>
        <w:rPr/>
        <w:t>场景，凭借成熟的产品开发、系统建设和运营管理及服务经验，持续提升市场份额和盈利能力。高速公路</w:t>
      </w:r>
      <w:r>
        <w:rPr>
          <w:w w:val="99"/>
        </w:rPr>
        <w:t> </w:t>
      </w:r>
      <w:r>
        <w:rPr/>
        <w:t>信息化业务依托基于大数据+深度学习的路网协作调度综合应用体系、基于云端一体化的运营管理体系，</w:t>
      </w:r>
      <w:r>
        <w:rPr>
          <w:w w:val="99"/>
        </w:rPr>
        <w:t> </w:t>
      </w:r>
      <w:r>
        <w:rPr/>
        <w:t>以安徽、福建、陕西、江西、湖南为市场根据地，以“本地化、专业化、贴近化”的产品理念，加速构建</w:t>
      </w:r>
      <w:r>
        <w:rPr>
          <w:w w:val="99"/>
        </w:rPr>
        <w:t> </w:t>
      </w:r>
      <w:r>
        <w:rPr/>
        <w:t>覆盖全国的市场服务网络，目前公司高速公路信息化业务已覆盖全国20多个省份；港口航运信息化紧抓港</w:t>
      </w:r>
      <w:r>
        <w:rPr>
          <w:w w:val="99"/>
        </w:rPr>
        <w:t> </w:t>
      </w:r>
      <w:r>
        <w:rPr/>
        <w:t>航业“智能化、自动化、平台化、集团化”的发展机遇，依托完善的产品线和围绕“港航云”的大数据实</w:t>
      </w:r>
      <w:r>
        <w:rPr>
          <w:w w:val="99"/>
        </w:rPr>
        <w:t> </w:t>
      </w:r>
      <w:r>
        <w:rPr/>
        <w:t>时分析技术，打造融合港航物流、港航政务、口岸管理为一体的智慧港口综合解决方案，在保持国内市场</w:t>
      </w:r>
      <w:r>
        <w:rPr>
          <w:w w:val="99"/>
        </w:rPr>
        <w:t> </w:t>
      </w:r>
      <w:r>
        <w:rPr>
          <w:spacing w:val="-3"/>
        </w:rPr>
        <w:t>优势地位的基础上，以拉美、非洲、中东、东南亚为重点区域，加快业务国际化进程；城市智能交通领域，</w:t>
      </w:r>
      <w:r>
        <w:rPr>
          <w:w w:val="99"/>
        </w:rPr>
        <w:t> </w:t>
      </w:r>
      <w:r>
        <w:rPr/>
        <w:t>以基于AI计算机视觉分析与图像处理技术的态势感知和预警系统，构建智慧交通大数据体系，强化区域市</w:t>
      </w:r>
      <w:r>
        <w:rPr>
          <w:w w:val="99"/>
        </w:rPr>
        <w:t> </w:t>
      </w:r>
      <w:r>
        <w:rPr/>
        <w:t>场的竞争优势，撬动智慧城市和公共安全相关产业市场；军工电子信息方面，公司融合微波与数字技术平</w:t>
      </w:r>
      <w:r>
        <w:rPr>
          <w:w w:val="99"/>
        </w:rPr>
        <w:t> </w:t>
      </w:r>
      <w:r>
        <w:rPr/>
        <w:t>台，聚焦突破微波混合集成电路设计、微组装、雷达探测与跟踪等核心技术，采用“定制化开发＋过程控</w:t>
      </w:r>
    </w:p>
    <w:p>
      <w:pPr>
        <w:spacing w:after="0" w:line="408"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408" w:lineRule="auto" w:before="173"/>
        <w:ind w:right="1132"/>
        <w:jc w:val="both"/>
      </w:pPr>
      <w:r>
        <w:rPr>
          <w:w w:val="95"/>
        </w:rPr>
        <w:t>制”的生产模式，以嵌入软件式微波混合集成电路整机及系统为主要产品，为雷达、电子对抗和通信系统</w:t>
      </w:r>
      <w:r>
        <w:rPr>
          <w:spacing w:val="40"/>
          <w:w w:val="95"/>
        </w:rPr>
        <w:t> </w:t>
      </w:r>
      <w:r>
        <w:rPr>
          <w:spacing w:val="40"/>
          <w:w w:val="95"/>
        </w:rPr>
      </w:r>
      <w:r>
        <w:rPr>
          <w:w w:val="95"/>
        </w:rPr>
        <w:t>提供配套。主要客户覆盖国有军工集团、军工科研院所、军工厂、军工企业、军事院校等机构，产品被广</w:t>
      </w:r>
      <w:r>
        <w:rPr>
          <w:spacing w:val="37"/>
          <w:w w:val="95"/>
        </w:rPr>
        <w:t> </w:t>
      </w:r>
      <w:r>
        <w:rPr>
          <w:spacing w:val="37"/>
          <w:w w:val="95"/>
        </w:rPr>
      </w:r>
      <w:r>
        <w:rPr/>
        <w:t>泛应用于机载、舰载、弹载等武器平台以及民航、安防等行业领域。</w:t>
      </w:r>
    </w:p>
    <w:p>
      <w:pPr>
        <w:pStyle w:val="BodyText"/>
        <w:spacing w:line="408" w:lineRule="auto" w:before="46"/>
        <w:ind w:right="1122" w:firstLine="480"/>
        <w:jc w:val="left"/>
      </w:pPr>
      <w:r>
        <w:rPr>
          <w:spacing w:val="-2"/>
        </w:rPr>
        <w:t>公司基于多维度、海量交通信息化行业大数据资源，探索大交通服务领域新业态，构建智慧交通生态</w:t>
      </w:r>
      <w:r>
        <w:rPr>
          <w:w w:val="99"/>
        </w:rPr>
        <w:t> </w:t>
      </w:r>
      <w:r>
        <w:rPr/>
        <w:t>体系，培育新商业模式和盈利渠道。目前，公司已搭建中国港口网（</w:t>
      </w:r>
      <w:hyperlink r:id="rId15">
        <w:r>
          <w:rPr/>
          <w:t>http://www.chinaports.com</w:t>
        </w:r>
      </w:hyperlink>
      <w:r>
        <w:rPr/>
        <w:t>）、舶</w:t>
      </w:r>
      <w:r>
        <w:rPr>
          <w:w w:val="99"/>
        </w:rPr>
        <w:t> </w:t>
      </w:r>
      <w:r>
        <w:rPr/>
        <w:t>云供应链（</w:t>
      </w:r>
      <w:hyperlink r:id="rId16">
        <w:r>
          <w:rPr/>
          <w:t>http://www.boyunscm.com</w:t>
        </w:r>
      </w:hyperlink>
      <w:r>
        <w:rPr/>
        <w:t>）、行云天下(http://www.witgo.cn)等多个“互联网+”衍生业务</w:t>
      </w:r>
      <w:r>
        <w:rPr>
          <w:w w:val="99"/>
        </w:rPr>
        <w:t> </w:t>
      </w:r>
      <w:r>
        <w:rPr>
          <w:w w:val="95"/>
        </w:rPr>
        <w:t>平台，聚焦航运后市场和车后市场等大出行服务领域，为航运物流及供应链参与方、交通参与者及公众用</w:t>
      </w:r>
      <w:r>
        <w:rPr>
          <w:spacing w:val="40"/>
          <w:w w:val="95"/>
        </w:rPr>
        <w:t> </w:t>
      </w:r>
      <w:r>
        <w:rPr>
          <w:spacing w:val="40"/>
          <w:w w:val="95"/>
        </w:rPr>
      </w:r>
      <w:r>
        <w:rPr/>
        <w:t>户提供个性化、专业化的高效服务。</w:t>
      </w:r>
    </w:p>
    <w:p>
      <w:pPr>
        <w:pStyle w:val="BodyText"/>
        <w:spacing w:line="240" w:lineRule="auto" w:before="46"/>
        <w:ind w:left="592" w:right="2127"/>
        <w:jc w:val="left"/>
      </w:pPr>
      <w:r>
        <w:rPr/>
        <w:t>(二）公司所属行业宏观经济形势、行业政策环境及公司所处行业地位</w:t>
      </w:r>
    </w:p>
    <w:p>
      <w:pPr>
        <w:spacing w:line="240" w:lineRule="auto" w:before="10"/>
        <w:rPr>
          <w:rFonts w:ascii="宋体" w:hAnsi="宋体" w:cs="宋体" w:eastAsia="宋体" w:hint="default"/>
          <w:sz w:val="14"/>
          <w:szCs w:val="14"/>
        </w:rPr>
      </w:pPr>
    </w:p>
    <w:p>
      <w:pPr>
        <w:pStyle w:val="BodyText"/>
        <w:spacing w:line="408" w:lineRule="auto" w:before="0"/>
        <w:ind w:right="1156" w:firstLine="480"/>
        <w:jc w:val="left"/>
      </w:pPr>
      <w:r>
        <w:rPr/>
        <w:t>详见“第四节</w:t>
      </w:r>
      <w:r>
        <w:rPr>
          <w:spacing w:val="-17"/>
        </w:rPr>
        <w:t> </w:t>
      </w:r>
      <w:r>
        <w:rPr/>
        <w:t>经营情况讨论与分析”之“九、公司未来发展的展望”之“一、行业竞争格局和发展</w:t>
      </w:r>
      <w:r>
        <w:rPr>
          <w:w w:val="99"/>
        </w:rPr>
        <w:t> </w:t>
      </w:r>
      <w:r>
        <w:rPr/>
        <w:t>趋势”相关内容。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主要资产重大变化情况" w:id="20"/>
      <w:bookmarkEnd w:id="20"/>
      <w:r>
        <w:rPr>
          <w:b w:val="0"/>
          <w:bCs w:val="0"/>
        </w:rPr>
      </w:r>
      <w:r>
        <w:rPr/>
        <w:t>1、主要资产重大变化情况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44"/>
        <w:ind w:left="0" w:right="1166" w:firstLine="0"/>
        <w:jc w:val="right"/>
        <w:rPr>
          <w:rFonts w:ascii="宋体" w:hAnsi="宋体" w:cs="宋体" w:eastAsia="宋体" w:hint="default"/>
          <w:sz w:val="18"/>
          <w:szCs w:val="18"/>
        </w:rPr>
      </w:pPr>
      <w:r>
        <w:rPr/>
        <w:pict>
          <v:shape style="position:absolute;margin-left:56.459999pt;margin-top:-110.428276pt;width:479.15pt;height:237.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7"/>
                            <w:sz w:val="18"/>
                            <w:szCs w:val="18"/>
                          </w:rPr>
                          <w:t> </w:t>
                        </w:r>
                        <w:r>
                          <w:rPr>
                            <w:rFonts w:ascii="宋体" w:hAnsi="宋体" w:cs="宋体" w:eastAsia="宋体" w:hint="default"/>
                            <w:sz w:val="18"/>
                            <w:szCs w:val="18"/>
                          </w:rPr>
                          <w:t>147.60%，主要是全资子公司华东科技研发大楼完工转入</w:t>
                        </w:r>
                        <w:r>
                          <w:rPr>
                            <w:rFonts w:ascii="宋体" w:hAnsi="宋体" w:cs="宋体" w:eastAsia="宋体" w:hint="default"/>
                            <w:sz w:val="18"/>
                            <w:szCs w:val="18"/>
                          </w:rPr>
                          <w:t> 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期末余额较期初余额减少</w:t>
                        </w:r>
                        <w:r>
                          <w:rPr>
                            <w:rFonts w:ascii="宋体" w:hAnsi="宋体" w:cs="宋体" w:eastAsia="宋体" w:hint="default"/>
                            <w:spacing w:val="-35"/>
                            <w:sz w:val="18"/>
                            <w:szCs w:val="18"/>
                          </w:rPr>
                          <w:t> </w:t>
                        </w:r>
                        <w:r>
                          <w:rPr>
                            <w:rFonts w:ascii="宋体" w:hAnsi="宋体" w:cs="宋体" w:eastAsia="宋体" w:hint="default"/>
                            <w:spacing w:val="-3"/>
                            <w:sz w:val="18"/>
                            <w:szCs w:val="18"/>
                          </w:rPr>
                          <w:t>100%，主要是全资子公司华东科技研发大楼完工转入固定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资产核算所致。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8"/>
                            <w:sz w:val="18"/>
                            <w:szCs w:val="18"/>
                          </w:rPr>
                          <w:t> </w:t>
                        </w:r>
                        <w:r>
                          <w:rPr>
                            <w:rFonts w:ascii="宋体" w:hAnsi="宋体" w:cs="宋体" w:eastAsia="宋体" w:hint="default"/>
                            <w:sz w:val="18"/>
                            <w:szCs w:val="18"/>
                          </w:rPr>
                          <w:t>32.96%，主要是公司非公开发行股份募集资金到位所致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34"/>
                            <w:sz w:val="18"/>
                            <w:szCs w:val="18"/>
                          </w:rPr>
                          <w:t> </w:t>
                        </w:r>
                        <w:r>
                          <w:rPr>
                            <w:rFonts w:ascii="宋体" w:hAnsi="宋体" w:cs="宋体" w:eastAsia="宋体" w:hint="default"/>
                            <w:spacing w:val="-3"/>
                            <w:sz w:val="18"/>
                            <w:szCs w:val="18"/>
                          </w:rPr>
                          <w:t>56.17%，主要是收入增加及成都赛英科技新纳入合并报表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34"/>
                            <w:sz w:val="18"/>
                            <w:szCs w:val="18"/>
                          </w:rPr>
                          <w:t> </w:t>
                        </w:r>
                        <w:r>
                          <w:rPr>
                            <w:rFonts w:ascii="宋体" w:hAnsi="宋体" w:cs="宋体" w:eastAsia="宋体" w:hint="default"/>
                            <w:spacing w:val="-3"/>
                            <w:sz w:val="18"/>
                            <w:szCs w:val="18"/>
                          </w:rPr>
                          <w:t>160.2%，主要是公司发行股份购买成都赛英科技有限公司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100%股权所致。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7"/>
                            <w:sz w:val="18"/>
                            <w:szCs w:val="18"/>
                          </w:rPr>
                          <w:t> </w:t>
                        </w:r>
                        <w:r>
                          <w:rPr>
                            <w:rFonts w:ascii="宋体" w:hAnsi="宋体" w:cs="宋体" w:eastAsia="宋体" w:hint="default"/>
                            <w:sz w:val="18"/>
                            <w:szCs w:val="18"/>
                          </w:rPr>
                          <w:t>332.55%，主要是公司新增预付购房款，不动产权证尚未</w:t>
                        </w:r>
                        <w:r>
                          <w:rPr>
                            <w:rFonts w:ascii="宋体" w:hAnsi="宋体" w:cs="宋体" w:eastAsia="宋体" w:hint="default"/>
                            <w:sz w:val="18"/>
                            <w:szCs w:val="18"/>
                          </w:rPr>
                          <w:t> 办理完成所致。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6"/>
        <w:spacing w:line="240" w:lineRule="auto"/>
        <w:ind w:right="2127"/>
        <w:jc w:val="left"/>
        <w:rPr>
          <w:b w:val="0"/>
          <w:bCs w:val="0"/>
        </w:rPr>
      </w:pPr>
      <w:bookmarkStart w:name="2、主要境外资产情况" w:id="21"/>
      <w:bookmarkEnd w:id="21"/>
      <w:r>
        <w:rPr>
          <w:b w:val="0"/>
          <w:bCs w:val="0"/>
        </w:rPr>
      </w:r>
      <w:r>
        <w:rPr/>
        <w:t>2、主要境外资产情况</w:t>
      </w:r>
      <w:r>
        <w:rPr>
          <w:b w:val="0"/>
          <w:bCs w:val="0"/>
        </w:rPr>
      </w:r>
    </w:p>
    <w:p>
      <w:pPr>
        <w:spacing w:line="240" w:lineRule="auto" w:before="7"/>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14"/>
          <w:pgSz w:w="11910" w:h="16840"/>
          <w:pgMar w:footer="978" w:header="746" w:top="1060" w:bottom="1160" w:left="1020" w:right="0"/>
          <w:pgNumType w:start="1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12"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
        <w:rPr>
          <w:rFonts w:ascii="宋体" w:hAnsi="宋体" w:cs="宋体" w:eastAsia="宋体" w:hint="default"/>
          <w:sz w:val="13"/>
          <w:szCs w:val="13"/>
        </w:rPr>
      </w:pPr>
    </w:p>
    <w:p>
      <w:pPr>
        <w:pStyle w:val="BodyText"/>
        <w:spacing w:line="441" w:lineRule="auto" w:before="0"/>
        <w:ind w:left="592" w:right="1122" w:firstLine="2"/>
        <w:jc w:val="left"/>
      </w:pPr>
      <w:r>
        <w:rPr>
          <w:rFonts w:ascii="宋体" w:hAnsi="宋体" w:cs="宋体" w:eastAsia="宋体" w:hint="default"/>
          <w:b/>
          <w:bCs/>
        </w:rPr>
        <w:t>1、技术创新优势</w:t>
      </w:r>
      <w:r>
        <w:rPr>
          <w:rFonts w:ascii="宋体" w:hAnsi="宋体" w:cs="宋体" w:eastAsia="宋体" w:hint="default"/>
          <w:b/>
          <w:bCs/>
          <w:w w:val="99"/>
        </w:rPr>
        <w:t> </w:t>
      </w:r>
      <w:r>
        <w:rPr>
          <w:spacing w:val="-2"/>
        </w:rPr>
        <w:t>公司以技术创新为核心驱动力，以交通大数据为依托，以物联网、人工智能为技术发展方向，围绕高</w:t>
      </w:r>
    </w:p>
    <w:p>
      <w:pPr>
        <w:pStyle w:val="BodyText"/>
        <w:spacing w:line="408" w:lineRule="auto" w:before="16"/>
        <w:ind w:right="1125"/>
        <w:jc w:val="left"/>
      </w:pPr>
      <w:r>
        <w:rPr>
          <w:w w:val="95"/>
        </w:rPr>
        <w:t>速公路、港口航运、军工、安防等行业领域研发出了多项专业信息化产品和整体解决方案，持续推进交通</w:t>
      </w:r>
      <w:r>
        <w:rPr>
          <w:spacing w:val="39"/>
          <w:w w:val="95"/>
        </w:rPr>
        <w:t> </w:t>
      </w:r>
      <w:r>
        <w:rPr>
          <w:spacing w:val="39"/>
          <w:w w:val="95"/>
        </w:rPr>
      </w:r>
      <w:r>
        <w:rPr/>
        <w:t>行业转型升级。</w:t>
      </w:r>
    </w:p>
    <w:p>
      <w:pPr>
        <w:pStyle w:val="BodyText"/>
        <w:spacing w:line="408" w:lineRule="auto" w:before="87"/>
        <w:ind w:right="1132" w:firstLine="480"/>
        <w:jc w:val="both"/>
      </w:pPr>
      <w:r>
        <w:rPr>
          <w:spacing w:val="-2"/>
        </w:rPr>
        <w:t>目前，公司已形成了集出行服务、联网收费、车联服务、路网运营、安防监控、政务服务为一体的大</w:t>
      </w:r>
      <w:r>
        <w:rPr>
          <w:w w:val="99"/>
        </w:rPr>
        <w:t> </w:t>
      </w:r>
      <w:r>
        <w:rPr>
          <w:w w:val="95"/>
        </w:rPr>
        <w:t>路网产品架构和船舶跟踪、集装箱跟踪、自动化码头控制为一体的智慧港口一站式综合解决方案，并加速</w:t>
      </w:r>
      <w:r>
        <w:rPr>
          <w:spacing w:val="40"/>
          <w:w w:val="95"/>
        </w:rPr>
        <w:t> </w:t>
      </w:r>
      <w:r>
        <w:rPr>
          <w:spacing w:val="40"/>
          <w:w w:val="95"/>
        </w:rPr>
      </w:r>
      <w:r>
        <w:rPr/>
        <w:t>相关技术在交通、军工、安防等行业应用场景落地，以大数据赋能大交通行业，构建产业生态体系。</w:t>
      </w:r>
    </w:p>
    <w:p>
      <w:pPr>
        <w:pStyle w:val="BodyText"/>
        <w:spacing w:line="408" w:lineRule="auto" w:before="87"/>
        <w:ind w:right="0" w:firstLine="480"/>
        <w:jc w:val="left"/>
      </w:pPr>
      <w:r>
        <w:rPr>
          <w:w w:val="95"/>
        </w:rPr>
        <w:t>公司拥有百余项软件著作权和十余项发明专利，主导、参与制定了多项行业标准及地方标准，通过了</w:t>
      </w:r>
      <w:r>
        <w:rPr>
          <w:w w:val="99"/>
        </w:rPr>
        <w:t> </w:t>
      </w:r>
      <w:r>
        <w:rPr>
          <w:spacing w:val="-5"/>
          <w:w w:val="99"/>
        </w:rPr>
        <w:t>软件成熟度CMMI5级认定，并获得了“安徽省企业技术中心”、“安徽省公路交通安全工程技术研究中心”、</w:t>
      </w:r>
      <w:r>
        <w:rPr>
          <w:spacing w:val="-63"/>
          <w:w w:val="99"/>
        </w:rPr>
        <w:t> </w:t>
      </w:r>
      <w:r>
        <w:rPr>
          <w:spacing w:val="-63"/>
          <w:w w:val="99"/>
        </w:rPr>
      </w:r>
      <w:r>
        <w:rPr/>
        <w:t>“安徽省工业设计中心”等三个省级技术中心认定，公司自主研发的机场跑道异物（FOD）监测雷达和近</w:t>
      </w:r>
      <w:r>
        <w:rPr>
          <w:w w:val="99"/>
        </w:rPr>
        <w:t> </w:t>
      </w:r>
      <w:r>
        <w:rPr/>
        <w:t>程警戒系列雷达等产品分别获得四川省国防科工军民结合和四川省科技计划项目的专项资金扶持。</w:t>
      </w:r>
    </w:p>
    <w:p>
      <w:pPr>
        <w:pStyle w:val="BodyText"/>
        <w:spacing w:line="444" w:lineRule="auto" w:before="84"/>
        <w:ind w:left="592" w:right="1122" w:firstLine="2"/>
        <w:jc w:val="left"/>
      </w:pPr>
      <w:r>
        <w:rPr>
          <w:rFonts w:ascii="宋体" w:hAnsi="宋体" w:cs="宋体" w:eastAsia="宋体" w:hint="default"/>
          <w:b/>
          <w:bCs/>
        </w:rPr>
        <w:t>2、核心人才优势</w:t>
      </w:r>
      <w:r>
        <w:rPr>
          <w:rFonts w:ascii="宋体" w:hAnsi="宋体" w:cs="宋体" w:eastAsia="宋体" w:hint="default"/>
          <w:b/>
          <w:bCs/>
          <w:w w:val="99"/>
        </w:rPr>
        <w:t> </w:t>
      </w:r>
      <w:r>
        <w:rPr>
          <w:spacing w:val="-2"/>
        </w:rPr>
        <w:t>公司在大数据、物联网等技术领域集聚了一批创新能力突出和技术实力雄厚的研发团队，组建了一支</w:t>
      </w:r>
    </w:p>
    <w:p>
      <w:pPr>
        <w:pStyle w:val="BodyText"/>
        <w:spacing w:line="408" w:lineRule="auto" w:before="14"/>
        <w:ind w:right="1132"/>
        <w:jc w:val="both"/>
      </w:pPr>
      <w:r>
        <w:rPr>
          <w:w w:val="95"/>
        </w:rPr>
        <w:t>技术精湛、经验丰富、结构合理、团结协作的管理队伍；通过建立完善的任职资格管理体系，为员工的职</w:t>
      </w:r>
      <w:r>
        <w:rPr>
          <w:spacing w:val="41"/>
          <w:w w:val="95"/>
        </w:rPr>
        <w:t> </w:t>
      </w:r>
      <w:r>
        <w:rPr>
          <w:spacing w:val="41"/>
          <w:w w:val="95"/>
        </w:rPr>
      </w:r>
      <w:r>
        <w:rPr>
          <w:w w:val="95"/>
        </w:rPr>
        <w:t>业发展提供双通道，并配套完善的培训体系，促进和推动员工能力提升；通过股权激励计划、员工持股计</w:t>
      </w:r>
      <w:r>
        <w:rPr>
          <w:spacing w:val="40"/>
          <w:w w:val="95"/>
        </w:rPr>
        <w:t> </w:t>
      </w:r>
      <w:r>
        <w:rPr>
          <w:spacing w:val="40"/>
          <w:w w:val="95"/>
        </w:rPr>
      </w:r>
      <w:r>
        <w:rPr/>
        <w:t>划等良好的激励机制,有效提升了公司具有竞争力的软实力，为公司规模化发展提供了有力保障。</w:t>
      </w:r>
    </w:p>
    <w:p>
      <w:pPr>
        <w:spacing w:line="441" w:lineRule="auto" w:before="87"/>
        <w:ind w:left="592" w:right="1122" w:firstLine="2"/>
        <w:jc w:val="left"/>
        <w:rPr>
          <w:rFonts w:ascii="宋体" w:hAnsi="宋体" w:cs="宋体" w:eastAsia="宋体" w:hint="default"/>
          <w:sz w:val="21"/>
          <w:szCs w:val="21"/>
        </w:rPr>
      </w:pPr>
      <w:r>
        <w:rPr>
          <w:rFonts w:ascii="宋体" w:hAnsi="宋体" w:cs="宋体" w:eastAsia="宋体" w:hint="default"/>
          <w:b/>
          <w:bCs/>
          <w:sz w:val="21"/>
          <w:szCs w:val="21"/>
        </w:rPr>
        <w:t>3、资源整合和业务协同优势</w:t>
      </w:r>
      <w:r>
        <w:rPr>
          <w:rFonts w:ascii="宋体" w:hAnsi="宋体" w:cs="宋体" w:eastAsia="宋体" w:hint="default"/>
          <w:b/>
          <w:bCs/>
          <w:w w:val="99"/>
          <w:sz w:val="21"/>
          <w:szCs w:val="21"/>
        </w:rPr>
        <w:t> </w:t>
      </w:r>
      <w:r>
        <w:rPr>
          <w:rFonts w:ascii="宋体" w:hAnsi="宋体" w:cs="宋体" w:eastAsia="宋体" w:hint="default"/>
          <w:spacing w:val="-2"/>
          <w:sz w:val="21"/>
          <w:szCs w:val="21"/>
        </w:rPr>
        <w:t>公司围绕交通信息化和军工电子信息领域布局业务结构，聚焦前瞻性技术，按照“内整外引并举、先</w:t>
      </w:r>
    </w:p>
    <w:p>
      <w:pPr>
        <w:pStyle w:val="BodyText"/>
        <w:spacing w:line="408" w:lineRule="auto" w:before="16"/>
        <w:ind w:right="0"/>
        <w:jc w:val="left"/>
      </w:pPr>
      <w:r>
        <w:rPr/>
        <w:t>内部整合后外部重组”的策略,积极寻求相关领域优质合作伙伴，赋能传统行业，实现优势互补，强强联</w:t>
      </w:r>
      <w:r>
        <w:rPr>
          <w:w w:val="99"/>
        </w:rPr>
        <w:t> </w:t>
      </w:r>
      <w:r>
        <w:rPr>
          <w:w w:val="95"/>
        </w:rPr>
        <w:t>合，在产品开发、市场拓展、项目运营等多个环节充分实现资源共享和业务协作。公司深入挖掘各业务板</w:t>
      </w:r>
      <w:r>
        <w:rPr>
          <w:spacing w:val="38"/>
          <w:w w:val="95"/>
        </w:rPr>
        <w:t> </w:t>
      </w:r>
      <w:r>
        <w:rPr>
          <w:spacing w:val="38"/>
          <w:w w:val="95"/>
        </w:rPr>
      </w:r>
      <w:r>
        <w:rPr>
          <w:w w:val="95"/>
        </w:rPr>
        <w:t>块在技术研发、市场渠道、客户资源等方面的协同效应，充分发挥产业链聚合优势，推动企业转型升级。</w:t>
      </w:r>
      <w:r>
        <w:rPr/>
      </w:r>
    </w:p>
    <w:p>
      <w:pPr>
        <w:pStyle w:val="BodyText"/>
        <w:spacing w:line="408" w:lineRule="auto" w:before="87"/>
        <w:ind w:right="1122" w:firstLine="480"/>
        <w:jc w:val="left"/>
      </w:pPr>
      <w:r>
        <w:rPr>
          <w:spacing w:val="-2"/>
        </w:rPr>
        <w:t>目前，公司业务范围已覆盖高速公路信息化、港口航运信息化、军工电子信息、城市智能交通、智能</w:t>
      </w:r>
      <w:r>
        <w:rPr>
          <w:w w:val="99"/>
        </w:rPr>
        <w:t> </w:t>
      </w:r>
      <w:r>
        <w:rPr/>
        <w:t>安防等行业领域，以技术突破带动产品创新,推进多方战略合作,实现产业共赢。</w:t>
      </w:r>
    </w:p>
    <w:p>
      <w:pPr>
        <w:spacing w:after="0" w:line="408"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8" w:right="2127"/>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2" w:firstLine="480"/>
        <w:jc w:val="left"/>
      </w:pPr>
      <w:r>
        <w:rPr>
          <w:spacing w:val="-2"/>
        </w:rPr>
        <w:t>报告期内，公司紧密围绕企业发展战略和年度经营计划，以稳健发展为基础，以变革创新为驱动，以</w:t>
      </w:r>
      <w:r>
        <w:rPr>
          <w:w w:val="99"/>
        </w:rPr>
        <w:t> </w:t>
      </w:r>
      <w:r>
        <w:rPr/>
        <w:t>资本运作为手段，保持了经营业绩持续向好，发展质量稳步提升的良好态势。</w:t>
      </w:r>
    </w:p>
    <w:p>
      <w:pPr>
        <w:spacing w:line="240" w:lineRule="auto" w:before="8"/>
        <w:rPr>
          <w:rFonts w:ascii="宋体" w:hAnsi="宋体" w:cs="宋体" w:eastAsia="宋体" w:hint="default"/>
          <w:sz w:val="18"/>
          <w:szCs w:val="18"/>
        </w:rPr>
      </w:pPr>
    </w:p>
    <w:p>
      <w:pPr>
        <w:pStyle w:val="Heading4"/>
        <w:spacing w:line="240" w:lineRule="auto"/>
        <w:ind w:right="2127"/>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2127"/>
        <w:jc w:val="left"/>
        <w:rPr>
          <w:b w:val="0"/>
          <w:bCs w:val="0"/>
        </w:rPr>
      </w:pPr>
      <w:bookmarkStart w:name="1、概述" w:id="27"/>
      <w:bookmarkEnd w:id="27"/>
      <w:r>
        <w:rPr>
          <w:b w:val="0"/>
          <w:bCs w:val="0"/>
        </w:rPr>
      </w:r>
      <w:r>
        <w:rPr/>
        <w:t>1、概述</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2"/>
        <w:ind w:left="592" w:right="0"/>
        <w:jc w:val="left"/>
      </w:pPr>
      <w:r>
        <w:rPr/>
        <w:t>（1）主营业务情况</w:t>
      </w:r>
      <w:r>
        <w:rPr>
          <w:w w:val="99"/>
        </w:rPr>
        <w:t> </w:t>
      </w:r>
      <w:r>
        <w:rPr>
          <w:spacing w:val="-5"/>
          <w:w w:val="99"/>
        </w:rPr>
        <w:t>报告期内，公司实现营业收入1,249,370,240.05元，比上年同期增长25.46%；利润总额125,877,644.61</w:t>
      </w:r>
      <w:r>
        <w:rPr>
          <w:spacing w:val="-5"/>
        </w:rPr>
      </w:r>
    </w:p>
    <w:p>
      <w:pPr>
        <w:pStyle w:val="BodyText"/>
        <w:spacing w:line="441" w:lineRule="auto" w:before="14"/>
        <w:ind w:left="592" w:right="0" w:hanging="480"/>
        <w:jc w:val="left"/>
      </w:pPr>
      <w:r>
        <w:rPr>
          <w:w w:val="95"/>
        </w:rPr>
        <w:t>元，比上年同期增长14.47%；归属于上市公司股东的净利润105,820,825.29元，比上年同期增长27.93%。</w:t>
      </w:r>
      <w:r>
        <w:rPr>
          <w:spacing w:val="61"/>
          <w:w w:val="95"/>
        </w:rPr>
        <w:t> </w:t>
      </w:r>
      <w:r>
        <w:rPr>
          <w:spacing w:val="61"/>
          <w:w w:val="95"/>
        </w:rPr>
      </w:r>
      <w:r>
        <w:rPr>
          <w:spacing w:val="-2"/>
        </w:rPr>
        <w:t>报告期内，公司持续推动大数据、物联网等技术与交通产业深度融合，充分发挥服务优势，稳步拓展</w:t>
      </w:r>
    </w:p>
    <w:p>
      <w:pPr>
        <w:pStyle w:val="BodyText"/>
        <w:spacing w:line="444" w:lineRule="auto" w:before="16"/>
        <w:ind w:left="592" w:right="0" w:hanging="480"/>
        <w:jc w:val="left"/>
      </w:pPr>
      <w:r>
        <w:rPr/>
        <w:t>市场，主营业务各版块保持强劲的发展势头，行业龙头地位稳固。</w:t>
      </w:r>
      <w:r>
        <w:rPr>
          <w:w w:val="99"/>
        </w:rPr>
        <w:t> </w:t>
      </w:r>
      <w:r>
        <w:rPr>
          <w:spacing w:val="-4"/>
          <w:w w:val="95"/>
        </w:rPr>
        <w:t>高速公路信息化领域，继续巩固在视频监控、联网收费、电子支付、智能路网等业务领域的领先地位，</w:t>
      </w:r>
      <w:r>
        <w:rPr>
          <w:spacing w:val="-4"/>
        </w:rPr>
      </w:r>
    </w:p>
    <w:p>
      <w:pPr>
        <w:pStyle w:val="BodyText"/>
        <w:spacing w:line="408" w:lineRule="auto" w:before="14"/>
        <w:ind w:left="0" w:right="1112"/>
        <w:jc w:val="right"/>
      </w:pPr>
      <w:r>
        <w:rPr>
          <w:w w:val="95"/>
        </w:rPr>
        <w:t>推进核心技术平台的升级换代，加快成熟通用型系统的市场推广力度，并相继在陕西、湖南、湖北、内蒙</w:t>
      </w:r>
      <w:r>
        <w:rPr>
          <w:spacing w:val="87"/>
          <w:w w:val="95"/>
        </w:rPr>
        <w:t> </w:t>
      </w:r>
      <w:r>
        <w:rPr>
          <w:spacing w:val="87"/>
          <w:w w:val="95"/>
        </w:rPr>
      </w:r>
      <w:r>
        <w:rPr>
          <w:w w:val="95"/>
        </w:rPr>
        <w:t>古等地夺取车道移动支付、路网应急系统、联网收费中心信息安全升级等新项目；充分发挥在大型桥梁信</w:t>
      </w:r>
      <w:r>
        <w:rPr>
          <w:spacing w:val="85"/>
          <w:w w:val="95"/>
        </w:rPr>
        <w:t> </w:t>
      </w:r>
      <w:r>
        <w:rPr>
          <w:spacing w:val="85"/>
          <w:w w:val="95"/>
        </w:rPr>
      </w:r>
      <w:r>
        <w:rPr>
          <w:w w:val="95"/>
        </w:rPr>
        <w:t>息化建设领域的技术实力和项目优势，继马鞍山长江公路大桥、望东长江公路大桥、芜湖长江公路二桥机</w:t>
      </w:r>
      <w:r>
        <w:rPr>
          <w:spacing w:val="91"/>
          <w:w w:val="95"/>
        </w:rPr>
        <w:t> </w:t>
      </w:r>
      <w:r>
        <w:rPr>
          <w:spacing w:val="91"/>
          <w:w w:val="95"/>
        </w:rPr>
      </w:r>
      <w:r>
        <w:rPr>
          <w:w w:val="95"/>
        </w:rPr>
        <w:t>电项目之后，顺利夺取池州长江公路大桥机电工程，为抢占国内跨江跨海类大型桥梁信息化建设市场增添</w:t>
      </w:r>
      <w:r>
        <w:rPr>
          <w:spacing w:val="91"/>
          <w:w w:val="95"/>
        </w:rPr>
        <w:t> </w:t>
      </w:r>
      <w:r>
        <w:rPr>
          <w:spacing w:val="91"/>
          <w:w w:val="95"/>
        </w:rPr>
      </w:r>
      <w:r>
        <w:rPr>
          <w:w w:val="95"/>
        </w:rPr>
        <w:t>砝码；紧跟存量高速公路改扩建和后续运维需求，以高速公路运维平台和路面养护智能管控系统为技术支</w:t>
      </w:r>
      <w:r>
        <w:rPr>
          <w:spacing w:val="85"/>
          <w:w w:val="95"/>
        </w:rPr>
        <w:t> </w:t>
      </w:r>
      <w:r>
        <w:rPr>
          <w:spacing w:val="85"/>
          <w:w w:val="95"/>
        </w:rPr>
      </w:r>
      <w:r>
        <w:rPr>
          <w:w w:val="95"/>
        </w:rPr>
        <w:t>撑，凭借丰富的项目管理能力和专业化的运维团队，稳步推进运行维护市场，增强业务可持续发展能力。</w:t>
      </w:r>
      <w:r>
        <w:rPr/>
      </w:r>
    </w:p>
    <w:p>
      <w:pPr>
        <w:pStyle w:val="BodyText"/>
        <w:spacing w:line="408" w:lineRule="auto" w:before="87"/>
        <w:ind w:right="1025" w:firstLine="480"/>
        <w:jc w:val="left"/>
      </w:pPr>
      <w:r>
        <w:rPr>
          <w:w w:val="95"/>
        </w:rPr>
        <w:t>港口航运信息化领域，抓住港口企业建设智慧港口的契机，全面向自动化、智能化、物联网方向寻求</w:t>
      </w:r>
      <w:r>
        <w:rPr>
          <w:w w:val="99"/>
        </w:rPr>
        <w:t> </w:t>
      </w:r>
      <w:r>
        <w:rPr/>
        <w:t>突破，研制了集装箱码头堆场自动化解决方案、智能闸口解决方案、智能理货解决方案、冷藏箱智能数据</w:t>
      </w:r>
      <w:r>
        <w:rPr>
          <w:w w:val="99"/>
        </w:rPr>
        <w:t> </w:t>
      </w:r>
      <w:r>
        <w:rPr/>
        <w:t>采集解决方案，开发了新版集装箱码头智能操作系统和散杂货码头智能操作系统，为实现从操作系统到自</w:t>
      </w:r>
      <w:r>
        <w:rPr>
          <w:w w:val="99"/>
        </w:rPr>
        <w:t> </w:t>
      </w:r>
      <w:r>
        <w:rPr/>
        <w:t>动化控制垂直整合，提供生产作业系统自动化整体解决方案奠定了基础；在智能闸口、件杂货理货等环节</w:t>
      </w:r>
      <w:r>
        <w:rPr>
          <w:w w:val="99"/>
        </w:rPr>
        <w:t> </w:t>
      </w:r>
      <w:r>
        <w:rPr/>
        <w:t>采用人工智能计算机视觉识别技术代替人工识别，改善了现场作业环境，实现了无人化作业；建设港航大</w:t>
      </w:r>
      <w:r>
        <w:rPr>
          <w:w w:val="99"/>
        </w:rPr>
        <w:t> </w:t>
      </w:r>
      <w:r>
        <w:rPr/>
        <w:t>数据平台，以云计算和大数据技术为支撑，为港航企业管控、分析、决策、应急指挥等管理目标提供数据</w:t>
      </w:r>
      <w:r>
        <w:rPr>
          <w:w w:val="99"/>
        </w:rPr>
        <w:t> </w:t>
      </w:r>
      <w:r>
        <w:rPr>
          <w:spacing w:val="-3"/>
        </w:rPr>
        <w:t>支持；依托办事处和区域销售部，大力提升市场开拓能力，实现了港航市场的全覆盖，同时积极与中交建、</w:t>
      </w:r>
      <w:r>
        <w:rPr>
          <w:w w:val="99"/>
        </w:rPr>
        <w:t> </w:t>
      </w:r>
      <w:r>
        <w:rPr/>
        <w:t>中港湾、中远海等大型国企展开合作，借助一带一路发展契机开拓国际市场，打造具备国际项目实施能力</w:t>
      </w:r>
    </w:p>
    <w:p>
      <w:pPr>
        <w:spacing w:after="0" w:line="408"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444" w:lineRule="auto" w:before="173"/>
        <w:ind w:left="592" w:right="1122" w:hanging="480"/>
        <w:jc w:val="left"/>
      </w:pPr>
      <w:r>
        <w:rPr/>
        <w:t>的团队，实现了两个国际项目的成功交付。</w:t>
      </w:r>
      <w:r>
        <w:rPr>
          <w:w w:val="99"/>
        </w:rPr>
        <w:t> </w:t>
      </w:r>
      <w:r>
        <w:rPr>
          <w:spacing w:val="-2"/>
        </w:rPr>
        <w:t>军工电子信息领域，深化与电子科学技术大学等科研院所、高等院校的技术、人才合作，稳固传统领</w:t>
      </w:r>
    </w:p>
    <w:p>
      <w:pPr>
        <w:pStyle w:val="BodyText"/>
        <w:spacing w:line="408" w:lineRule="auto" w:before="14"/>
        <w:ind w:right="1112"/>
        <w:jc w:val="both"/>
      </w:pPr>
      <w:r>
        <w:rPr>
          <w:w w:val="95"/>
        </w:rPr>
        <w:t>域市场，推进微波组件、信号处理及雷达整机的研制、生产，为海洋气象探测、环保、水域监视、低空风</w:t>
      </w:r>
      <w:r>
        <w:rPr>
          <w:spacing w:val="45"/>
          <w:w w:val="95"/>
        </w:rPr>
        <w:t> </w:t>
      </w:r>
      <w:r>
        <w:rPr>
          <w:spacing w:val="45"/>
          <w:w w:val="95"/>
        </w:rPr>
      </w:r>
      <w:r>
        <w:rPr>
          <w:w w:val="95"/>
        </w:rPr>
        <w:t>切变探测与告警系统、空域管控、微波着陆等领域提供优质服务，并依托雄厚的微波技术优势着力开拓5G</w:t>
      </w:r>
      <w:r>
        <w:rPr>
          <w:spacing w:val="44"/>
          <w:w w:val="95"/>
        </w:rPr>
        <w:t> </w:t>
      </w:r>
      <w:r>
        <w:rPr>
          <w:spacing w:val="44"/>
          <w:w w:val="95"/>
        </w:rPr>
      </w:r>
      <w:r>
        <w:rPr>
          <w:w w:val="95"/>
        </w:rPr>
        <w:t>细分领域市场，加快在多元化应用场景的技术落地；加快由组件供应商向系统、整机供应商的转型步伐，</w:t>
      </w:r>
      <w:r>
        <w:rPr>
          <w:spacing w:val="61"/>
          <w:w w:val="95"/>
        </w:rPr>
        <w:t> </w:t>
      </w:r>
      <w:r>
        <w:rPr>
          <w:spacing w:val="61"/>
          <w:w w:val="95"/>
        </w:rPr>
      </w:r>
      <w:r>
        <w:rPr>
          <w:spacing w:val="2"/>
          <w:w w:val="95"/>
        </w:rPr>
        <w:t>公司自主研发生产的NFWR近程警戒系列雷达、高炉料面监测雷达、机场跑道异物（FOD）监测雷达、雷达</w:t>
      </w:r>
      <w:r>
        <w:rPr>
          <w:spacing w:val="41"/>
          <w:w w:val="95"/>
        </w:rPr>
        <w:t> </w:t>
      </w:r>
      <w:r>
        <w:rPr>
          <w:spacing w:val="41"/>
          <w:w w:val="95"/>
        </w:rPr>
      </w:r>
      <w:r>
        <w:rPr>
          <w:w w:val="95"/>
        </w:rPr>
        <w:t>综合测试仪已广泛应用于边海防、油田、机场、港口、工业生产等领域的安全管控，微位移雷达技术已进</w:t>
      </w:r>
      <w:r>
        <w:rPr>
          <w:spacing w:val="42"/>
          <w:w w:val="95"/>
        </w:rPr>
        <w:t> </w:t>
      </w:r>
      <w:r>
        <w:rPr>
          <w:spacing w:val="42"/>
          <w:w w:val="95"/>
        </w:rPr>
      </w:r>
      <w:r>
        <w:rPr>
          <w:w w:val="95"/>
        </w:rPr>
        <w:t>入工程样机研制阶段，年内成功研制的军民两用水声通信系统产品，将微波技术拓展至海洋探测领域，具</w:t>
      </w:r>
      <w:r>
        <w:rPr>
          <w:spacing w:val="43"/>
          <w:w w:val="95"/>
        </w:rPr>
        <w:t> </w:t>
      </w:r>
      <w:r>
        <w:rPr>
          <w:spacing w:val="43"/>
          <w:w w:val="95"/>
        </w:rPr>
      </w:r>
      <w:r>
        <w:rPr>
          <w:w w:val="95"/>
        </w:rPr>
        <w:t>有较高的应用价值和市场前景；积极参与首届民航创新成果展、第八届雷达峰会等各大行业展会等各类行</w:t>
      </w:r>
      <w:r>
        <w:rPr>
          <w:spacing w:val="37"/>
          <w:w w:val="95"/>
        </w:rPr>
        <w:t> </w:t>
      </w:r>
      <w:r>
        <w:rPr>
          <w:spacing w:val="37"/>
          <w:w w:val="95"/>
        </w:rPr>
      </w:r>
      <w:r>
        <w:rPr/>
        <w:t>业大型推介会、展览会和学术年会，拓展产品推广渠道，打响品牌知名度和美誉度。</w:t>
      </w:r>
    </w:p>
    <w:p>
      <w:pPr>
        <w:pStyle w:val="BodyText"/>
        <w:spacing w:line="408" w:lineRule="auto" w:before="87"/>
        <w:ind w:right="1135" w:firstLine="480"/>
        <w:jc w:val="both"/>
      </w:pPr>
      <w:r>
        <w:rPr>
          <w:spacing w:val="-2"/>
        </w:rPr>
        <w:t>城市智能交通领域，持续完善融合交通图像监视系统、交通信息诱导系统、交通信号控制系统、交通</w:t>
      </w:r>
      <w:r>
        <w:rPr>
          <w:w w:val="99"/>
        </w:rPr>
        <w:t> </w:t>
      </w:r>
      <w:r>
        <w:rPr>
          <w:w w:val="95"/>
        </w:rPr>
        <w:t>紧急救援系统为一体的城市交通智能化管理平台，构建智慧交通大数据体系，加速形成网络化的市场格局</w:t>
      </w:r>
      <w:r>
        <w:rPr>
          <w:spacing w:val="37"/>
          <w:w w:val="95"/>
        </w:rPr>
        <w:t> </w:t>
      </w:r>
      <w:r>
        <w:rPr>
          <w:spacing w:val="37"/>
          <w:w w:val="95"/>
        </w:rPr>
      </w:r>
      <w:r>
        <w:rPr>
          <w:w w:val="95"/>
        </w:rPr>
        <w:t>和辐射效应，撬动智慧城市相关产业市场；聚焦优质客户，加大市场分析和项目甄选力度，优化成本管控</w:t>
      </w:r>
      <w:r>
        <w:rPr>
          <w:spacing w:val="39"/>
          <w:w w:val="95"/>
        </w:rPr>
        <w:t> </w:t>
      </w:r>
      <w:r>
        <w:rPr>
          <w:spacing w:val="39"/>
          <w:w w:val="95"/>
        </w:rPr>
      </w:r>
      <w:r>
        <w:rPr/>
        <w:t>和项目管理流程，加快项目交付及验收进度，努力促进降本增效，提升项目利润水平。</w:t>
      </w:r>
    </w:p>
    <w:p>
      <w:pPr>
        <w:pStyle w:val="BodyText"/>
        <w:spacing w:line="408" w:lineRule="auto" w:before="84"/>
        <w:ind w:right="1112" w:firstLine="480"/>
        <w:jc w:val="both"/>
      </w:pPr>
      <w:r>
        <w:rPr>
          <w:spacing w:val="-2"/>
        </w:rPr>
        <w:t>智能安防领域，践行“平安城市”建设战略，积极推进项目落地实施，加速形成示范效应；持续改进</w:t>
      </w:r>
      <w:r>
        <w:rPr>
          <w:w w:val="99"/>
        </w:rPr>
        <w:t> </w:t>
      </w:r>
      <w:r>
        <w:rPr>
          <w:w w:val="95"/>
        </w:rPr>
        <w:t>和完善司法信息化相关管理平台和系统方案，以配套系统项目的落地实施为依托，打造司法信息化领域的</w:t>
      </w:r>
      <w:r>
        <w:rPr>
          <w:spacing w:val="37"/>
          <w:w w:val="95"/>
        </w:rPr>
        <w:t> </w:t>
      </w:r>
      <w:r>
        <w:rPr>
          <w:spacing w:val="37"/>
          <w:w w:val="95"/>
        </w:rPr>
      </w:r>
      <w:r>
        <w:rPr>
          <w:w w:val="95"/>
        </w:rPr>
        <w:t>行业标杆；密切关注建筑智能化、教育信息化等细分市场需求，择机参与相关项目建设，撬动区域市场，</w:t>
      </w:r>
      <w:r>
        <w:rPr>
          <w:spacing w:val="61"/>
          <w:w w:val="95"/>
        </w:rPr>
        <w:t> </w:t>
      </w:r>
      <w:r>
        <w:rPr>
          <w:spacing w:val="61"/>
          <w:w w:val="95"/>
        </w:rPr>
      </w:r>
      <w:r>
        <w:rPr/>
        <w:t>挖掘新一轮建设机遇。</w:t>
      </w:r>
    </w:p>
    <w:p>
      <w:pPr>
        <w:pStyle w:val="BodyText"/>
        <w:spacing w:line="444" w:lineRule="auto" w:before="87"/>
        <w:ind w:left="592" w:right="0"/>
        <w:jc w:val="left"/>
      </w:pPr>
      <w:r>
        <w:rPr/>
        <w:t>报告期内，公司强化大数据应用能力，延伸业务链条，创新商业模式，构建行业产业链生态圈。</w:t>
      </w:r>
      <w:r>
        <w:rPr>
          <w:w w:val="99"/>
        </w:rPr>
        <w:t> </w:t>
      </w:r>
      <w:r>
        <w:rPr>
          <w:w w:val="95"/>
        </w:rPr>
        <w:t>公司以ETC全国联网带来的快速增长的客户流量为基础，凭借二十年来在高速公路信息化业务实践中</w:t>
      </w:r>
      <w:r>
        <w:rPr/>
      </w:r>
    </w:p>
    <w:p>
      <w:pPr>
        <w:pStyle w:val="BodyText"/>
        <w:spacing w:line="408" w:lineRule="auto" w:before="14"/>
        <w:ind w:right="0"/>
        <w:jc w:val="left"/>
      </w:pPr>
      <w:r>
        <w:rPr>
          <w:w w:val="95"/>
        </w:rPr>
        <w:t>积累的交通出行大数据资源，融合协同感知交互、多源信息采集分析、路网联动控制等新一代信息技术，</w:t>
      </w:r>
      <w:r>
        <w:rPr>
          <w:spacing w:val="61"/>
          <w:w w:val="95"/>
        </w:rPr>
        <w:t> </w:t>
      </w:r>
      <w:r>
        <w:rPr>
          <w:spacing w:val="61"/>
          <w:w w:val="95"/>
        </w:rPr>
      </w:r>
      <w:r>
        <w:rPr/>
        <w:t>围绕汽车后市场增值服务，加速“互联网+”在大出行服务领域的落地，激发大数据应用潜能，推动交通</w:t>
      </w:r>
      <w:r>
        <w:rPr>
          <w:w w:val="99"/>
        </w:rPr>
        <w:t> </w:t>
      </w:r>
      <w:r>
        <w:rPr/>
        <w:t>运输服务模式升级换代，构建大交通产业链生态圈。</w:t>
      </w:r>
    </w:p>
    <w:p>
      <w:pPr>
        <w:pStyle w:val="BodyText"/>
        <w:spacing w:line="408" w:lineRule="auto" w:before="84"/>
        <w:ind w:right="0" w:firstLine="420"/>
        <w:jc w:val="left"/>
      </w:pPr>
      <w:r>
        <w:rPr/>
        <w:t>公司以“中国港口网”升级改版为契机，大力发展行业资讯版块，打造港航业领域领先的行业智库，</w:t>
      </w:r>
      <w:r>
        <w:rPr>
          <w:w w:val="99"/>
        </w:rPr>
        <w:t> </w:t>
      </w:r>
      <w:r>
        <w:rPr/>
        <w:t>提升平台内在价值和权威性；夯实港航大数据平台，依托船舶跟踪、集装箱跟踪、口岸业务平台、领航者</w:t>
      </w:r>
      <w:r>
        <w:rPr>
          <w:w w:val="99"/>
        </w:rPr>
        <w:t> </w:t>
      </w:r>
      <w:r>
        <w:rPr>
          <w:spacing w:val="-2"/>
          <w:w w:val="95"/>
        </w:rPr>
        <w:t>系列等SaaS平台，提升AIS解析程序、图形化API接口、企业客户服务授权管理、异常数据处理、预警推送、</w:t>
      </w:r>
      <w:r>
        <w:rPr>
          <w:spacing w:val="52"/>
          <w:w w:val="95"/>
        </w:rPr>
        <w:t> </w:t>
      </w:r>
      <w:r>
        <w:rPr>
          <w:spacing w:val="52"/>
          <w:w w:val="95"/>
        </w:rPr>
      </w:r>
      <w:r>
        <w:rPr/>
        <w:t>大数据分析能力，完善以科技创新提供定制化服务和以互联网对接港口航运信息化主营业务的能力，为港</w:t>
      </w:r>
      <w:r>
        <w:rPr>
          <w:w w:val="99"/>
        </w:rPr>
        <w:t> </w:t>
      </w:r>
      <w:r>
        <w:rPr/>
        <w:t>航及相关产业提供数据接口和产品应用，打造和谐共赢的港航物流供应链发展生态圈。</w:t>
      </w:r>
    </w:p>
    <w:p>
      <w:pPr>
        <w:pStyle w:val="BodyText"/>
        <w:spacing w:line="240" w:lineRule="auto" w:before="46"/>
        <w:ind w:left="532" w:right="0"/>
        <w:jc w:val="left"/>
      </w:pPr>
      <w:r>
        <w:rPr/>
        <w:t>报告期内，公司圆满完成发行股份购买资产并募集配套资金相关工作：通过收购赛英科技100%股权，</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408" w:lineRule="auto" w:before="173"/>
        <w:ind w:right="0"/>
        <w:jc w:val="left"/>
      </w:pPr>
      <w:r>
        <w:rPr/>
        <w:t>公司主营业务新增军工电子信息板块，整体盈利能力得到提升；通过向南方银谷科技有限公司非公开发行</w:t>
      </w:r>
      <w:r>
        <w:rPr>
          <w:w w:val="99"/>
        </w:rPr>
        <w:t> </w:t>
      </w:r>
      <w:r>
        <w:rPr>
          <w:w w:val="95"/>
        </w:rPr>
        <w:t>股份募集配套资金1.825亿元，专项用于赛英科技微位移雷达生产线建设项目。在引进优质投资者的同时，</w:t>
      </w:r>
      <w:r>
        <w:rPr>
          <w:spacing w:val="46"/>
          <w:w w:val="95"/>
        </w:rPr>
        <w:t> </w:t>
      </w:r>
      <w:r>
        <w:rPr>
          <w:spacing w:val="46"/>
          <w:w w:val="95"/>
        </w:rPr>
      </w:r>
      <w:r>
        <w:rPr/>
        <w:t>为后续技术研发、市场开拓和业务发展提供了强有力的支撑。</w:t>
      </w:r>
    </w:p>
    <w:p>
      <w:pPr>
        <w:pStyle w:val="BodyText"/>
        <w:spacing w:line="408" w:lineRule="auto" w:before="46"/>
        <w:ind w:left="592" w:right="0"/>
        <w:jc w:val="left"/>
      </w:pPr>
      <w:r>
        <w:rPr/>
        <w:t>（2）商誉减值情况</w:t>
      </w:r>
      <w:r>
        <w:rPr>
          <w:w w:val="99"/>
        </w:rPr>
        <w:t> </w:t>
      </w:r>
      <w:r>
        <w:rPr/>
        <w:t>报告期内，公司完成对成都赛英科技有限公司100%股权的收购，新增商誉225,581,557.33元。</w:t>
      </w:r>
      <w:r>
        <w:rPr>
          <w:w w:val="99"/>
        </w:rPr>
        <w:t> </w:t>
      </w:r>
      <w:r>
        <w:rPr>
          <w:spacing w:val="3"/>
          <w:w w:val="95"/>
        </w:rPr>
        <w:t>公司期末对与商誉相关的资产组按照资产组的预计未来现金流量及折现率计算现值确定可收回金额</w:t>
      </w:r>
      <w:r>
        <w:rPr>
          <w:spacing w:val="3"/>
        </w:rPr>
      </w:r>
    </w:p>
    <w:p>
      <w:pPr>
        <w:pStyle w:val="BodyText"/>
        <w:spacing w:line="408" w:lineRule="auto" w:before="46"/>
        <w:ind w:right="0"/>
        <w:jc w:val="left"/>
      </w:pPr>
      <w:r>
        <w:rPr/>
        <w:t>进行了减值测试，将商誉的账面价值分摊至预期从企业合并的协同效应中受益的资产组或资产组组合，然</w:t>
      </w:r>
      <w:r>
        <w:rPr>
          <w:w w:val="99"/>
        </w:rPr>
        <w:t> </w:t>
      </w:r>
      <w:r>
        <w:rPr/>
        <w:t>后将资产组账面价值与其可收回金额进行比较，以确定资产组（包括商誉）是否发生了减值。根据大华会</w:t>
      </w:r>
      <w:r>
        <w:rPr>
          <w:w w:val="99"/>
        </w:rPr>
        <w:t> </w:t>
      </w:r>
      <w:r>
        <w:rPr>
          <w:spacing w:val="9"/>
        </w:rPr>
        <w:t>计师事务所（特殊有限合伙）出具的《安徽皖通科技股份有限公司2018年年度审计报告》（大华审字</w:t>
      </w:r>
      <w:r>
        <w:rPr>
          <w:w w:val="99"/>
        </w:rPr>
        <w:t> </w:t>
      </w:r>
      <w:r>
        <w:rPr/>
        <w:t>[2019]002206号）和安徽安建资产评估有限责任公司出具的相关评估报告，由于公司控股公司上海亲益保</w:t>
      </w:r>
      <w:r>
        <w:rPr>
          <w:w w:val="99"/>
        </w:rPr>
        <w:t> </w:t>
      </w:r>
      <w:r>
        <w:rPr>
          <w:spacing w:val="-7"/>
          <w:w w:val="99"/>
        </w:rPr>
        <w:t>网络科技有限公司（以下简称“亲益保”）和安徽光大保险代理有限责任公司（以下简称“光大保险代理”）</w:t>
      </w:r>
      <w:r>
        <w:rPr>
          <w:spacing w:val="-81"/>
          <w:w w:val="99"/>
        </w:rPr>
        <w:t> </w:t>
      </w:r>
      <w:r>
        <w:rPr>
          <w:spacing w:val="-81"/>
          <w:w w:val="99"/>
        </w:rPr>
      </w:r>
      <w:r>
        <w:rPr/>
        <w:t>2018年度经营情况未达预期，公司2018年度计提商誉减值损失32,318,106.33元。该事项已经公司第四届</w:t>
      </w:r>
      <w:r>
        <w:rPr>
          <w:spacing w:val="-39"/>
        </w:rPr>
        <w:t> </w:t>
      </w:r>
      <w:r>
        <w:rPr>
          <w:spacing w:val="-39"/>
        </w:rPr>
      </w:r>
      <w:r>
        <w:rPr/>
        <w:t>董事会第十九次会议及第四届监事会第十六会议审议通过。</w:t>
      </w:r>
    </w:p>
    <w:p>
      <w:pPr>
        <w:pStyle w:val="BodyText"/>
        <w:spacing w:line="604" w:lineRule="auto" w:before="46"/>
        <w:ind w:right="1125" w:firstLine="480"/>
        <w:jc w:val="left"/>
        <w:rPr>
          <w:rFonts w:ascii="宋体" w:hAnsi="宋体" w:cs="宋体" w:eastAsia="宋体" w:hint="default"/>
        </w:rPr>
      </w:pPr>
      <w:r>
        <w:rPr>
          <w:w w:val="95"/>
        </w:rPr>
        <w:t>除上述情况外，根据公司对各项与商誉相关的资产组的减值测试结果，未发生其他商誉减值情况。</w:t>
      </w:r>
      <w:r>
        <w:rPr>
          <w:w w:val="99"/>
        </w:rPr>
        <w:t> </w:t>
      </w:r>
      <w:bookmarkStart w:name="2、收入与成本" w:id="28"/>
      <w:bookmarkEnd w:id="28"/>
      <w:r>
        <w:rPr>
          <w:w w:val="99"/>
        </w:rPr>
      </w:r>
      <w:r>
        <w:rPr>
          <w:rFonts w:ascii="宋体" w:hAnsi="宋体" w:cs="宋体" w:eastAsia="宋体" w:hint="default"/>
          <w:b/>
          <w:bCs/>
        </w:rPr>
        <w:t>2、收入与成本</w:t>
      </w:r>
      <w:r>
        <w:rPr>
          <w:rFonts w:ascii="宋体" w:hAnsi="宋体" w:cs="宋体" w:eastAsia="宋体" w:hint="default"/>
        </w:rPr>
      </w:r>
    </w:p>
    <w:p>
      <w:pPr>
        <w:pStyle w:val="Heading6"/>
        <w:spacing w:line="240" w:lineRule="auto" w:before="20"/>
        <w:ind w:right="2127"/>
        <w:jc w:val="left"/>
        <w:rPr>
          <w:b w:val="0"/>
          <w:bCs w:val="0"/>
        </w:rPr>
      </w:pPr>
      <w:bookmarkStart w:name="（1）营业收入构成" w:id="29"/>
      <w:bookmarkEnd w:id="29"/>
      <w:r>
        <w:rPr>
          <w:b w:val="0"/>
          <w:bCs w:val="0"/>
        </w:rPr>
      </w:r>
      <w:r>
        <w:rPr/>
        <w:t>（1）营业收入构成</w:t>
      </w:r>
      <w:r>
        <w:rPr>
          <w:b w:val="0"/>
          <w:bCs w:val="0"/>
        </w:rPr>
      </w:r>
    </w:p>
    <w:p>
      <w:pPr>
        <w:spacing w:line="240" w:lineRule="auto" w:before="7"/>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1,249,370,240.05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995,817,238.17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25.46%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741,623,683.65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680,672,882.32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234,705,309.00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151,804,957.13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80,180,306.00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64,286,104.97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39,067,418.46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65,928,879.72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军工电子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95,065,852.86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58,727,670.08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33,124,414.03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77.29%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859,401,505.37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822,451,772.50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215,613,701.10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131,556,196.44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63.89%</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55,739,055.46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32,253,505.02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72.82%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118,615,978.12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9,555,764.21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1,141.30%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571,567,318.47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521,054,738.12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677,802,921.58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474,762,500.05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42.77%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号——上市公司从软件与信息技术服务业务》的披露要求</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1"/>
        <w:gridCol w:w="1004"/>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8"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宋体" w:hAnsi="宋体" w:cs="宋体" w:eastAsia="宋体" w:hint="default"/>
                <w:sz w:val="18"/>
                <w:szCs w:val="18"/>
              </w:rPr>
            </w:pPr>
            <w:r>
              <w:rPr>
                <w:rFonts w:ascii="宋体"/>
                <w:sz w:val="18"/>
              </w:rPr>
              <w:t>266,991,98</w:t>
            </w:r>
          </w:p>
          <w:p>
            <w:pPr>
              <w:pStyle w:val="TableParagraph"/>
              <w:spacing w:line="240" w:lineRule="auto" w:before="76"/>
              <w:ind w:left="614" w:right="0"/>
              <w:jc w:val="left"/>
              <w:rPr>
                <w:rFonts w:ascii="宋体" w:hAnsi="宋体" w:cs="宋体" w:eastAsia="宋体" w:hint="default"/>
                <w:sz w:val="18"/>
                <w:szCs w:val="18"/>
              </w:rPr>
            </w:pPr>
            <w:r>
              <w:rPr>
                <w:rFonts w:ascii="宋体"/>
                <w:sz w:val="18"/>
              </w:rPr>
              <w:t>8.91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宋体" w:hAnsi="宋体" w:cs="宋体" w:eastAsia="宋体" w:hint="default"/>
                <w:sz w:val="18"/>
                <w:szCs w:val="18"/>
              </w:rPr>
            </w:pPr>
            <w:r>
              <w:rPr>
                <w:rFonts w:ascii="宋体"/>
                <w:sz w:val="18"/>
              </w:rPr>
              <w:t>220,744,13</w:t>
            </w:r>
          </w:p>
          <w:p>
            <w:pPr>
              <w:pStyle w:val="TableParagraph"/>
              <w:spacing w:line="240" w:lineRule="auto" w:before="76"/>
              <w:ind w:left="616" w:right="0"/>
              <w:jc w:val="left"/>
              <w:rPr>
                <w:rFonts w:ascii="宋体" w:hAnsi="宋体" w:cs="宋体" w:eastAsia="宋体" w:hint="default"/>
                <w:sz w:val="18"/>
                <w:szCs w:val="18"/>
              </w:rPr>
            </w:pPr>
            <w:r>
              <w:rPr>
                <w:rFonts w:ascii="宋体"/>
                <w:sz w:val="18"/>
              </w:rPr>
              <w:t>7.70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7" w:right="0"/>
              <w:jc w:val="left"/>
              <w:rPr>
                <w:rFonts w:ascii="宋体" w:hAnsi="宋体" w:cs="宋体" w:eastAsia="宋体" w:hint="default"/>
                <w:sz w:val="18"/>
                <w:szCs w:val="18"/>
              </w:rPr>
            </w:pPr>
            <w:r>
              <w:rPr>
                <w:rFonts w:ascii="宋体"/>
                <w:sz w:val="18"/>
              </w:rPr>
              <w:t>246,822,15</w:t>
            </w:r>
          </w:p>
          <w:p>
            <w:pPr>
              <w:pStyle w:val="TableParagraph"/>
              <w:spacing w:line="240" w:lineRule="auto" w:before="76"/>
              <w:ind w:left="617" w:right="0"/>
              <w:jc w:val="left"/>
              <w:rPr>
                <w:rFonts w:ascii="宋体" w:hAnsi="宋体" w:cs="宋体" w:eastAsia="宋体" w:hint="default"/>
                <w:sz w:val="18"/>
                <w:szCs w:val="18"/>
              </w:rPr>
            </w:pPr>
            <w:r>
              <w:rPr>
                <w:rFonts w:ascii="宋体"/>
                <w:sz w:val="18"/>
              </w:rPr>
              <w:t>0.44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left"/>
              <w:rPr>
                <w:rFonts w:ascii="宋体" w:hAnsi="宋体" w:cs="宋体" w:eastAsia="宋体" w:hint="default"/>
                <w:sz w:val="18"/>
                <w:szCs w:val="18"/>
              </w:rPr>
            </w:pPr>
            <w:r>
              <w:rPr>
                <w:rFonts w:ascii="宋体"/>
                <w:sz w:val="18"/>
              </w:rPr>
              <w:t>514,811,96</w:t>
            </w:r>
          </w:p>
          <w:p>
            <w:pPr>
              <w:pStyle w:val="TableParagraph"/>
              <w:spacing w:line="240" w:lineRule="auto" w:before="76"/>
              <w:ind w:left="618" w:right="0"/>
              <w:jc w:val="left"/>
              <w:rPr>
                <w:rFonts w:ascii="宋体" w:hAnsi="宋体" w:cs="宋体" w:eastAsia="宋体" w:hint="default"/>
                <w:sz w:val="18"/>
                <w:szCs w:val="18"/>
              </w:rPr>
            </w:pPr>
            <w:r>
              <w:rPr>
                <w:rFonts w:ascii="宋体"/>
                <w:sz w:val="18"/>
              </w:rPr>
              <w:t>3.00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宋体" w:hAnsi="宋体" w:cs="宋体" w:eastAsia="宋体" w:hint="default"/>
                <w:sz w:val="18"/>
                <w:szCs w:val="18"/>
              </w:rPr>
            </w:pPr>
            <w:r>
              <w:rPr>
                <w:rFonts w:ascii="宋体"/>
                <w:sz w:val="18"/>
              </w:rPr>
              <w:t>273,233,29</w:t>
            </w:r>
          </w:p>
          <w:p>
            <w:pPr>
              <w:pStyle w:val="TableParagraph"/>
              <w:spacing w:line="240" w:lineRule="auto" w:before="76"/>
              <w:ind w:left="611" w:right="0"/>
              <w:jc w:val="left"/>
              <w:rPr>
                <w:rFonts w:ascii="宋体" w:hAnsi="宋体" w:cs="宋体" w:eastAsia="宋体" w:hint="default"/>
                <w:sz w:val="18"/>
                <w:szCs w:val="18"/>
              </w:rPr>
            </w:pPr>
            <w:r>
              <w:rPr>
                <w:rFonts w:ascii="宋体"/>
                <w:sz w:val="18"/>
              </w:rPr>
              <w:t>1.81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 w:right="0"/>
              <w:jc w:val="left"/>
              <w:rPr>
                <w:rFonts w:ascii="宋体" w:hAnsi="宋体" w:cs="宋体" w:eastAsia="宋体" w:hint="default"/>
                <w:sz w:val="18"/>
                <w:szCs w:val="18"/>
              </w:rPr>
            </w:pPr>
            <w:r>
              <w:rPr>
                <w:rFonts w:ascii="宋体"/>
                <w:sz w:val="18"/>
              </w:rPr>
              <w:t>209,911,32</w:t>
            </w:r>
          </w:p>
          <w:p>
            <w:pPr>
              <w:pStyle w:val="TableParagraph"/>
              <w:spacing w:line="240" w:lineRule="auto" w:before="76"/>
              <w:ind w:left="610" w:right="0"/>
              <w:jc w:val="left"/>
              <w:rPr>
                <w:rFonts w:ascii="宋体" w:hAnsi="宋体" w:cs="宋体" w:eastAsia="宋体" w:hint="default"/>
                <w:sz w:val="18"/>
                <w:szCs w:val="18"/>
              </w:rPr>
            </w:pPr>
            <w:r>
              <w:rPr>
                <w:rFonts w:ascii="宋体"/>
                <w:sz w:val="18"/>
              </w:rPr>
              <w:t>6.73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 w:right="0"/>
              <w:jc w:val="left"/>
              <w:rPr>
                <w:rFonts w:ascii="宋体" w:hAnsi="宋体" w:cs="宋体" w:eastAsia="宋体" w:hint="default"/>
                <w:sz w:val="18"/>
                <w:szCs w:val="18"/>
              </w:rPr>
            </w:pPr>
            <w:r>
              <w:rPr>
                <w:rFonts w:ascii="宋体"/>
                <w:sz w:val="18"/>
              </w:rPr>
              <w:t>198,285,90</w:t>
            </w:r>
          </w:p>
          <w:p>
            <w:pPr>
              <w:pStyle w:val="TableParagraph"/>
              <w:spacing w:line="240" w:lineRule="auto" w:before="76"/>
              <w:ind w:left="609" w:right="0"/>
              <w:jc w:val="left"/>
              <w:rPr>
                <w:rFonts w:ascii="宋体" w:hAnsi="宋体" w:cs="宋体" w:eastAsia="宋体" w:hint="default"/>
                <w:sz w:val="18"/>
                <w:szCs w:val="18"/>
              </w:rPr>
            </w:pPr>
            <w:r>
              <w:rPr>
                <w:rFonts w:ascii="宋体"/>
                <w:sz w:val="18"/>
              </w:rPr>
              <w:t>0.94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8" w:right="0"/>
              <w:jc w:val="left"/>
              <w:rPr>
                <w:rFonts w:ascii="宋体" w:hAnsi="宋体" w:cs="宋体" w:eastAsia="宋体" w:hint="default"/>
                <w:sz w:val="18"/>
                <w:szCs w:val="18"/>
              </w:rPr>
            </w:pPr>
            <w:r>
              <w:rPr>
                <w:rFonts w:ascii="宋体"/>
                <w:sz w:val="18"/>
              </w:rPr>
              <w:t>314,386,71</w:t>
            </w:r>
          </w:p>
          <w:p>
            <w:pPr>
              <w:pStyle w:val="TableParagraph"/>
              <w:spacing w:line="240" w:lineRule="auto" w:before="76"/>
              <w:ind w:left="608" w:right="0"/>
              <w:jc w:val="left"/>
              <w:rPr>
                <w:rFonts w:ascii="宋体" w:hAnsi="宋体" w:cs="宋体" w:eastAsia="宋体" w:hint="default"/>
                <w:sz w:val="18"/>
                <w:szCs w:val="18"/>
              </w:rPr>
            </w:pPr>
            <w:r>
              <w:rPr>
                <w:rFonts w:ascii="宋体"/>
                <w:sz w:val="18"/>
              </w:rPr>
              <w:t>8.69</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12,754,018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22,731,152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33,214,544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37,121,109</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.97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11,771,796</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.28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20,417,277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28,266,363</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.46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22,262,167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.76</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2）占公司营业收入或营业利润10%以上的行业、产品或地区情况" w:id="30"/>
      <w:bookmarkEnd w:id="30"/>
      <w:r>
        <w:rPr>
          <w:b w:val="0"/>
          <w:bCs w:val="0"/>
        </w:rPr>
      </w:r>
      <w:r>
        <w:rPr/>
        <w:t>（2）占公司营业收入或营业利润</w:t>
      </w:r>
      <w:r>
        <w:rPr>
          <w:spacing w:val="-65"/>
        </w:rPr>
        <w:t> </w:t>
      </w:r>
      <w:r>
        <w:rPr/>
        <w:t>10%以上的行业、产品或地区情况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78" w:top="1060" w:bottom="1160" w:left="1020" w:right="0"/>
        </w:sectPr>
      </w:pPr>
    </w:p>
    <w:p>
      <w:pPr>
        <w:spacing w:line="357" w:lineRule="auto" w:before="44"/>
        <w:ind w:left="112" w:right="5832" w:firstLine="0"/>
        <w:jc w:val="left"/>
        <w:rPr>
          <w:rFonts w:ascii="宋体" w:hAnsi="宋体" w:cs="宋体" w:eastAsia="宋体" w:hint="default"/>
          <w:sz w:val="18"/>
          <w:szCs w:val="18"/>
        </w:rPr>
      </w:pPr>
      <w:r>
        <w:rPr>
          <w:rFonts w:ascii="宋体" w:hAnsi="宋体" w:cs="宋体" w:eastAsia="宋体" w:hint="default"/>
          <w:sz w:val="18"/>
          <w:szCs w:val="18"/>
        </w:rPr>
        <w:t>√ 适用 □ 不适用 公司是否需要遵守特殊行业的披露要求 是</w:t>
      </w:r>
    </w:p>
    <w:p>
      <w:pPr>
        <w:spacing w:before="29"/>
        <w:ind w:left="112" w:right="583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9025" w:space="40"/>
            <w:col w:w="1825"/>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741,623,683.65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562,300,504.57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234,705,309.00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141,767,300.62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54.65%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80,180,306.00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67,622,199.32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39,067,418.46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30,162,712.06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95,065,852.86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30,543,795.27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58,727,670.08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45,993,390.10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96.54%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-7.67%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1,249,370,240.</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878,389,901.94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859,401,505.37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677,675,650.56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215,613,701.10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134,082,567.70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81.41%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-6.00%</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55,739,055.46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19,157,866.79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210.33%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-15.23%</w:t>
            </w:r>
          </w:p>
        </w:tc>
      </w:tr>
    </w:tbl>
    <w:p>
      <w:pPr>
        <w:spacing w:after="0" w:line="240" w:lineRule="auto"/>
        <w:jc w:val="righ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118,615,978.12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47,473,816.89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1,141.30%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685.67%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23.21%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1,249,370,240.</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878,389,901.94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571,567,318.47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411,815,544.05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677,802,921.58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466,574,357.89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9.22%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1,249,370,240.</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878,389,901.94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公司实物销售收入是否大于劳务收入" w:id="31"/>
      <w:bookmarkEnd w:id="31"/>
      <w:r>
        <w:rPr>
          <w:b w:val="0"/>
          <w:bCs w:val="0"/>
        </w:rPr>
      </w:r>
      <w:r>
        <w:rPr/>
        <w:t>（3）公司实物销售收入是否大于劳务收入</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公司已签订的重大销售合同截至本报告期的履行情况" w:id="32"/>
      <w:bookmarkEnd w:id="32"/>
      <w:r>
        <w:rPr>
          <w:b w:val="0"/>
          <w:bCs w:val="0"/>
        </w:rPr>
      </w:r>
      <w:r>
        <w:rPr/>
        <w:t>（4）公司已签订的重大销售合同截至本报告期的履行情况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公司是否需要遵守特殊行业的披露要求 是</w:t>
      </w:r>
    </w:p>
    <w:p>
      <w:pPr>
        <w:spacing w:before="29"/>
        <w:ind w:left="112" w:right="2127"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357" w:lineRule="auto" w:before="117"/>
        <w:ind w:left="112" w:right="1845"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r>
        <w:rPr>
          <w:rFonts w:ascii="宋体" w:hAnsi="宋体" w:cs="宋体" w:eastAsia="宋体" w:hint="default"/>
          <w:sz w:val="18"/>
          <w:szCs w:val="18"/>
        </w:rPr>
        <w:t> 单一销售合同金额占公司最近一个会计年度经审计营业收入</w:t>
      </w:r>
      <w:r>
        <w:rPr>
          <w:rFonts w:ascii="宋体" w:hAnsi="宋体" w:cs="宋体" w:eastAsia="宋体" w:hint="default"/>
          <w:spacing w:val="-45"/>
          <w:sz w:val="18"/>
          <w:szCs w:val="18"/>
        </w:rPr>
        <w:t> </w:t>
      </w:r>
      <w:r>
        <w:rPr>
          <w:rFonts w:ascii="宋体" w:hAnsi="宋体" w:cs="宋体" w:eastAsia="宋体" w:hint="default"/>
          <w:sz w:val="18"/>
          <w:szCs w:val="18"/>
        </w:rPr>
        <w:t>30%以上且金额超过</w:t>
      </w:r>
      <w:r>
        <w:rPr>
          <w:rFonts w:ascii="宋体" w:hAnsi="宋体" w:cs="宋体" w:eastAsia="宋体" w:hint="default"/>
          <w:spacing w:val="-47"/>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万元的正在履行的合同情况</w:t>
      </w:r>
    </w:p>
    <w:p>
      <w:pPr>
        <w:spacing w:before="29"/>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5）营业成本构成" w:id="33"/>
      <w:bookmarkEnd w:id="33"/>
      <w:r>
        <w:rPr>
          <w:b w:val="0"/>
          <w:bCs w:val="0"/>
        </w:rPr>
      </w:r>
      <w:r>
        <w:rPr/>
        <w:t>（5）营业成本构成</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78" w:top="1060" w:bottom="1160" w:left="1020" w:right="0"/>
        </w:sectPr>
      </w:pPr>
    </w:p>
    <w:p>
      <w:pPr>
        <w:spacing w:line="360" w:lineRule="auto"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r>
        <w:rPr>
          <w:rFonts w:ascii="宋体" w:hAnsi="宋体" w:cs="宋体" w:eastAsia="宋体" w:hint="default"/>
          <w:sz w:val="18"/>
          <w:szCs w:val="18"/>
        </w:rPr>
        <w:t>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1"/>
              <w:jc w:val="left"/>
              <w:rPr>
                <w:rFonts w:ascii="宋体" w:hAnsi="宋体" w:cs="宋体" w:eastAsia="宋体" w:hint="default"/>
                <w:sz w:val="18"/>
                <w:szCs w:val="18"/>
              </w:rPr>
            </w:pPr>
            <w:r>
              <w:rPr>
                <w:rFonts w:ascii="宋体" w:hAnsi="宋体" w:cs="宋体" w:eastAsia="宋体" w:hint="default"/>
                <w:sz w:val="18"/>
                <w:szCs w:val="18"/>
              </w:rPr>
              <w:t>外购材料及工程劳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774,446,803.13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658,253,727.63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65,502,065.73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53,444,015.06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38,441,033.08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38,348,016.96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878,389,901.94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750,045,759.65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17.11%</w:t>
            </w:r>
          </w:p>
        </w:tc>
      </w:tr>
    </w:tbl>
    <w:p>
      <w:pPr>
        <w:spacing w:line="360" w:lineRule="auto" w:before="49"/>
        <w:ind w:left="112" w:right="10034"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after="0" w:line="36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629,877,301.07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612,330,899.84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24,600,267.14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23,301,266.67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5.58%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23,254,093.51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28,286,493.66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-17.79%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677,675,650.56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663,918,660.17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2.07%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93,574,237.75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39,474,266.34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137.05%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26,914,110.03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24,574,234.24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9.52%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13,594,219.92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9,862,704.48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37.84%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134,082,567.70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73,911,205.06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81.41%</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9,347,932.70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406,082.91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2,201.98%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9,459,530.54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5,568,514.15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90.20%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69.88%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350,403.55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198,818.82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76.24%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19,157,866.79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6,173,415.88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210.33%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41,647,331.61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6,042,478.54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589.24%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4,528,158.02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9.54%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1,298,327.26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47,473,816.89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6,042,478.54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685.67%</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6）报告期内合并范围是否发生变动" w:id="34"/>
      <w:bookmarkEnd w:id="34"/>
      <w:r>
        <w:rPr>
          <w:b w:val="0"/>
          <w:bCs w:val="0"/>
        </w:rPr>
      </w:r>
      <w:r>
        <w:rPr/>
        <w:t>（6）报告期内合并范围是否发生变动</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pStyle w:val="BodyText"/>
        <w:spacing w:line="273" w:lineRule="auto" w:before="89"/>
        <w:ind w:left="532" w:right="0"/>
        <w:jc w:val="left"/>
      </w:pPr>
      <w:r>
        <w:rPr/>
        <w:t>本期纳入合并财务报表范围的主体较上期相比，增加1户，减少0户，其中：</w:t>
      </w:r>
      <w:r>
        <w:rPr>
          <w:w w:val="99"/>
        </w:rPr>
        <w:t> </w:t>
      </w:r>
      <w:r>
        <w:rPr>
          <w:w w:val="95"/>
        </w:rPr>
        <w:t>本期新纳入合并范围的子公司、特殊目的主体、通过受托经营或承租等方式形成控制权的经营实体</w:t>
      </w:r>
      <w:r>
        <w:rPr/>
      </w:r>
    </w:p>
    <w:tbl>
      <w:tblPr>
        <w:tblW w:w="0" w:type="auto"/>
        <w:jc w:val="left"/>
        <w:tblInd w:w="106"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496"/>
              <w:jc w:val="right"/>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550"/>
              <w:jc w:val="righ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购并</w:t>
            </w:r>
          </w:p>
        </w:tc>
      </w:tr>
    </w:tbl>
    <w:p>
      <w:pPr>
        <w:spacing w:line="240" w:lineRule="auto" w:before="2"/>
        <w:rPr>
          <w:rFonts w:ascii="宋体" w:hAnsi="宋体" w:cs="宋体" w:eastAsia="宋体" w:hint="default"/>
          <w:sz w:val="21"/>
          <w:szCs w:val="21"/>
        </w:rPr>
      </w:pPr>
    </w:p>
    <w:p>
      <w:pPr>
        <w:pStyle w:val="Heading6"/>
        <w:spacing w:line="240" w:lineRule="auto" w:before="34"/>
        <w:ind w:right="2127"/>
        <w:jc w:val="left"/>
        <w:rPr>
          <w:b w:val="0"/>
          <w:bCs w:val="0"/>
        </w:rPr>
      </w:pPr>
      <w:bookmarkStart w:name="（7）公司报告期内业务、产品或服务发生重大变化或调整有关情况" w:id="35"/>
      <w:bookmarkEnd w:id="35"/>
      <w:r>
        <w:rPr>
          <w:b w:val="0"/>
          <w:bCs w:val="0"/>
        </w:rPr>
      </w:r>
      <w:r>
        <w:rPr/>
        <w:t>（7）公司报告期内业务、产品或服务发生重大变化或调整有关情况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8）主要销售客户和主要供应商情况" w:id="36"/>
      <w:bookmarkEnd w:id="36"/>
      <w:r>
        <w:rPr>
          <w:b w:val="0"/>
          <w:bCs w:val="0"/>
        </w:rPr>
      </w:r>
      <w:r>
        <w:rPr/>
        <w:t>（8）主要销售客户和主要供应商情况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366,044,068.54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29.30%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0.00%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1</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254,488,784.68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20.37%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2</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41,890,471.90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3.35%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26,995,324.57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sz w:val="18"/>
              </w:rPr>
              <w:t>4</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23,262,320.70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1.86%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19,407,166.69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366,044,068.54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29.30%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95,274,750.18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14.89%</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0.00%</w:t>
            </w:r>
          </w:p>
        </w:tc>
      </w:tr>
    </w:tbl>
    <w:p>
      <w:pPr>
        <w:spacing w:before="68"/>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名供应商资料</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24,721,099.99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18,929,733.75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17,788,749.12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2.78%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17,558,245.82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16,276,921.50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95,274,750.18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14.89%</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费用" w:id="37"/>
      <w:bookmarkEnd w:id="37"/>
      <w:r>
        <w:rPr>
          <w:b w:val="0"/>
          <w:bCs w:val="0"/>
        </w:rPr>
      </w:r>
      <w:r>
        <w:rPr/>
        <w:t>3、费用</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41,895,018.19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39,165,418.77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6.97%</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115,784,147.26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76,362,846.48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51.62%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主要是成都赛英科技新纳入合并报 表所致。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-1,937,071.02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-2,410,910.79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-19.65%</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49,200,074.90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38,354,805.07</w:t>
            </w:r>
          </w:p>
        </w:tc>
        <w:tc>
          <w:tcPr>
            <w:tcW w:w="14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28.28%</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4、研发投入" w:id="38"/>
      <w:bookmarkEnd w:id="38"/>
      <w:r>
        <w:rPr>
          <w:b w:val="0"/>
          <w:bCs w:val="0"/>
        </w:rPr>
      </w:r>
      <w:r>
        <w:rPr/>
        <w:t>4、研发投入</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pStyle w:val="BodyText"/>
        <w:spacing w:line="408" w:lineRule="auto" w:before="0"/>
        <w:ind w:right="1132" w:firstLine="420"/>
        <w:jc w:val="both"/>
      </w:pPr>
      <w:r>
        <w:rPr>
          <w:w w:val="95"/>
        </w:rPr>
        <w:t>公司以智能交通发展为引领，以路网管理和联网收费业务为核心，开发了智能路网管理系统、交通运</w:t>
      </w:r>
      <w:r>
        <w:rPr>
          <w:w w:val="99"/>
        </w:rPr>
        <w:t> </w:t>
      </w:r>
      <w:r>
        <w:rPr>
          <w:w w:val="95"/>
        </w:rPr>
        <w:t>输智慧信息服务和交通应急救援服务系统、公众出行服务和汽车后市场服务系统、道路运输车辆卫星定位</w:t>
      </w:r>
      <w:r>
        <w:rPr>
          <w:spacing w:val="37"/>
          <w:w w:val="95"/>
        </w:rPr>
        <w:t> </w:t>
      </w:r>
      <w:r>
        <w:rPr>
          <w:spacing w:val="37"/>
          <w:w w:val="95"/>
        </w:rPr>
      </w:r>
      <w:r>
        <w:rPr>
          <w:w w:val="95"/>
        </w:rPr>
        <w:t>系统等产品，构建出企业完整的智慧交通业务链，使公司在交通运输信息化和智能化系统建设领域保持良</w:t>
      </w:r>
      <w:r>
        <w:rPr>
          <w:spacing w:val="37"/>
          <w:w w:val="95"/>
        </w:rPr>
        <w:t> </w:t>
      </w:r>
      <w:r>
        <w:rPr>
          <w:spacing w:val="37"/>
          <w:w w:val="95"/>
        </w:rPr>
      </w:r>
      <w:r>
        <w:rPr/>
        <w:t>好的竞争优势。</w:t>
      </w:r>
    </w:p>
    <w:p>
      <w:pPr>
        <w:pStyle w:val="BodyText"/>
        <w:spacing w:line="408" w:lineRule="auto" w:before="46"/>
        <w:ind w:right="1132" w:firstLine="420"/>
        <w:jc w:val="both"/>
      </w:pPr>
      <w:r>
        <w:rPr>
          <w:w w:val="95"/>
        </w:rPr>
        <w:t>为适应现代化港口智能型、自动化管理需求，公司采用业界先进的技术架构和技术解决方案，持续完</w:t>
      </w:r>
      <w:r>
        <w:rPr>
          <w:w w:val="99"/>
        </w:rPr>
        <w:t> </w:t>
      </w:r>
      <w:r>
        <w:rPr>
          <w:w w:val="95"/>
        </w:rPr>
        <w:t>善以码头操作系统（集装箱CITOS、散杂货GCTOS）为核心的传统港航信息化产品，提升码头作业效率；研</w:t>
      </w:r>
      <w:r>
        <w:rPr>
          <w:spacing w:val="38"/>
          <w:w w:val="95"/>
        </w:rPr>
        <w:t> </w:t>
      </w:r>
      <w:r>
        <w:rPr>
          <w:spacing w:val="38"/>
          <w:w w:val="95"/>
        </w:rPr>
      </w:r>
      <w:r>
        <w:rPr>
          <w:w w:val="95"/>
        </w:rPr>
        <w:t>制基于TD-LTE技术的系列通讯终端产品，创无线产品自主品牌，为港口用户提供从终端到网络系统再到应</w:t>
      </w:r>
      <w:r>
        <w:rPr>
          <w:spacing w:val="37"/>
          <w:w w:val="95"/>
        </w:rPr>
        <w:t> </w:t>
      </w:r>
      <w:r>
        <w:rPr>
          <w:spacing w:val="37"/>
          <w:w w:val="95"/>
        </w:rPr>
      </w:r>
      <w:r>
        <w:rPr/>
        <w:t>用软件的端到端整体解决方案，巩固企业市场占有率和行业地位，为海外市场开拓增强后劲。</w:t>
      </w:r>
    </w:p>
    <w:p>
      <w:pPr>
        <w:spacing w:line="240" w:lineRule="auto" w:before="5"/>
        <w:rPr>
          <w:rFonts w:ascii="宋体" w:hAnsi="宋体" w:cs="宋体" w:eastAsia="宋体" w:hint="default"/>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22.09%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66,071,703.51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58,976,534.33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12.03%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16,211,251.25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21,068,156.15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-23.05%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-11.18%</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before="52"/>
        <w:ind w:left="11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5"/>
        <w:ind w:left="112" w:right="493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7"/>
        <w:ind w:left="112" w:right="583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公众出行服务和汽车后市场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9" w:right="0"/>
              <w:jc w:val="left"/>
              <w:rPr>
                <w:rFonts w:ascii="宋体" w:hAnsi="宋体" w:cs="宋体" w:eastAsia="宋体" w:hint="default"/>
                <w:sz w:val="18"/>
                <w:szCs w:val="18"/>
              </w:rPr>
            </w:pPr>
            <w:r>
              <w:rPr>
                <w:rFonts w:ascii="宋体"/>
                <w:sz w:val="18"/>
              </w:rPr>
              <w:t>14,916,669.95</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该研发项目以“贴心车保姆、</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此项目于</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月通过了</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r>
        <w:rPr/>
        <w:pict>
          <v:shape style="position:absolute;margin-left:409.55899pt;margin-top:72.400024pt;width:125.45pt;height:204.9pt;mso-position-horizontal-relative:page;mso-position-vertical-relative:page;z-index:-1109296" type="#_x0000_t202" filled="false" stroked="false">
            <v:textbox inset="0,0,0,0">
              <w:txbxContent>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18" w:hRule="exact"/>
        </w:trPr>
        <w:tc>
          <w:tcPr>
            <w:tcW w:w="239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2392" w:type="dxa"/>
            <w:vMerge w:val="restart"/>
            <w:tcBorders>
              <w:top w:val="single" w:sz="4" w:space="0" w:color="000000"/>
              <w:left w:val="single" w:sz="4" w:space="0" w:color="000000"/>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8"/>
                <w:sz w:val="18"/>
                <w:szCs w:val="18"/>
              </w:rPr>
              <w:t>专职车管家，帮你用，带你玩</w:t>
            </w: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公司组织的内部验收，目前产</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的服务愿景，打造“车主一站</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品处在推广和适应性完善阶</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式出行服务信息平台</w:t>
            </w:r>
            <w:r>
              <w:rPr>
                <w:rFonts w:ascii="宋体" w:hAnsi="宋体" w:cs="宋体" w:eastAsia="宋体" w:hint="default"/>
                <w:spacing w:val="-89"/>
                <w:sz w:val="18"/>
                <w:szCs w:val="18"/>
              </w:rPr>
              <w:t>”</w:t>
            </w:r>
            <w:r>
              <w:rPr>
                <w:rFonts w:ascii="宋体" w:hAnsi="宋体" w:cs="宋体" w:eastAsia="宋体" w:hint="default"/>
                <w:sz w:val="18"/>
                <w:szCs w:val="18"/>
              </w:rPr>
              <w:t>，致力</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段，正在申请著作权。</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于成为国内有影响力的汽车</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后市场互联网品牌。面向核心</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会员提供最优质的一站式服</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务体验，全方位提升和丰富会</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员的服务特权，为大车主提供</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违章查询、车检办理、ETC</w:t>
            </w:r>
            <w:r>
              <w:rPr>
                <w:rFonts w:ascii="宋体" w:hAnsi="宋体" w:cs="宋体" w:eastAsia="宋体" w:hint="default"/>
                <w:spacing w:val="-45"/>
                <w:sz w:val="18"/>
                <w:szCs w:val="18"/>
              </w:rPr>
              <w:t> </w:t>
            </w:r>
            <w:r>
              <w:rPr>
                <w:rFonts w:ascii="宋体" w:hAnsi="宋体" w:cs="宋体" w:eastAsia="宋体" w:hint="default"/>
                <w:sz w:val="18"/>
                <w:szCs w:val="18"/>
              </w:rPr>
              <w:t>服</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务、汽车金融、维修保养、加</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油洗车、多多淘车、车友社区</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自驾游、特色保险、优品商城</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shd w:val="clear" w:color="auto" w:fill="C6ECCC"/>
          </w:tcPr>
          <w:p>
            <w:pPr/>
          </w:p>
        </w:tc>
        <w:tc>
          <w:tcPr>
            <w:tcW w:w="2392" w:type="dxa"/>
            <w:vMerge/>
            <w:tcBorders>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等服务功能。</w:t>
            </w: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shd w:val="clear" w:color="auto" w:fill="C6ECCC"/>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此项目于</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月进行了</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系统是在集装箱闸口处对通</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验收，推向市场后获得市场的</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过车辆所运载的集装箱箱号</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广泛认可和客户的一致好评，</w:t>
            </w:r>
          </w:p>
        </w:tc>
      </w:tr>
      <w:tr>
        <w:trPr>
          <w:trHeight w:val="624"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箱号识别及验残系统</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5,740,439.66</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8"/>
              <w:jc w:val="left"/>
              <w:rPr>
                <w:rFonts w:ascii="宋体" w:hAnsi="宋体" w:cs="宋体" w:eastAsia="宋体" w:hint="default"/>
                <w:sz w:val="18"/>
                <w:szCs w:val="18"/>
              </w:rPr>
            </w:pPr>
            <w:r>
              <w:rPr>
                <w:rFonts w:ascii="宋体" w:hAnsi="宋体" w:cs="宋体" w:eastAsia="宋体" w:hint="default"/>
                <w:sz w:val="18"/>
                <w:szCs w:val="18"/>
              </w:rPr>
              <w:t>进行视频触发的拍摄，并通过 视频自动识别出集装箱箱号、</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已经在张家港、烟台港、重庆 港等众多港口进行推广应用，</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箱型代码、箱门朝向及残损情</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但是还需要进一步优化产品</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况的智能识别系统。</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性能，完善产品文档，正在申</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shd w:val="clear" w:color="auto" w:fill="C6ECCC"/>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请著作权。</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77"/>
              <w:jc w:val="left"/>
              <w:rPr>
                <w:rFonts w:ascii="宋体" w:hAnsi="宋体" w:cs="宋体" w:eastAsia="宋体" w:hint="default"/>
                <w:sz w:val="18"/>
                <w:szCs w:val="18"/>
              </w:rPr>
            </w:pPr>
            <w:r>
              <w:rPr>
                <w:rFonts w:ascii="宋体" w:hAnsi="宋体" w:cs="宋体" w:eastAsia="宋体" w:hint="default"/>
                <w:sz w:val="18"/>
                <w:szCs w:val="18"/>
              </w:rPr>
              <w:t>集装箱智能码头操作系统 v7.0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11,168,627.80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系统能够更好的与云计算、大 数据、人工智能等前沿技术结 合，提供智能分析系统及基于 动作机制的商务计费系统，为 码头提供全套的解决方案。</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此项目已经在</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月通</w:t>
            </w:r>
            <w:r>
              <w:rPr>
                <w:rFonts w:ascii="宋体" w:hAnsi="宋体" w:cs="宋体" w:eastAsia="宋体" w:hint="default"/>
                <w:sz w:val="18"/>
                <w:szCs w:val="18"/>
              </w:rPr>
              <w:t> 过了公司组织的内部验收，目 前产品处在推广和适应性完 善阶段，但是还需要进一步优 化产品性能，完善产品文档和 解决方案。</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shd w:val="clear" w:color="auto" w:fill="C6ECCC"/>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该研发项目是基于公司在大</w:t>
            </w: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数据分析方面的业务探索及</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此项目已经在</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月通</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技术积累，从重点港口、航运</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过了公司组织的内部验收，目</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客户业务管理角度入手，进一</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前产品处在推广和适应性完</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港航大数据平台</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3,106,011.11</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步完善大数据聚集、存贮、分</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善阶段，但是还需要进一步优</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析、展现技术体系，形成港口</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化产品性能，完善产品文档和</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大数据解决方案，完成生产成</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宣传材料，对企业经营管理指</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本综合分析、生产作业分析优</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标体系进行丰富和完善。</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shd w:val="clear" w:color="auto" w:fill="C6ECCC"/>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化、方案比对及推荐等功能。</w:t>
            </w: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shd w:val="clear" w:color="auto" w:fill="C6ECCC"/>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移动式冷藏箱数据采集系统</w:t>
            </w:r>
          </w:p>
        </w:tc>
        <w:tc>
          <w:tcPr>
            <w:tcW w:w="239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此项目已经完成了产品的总</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的目的就是代替人工抄表，避</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体设计、详细设计、开发实现</w:t>
            </w:r>
          </w:p>
        </w:tc>
      </w:tr>
      <w:tr>
        <w:trPr>
          <w:trHeight w:val="624"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移动式冷藏箱数据采集终端</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1,031,543.62</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8"/>
              <w:jc w:val="left"/>
              <w:rPr>
                <w:rFonts w:ascii="宋体" w:hAnsi="宋体" w:cs="宋体" w:eastAsia="宋体" w:hint="default"/>
                <w:sz w:val="18"/>
                <w:szCs w:val="18"/>
              </w:rPr>
            </w:pPr>
            <w:r>
              <w:rPr>
                <w:rFonts w:ascii="宋体" w:hAnsi="宋体" w:cs="宋体" w:eastAsia="宋体" w:hint="default"/>
                <w:sz w:val="18"/>
                <w:szCs w:val="18"/>
              </w:rPr>
              <w:t>免人为失误，减少人力支出实 时的自动采集冷藏箱的温度，</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（包括软件设计、硬件设计、 </w:t>
            </w:r>
            <w:r>
              <w:rPr>
                <w:rFonts w:ascii="宋体" w:hAnsi="宋体" w:cs="宋体" w:eastAsia="宋体" w:hint="default"/>
                <w:spacing w:val="-7"/>
                <w:sz w:val="18"/>
                <w:szCs w:val="18"/>
              </w:rPr>
              <w:t>结构设计、单元测试），目前</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C6ECCC"/>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湿度等重要状态参数，并在值</w:t>
            </w:r>
          </w:p>
        </w:tc>
        <w:tc>
          <w:tcPr>
            <w:tcW w:w="23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正在进行系统测试和现场测</w:t>
            </w: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shd w:val="clear" w:color="auto" w:fill="C6ECCC"/>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班人员的电脑上实时显示。</w:t>
            </w:r>
          </w:p>
        </w:tc>
        <w:tc>
          <w:tcPr>
            <w:tcW w:w="239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w:t>
            </w:r>
          </w:p>
        </w:tc>
      </w:tr>
    </w:tbl>
    <w:p>
      <w:pPr>
        <w:pStyle w:val="BodyText"/>
        <w:spacing w:line="240" w:lineRule="auto" w:before="63"/>
        <w:ind w:left="532" w:right="2127"/>
        <w:jc w:val="left"/>
      </w:pPr>
      <w:r>
        <w:rPr/>
        <w:t>1、研发投入资本化的依据</w:t>
      </w:r>
    </w:p>
    <w:p>
      <w:pPr>
        <w:spacing w:after="0" w:line="240" w:lineRule="auto"/>
        <w:jc w:val="left"/>
        <w:sectPr>
          <w:footerReference w:type="default" r:id="rId17"/>
          <w:pgSz w:w="11910" w:h="16840"/>
          <w:pgMar w:footer="978" w:header="746" w:top="1060" w:bottom="1160" w:left="1020" w:right="0"/>
          <w:pgNumType w:start="20"/>
        </w:sectPr>
      </w:pPr>
    </w:p>
    <w:p>
      <w:pPr>
        <w:spacing w:line="240" w:lineRule="auto" w:before="0"/>
        <w:rPr>
          <w:rFonts w:ascii="宋体" w:hAnsi="宋体" w:cs="宋体" w:eastAsia="宋体" w:hint="default"/>
          <w:sz w:val="20"/>
          <w:szCs w:val="20"/>
        </w:rPr>
      </w:pPr>
    </w:p>
    <w:p>
      <w:pPr>
        <w:pStyle w:val="BodyText"/>
        <w:spacing w:line="408" w:lineRule="auto" w:before="173"/>
        <w:ind w:right="0" w:firstLine="420"/>
        <w:jc w:val="left"/>
      </w:pPr>
      <w:r>
        <w:rPr>
          <w:w w:val="95"/>
        </w:rPr>
        <w:t>研发项目在进行商业性生产或使用前，是否具备将研究成果或其他知识应用于某项计划或设计，以生</w:t>
      </w:r>
      <w:r>
        <w:rPr>
          <w:w w:val="99"/>
        </w:rPr>
        <w:t> </w:t>
      </w:r>
      <w:r>
        <w:rPr/>
        <w:t>产出新的或具有实质性改进的材料、装置、产品等。</w:t>
      </w:r>
    </w:p>
    <w:p>
      <w:pPr>
        <w:pStyle w:val="BodyText"/>
        <w:spacing w:line="408" w:lineRule="auto" w:before="46"/>
        <w:ind w:left="532" w:right="0"/>
        <w:jc w:val="left"/>
      </w:pPr>
      <w:r>
        <w:rPr/>
        <w:t>2、研发投入资本化的相关内部控制的内容和执行情况</w:t>
      </w:r>
      <w:r>
        <w:rPr>
          <w:w w:val="99"/>
        </w:rPr>
        <w:t> </w:t>
      </w:r>
      <w:r>
        <w:rPr>
          <w:w w:val="95"/>
        </w:rPr>
        <w:t>所有研发项目必须立项申请并经过公司管理程序的审批后方可执行，立项申请需详细描述研发目的、</w:t>
      </w:r>
      <w:r>
        <w:rPr/>
      </w:r>
    </w:p>
    <w:p>
      <w:pPr>
        <w:pStyle w:val="BodyText"/>
        <w:spacing w:line="408" w:lineRule="auto" w:before="46"/>
        <w:ind w:right="0"/>
        <w:jc w:val="left"/>
      </w:pPr>
      <w:r>
        <w:rPr>
          <w:w w:val="95"/>
        </w:rPr>
        <w:t>市场前进、研发技术可行性（有足够的技术、财务资源、其他资源支持等），立项审批通过后，公司成立</w:t>
      </w:r>
      <w:r>
        <w:rPr>
          <w:spacing w:val="35"/>
          <w:w w:val="95"/>
        </w:rPr>
        <w:t> </w:t>
      </w:r>
      <w:r>
        <w:rPr>
          <w:spacing w:val="35"/>
          <w:w w:val="95"/>
        </w:rPr>
      </w:r>
      <w:r>
        <w:rPr/>
        <w:t>研发领导小组检查督导项目实施。</w:t>
      </w:r>
    </w:p>
    <w:p>
      <w:pPr>
        <w:spacing w:line="240" w:lineRule="auto" w:before="8"/>
        <w:rPr>
          <w:rFonts w:ascii="宋体" w:hAnsi="宋体" w:cs="宋体" w:eastAsia="宋体" w:hint="default"/>
          <w:sz w:val="20"/>
          <w:szCs w:val="20"/>
        </w:rPr>
      </w:pPr>
    </w:p>
    <w:p>
      <w:pPr>
        <w:pStyle w:val="Heading6"/>
        <w:spacing w:line="240" w:lineRule="auto"/>
        <w:ind w:right="2127"/>
        <w:jc w:val="left"/>
        <w:rPr>
          <w:b w:val="0"/>
          <w:bCs w:val="0"/>
        </w:rPr>
      </w:pPr>
      <w:bookmarkStart w:name="5、现金流" w:id="39"/>
      <w:bookmarkEnd w:id="39"/>
      <w:r>
        <w:rPr>
          <w:b w:val="0"/>
          <w:bCs w:val="0"/>
        </w:rPr>
      </w:r>
      <w:r>
        <w:rPr/>
        <w:t>5、现金流</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1,463,914,556.91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1,171,491,989.67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1,398,589,555.14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1,141,583,002.85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22.51%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65,325,001.77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29,908,986.82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458,085,587.83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532,373,891.62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-13.95%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515,267,873.75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619,801,078.19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-16.87%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-57,182,285.92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-87,427,186.57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257,416,187.79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42,992,131.97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498.75%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57,284,400.39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48,346,598.87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18.49%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200,131,787.40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-5,354,466.90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3,837.66%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208,287,568.31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-62,738,635.55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431.99%</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57" w:lineRule="auto" w:before="117"/>
        <w:ind w:left="112" w:right="4184" w:firstLine="0"/>
        <w:jc w:val="left"/>
        <w:rPr>
          <w:rFonts w:ascii="宋体" w:hAnsi="宋体" w:cs="宋体" w:eastAsia="宋体" w:hint="default"/>
          <w:sz w:val="18"/>
          <w:szCs w:val="18"/>
        </w:rPr>
      </w:pPr>
      <w:r>
        <w:rPr>
          <w:rFonts w:ascii="宋体" w:hAnsi="宋体" w:cs="宋体" w:eastAsia="宋体" w:hint="default"/>
          <w:sz w:val="18"/>
          <w:szCs w:val="18"/>
        </w:rPr>
        <w:t>√ 适用 □ 不适用 1、本期经营活动产生的现金流量净额较上期增加，主要是项目结算回款增加所致；</w:t>
      </w:r>
    </w:p>
    <w:p>
      <w:pPr>
        <w:spacing w:line="224" w:lineRule="exact"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2、本期筹资活动产生的现金流量净额较上期增加，主要是本期非公开发行股份募集资金到位所致；</w:t>
      </w:r>
    </w:p>
    <w:p>
      <w:pPr>
        <w:spacing w:line="316" w:lineRule="auto" w:before="76"/>
        <w:ind w:left="112" w:right="1124" w:firstLine="0"/>
        <w:jc w:val="left"/>
        <w:rPr>
          <w:rFonts w:ascii="宋体" w:hAnsi="宋体" w:cs="宋体" w:eastAsia="宋体" w:hint="default"/>
          <w:sz w:val="18"/>
          <w:szCs w:val="18"/>
        </w:rPr>
      </w:pPr>
      <w:r>
        <w:rPr>
          <w:rFonts w:ascii="宋体" w:hAnsi="宋体" w:cs="宋体" w:eastAsia="宋体" w:hint="default"/>
          <w:sz w:val="18"/>
          <w:szCs w:val="18"/>
        </w:rPr>
        <w:t>3、本期现金及现金等价物净增加额较上期增加，主要是本期经营活动产生的现金流量净额及筹资活动产生的现金流量净额 均增加所致。</w:t>
      </w:r>
    </w:p>
    <w:p>
      <w:pPr>
        <w:spacing w:line="240" w:lineRule="auto" w:before="0"/>
        <w:rPr>
          <w:rFonts w:ascii="宋体" w:hAnsi="宋体" w:cs="宋体" w:eastAsia="宋体" w:hint="default"/>
          <w:sz w:val="18"/>
          <w:szCs w:val="18"/>
        </w:rPr>
      </w:pPr>
    </w:p>
    <w:p>
      <w:pPr>
        <w:spacing w:before="136"/>
        <w:ind w:left="112" w:right="2127"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57" w:lineRule="auto"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报告期内公司经营活动产生的现金净流量与本年度净利润相差37,994,547.77元，主要系本期应收款项增加及存货增加所致。</w:t>
      </w:r>
    </w:p>
    <w:p>
      <w:pPr>
        <w:spacing w:after="0" w:line="357"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2127"/>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3"/>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79"/>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4,241,935.43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3.37%</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购买结构性存款收益</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51,968,440.25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41.28%</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59"/>
              <w:jc w:val="left"/>
              <w:rPr>
                <w:rFonts w:ascii="宋体" w:hAnsi="宋体" w:cs="宋体" w:eastAsia="宋体" w:hint="default"/>
                <w:sz w:val="18"/>
                <w:szCs w:val="18"/>
              </w:rPr>
            </w:pPr>
            <w:r>
              <w:rPr>
                <w:rFonts w:ascii="宋体" w:hAnsi="宋体" w:cs="宋体" w:eastAsia="宋体" w:hint="default"/>
                <w:sz w:val="18"/>
                <w:szCs w:val="18"/>
              </w:rPr>
              <w:t>商誉减值及应收款项计提坏 账准备所致</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257,532.37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0.20%</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192,345.43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0.15%</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bl>
    <w:p>
      <w:pPr>
        <w:spacing w:line="240" w:lineRule="auto" w:before="1"/>
        <w:rPr>
          <w:rFonts w:ascii="宋体" w:hAnsi="宋体" w:cs="宋体" w:eastAsia="宋体" w:hint="default"/>
          <w:sz w:val="18"/>
          <w:szCs w:val="18"/>
        </w:rPr>
      </w:pPr>
    </w:p>
    <w:p>
      <w:pPr>
        <w:pStyle w:val="Heading4"/>
        <w:spacing w:line="240" w:lineRule="auto" w:before="26"/>
        <w:ind w:right="2127"/>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资产构成重大变动情况" w:id="42"/>
      <w:bookmarkEnd w:id="42"/>
      <w:r>
        <w:rPr>
          <w:b w:val="0"/>
          <w:bCs w:val="0"/>
        </w:rPr>
      </w:r>
      <w:r>
        <w:rPr/>
        <w:t>1、资产构成重大变动情况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231"/>
        <w:gridCol w:w="996"/>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2" w:right="4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885,857,429.8</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666,283,227.</w:t>
            </w:r>
          </w:p>
          <w:p>
            <w:pPr>
              <w:pStyle w:val="TableParagraph"/>
              <w:spacing w:line="240" w:lineRule="auto" w:before="76"/>
              <w:ind w:right="19"/>
              <w:jc w:val="right"/>
              <w:rPr>
                <w:rFonts w:ascii="宋体" w:hAnsi="宋体" w:cs="宋体" w:eastAsia="宋体" w:hint="default"/>
                <w:sz w:val="18"/>
                <w:szCs w:val="18"/>
              </w:rPr>
            </w:pPr>
            <w:r>
              <w:rPr>
                <w:rFonts w:ascii="宋体"/>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32.75%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-1.53%</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1"/>
                <w:sz w:val="18"/>
                <w:szCs w:val="18"/>
              </w:rPr>
              <w:t> </w:t>
            </w:r>
            <w:r>
              <w:rPr>
                <w:rFonts w:ascii="宋体" w:hAnsi="宋体" w:cs="宋体" w:eastAsia="宋体" w:hint="default"/>
                <w:spacing w:val="-9"/>
                <w:sz w:val="18"/>
                <w:szCs w:val="18"/>
              </w:rPr>
              <w:t>32.96%，主</w:t>
            </w:r>
            <w:r>
              <w:rPr>
                <w:rFonts w:ascii="宋体" w:hAnsi="宋体" w:cs="宋体" w:eastAsia="宋体" w:hint="default"/>
                <w:sz w:val="18"/>
                <w:szCs w:val="18"/>
              </w:rPr>
              <w:t> 要是公司非公开发行股份募集资金 到位所致。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439,790,844.9</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285,258,121.</w:t>
            </w:r>
          </w:p>
          <w:p>
            <w:pPr>
              <w:pStyle w:val="TableParagraph"/>
              <w:spacing w:line="240" w:lineRule="auto" w:before="76"/>
              <w:ind w:right="19"/>
              <w:jc w:val="right"/>
              <w:rPr>
                <w:rFonts w:ascii="宋体" w:hAnsi="宋体" w:cs="宋体" w:eastAsia="宋体" w:hint="default"/>
                <w:sz w:val="18"/>
                <w:szCs w:val="18"/>
              </w:rPr>
            </w:pPr>
            <w:r>
              <w:rPr>
                <w:rFonts w:ascii="宋体"/>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14.02%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1.48%</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1"/>
                <w:sz w:val="18"/>
                <w:szCs w:val="18"/>
              </w:rPr>
              <w:t> </w:t>
            </w:r>
            <w:r>
              <w:rPr>
                <w:rFonts w:ascii="宋体" w:hAnsi="宋体" w:cs="宋体" w:eastAsia="宋体" w:hint="default"/>
                <w:spacing w:val="-9"/>
                <w:sz w:val="18"/>
                <w:szCs w:val="18"/>
              </w:rPr>
              <w:t>54.17%，主</w:t>
            </w:r>
            <w:r>
              <w:rPr>
                <w:rFonts w:ascii="宋体" w:hAnsi="宋体" w:cs="宋体" w:eastAsia="宋体" w:hint="default"/>
                <w:sz w:val="18"/>
                <w:szCs w:val="18"/>
              </w:rPr>
              <w:t> 要是收入增加及成都赛英科技新纳 入合并报表所致。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434,846,679.1</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344,787,126.</w:t>
            </w:r>
          </w:p>
          <w:p>
            <w:pPr>
              <w:pStyle w:val="TableParagraph"/>
              <w:spacing w:line="240" w:lineRule="auto" w:before="76"/>
              <w:ind w:right="19"/>
              <w:jc w:val="right"/>
              <w:rPr>
                <w:rFonts w:ascii="宋体" w:hAnsi="宋体" w:cs="宋体" w:eastAsia="宋体" w:hint="default"/>
                <w:sz w:val="18"/>
                <w:szCs w:val="18"/>
              </w:rPr>
            </w:pPr>
            <w:r>
              <w:rPr>
                <w:rFonts w:ascii="宋体"/>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16.95%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-1.62%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1"/>
                <w:sz w:val="18"/>
                <w:szCs w:val="18"/>
              </w:rPr>
              <w:t> </w:t>
            </w:r>
            <w:r>
              <w:rPr>
                <w:rFonts w:ascii="宋体" w:hAnsi="宋体" w:cs="宋体" w:eastAsia="宋体" w:hint="default"/>
                <w:spacing w:val="-9"/>
                <w:sz w:val="18"/>
                <w:szCs w:val="18"/>
              </w:rPr>
              <w:t>26.12%，主</w:t>
            </w:r>
            <w:r>
              <w:rPr>
                <w:rFonts w:ascii="宋体" w:hAnsi="宋体" w:cs="宋体" w:eastAsia="宋体" w:hint="default"/>
                <w:sz w:val="18"/>
                <w:szCs w:val="18"/>
              </w:rPr>
              <w:t> 要是未结算项目增加及成都赛英科 技新纳入合并报表所致。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3,541,762.51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1" w:right="0"/>
              <w:jc w:val="center"/>
              <w:rPr>
                <w:rFonts w:ascii="宋体" w:hAnsi="宋体" w:cs="宋体" w:eastAsia="宋体" w:hint="default"/>
                <w:sz w:val="18"/>
                <w:szCs w:val="18"/>
              </w:rPr>
            </w:pPr>
            <w:r>
              <w:rPr>
                <w:rFonts w:ascii="宋体"/>
                <w:sz w:val="18"/>
              </w:rPr>
              <w:t>2,203,345.93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0.01%</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364,413,457.5</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12.84%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147,176,934.</w:t>
            </w:r>
          </w:p>
          <w:p>
            <w:pPr>
              <w:pStyle w:val="TableParagraph"/>
              <w:spacing w:line="240" w:lineRule="auto" w:before="76"/>
              <w:ind w:right="19"/>
              <w:jc w:val="right"/>
              <w:rPr>
                <w:rFonts w:ascii="宋体" w:hAnsi="宋体" w:cs="宋体" w:eastAsia="宋体" w:hint="default"/>
                <w:sz w:val="18"/>
                <w:szCs w:val="18"/>
              </w:rPr>
            </w:pPr>
            <w:r>
              <w:rPr>
                <w:rFonts w:ascii="宋体"/>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5.60%</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1"/>
                <w:sz w:val="18"/>
                <w:szCs w:val="18"/>
              </w:rPr>
              <w:t> </w:t>
            </w:r>
            <w:r>
              <w:rPr>
                <w:rFonts w:ascii="宋体" w:hAnsi="宋体" w:cs="宋体" w:eastAsia="宋体" w:hint="default"/>
                <w:spacing w:val="-9"/>
                <w:sz w:val="18"/>
                <w:szCs w:val="18"/>
              </w:rPr>
              <w:t>147.6%，主</w:t>
            </w:r>
            <w:r>
              <w:rPr>
                <w:rFonts w:ascii="宋体" w:hAnsi="宋体" w:cs="宋体" w:eastAsia="宋体" w:hint="default"/>
                <w:sz w:val="18"/>
                <w:szCs w:val="18"/>
              </w:rPr>
              <w:t> 要是全资子公司华东科技研发大楼 完工转入所致。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3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106,507,082.</w:t>
            </w:r>
          </w:p>
          <w:p>
            <w:pPr>
              <w:pStyle w:val="TableParagraph"/>
              <w:spacing w:line="240" w:lineRule="auto" w:before="76"/>
              <w:ind w:right="19"/>
              <w:jc w:val="right"/>
              <w:rPr>
                <w:rFonts w:ascii="宋体" w:hAnsi="宋体" w:cs="宋体" w:eastAsia="宋体" w:hint="default"/>
                <w:sz w:val="18"/>
                <w:szCs w:val="18"/>
              </w:rPr>
            </w:pPr>
            <w:r>
              <w:rPr>
                <w:rFonts w:ascii="宋体"/>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5.24%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-5.24%</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47"/>
              <w:jc w:val="left"/>
              <w:rPr>
                <w:rFonts w:ascii="宋体" w:hAnsi="宋体" w:cs="宋体" w:eastAsia="宋体" w:hint="default"/>
                <w:sz w:val="18"/>
                <w:szCs w:val="18"/>
              </w:rPr>
            </w:pPr>
            <w:r>
              <w:rPr>
                <w:rFonts w:ascii="宋体" w:hAnsi="宋体" w:cs="宋体" w:eastAsia="宋体" w:hint="default"/>
                <w:sz w:val="18"/>
                <w:szCs w:val="18"/>
              </w:rPr>
              <w:t>期末余额较期初余额减少</w:t>
            </w:r>
            <w:r>
              <w:rPr>
                <w:rFonts w:ascii="宋体" w:hAnsi="宋体" w:cs="宋体" w:eastAsia="宋体" w:hint="default"/>
                <w:spacing w:val="-47"/>
                <w:sz w:val="18"/>
                <w:szCs w:val="18"/>
              </w:rPr>
              <w:t> </w:t>
            </w:r>
            <w:r>
              <w:rPr>
                <w:rFonts w:ascii="宋体" w:hAnsi="宋体" w:cs="宋体" w:eastAsia="宋体" w:hint="default"/>
                <w:sz w:val="18"/>
                <w:szCs w:val="18"/>
              </w:rPr>
              <w:t>100.00%，</w:t>
            </w:r>
            <w:r>
              <w:rPr>
                <w:rFonts w:ascii="宋体" w:hAnsi="宋体" w:cs="宋体" w:eastAsia="宋体" w:hint="default"/>
                <w:sz w:val="18"/>
                <w:szCs w:val="18"/>
              </w:rPr>
              <w:t> 主要是全资子公司华东科技研发大 楼完工转入固定资产核算所致。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27,000,000.00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0.46%</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以公允价值计量的资产和负债" w:id="43"/>
      <w:bookmarkEnd w:id="43"/>
      <w:r>
        <w:rPr>
          <w:b w:val="0"/>
          <w:bCs w:val="0"/>
        </w:rPr>
      </w:r>
      <w:r>
        <w:rPr/>
        <w:t>2、以公允价值计量的资产和负债</w:t>
      </w:r>
      <w:r>
        <w:rPr>
          <w:b w:val="0"/>
          <w:bCs w:val="0"/>
        </w:rPr>
      </w:r>
    </w:p>
    <w:p>
      <w:pPr>
        <w:spacing w:line="240" w:lineRule="auto" w:before="9"/>
        <w:rPr>
          <w:rFonts w:ascii="宋体" w:hAnsi="宋体" w:cs="宋体" w:eastAsia="宋体" w:hint="default"/>
          <w:b/>
          <w:bCs/>
          <w:sz w:val="27"/>
          <w:szCs w:val="27"/>
        </w:rPr>
      </w:pPr>
    </w:p>
    <w:p>
      <w:pPr>
        <w:spacing w:line="578" w:lineRule="auto" w:before="0"/>
        <w:ind w:left="112" w:right="7275" w:firstLine="0"/>
        <w:jc w:val="left"/>
        <w:rPr>
          <w:rFonts w:ascii="宋体" w:hAnsi="宋体" w:cs="宋体" w:eastAsia="宋体" w:hint="default"/>
          <w:sz w:val="18"/>
          <w:szCs w:val="18"/>
        </w:rPr>
      </w:pPr>
      <w:r>
        <w:rPr>
          <w:rFonts w:ascii="宋体" w:hAnsi="宋体" w:cs="宋体" w:eastAsia="宋体" w:hint="default"/>
          <w:sz w:val="18"/>
          <w:szCs w:val="18"/>
        </w:rPr>
        <w:t>□ 适用 √ 不适用 </w:t>
      </w:r>
      <w:bookmarkStart w:name="3、截至报告期末的资产权利受限情况" w:id="44"/>
      <w:bookmarkEnd w:id="44"/>
      <w:r>
        <w:rPr>
          <w:rFonts w:ascii="宋体" w:hAnsi="宋体" w:cs="宋体" w:eastAsia="宋体" w:hint="default"/>
          <w:sz w:val="18"/>
          <w:szCs w:val="18"/>
        </w:rPr>
      </w:r>
      <w:r>
        <w:rPr>
          <w:rFonts w:ascii="宋体" w:hAnsi="宋体" w:cs="宋体" w:eastAsia="宋体" w:hint="default"/>
          <w:b/>
          <w:bCs/>
          <w:sz w:val="21"/>
          <w:szCs w:val="21"/>
        </w:rPr>
        <w:t>3、截至报告期末的资产权利受限情况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76"/>
        <w:ind w:right="2127"/>
        <w:jc w:val="left"/>
        <w:rPr>
          <w:b w:val="0"/>
          <w:bCs w:val="0"/>
        </w:rPr>
      </w:pPr>
      <w:bookmarkStart w:name="五、投资状况分析" w:id="45"/>
      <w:bookmarkEnd w:id="45"/>
      <w:r>
        <w:rPr>
          <w:b w:val="0"/>
          <w:bCs w:val="0"/>
        </w:rPr>
      </w:r>
      <w:r>
        <w:rPr/>
        <w:t>五、投资状况分析</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2127"/>
        <w:jc w:val="left"/>
        <w:rPr>
          <w:b w:val="0"/>
          <w:bCs w:val="0"/>
        </w:rPr>
      </w:pPr>
      <w:bookmarkStart w:name="1、总体情况" w:id="46"/>
      <w:bookmarkEnd w:id="46"/>
      <w:r>
        <w:rPr>
          <w:b w:val="0"/>
          <w:bCs w:val="0"/>
        </w:rPr>
      </w:r>
      <w:r>
        <w:rPr/>
        <w:t>1、总体情况</w:t>
      </w:r>
      <w:r>
        <w:rPr>
          <w:b w:val="0"/>
          <w:bCs w:val="0"/>
        </w:rPr>
      </w:r>
    </w:p>
    <w:p>
      <w:pPr>
        <w:spacing w:line="240" w:lineRule="auto" w:before="12"/>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报告期内获取的重大的股权投资情况" w:id="47"/>
      <w:bookmarkEnd w:id="47"/>
      <w:r>
        <w:rPr>
          <w:b w:val="0"/>
          <w:bCs w:val="0"/>
        </w:rPr>
      </w:r>
      <w:r>
        <w:rPr/>
        <w:t>2、报告期内获取的重大的股权投资情况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报告期内正在进行的重大的非股权投资情况" w:id="48"/>
      <w:bookmarkEnd w:id="48"/>
      <w:r>
        <w:rPr>
          <w:b w:val="0"/>
          <w:bCs w:val="0"/>
        </w:rPr>
      </w:r>
      <w:r>
        <w:rPr/>
        <w:t>3、报告期内正在进行的重大的非股权投资情况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以公允价值计量的金融资产" w:id="49"/>
      <w:bookmarkEnd w:id="49"/>
      <w:r>
        <w:rPr>
          <w:b w:val="0"/>
          <w:bCs w:val="0"/>
        </w:rPr>
      </w:r>
      <w:r>
        <w:rPr/>
        <w:t>4、以公允价值计量的金融资产</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5、募集资金使用情况" w:id="50"/>
      <w:bookmarkEnd w:id="50"/>
      <w:r>
        <w:rPr>
          <w:b w:val="0"/>
          <w:bCs w:val="0"/>
        </w:rPr>
      </w:r>
      <w:r>
        <w:rPr/>
        <w:t>5、募集资金使用情况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1）募集资金总体使用情况" w:id="51"/>
      <w:bookmarkEnd w:id="51"/>
      <w:r>
        <w:rPr>
          <w:b w:val="0"/>
          <w:bCs w:val="0"/>
        </w:rPr>
      </w:r>
      <w:r>
        <w:rPr/>
        <w:t>（1）募集资金总体使用情况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2" w:right="7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36,195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5,743.65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29,383.44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6,811.56</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114"/>
              <w:jc w:val="left"/>
              <w:rPr>
                <w:rFonts w:ascii="宋体" w:hAnsi="宋体" w:cs="宋体" w:eastAsia="宋体" w:hint="default"/>
                <w:sz w:val="18"/>
                <w:szCs w:val="18"/>
              </w:rPr>
            </w:pPr>
            <w:r>
              <w:rPr>
                <w:rFonts w:ascii="宋体" w:hAnsi="宋体" w:cs="宋体" w:eastAsia="宋体" w:hint="default"/>
                <w:sz w:val="18"/>
                <w:szCs w:val="18"/>
              </w:rPr>
              <w:t>存放募投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16,639.1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16,639.1</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14"/>
              <w:jc w:val="left"/>
              <w:rPr>
                <w:rFonts w:ascii="宋体" w:hAnsi="宋体" w:cs="宋体" w:eastAsia="宋体" w:hint="default"/>
                <w:sz w:val="18"/>
                <w:szCs w:val="18"/>
              </w:rPr>
            </w:pPr>
            <w:r>
              <w:rPr>
                <w:rFonts w:ascii="宋体" w:hAnsi="宋体" w:cs="宋体" w:eastAsia="宋体" w:hint="default"/>
                <w:sz w:val="18"/>
                <w:szCs w:val="18"/>
              </w:rPr>
              <w:t>存放募投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40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52,834.1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4" w:right="0"/>
              <w:jc w:val="center"/>
              <w:rPr>
                <w:rFonts w:ascii="宋体" w:hAnsi="宋体" w:cs="宋体" w:eastAsia="宋体" w:hint="default"/>
                <w:sz w:val="18"/>
                <w:szCs w:val="18"/>
              </w:rPr>
            </w:pPr>
            <w:r>
              <w:rPr>
                <w:rFonts w:ascii="宋体"/>
                <w:sz w:val="18"/>
              </w:rPr>
              <w:t>5,743.65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sz w:val="18"/>
              </w:rPr>
              <w:t>29,383.44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23,450.66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
        <w:rPr>
          <w:rFonts w:ascii="宋体" w:hAnsi="宋体" w:cs="宋体" w:eastAsia="宋体" w:hint="default"/>
          <w:sz w:val="28"/>
          <w:szCs w:val="28"/>
        </w:rPr>
      </w:pPr>
    </w:p>
    <w:p>
      <w:pPr>
        <w:spacing w:line="818"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2pt;height:40.950pt;mso-position-horizontal-relative:char;mso-position-vertical-relative:line" coordorigin="0,0" coordsize="9584,819">
            <v:group style="position:absolute;left:13;top:13;width:9559;height:397" coordorigin="13,13" coordsize="9559,397">
              <v:shape style="position:absolute;left:13;top:13;width:9559;height:397" coordorigin="13,13" coordsize="9559,397" path="m13,13l9572,13,9572,410,13,410,13,13xe" filled="true" fillcolor="#d2d2d2" stroked="false">
                <v:path arrowok="t"/>
                <v:fill type="solid"/>
              </v:shape>
            </v:group>
            <v:group style="position:absolute;left:13;top:415;width:9559;height:397" coordorigin="13,415" coordsize="9559,397">
              <v:shape style="position:absolute;left:13;top:415;width:9559;height:397" coordorigin="13,415" coordsize="9559,397" path="m13,415l9572,415,9572,812,13,812,13,415xe" filled="true" fillcolor="#c6eccc" stroked="false">
                <v:path arrowok="t"/>
                <v:fill type="solid"/>
              </v:shape>
            </v:group>
            <v:group style="position:absolute;left:5;top:10;width:9574;height:2" coordorigin="5,10" coordsize="9574,2">
              <v:shape style="position:absolute;left:5;top:10;width:9574;height:2" coordorigin="5,10" coordsize="9574,0" path="m5,10l9578,10e" filled="false" stroked="true" strokeweight=".48pt" strokecolor="#000000">
                <v:path arrowok="t"/>
              </v:shape>
            </v:group>
            <v:group style="position:absolute;left:5;top:412;width:9574;height:2" coordorigin="5,412" coordsize="9574,2">
              <v:shape style="position:absolute;left:5;top:412;width:9574;height:2" coordorigin="5,412" coordsize="9574,0" path="m5,412l9578,412e" filled="false" stroked="true" strokeweight=".48pt" strokecolor="#000000">
                <v:path arrowok="t"/>
              </v:shape>
            </v:group>
            <v:group style="position:absolute;left:5;top:814;width:9574;height:2" coordorigin="5,814" coordsize="9574,2">
              <v:shape style="position:absolute;left:5;top:814;width:9574;height:2" coordorigin="5,814" coordsize="9574,0" path="m5,814l9578,814e" filled="false" stroked="true" strokeweight=".48pt" strokecolor="#000000">
                <v:path arrowok="t"/>
              </v:shape>
            </v:group>
            <v:group style="position:absolute;left:10;top:5;width:2;height:804" coordorigin="10,5" coordsize="2,804">
              <v:shape style="position:absolute;left:10;top:5;width:2;height:804" coordorigin="10,5" coordsize="0,804" path="m10,5l10,809e" filled="false" stroked="true" strokeweight=".48pt" strokecolor="#000000">
                <v:path arrowok="t"/>
              </v:shape>
            </v:group>
            <v:group style="position:absolute;left:9574;top:5;width:2;height:804" coordorigin="9574,5" coordsize="2,804">
              <v:shape style="position:absolute;left:9574;top:5;width:2;height:804" coordorigin="9574,5" coordsize="0,804" path="m9574,5l9574,809e" filled="false" stroked="true" strokeweight=".48pt" strokecolor="#000000">
                <v:path arrowok="t"/>
              </v:shape>
              <v:shape style="position:absolute;left:10;top:10;width:956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xbxContent>
                </v:textbox>
                <w10:wrap type="none"/>
              </v:shape>
              <v:shape style="position:absolute;left:10;top:412;width:9564;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本公司募投资金项目未出现异常情况。</w:t>
                      </w:r>
                    </w:p>
                  </w:txbxContent>
                </v:textbox>
                <w10:wrap type="none"/>
              </v:shape>
            </v:group>
          </v:group>
        </w:pict>
      </w:r>
      <w:r>
        <w:rPr>
          <w:rFonts w:ascii="宋体" w:hAnsi="宋体" w:cs="宋体" w:eastAsia="宋体" w:hint="default"/>
          <w:position w:val="-15"/>
          <w:sz w:val="20"/>
          <w:szCs w:val="20"/>
        </w:rPr>
      </w:r>
    </w:p>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2）募集资金承诺项目情况" w:id="52"/>
      <w:bookmarkEnd w:id="52"/>
      <w:r>
        <w:rPr>
          <w:b w:val="0"/>
          <w:bCs w:val="0"/>
        </w:rPr>
      </w:r>
      <w:r>
        <w:rPr/>
        <w:t>（2）募集资金承诺项目情况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是否已变 更项目 (含部分 变更)</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调整后投 资总额 (1)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both"/>
              <w:rPr>
                <w:rFonts w:ascii="宋体" w:hAnsi="宋体" w:cs="宋体" w:eastAsia="宋体" w:hint="default"/>
                <w:sz w:val="18"/>
                <w:szCs w:val="18"/>
              </w:rPr>
            </w:pPr>
            <w:r>
              <w:rPr>
                <w:rFonts w:ascii="宋体" w:hAnsi="宋体" w:cs="宋体" w:eastAsia="宋体" w:hint="default"/>
                <w:sz w:val="18"/>
                <w:szCs w:val="18"/>
              </w:rPr>
              <w:t>截至期末 累计投入 金额(2)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截至期末 投资进度 (3)＝ (2)/(1)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港口物流软件及信息 服务平台建设项目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9,014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9,014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1,435.46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8,220.41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91.20%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1,774.62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TD-LTE</w:t>
            </w:r>
            <w:r>
              <w:rPr>
                <w:rFonts w:ascii="宋体" w:hAnsi="宋体" w:cs="宋体" w:eastAsia="宋体" w:hint="default"/>
                <w:spacing w:val="-47"/>
                <w:sz w:val="18"/>
                <w:szCs w:val="18"/>
              </w:rPr>
              <w:t> </w:t>
            </w:r>
            <w:r>
              <w:rPr>
                <w:rFonts w:ascii="宋体" w:hAnsi="宋体" w:cs="宋体" w:eastAsia="宋体" w:hint="default"/>
                <w:sz w:val="18"/>
                <w:szCs w:val="18"/>
              </w:rPr>
              <w:t>技术的企</w:t>
            </w:r>
            <w:r>
              <w:rPr>
                <w:rFonts w:ascii="宋体" w:hAnsi="宋体" w:cs="宋体" w:eastAsia="宋体" w:hint="default"/>
                <w:sz w:val="18"/>
                <w:szCs w:val="18"/>
              </w:rPr>
              <w:t> 业网通讯终端产业化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4,055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4,055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279.44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3,762.99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92.80%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963.34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智能路网管理系统建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6,692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6,692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172.25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4,021.87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60.10%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2,112.33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交通运输智慧信息服 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8,213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8,213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1,064.2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5,374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65.43%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2,192.86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市场营销和服务网络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4,221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4,221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2,792.3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4,002.18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赛英科技微位移雷达 生产线建设项目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16,460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16,460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52,655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5,743.65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29,383.4</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7,043.15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2"/>
              <w:jc w:val="right"/>
              <w:rPr>
                <w:rFonts w:ascii="宋体" w:hAnsi="宋体" w:cs="宋体" w:eastAsia="宋体" w:hint="default"/>
                <w:sz w:val="18"/>
                <w:szCs w:val="18"/>
              </w:rPr>
            </w:pPr>
            <w:r>
              <w:rPr>
                <w:rFonts w:ascii="宋体"/>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52,655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5,743.65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29,383.4</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7,043.15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2"/>
              <w:jc w:val="right"/>
              <w:rPr>
                <w:rFonts w:ascii="宋体" w:hAnsi="宋体" w:cs="宋体" w:eastAsia="宋体" w:hint="default"/>
                <w:sz w:val="18"/>
                <w:szCs w:val="18"/>
              </w:rPr>
            </w:pPr>
            <w:r>
              <w:rPr>
                <w:rFonts w:ascii="宋体"/>
                <w:sz w:val="18"/>
              </w:rPr>
              <w:t>--</w:t>
            </w:r>
          </w:p>
        </w:tc>
      </w:tr>
      <w:tr>
        <w:trPr>
          <w:trHeight w:val="67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3"/>
                <w:sz w:val="18"/>
                <w:szCs w:val="18"/>
              </w:rPr>
              <w:t>（1）“港口物流软件及信息服务平台建设项目”新建场地主体工程和系统建设已完成，软件系统开</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发平台和相关设备已投入运行，并产生相应的经济效益。截至</w:t>
            </w:r>
            <w:r>
              <w:rPr>
                <w:rFonts w:ascii="宋体" w:hAnsi="宋体" w:cs="宋体" w:eastAsia="宋体" w:hint="default"/>
                <w:spacing w:val="-41"/>
                <w:sz w:val="18"/>
                <w:szCs w:val="18"/>
              </w:rPr>
              <w:t> </w:t>
            </w: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4"/>
                <w:sz w:val="18"/>
                <w:szCs w:val="18"/>
              </w:rPr>
              <w:t>日，本项目已建设完</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r>
        <w:rPr/>
        <w:pict>
          <v:shape style="position:absolute;margin-left:56.459999pt;margin-top:72.000023pt;width:479.15pt;height:695.1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57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毕且按照投入运行计算达到预计收益。</w:t>
                        </w:r>
                      </w:p>
                      <w:p>
                        <w:pPr>
                          <w:pStyle w:val="TableParagraph"/>
                          <w:spacing w:line="316" w:lineRule="auto" w:before="115"/>
                          <w:ind w:left="23" w:right="22"/>
                          <w:jc w:val="both"/>
                          <w:rPr>
                            <w:rFonts w:ascii="宋体" w:hAnsi="宋体" w:cs="宋体" w:eastAsia="宋体" w:hint="default"/>
                            <w:sz w:val="18"/>
                            <w:szCs w:val="18"/>
                          </w:rPr>
                        </w:pPr>
                        <w:r>
                          <w:rPr>
                            <w:rFonts w:ascii="宋体" w:hAnsi="宋体" w:cs="宋体" w:eastAsia="宋体" w:hint="default"/>
                            <w:spacing w:val="-21"/>
                            <w:sz w:val="18"/>
                            <w:szCs w:val="18"/>
                          </w:rPr>
                          <w:t>（2）“基于</w:t>
                        </w:r>
                        <w:r>
                          <w:rPr>
                            <w:rFonts w:ascii="宋体" w:hAnsi="宋体" w:cs="宋体" w:eastAsia="宋体" w:hint="default"/>
                            <w:spacing w:val="-38"/>
                            <w:sz w:val="18"/>
                            <w:szCs w:val="18"/>
                          </w:rPr>
                          <w:t> </w:t>
                        </w:r>
                        <w:r>
                          <w:rPr>
                            <w:rFonts w:ascii="宋体" w:hAnsi="宋体" w:cs="宋体" w:eastAsia="宋体" w:hint="default"/>
                            <w:spacing w:val="-1"/>
                            <w:sz w:val="18"/>
                            <w:szCs w:val="18"/>
                          </w:rPr>
                          <w:t>TD-LTE</w:t>
                        </w:r>
                        <w:r>
                          <w:rPr>
                            <w:rFonts w:ascii="宋体" w:hAnsi="宋体" w:cs="宋体" w:eastAsia="宋体" w:hint="default"/>
                            <w:spacing w:val="-40"/>
                            <w:sz w:val="18"/>
                            <w:szCs w:val="18"/>
                          </w:rPr>
                          <w:t> </w:t>
                        </w:r>
                        <w:r>
                          <w:rPr>
                            <w:rFonts w:ascii="宋体" w:hAnsi="宋体" w:cs="宋体" w:eastAsia="宋体" w:hint="default"/>
                            <w:spacing w:val="-2"/>
                            <w:sz w:val="18"/>
                            <w:szCs w:val="18"/>
                          </w:rPr>
                          <w:t>技术的企业网通讯终端产业化建设项目”产业化基地主体工程已完成，软件系统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和相关设备已投入运行，并产生相应的经济效益。截至</w:t>
                        </w:r>
                        <w:r>
                          <w:rPr>
                            <w:rFonts w:ascii="宋体" w:hAnsi="宋体" w:cs="宋体" w:eastAsia="宋体" w:hint="default"/>
                            <w:spacing w:val="-43"/>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日，本项目已建设完毕且按</w:t>
                        </w:r>
                        <w:r>
                          <w:rPr>
                            <w:rFonts w:ascii="宋体" w:hAnsi="宋体" w:cs="宋体" w:eastAsia="宋体" w:hint="default"/>
                            <w:sz w:val="18"/>
                            <w:szCs w:val="18"/>
                          </w:rPr>
                          <w:t> 照投入运行计算达到预计收益。</w:t>
                        </w:r>
                      </w:p>
                      <w:p>
                        <w:pPr>
                          <w:pStyle w:val="TableParagraph"/>
                          <w:spacing w:line="316" w:lineRule="auto" w:before="59"/>
                          <w:ind w:left="23" w:right="22"/>
                          <w:jc w:val="left"/>
                          <w:rPr>
                            <w:rFonts w:ascii="宋体" w:hAnsi="宋体" w:cs="宋体" w:eastAsia="宋体" w:hint="default"/>
                            <w:sz w:val="18"/>
                            <w:szCs w:val="18"/>
                          </w:rPr>
                        </w:pPr>
                        <w:r>
                          <w:rPr>
                            <w:rFonts w:ascii="宋体" w:hAnsi="宋体" w:cs="宋体" w:eastAsia="宋体" w:hint="default"/>
                            <w:spacing w:val="-5"/>
                            <w:sz w:val="18"/>
                            <w:szCs w:val="18"/>
                          </w:rPr>
                          <w:t>（3）“智能路网管理系统建设项目”依据交通运输部提出的我国新一代国家交通控制网的总体框架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公司在智能路网管理平台总体方案下，在交通控制信息管理、路网协同管控、运营服务模式、交通 状态感知与监控等方面研发的相关软件产品已获得知识产权认证并投入市场，产生了相应的经济效 益。截至</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日，本项目按照投入运行计算达到预计收益。</w:t>
                        </w:r>
                      </w:p>
                      <w:p>
                        <w:pPr>
                          <w:pStyle w:val="TableParagraph"/>
                          <w:spacing w:line="316" w:lineRule="auto" w:before="59"/>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
                            <w:sz w:val="18"/>
                            <w:szCs w:val="18"/>
                          </w:rPr>
                          <w:t>4</w:t>
                        </w:r>
                        <w:r>
                          <w:rPr>
                            <w:rFonts w:ascii="宋体" w:hAnsi="宋体" w:cs="宋体" w:eastAsia="宋体" w:hint="default"/>
                            <w:spacing w:val="-89"/>
                            <w:sz w:val="18"/>
                            <w:szCs w:val="18"/>
                          </w:rPr>
                          <w:t>）</w:t>
                        </w:r>
                        <w:r>
                          <w:rPr>
                            <w:rFonts w:ascii="宋体" w:hAnsi="宋体" w:cs="宋体" w:eastAsia="宋体" w:hint="default"/>
                            <w:sz w:val="18"/>
                            <w:szCs w:val="18"/>
                          </w:rPr>
                          <w:t>“交通运输智慧信息服务平台建设项目”以“互联网</w:t>
                        </w:r>
                        <w:r>
                          <w:rPr>
                            <w:rFonts w:ascii="宋体" w:hAnsi="宋体" w:cs="宋体" w:eastAsia="宋体" w:hint="default"/>
                            <w:spacing w:val="-2"/>
                            <w:sz w:val="18"/>
                            <w:szCs w:val="18"/>
                          </w:rPr>
                          <w:t>+</w:t>
                        </w:r>
                        <w:r>
                          <w:rPr>
                            <w:rFonts w:ascii="宋体" w:hAnsi="宋体" w:cs="宋体" w:eastAsia="宋体" w:hint="default"/>
                            <w:sz w:val="18"/>
                            <w:szCs w:val="18"/>
                          </w:rPr>
                          <w:t>”便捷交通为核心，以行业数据为支撑</w:t>
                        </w:r>
                        <w:r>
                          <w:rPr>
                            <w:rFonts w:ascii="宋体" w:hAnsi="宋体" w:cs="宋体" w:eastAsia="宋体" w:hint="default"/>
                            <w:sz w:val="18"/>
                            <w:szCs w:val="18"/>
                          </w:rPr>
                          <w:t> 为出行者打造集“出行服务</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“电子支付</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“用车服务</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“养车服务</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“车管服务</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“车友生活</w:t>
                        </w:r>
                        <w:r>
                          <w:rPr>
                            <w:rFonts w:ascii="宋体" w:hAnsi="宋体" w:cs="宋体" w:eastAsia="宋体" w:hint="default"/>
                            <w:spacing w:val="-92"/>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“汽车金融</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“微旅游”等服务产品为一体的综合性服务平台，挖掘车后市场增值服务价值，为交</w:t>
                        </w:r>
                        <w:r>
                          <w:rPr>
                            <w:rFonts w:ascii="宋体" w:hAnsi="宋体" w:cs="宋体" w:eastAsia="宋体" w:hint="default"/>
                            <w:sz w:val="18"/>
                            <w:szCs w:val="18"/>
                          </w:rPr>
                          <w:t> 通参与者构建车生活服务生态圈</w:t>
                        </w:r>
                        <w:r>
                          <w:rPr>
                            <w:rFonts w:ascii="宋体" w:hAnsi="宋体" w:cs="宋体" w:eastAsia="宋体" w:hint="default"/>
                            <w:spacing w:val="-89"/>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本项目按照投入运行计算达到预计收益</w:t>
                        </w:r>
                      </w:p>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
                            <w:sz w:val="18"/>
                            <w:szCs w:val="18"/>
                          </w:rPr>
                          <w:t>5</w:t>
                        </w:r>
                        <w:r>
                          <w:rPr>
                            <w:rFonts w:ascii="宋体" w:hAnsi="宋体" w:cs="宋体" w:eastAsia="宋体" w:hint="default"/>
                            <w:spacing w:val="-89"/>
                            <w:sz w:val="18"/>
                            <w:szCs w:val="18"/>
                          </w:rPr>
                          <w:t>）</w:t>
                        </w:r>
                        <w:r>
                          <w:rPr>
                            <w:rFonts w:ascii="宋体" w:hAnsi="宋体" w:cs="宋体" w:eastAsia="宋体" w:hint="default"/>
                            <w:sz w:val="18"/>
                            <w:szCs w:val="18"/>
                          </w:rPr>
                          <w:t>“市场营销和服务网络建设项目”区域营销网络及售后服务机构已布设完成。截至</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日，本项目已建设完毕且已达可使用状态。</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99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（1）公司</w:t>
                        </w:r>
                        <w:r>
                          <w:rPr>
                            <w:rFonts w:ascii="宋体" w:hAnsi="宋体" w:cs="宋体" w:eastAsia="宋体" w:hint="default"/>
                            <w:spacing w:val="-50"/>
                            <w:sz w:val="18"/>
                            <w:szCs w:val="18"/>
                          </w:rPr>
                          <w:t>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26</w:t>
                        </w:r>
                        <w:r>
                          <w:rPr>
                            <w:rFonts w:ascii="宋体" w:hAnsi="宋体" w:cs="宋体" w:eastAsia="宋体" w:hint="default"/>
                            <w:spacing w:val="-51"/>
                            <w:sz w:val="18"/>
                            <w:szCs w:val="18"/>
                          </w:rPr>
                          <w:t> </w:t>
                        </w:r>
                        <w:r>
                          <w:rPr>
                            <w:rFonts w:ascii="宋体" w:hAnsi="宋体" w:cs="宋体" w:eastAsia="宋体" w:hint="default"/>
                            <w:sz w:val="18"/>
                            <w:szCs w:val="18"/>
                          </w:rPr>
                          <w:t>日召开的</w:t>
                        </w:r>
                        <w:r>
                          <w:rPr>
                            <w:rFonts w:ascii="宋体" w:hAnsi="宋体" w:cs="宋体" w:eastAsia="宋体" w:hint="default"/>
                            <w:spacing w:val="-9"/>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年第二次临时股东大会审议通过，根据募集资金建设项目</w:t>
                        </w:r>
                        <w:r>
                          <w:rPr>
                            <w:rFonts w:ascii="宋体" w:hAnsi="宋体" w:cs="宋体" w:eastAsia="宋体" w:hint="default"/>
                            <w:sz w:val="18"/>
                            <w:szCs w:val="18"/>
                          </w:rPr>
                          <w:t> 进度安排，公司将募集资金投资项目“交通运输智慧信息服务平台建设项目”中“公众出行服务和 </w:t>
                        </w:r>
                        <w:r>
                          <w:rPr>
                            <w:rFonts w:ascii="宋体" w:hAnsi="宋体" w:cs="宋体" w:eastAsia="宋体" w:hint="default"/>
                            <w:spacing w:val="-6"/>
                            <w:sz w:val="18"/>
                            <w:szCs w:val="18"/>
                          </w:rPr>
                          <w:t>汽车后市场服务”子项目的部分募集资金用途变更为对“互联网+”交通产业进行投资，即使用</w:t>
                        </w:r>
                        <w:r>
                          <w:rPr>
                            <w:rFonts w:ascii="宋体" w:hAnsi="宋体" w:cs="宋体" w:eastAsia="宋体" w:hint="default"/>
                            <w:spacing w:val="-30"/>
                            <w:sz w:val="18"/>
                            <w:szCs w:val="18"/>
                          </w:rPr>
                          <w:t> </w:t>
                        </w:r>
                        <w:r>
                          <w:rPr>
                            <w:rFonts w:ascii="宋体" w:hAnsi="宋体" w:cs="宋体" w:eastAsia="宋体" w:hint="default"/>
                            <w:sz w:val="18"/>
                            <w:szCs w:val="18"/>
                          </w:rPr>
                          <w:t>2,400</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万元与安徽省高速公路联网运营有限公司和安徽天行健健康管理有限公司共同投资设立安徽行云天 </w:t>
                        </w:r>
                        <w:r>
                          <w:rPr>
                            <w:rFonts w:ascii="宋体" w:hAnsi="宋体" w:cs="宋体" w:eastAsia="宋体" w:hint="default"/>
                            <w:spacing w:val="-5"/>
                            <w:sz w:val="18"/>
                            <w:szCs w:val="18"/>
                          </w:rPr>
                          <w:t>下科技有限公司。该公司设立后，“交通运输智慧信息服务平台建设项目”中“公众出行服务和汽车</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后市场服务”子项目的实施主体将由公司变更为控股子公司安徽行云天下科技有限公司，该子项目 的实施地点也由合肥市高新区皖水路</w:t>
                        </w:r>
                        <w:r>
                          <w:rPr>
                            <w:rFonts w:ascii="宋体" w:hAnsi="宋体" w:cs="宋体" w:eastAsia="宋体" w:hint="default"/>
                            <w:spacing w:val="-48"/>
                            <w:sz w:val="18"/>
                            <w:szCs w:val="18"/>
                          </w:rPr>
                          <w:t> </w:t>
                        </w:r>
                        <w:r>
                          <w:rPr>
                            <w:rFonts w:ascii="宋体" w:hAnsi="宋体" w:cs="宋体" w:eastAsia="宋体" w:hint="default"/>
                            <w:sz w:val="18"/>
                            <w:szCs w:val="18"/>
                          </w:rPr>
                          <w:t>589</w:t>
                        </w:r>
                        <w:r>
                          <w:rPr>
                            <w:rFonts w:ascii="宋体" w:hAnsi="宋体" w:cs="宋体" w:eastAsia="宋体" w:hint="default"/>
                            <w:spacing w:val="-45"/>
                            <w:sz w:val="18"/>
                            <w:szCs w:val="18"/>
                          </w:rPr>
                          <w:t> </w:t>
                        </w:r>
                        <w:r>
                          <w:rPr>
                            <w:rFonts w:ascii="宋体" w:hAnsi="宋体" w:cs="宋体" w:eastAsia="宋体" w:hint="default"/>
                            <w:sz w:val="18"/>
                            <w:szCs w:val="18"/>
                          </w:rPr>
                          <w:t>号变更为合肥市高新区天通路</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号软件园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210</w:t>
                        </w:r>
                        <w:r>
                          <w:rPr>
                            <w:rFonts w:ascii="宋体" w:hAnsi="宋体" w:cs="宋体" w:eastAsia="宋体" w:hint="default"/>
                            <w:spacing w:val="-47"/>
                            <w:sz w:val="18"/>
                            <w:szCs w:val="18"/>
                          </w:rPr>
                          <w:t> </w:t>
                        </w:r>
                        <w:r>
                          <w:rPr>
                            <w:rFonts w:ascii="宋体" w:hAnsi="宋体" w:cs="宋体" w:eastAsia="宋体" w:hint="default"/>
                            <w:sz w:val="18"/>
                            <w:szCs w:val="18"/>
                          </w:rPr>
                          <w:t>室</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（2）公司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日第三届董事会第十九次会议通过决议：①将募集资金投资项目“港口物</w:t>
                        </w:r>
                        <w:r>
                          <w:rPr>
                            <w:rFonts w:ascii="宋体" w:hAnsi="宋体" w:cs="宋体" w:eastAsia="宋体" w:hint="default"/>
                            <w:sz w:val="18"/>
                            <w:szCs w:val="18"/>
                          </w:rPr>
                          <w:t> 流软件及信息服务平台”建设项目之“物流信息服务平台建设”建设子项目的实施主体由安徽皖通 科技的全资子公司烟台华东电子软件技术有限公司（以下简称华东电子）变更为华东电子的全资子 公司烟台华东数据科技有限公司，该子项目的实施地点也由烟台市莱山区迎春大街</w:t>
                        </w:r>
                        <w:r>
                          <w:rPr>
                            <w:rFonts w:ascii="宋体" w:hAnsi="宋体" w:cs="宋体" w:eastAsia="宋体" w:hint="default"/>
                            <w:spacing w:val="-48"/>
                            <w:sz w:val="18"/>
                            <w:szCs w:val="18"/>
                          </w:rPr>
                          <w:t> </w:t>
                        </w:r>
                        <w:r>
                          <w:rPr>
                            <w:rFonts w:ascii="宋体" w:hAnsi="宋体" w:cs="宋体" w:eastAsia="宋体" w:hint="default"/>
                            <w:sz w:val="18"/>
                            <w:szCs w:val="18"/>
                          </w:rPr>
                          <w:t>133</w:t>
                        </w:r>
                        <w:r>
                          <w:rPr>
                            <w:rFonts w:ascii="宋体" w:hAnsi="宋体" w:cs="宋体" w:eastAsia="宋体" w:hint="default"/>
                            <w:spacing w:val="-45"/>
                            <w:sz w:val="18"/>
                            <w:szCs w:val="18"/>
                          </w:rPr>
                          <w:t> </w:t>
                        </w:r>
                        <w:r>
                          <w:rPr>
                            <w:rFonts w:ascii="宋体" w:hAnsi="宋体" w:cs="宋体" w:eastAsia="宋体" w:hint="default"/>
                            <w:sz w:val="18"/>
                            <w:szCs w:val="18"/>
                          </w:rPr>
                          <w:t>号变更为烟</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台高新区蓝海路</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号楼；②将募集资金投资项目“港口物流软件及信息服务平台建设项目”之</w:t>
                        </w:r>
                        <w:r>
                          <w:rPr>
                            <w:rFonts w:ascii="宋体" w:hAnsi="宋体" w:cs="宋体" w:eastAsia="宋体" w:hint="default"/>
                            <w:sz w:val="18"/>
                            <w:szCs w:val="18"/>
                          </w:rPr>
                          <w:t> “港口物流软件产品升级与开发”子项目的实施主体由华东电子变更为华东电子的全资子公司烟台 </w:t>
                        </w:r>
                        <w:r>
                          <w:rPr>
                            <w:rFonts w:ascii="宋体" w:hAnsi="宋体" w:cs="宋体" w:eastAsia="宋体" w:hint="default"/>
                            <w:spacing w:val="-6"/>
                            <w:sz w:val="18"/>
                            <w:szCs w:val="18"/>
                          </w:rPr>
                          <w:t>华东电子科技有限公司（以下简称“华东科技”）；将募集资金投资项目“基于</w:t>
                        </w:r>
                        <w:r>
                          <w:rPr>
                            <w:rFonts w:ascii="宋体" w:hAnsi="宋体" w:cs="宋体" w:eastAsia="宋体" w:hint="default"/>
                            <w:spacing w:val="13"/>
                            <w:sz w:val="18"/>
                            <w:szCs w:val="18"/>
                          </w:rPr>
                          <w:t> </w:t>
                        </w:r>
                        <w:r>
                          <w:rPr>
                            <w:rFonts w:ascii="宋体" w:hAnsi="宋体" w:cs="宋体" w:eastAsia="宋体" w:hint="default"/>
                            <w:spacing w:val="-1"/>
                            <w:sz w:val="18"/>
                            <w:szCs w:val="18"/>
                          </w:rPr>
                          <w:t>TD-LTE</w:t>
                        </w:r>
                        <w:r>
                          <w:rPr>
                            <w:rFonts w:ascii="宋体" w:hAnsi="宋体" w:cs="宋体" w:eastAsia="宋体" w:hint="default"/>
                            <w:spacing w:val="15"/>
                            <w:sz w:val="18"/>
                            <w:szCs w:val="18"/>
                          </w:rPr>
                          <w:t> </w:t>
                        </w:r>
                        <w:r>
                          <w:rPr>
                            <w:rFonts w:ascii="宋体" w:hAnsi="宋体" w:cs="宋体" w:eastAsia="宋体" w:hint="default"/>
                            <w:sz w:val="18"/>
                            <w:szCs w:val="18"/>
                          </w:rPr>
                          <w:t>技术的企业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网通讯终端产业化建设项目”的实施主体由华东电子变更为华东科技。该两个子项目的实施地点也 由烟台市莱山区迎春大街</w:t>
                        </w:r>
                        <w:r>
                          <w:rPr>
                            <w:rFonts w:ascii="宋体" w:hAnsi="宋体" w:cs="宋体" w:eastAsia="宋体" w:hint="default"/>
                            <w:spacing w:val="-47"/>
                            <w:sz w:val="18"/>
                            <w:szCs w:val="18"/>
                          </w:rPr>
                          <w:t> </w:t>
                        </w:r>
                        <w:r>
                          <w:rPr>
                            <w:rFonts w:ascii="宋体" w:hAnsi="宋体" w:cs="宋体" w:eastAsia="宋体" w:hint="default"/>
                            <w:sz w:val="18"/>
                            <w:szCs w:val="18"/>
                          </w:rPr>
                          <w:t>133</w:t>
                        </w:r>
                        <w:r>
                          <w:rPr>
                            <w:rFonts w:ascii="宋体" w:hAnsi="宋体" w:cs="宋体" w:eastAsia="宋体" w:hint="default"/>
                            <w:spacing w:val="-44"/>
                            <w:sz w:val="18"/>
                            <w:szCs w:val="18"/>
                          </w:rPr>
                          <w:t> </w:t>
                        </w:r>
                        <w:r>
                          <w:rPr>
                            <w:rFonts w:ascii="宋体" w:hAnsi="宋体" w:cs="宋体" w:eastAsia="宋体" w:hint="default"/>
                            <w:sz w:val="18"/>
                            <w:szCs w:val="18"/>
                          </w:rPr>
                          <w:t>号变更为烟台高新区科技大道</w:t>
                        </w:r>
                        <w:r>
                          <w:rPr>
                            <w:rFonts w:ascii="宋体" w:hAnsi="宋体" w:cs="宋体" w:eastAsia="宋体" w:hint="default"/>
                            <w:spacing w:val="-47"/>
                            <w:sz w:val="18"/>
                            <w:szCs w:val="18"/>
                          </w:rPr>
                          <w:t> </w:t>
                        </w: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号创业大厦。</w:t>
                        </w:r>
                      </w:p>
                      <w:p>
                        <w:pPr>
                          <w:pStyle w:val="TableParagraph"/>
                          <w:spacing w:line="316" w:lineRule="auto" w:before="59"/>
                          <w:ind w:left="23" w:right="22"/>
                          <w:jc w:val="both"/>
                          <w:rPr>
                            <w:rFonts w:ascii="宋体" w:hAnsi="宋体" w:cs="宋体" w:eastAsia="宋体" w:hint="default"/>
                            <w:sz w:val="18"/>
                            <w:szCs w:val="18"/>
                          </w:rPr>
                        </w:pPr>
                        <w:r>
                          <w:rPr>
                            <w:rFonts w:ascii="宋体" w:hAnsi="宋体" w:cs="宋体" w:eastAsia="宋体" w:hint="default"/>
                            <w:sz w:val="18"/>
                            <w:szCs w:val="18"/>
                          </w:rPr>
                          <w:t>（2）公司</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pacing w:val="-3"/>
                            <w:sz w:val="18"/>
                            <w:szCs w:val="18"/>
                          </w:rPr>
                          <w:t>日召开的第三届董事会第二十四次会议审议通过：将“港口物流软件及信</w:t>
                        </w:r>
                        <w:r>
                          <w:rPr>
                            <w:rFonts w:ascii="宋体" w:hAnsi="宋体" w:cs="宋体" w:eastAsia="宋体" w:hint="default"/>
                            <w:sz w:val="18"/>
                            <w:szCs w:val="18"/>
                          </w:rPr>
                          <w:t> </w:t>
                        </w:r>
                        <w:r>
                          <w:rPr>
                            <w:rFonts w:ascii="宋体" w:hAnsi="宋体" w:cs="宋体" w:eastAsia="宋体" w:hint="default"/>
                            <w:spacing w:val="-5"/>
                            <w:sz w:val="18"/>
                            <w:szCs w:val="18"/>
                          </w:rPr>
                          <w:t>息服务平台建设项目”之“物流信息服务平台建设”子项目、“港口物流软件及信息服务平台建设项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目”之“港口物流软件产品升级与开发”子项目和“基于</w:t>
                        </w:r>
                        <w:r>
                          <w:rPr>
                            <w:rFonts w:ascii="宋体" w:hAnsi="宋体" w:cs="宋体" w:eastAsia="宋体" w:hint="default"/>
                            <w:spacing w:val="-42"/>
                            <w:sz w:val="18"/>
                            <w:szCs w:val="18"/>
                          </w:rPr>
                          <w:t> </w:t>
                        </w:r>
                        <w:r>
                          <w:rPr>
                            <w:rFonts w:ascii="宋体" w:hAnsi="宋体" w:cs="宋体" w:eastAsia="宋体" w:hint="default"/>
                            <w:sz w:val="18"/>
                            <w:szCs w:val="18"/>
                          </w:rPr>
                          <w:t>TD-LTE</w:t>
                        </w:r>
                        <w:r>
                          <w:rPr>
                            <w:rFonts w:ascii="宋体" w:hAnsi="宋体" w:cs="宋体" w:eastAsia="宋体" w:hint="default"/>
                            <w:spacing w:val="-45"/>
                            <w:sz w:val="18"/>
                            <w:szCs w:val="18"/>
                          </w:rPr>
                          <w:t> </w:t>
                        </w:r>
                        <w:r>
                          <w:rPr>
                            <w:rFonts w:ascii="宋体" w:hAnsi="宋体" w:cs="宋体" w:eastAsia="宋体" w:hint="default"/>
                            <w:sz w:val="18"/>
                            <w:szCs w:val="18"/>
                          </w:rPr>
                          <w:t>技术的企业网通讯终端产业化建设</w:t>
                        </w:r>
                        <w:r>
                          <w:rPr>
                            <w:rFonts w:ascii="宋体" w:hAnsi="宋体" w:cs="宋体" w:eastAsia="宋体" w:hint="default"/>
                            <w:sz w:val="18"/>
                            <w:szCs w:val="18"/>
                          </w:rPr>
                          <w:t> </w:t>
                        </w:r>
                        <w:r>
                          <w:rPr>
                            <w:rFonts w:ascii="宋体" w:hAnsi="宋体" w:cs="宋体" w:eastAsia="宋体" w:hint="default"/>
                            <w:spacing w:val="-5"/>
                            <w:sz w:val="18"/>
                            <w:szCs w:val="18"/>
                          </w:rPr>
                          <w:t>项目”的实施地点分别由烟台高新区蓝海路</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号楼和烟台高新区科技大道</w:t>
                        </w:r>
                        <w:r>
                          <w:rPr>
                            <w:rFonts w:ascii="宋体" w:hAnsi="宋体" w:cs="宋体" w:eastAsia="宋体" w:hint="default"/>
                            <w:spacing w:val="-44"/>
                            <w:sz w:val="18"/>
                            <w:szCs w:val="18"/>
                          </w:rPr>
                          <w:t> </w:t>
                        </w:r>
                        <w:r>
                          <w:rPr>
                            <w:rFonts w:ascii="宋体" w:hAnsi="宋体" w:cs="宋体" w:eastAsia="宋体" w:hint="default"/>
                            <w:sz w:val="18"/>
                            <w:szCs w:val="18"/>
                          </w:rPr>
                          <w:t>69</w:t>
                        </w:r>
                        <w:r>
                          <w:rPr>
                            <w:rFonts w:ascii="宋体" w:hAnsi="宋体" w:cs="宋体" w:eastAsia="宋体" w:hint="default"/>
                            <w:spacing w:val="-47"/>
                            <w:sz w:val="18"/>
                            <w:szCs w:val="18"/>
                          </w:rPr>
                          <w:t> </w:t>
                        </w:r>
                        <w:r>
                          <w:rPr>
                            <w:rFonts w:ascii="宋体" w:hAnsi="宋体" w:cs="宋体" w:eastAsia="宋体" w:hint="default"/>
                            <w:sz w:val="18"/>
                            <w:szCs w:val="18"/>
                          </w:rPr>
                          <w:t>号创业大厦统一变</w:t>
                        </w:r>
                        <w:r>
                          <w:rPr>
                            <w:rFonts w:ascii="宋体" w:hAnsi="宋体" w:cs="宋体" w:eastAsia="宋体" w:hint="default"/>
                            <w:sz w:val="18"/>
                            <w:szCs w:val="18"/>
                          </w:rPr>
                          <w:t> 更为烟台高新区海越路以西、科技大道以北地块。</w:t>
                        </w:r>
                      </w:p>
                      <w:p>
                        <w:pPr>
                          <w:pStyle w:val="TableParagraph"/>
                          <w:spacing w:line="240" w:lineRule="auto" w:before="59"/>
                          <w:ind w:left="23" w:right="0"/>
                          <w:jc w:val="both"/>
                          <w:rPr>
                            <w:rFonts w:ascii="宋体" w:hAnsi="宋体" w:cs="宋体" w:eastAsia="宋体" w:hint="default"/>
                            <w:sz w:val="18"/>
                            <w:szCs w:val="18"/>
                          </w:rPr>
                        </w:pPr>
                        <w:r>
                          <w:rPr>
                            <w:rFonts w:ascii="宋体" w:hAnsi="宋体" w:cs="宋体" w:eastAsia="宋体" w:hint="default"/>
                            <w:sz w:val="18"/>
                            <w:szCs w:val="18"/>
                          </w:rPr>
                          <w:t>（3）公司</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pacing w:val="-3"/>
                            <w:sz w:val="18"/>
                            <w:szCs w:val="18"/>
                          </w:rPr>
                          <w:t>日第三届董事会第二十七次会议通过决议：将募集资金投资项目“港口物</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before="0"/>
        <w:ind w:left="0" w:right="1141" w:firstLine="0"/>
        <w:jc w:val="right"/>
        <w:rPr>
          <w:rFonts w:ascii="宋体" w:hAnsi="宋体" w:cs="宋体" w:eastAsia="宋体" w:hint="default"/>
          <w:sz w:val="18"/>
          <w:szCs w:val="18"/>
        </w:rPr>
      </w:pPr>
      <w:r>
        <w:rPr/>
        <w:pict>
          <v:shape style="position:absolute;margin-left:56.459999pt;margin-top:-408.938263pt;width:479.15pt;height:631.7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18"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流软件及信息服务平台建设项目”之“物流信息服务平台建设”子项目的实施主体由全资子公司烟</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台华东电子软件技术有限公司（以下简称华东电子）的全资子公司烟台华东数据科技有限公司变更</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为华东电子的全资子公司烟台华东电子科技有限公司，此项变更不涉及到实施地变更。</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pacing w:val="-13"/>
                            <w:sz w:val="18"/>
                            <w:szCs w:val="18"/>
                          </w:rPr>
                          <w:t>（5）公司</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4"/>
                            <w:sz w:val="18"/>
                            <w:szCs w:val="18"/>
                          </w:rPr>
                          <w:t>日召开的第四届董事会第十一次会议审议通过：将募集资金投资项目“交</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通运输智慧信息服务平台建设项目”中“公众出行服务和汽车后市场服务”子项目的实施地点由合</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肥市高新区天通路</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号软件园</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210</w:t>
                        </w:r>
                        <w:r>
                          <w:rPr>
                            <w:rFonts w:ascii="宋体" w:hAnsi="宋体" w:cs="宋体" w:eastAsia="宋体" w:hint="default"/>
                            <w:spacing w:val="-46"/>
                            <w:sz w:val="18"/>
                            <w:szCs w:val="18"/>
                          </w:rPr>
                          <w:t> </w:t>
                        </w:r>
                        <w:r>
                          <w:rPr>
                            <w:rFonts w:ascii="宋体" w:hAnsi="宋体" w:cs="宋体" w:eastAsia="宋体" w:hint="default"/>
                            <w:sz w:val="18"/>
                            <w:szCs w:val="18"/>
                          </w:rPr>
                          <w:t>室变更为合肥市高新区天达路</w:t>
                        </w:r>
                        <w:r>
                          <w:rPr>
                            <w:rFonts w:ascii="宋体" w:hAnsi="宋体" w:cs="宋体" w:eastAsia="宋体" w:hint="default"/>
                            <w:spacing w:val="-45"/>
                            <w:sz w:val="18"/>
                            <w:szCs w:val="18"/>
                          </w:rPr>
                          <w:t> </w:t>
                        </w:r>
                        <w:r>
                          <w:rPr>
                            <w:rFonts w:ascii="宋体" w:hAnsi="宋体" w:cs="宋体" w:eastAsia="宋体" w:hint="default"/>
                            <w:sz w:val="18"/>
                            <w:szCs w:val="18"/>
                          </w:rPr>
                          <w:t>71</w:t>
                        </w:r>
                        <w:r>
                          <w:rPr>
                            <w:rFonts w:ascii="宋体" w:hAnsi="宋体" w:cs="宋体" w:eastAsia="宋体" w:hint="default"/>
                            <w:spacing w:val="-46"/>
                            <w:sz w:val="18"/>
                            <w:szCs w:val="18"/>
                          </w:rPr>
                          <w:t> </w:t>
                        </w:r>
                        <w:r>
                          <w:rPr>
                            <w:rFonts w:ascii="宋体" w:hAnsi="宋体" w:cs="宋体" w:eastAsia="宋体" w:hint="default"/>
                            <w:sz w:val="18"/>
                            <w:szCs w:val="18"/>
                          </w:rPr>
                          <w:t>号华亿科学园</w:t>
                        </w:r>
                        <w:r>
                          <w:rPr>
                            <w:rFonts w:ascii="宋体" w:hAnsi="宋体" w:cs="宋体" w:eastAsia="宋体" w:hint="default"/>
                            <w:spacing w:val="-47"/>
                            <w:sz w:val="18"/>
                            <w:szCs w:val="18"/>
                          </w:rPr>
                          <w:t> </w:t>
                        </w:r>
                        <w:r>
                          <w:rPr>
                            <w:rFonts w:ascii="宋体" w:hAnsi="宋体" w:cs="宋体" w:eastAsia="宋体" w:hint="default"/>
                            <w:sz w:val="18"/>
                            <w:szCs w:val="18"/>
                          </w:rPr>
                          <w:t>E1</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宋体" w:hAnsi="宋体" w:cs="宋体" w:eastAsia="宋体" w:hint="default"/>
                            <w:sz w:val="18"/>
                            <w:szCs w:val="18"/>
                          </w:rPr>
                          <w:t>4</w:t>
                        </w:r>
                      </w:p>
                    </w:tc>
                  </w:tr>
                  <w:tr>
                    <w:trPr>
                      <w:trHeight w:val="35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宋体" w:hAnsi="宋体" w:cs="宋体" w:eastAsia="宋体" w:hint="default"/>
                            <w:sz w:val="18"/>
                            <w:szCs w:val="18"/>
                          </w:rPr>
                          <w:t>402。</w:t>
                        </w:r>
                      </w:p>
                    </w:tc>
                  </w:tr>
                  <w:tr>
                    <w:trPr>
                      <w:trHeight w:val="324"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8"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200"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vMerge w:val="restart"/>
                        <w:tcBorders>
                          <w:top w:val="single" w:sz="4" w:space="0" w:color="000000"/>
                          <w:left w:val="single" w:sz="4" w:space="0" w:color="000000"/>
                          <w:right w:val="single" w:sz="4" w:space="0" w:color="000000"/>
                        </w:tcBorders>
                      </w:tcPr>
                      <w:p>
                        <w:pPr/>
                      </w:p>
                    </w:tc>
                  </w:tr>
                  <w:tr>
                    <w:trPr>
                      <w:trHeight w:val="202"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vMerge/>
                        <w:tcBorders>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3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在公司非公开发行股票募集资金到位以前，为保障募集资金投资项目的顺利进行，部分募集资金投</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资项目已由公司利用自筹资金先行投入。先行投入的自筹资金金额已经大华会计师事务所（特殊普</w:t>
                        </w:r>
                      </w:p>
                    </w:tc>
                  </w:tr>
                  <w:tr>
                    <w:trPr>
                      <w:trHeight w:val="33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通合伙）鉴证，并出具了《安徽皖通科技股份有限公司以自筹资金预先投入募集资金投资项目的鉴</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证报告</w:t>
                        </w:r>
                        <w:r>
                          <w:rPr>
                            <w:rFonts w:ascii="宋体" w:hAnsi="宋体" w:cs="宋体" w:eastAsia="宋体" w:hint="default"/>
                            <w:spacing w:val="-106"/>
                            <w:sz w:val="18"/>
                            <w:szCs w:val="18"/>
                          </w:rPr>
                          <w:t>》</w:t>
                        </w:r>
                        <w:r>
                          <w:rPr>
                            <w:rFonts w:ascii="宋体" w:hAnsi="宋体" w:cs="宋体" w:eastAsia="宋体" w:hint="default"/>
                            <w:sz w:val="18"/>
                            <w:szCs w:val="18"/>
                          </w:rPr>
                          <w:t>（大华核字</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依据该鉴证报告</w:t>
                        </w:r>
                        <w:r>
                          <w:rPr>
                            <w:rFonts w:ascii="宋体" w:hAnsi="宋体" w:cs="宋体" w:eastAsia="宋体" w:hint="default"/>
                            <w:spacing w:val="-15"/>
                            <w:sz w:val="18"/>
                            <w:szCs w:val="18"/>
                          </w:rPr>
                          <w:t>，</w:t>
                        </w:r>
                        <w:r>
                          <w:rPr>
                            <w:rFonts w:ascii="宋体" w:hAnsi="宋体" w:cs="宋体" w:eastAsia="宋体" w:hint="default"/>
                            <w:sz w:val="18"/>
                            <w:szCs w:val="18"/>
                          </w:rPr>
                          <w:t>公司用募集资金置换先期自筹资金共计人</w:t>
                        </w:r>
                      </w:p>
                    </w:tc>
                  </w:tr>
                  <w:tr>
                    <w:trPr>
                      <w:trHeight w:val="35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宋体" w:hAnsi="宋体" w:cs="宋体" w:eastAsia="宋体" w:hint="default"/>
                            <w:sz w:val="18"/>
                            <w:szCs w:val="18"/>
                          </w:rPr>
                          <w:t>1,203.90</w:t>
                        </w:r>
                        <w:r>
                          <w:rPr>
                            <w:rFonts w:ascii="宋体" w:hAnsi="宋体" w:cs="宋体" w:eastAsia="宋体" w:hint="default"/>
                            <w:spacing w:val="-47"/>
                            <w:sz w:val="18"/>
                            <w:szCs w:val="18"/>
                          </w:rPr>
                          <w:t> </w:t>
                        </w:r>
                        <w:r>
                          <w:rPr>
                            <w:rFonts w:ascii="宋体" w:hAnsi="宋体" w:cs="宋体" w:eastAsia="宋体" w:hint="default"/>
                            <w:sz w:val="18"/>
                            <w:szCs w:val="18"/>
                          </w:rPr>
                          <w:t>万元。</w:t>
                        </w: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87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pacing w:val="-10"/>
                            <w:sz w:val="18"/>
                            <w:szCs w:val="18"/>
                          </w:rPr>
                          <w:t>（1）公司</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26</w:t>
                        </w:r>
                        <w:r>
                          <w:rPr>
                            <w:rFonts w:ascii="宋体" w:hAnsi="宋体" w:cs="宋体" w:eastAsia="宋体" w:hint="default"/>
                            <w:spacing w:val="-53"/>
                            <w:sz w:val="18"/>
                            <w:szCs w:val="18"/>
                          </w:rPr>
                          <w:t> </w:t>
                        </w:r>
                        <w:r>
                          <w:rPr>
                            <w:rFonts w:ascii="宋体" w:hAnsi="宋体" w:cs="宋体" w:eastAsia="宋体" w:hint="default"/>
                            <w:sz w:val="18"/>
                            <w:szCs w:val="18"/>
                          </w:rPr>
                          <w:t>日召开的</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年第二次临时股东大会审议通过，根据募集资金投资项目</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pacing w:val="-3"/>
                            <w:sz w:val="18"/>
                            <w:szCs w:val="18"/>
                          </w:rPr>
                          <w:t>建设进度安排，2014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月将闲置募集资金</w:t>
                        </w:r>
                        <w:r>
                          <w:rPr>
                            <w:rFonts w:ascii="宋体" w:hAnsi="宋体" w:cs="宋体" w:eastAsia="宋体" w:hint="default"/>
                            <w:spacing w:val="-50"/>
                            <w:sz w:val="18"/>
                            <w:szCs w:val="18"/>
                          </w:rPr>
                          <w:t> </w:t>
                        </w:r>
                        <w:r>
                          <w:rPr>
                            <w:rFonts w:ascii="宋体" w:hAnsi="宋体" w:cs="宋体" w:eastAsia="宋体" w:hint="default"/>
                            <w:sz w:val="18"/>
                            <w:szCs w:val="18"/>
                          </w:rPr>
                          <w:t>15,000</w:t>
                        </w:r>
                        <w:r>
                          <w:rPr>
                            <w:rFonts w:ascii="宋体" w:hAnsi="宋体" w:cs="宋体" w:eastAsia="宋体" w:hint="default"/>
                            <w:spacing w:val="-49"/>
                            <w:sz w:val="18"/>
                            <w:szCs w:val="18"/>
                          </w:rPr>
                          <w:t> </w:t>
                        </w:r>
                        <w:r>
                          <w:rPr>
                            <w:rFonts w:ascii="宋体" w:hAnsi="宋体" w:cs="宋体" w:eastAsia="宋体" w:hint="default"/>
                            <w:sz w:val="18"/>
                            <w:szCs w:val="18"/>
                          </w:rPr>
                          <w:t>万元暂时用于补充流动资金，用于在公司中标</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项目实施过程中，提供前期设备采购资金和支付相关应付账款。该次暂时补充流动资金已于</w:t>
                        </w:r>
                        <w:r>
                          <w:rPr>
                            <w:rFonts w:ascii="宋体" w:hAnsi="宋体" w:cs="宋体" w:eastAsia="宋体" w:hint="default"/>
                            <w:spacing w:val="-47"/>
                            <w:sz w:val="18"/>
                            <w:szCs w:val="18"/>
                          </w:rPr>
                          <w:t> </w:t>
                        </w:r>
                        <w:r>
                          <w:rPr>
                            <w:rFonts w:ascii="宋体" w:hAnsi="宋体" w:cs="宋体" w:eastAsia="宋体" w:hint="default"/>
                            <w:sz w:val="18"/>
                            <w:szCs w:val="18"/>
                          </w:rPr>
                          <w:t>2015</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日全部归还至募集资金专用账户，使用期限未超过</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个月。</w:t>
                        </w:r>
                        <w:r>
                          <w:rPr>
                            <w:rFonts w:ascii="宋体" w:hAnsi="宋体" w:cs="宋体" w:eastAsia="宋体" w:hint="default"/>
                            <w:spacing w:val="66"/>
                            <w:sz w:val="18"/>
                            <w:szCs w:val="18"/>
                          </w:rPr>
                          <w:t> </w:t>
                        </w:r>
                        <w:r>
                          <w:rPr>
                            <w:rFonts w:ascii="宋体" w:hAnsi="宋体" w:cs="宋体" w:eastAsia="宋体" w:hint="default"/>
                            <w:spacing w:val="-3"/>
                            <w:sz w:val="18"/>
                            <w:szCs w:val="18"/>
                          </w:rPr>
                          <w:t>（2）公司</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7"/>
                            <w:sz w:val="18"/>
                            <w:szCs w:val="18"/>
                          </w:rPr>
                          <w:t> </w:t>
                        </w:r>
                        <w:r>
                          <w:rPr>
                            <w:rFonts w:ascii="宋体" w:hAnsi="宋体" w:cs="宋体" w:eastAsia="宋体" w:hint="default"/>
                            <w:spacing w:val="-2"/>
                            <w:sz w:val="18"/>
                            <w:szCs w:val="18"/>
                          </w:rPr>
                          <w:t>日召开的第三届董事会第二十二次会议审议通过，按照募集资金投资项目建设进度安排，公司及</w:t>
                        </w:r>
                      </w:p>
                      <w:p>
                        <w:pPr>
                          <w:pStyle w:val="TableParagraph"/>
                          <w:spacing w:line="316" w:lineRule="auto" w:before="76"/>
                          <w:ind w:left="23" w:right="22"/>
                          <w:jc w:val="both"/>
                          <w:rPr>
                            <w:rFonts w:ascii="宋体" w:hAnsi="宋体" w:cs="宋体" w:eastAsia="宋体" w:hint="default"/>
                            <w:sz w:val="18"/>
                            <w:szCs w:val="18"/>
                          </w:rPr>
                        </w:pPr>
                        <w:r>
                          <w:rPr>
                            <w:rFonts w:ascii="宋体" w:hAnsi="宋体" w:cs="宋体" w:eastAsia="宋体" w:hint="default"/>
                            <w:sz w:val="18"/>
                            <w:szCs w:val="18"/>
                          </w:rPr>
                          <w:t>全资、控股子公司拟将当前闲置募集资金</w:t>
                        </w:r>
                        <w:r>
                          <w:rPr>
                            <w:rFonts w:ascii="宋体" w:hAnsi="宋体" w:cs="宋体" w:eastAsia="宋体" w:hint="default"/>
                            <w:spacing w:val="-48"/>
                            <w:sz w:val="18"/>
                            <w:szCs w:val="18"/>
                          </w:rPr>
                          <w:t> </w:t>
                        </w:r>
                        <w:r>
                          <w:rPr>
                            <w:rFonts w:ascii="宋体" w:hAnsi="宋体" w:cs="宋体" w:eastAsia="宋体" w:hint="default"/>
                            <w:sz w:val="18"/>
                            <w:szCs w:val="18"/>
                          </w:rPr>
                          <w:t>14,000</w:t>
                        </w:r>
                        <w:r>
                          <w:rPr>
                            <w:rFonts w:ascii="宋体" w:hAnsi="宋体" w:cs="宋体" w:eastAsia="宋体" w:hint="default"/>
                            <w:spacing w:val="-47"/>
                            <w:sz w:val="18"/>
                            <w:szCs w:val="18"/>
                          </w:rPr>
                          <w:t> </w:t>
                        </w:r>
                        <w:r>
                          <w:rPr>
                            <w:rFonts w:ascii="宋体" w:hAnsi="宋体" w:cs="宋体" w:eastAsia="宋体" w:hint="default"/>
                            <w:sz w:val="18"/>
                            <w:szCs w:val="18"/>
                          </w:rPr>
                          <w:t>万元暂时用于补充流动资金，使用期限不超过</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 个月，用于在公司中标项目实施过程中，提供前期设备采购资金和支付相关应付账款。该次暂时补 充流动资金已于</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pacing w:val="-3"/>
                            <w:sz w:val="18"/>
                            <w:szCs w:val="18"/>
                          </w:rPr>
                          <w:t>日全部归还至募集资金专用账户，使用期限未超过</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28"/>
                            <w:sz w:val="18"/>
                            <w:szCs w:val="18"/>
                          </w:rPr>
                          <w:t> </w:t>
                        </w:r>
                        <w:r>
                          <w:rPr>
                            <w:rFonts w:ascii="宋体" w:hAnsi="宋体" w:cs="宋体" w:eastAsia="宋体" w:hint="default"/>
                            <w:sz w:val="18"/>
                            <w:szCs w:val="18"/>
                          </w:rPr>
                          <w:t>（3</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日召开的第四届董事会第二次会议审议通过，根据募集资金投资项目建设进度</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安排，公司及全资、控股子公司拟将当前闲置募集资金</w:t>
                        </w:r>
                        <w:r>
                          <w:rPr>
                            <w:rFonts w:ascii="宋体" w:hAnsi="宋体" w:cs="宋体" w:eastAsia="宋体" w:hint="default"/>
                            <w:spacing w:val="-48"/>
                            <w:sz w:val="18"/>
                            <w:szCs w:val="18"/>
                          </w:rPr>
                          <w:t> </w:t>
                        </w:r>
                        <w:r>
                          <w:rPr>
                            <w:rFonts w:ascii="宋体" w:hAnsi="宋体" w:cs="宋体" w:eastAsia="宋体" w:hint="default"/>
                            <w:sz w:val="18"/>
                            <w:szCs w:val="18"/>
                          </w:rPr>
                          <w:t>7,000</w:t>
                        </w:r>
                        <w:r>
                          <w:rPr>
                            <w:rFonts w:ascii="宋体" w:hAnsi="宋体" w:cs="宋体" w:eastAsia="宋体" w:hint="default"/>
                            <w:spacing w:val="-45"/>
                            <w:sz w:val="18"/>
                            <w:szCs w:val="18"/>
                          </w:rPr>
                          <w:t> </w:t>
                        </w:r>
                        <w:r>
                          <w:rPr>
                            <w:rFonts w:ascii="宋体" w:hAnsi="宋体" w:cs="宋体" w:eastAsia="宋体" w:hint="default"/>
                            <w:sz w:val="18"/>
                            <w:szCs w:val="18"/>
                          </w:rPr>
                          <w:t>万元暂时用于补充流动资金，使用期</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限不超过</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个月，用于在公司中标项目实施过程中，提供前期设备采购资金和支付相关应付账款</w:t>
                        </w:r>
                      </w:p>
                      <w:p>
                        <w:pPr>
                          <w:pStyle w:val="TableParagraph"/>
                          <w:spacing w:line="316" w:lineRule="auto" w:before="76"/>
                          <w:ind w:left="23" w:right="69"/>
                          <w:jc w:val="both"/>
                          <w:rPr>
                            <w:rFonts w:ascii="宋体" w:hAnsi="宋体" w:cs="宋体" w:eastAsia="宋体" w:hint="default"/>
                            <w:sz w:val="18"/>
                            <w:szCs w:val="18"/>
                          </w:rPr>
                        </w:pPr>
                        <w:r>
                          <w:rPr>
                            <w:rFonts w:ascii="宋体" w:hAnsi="宋体" w:cs="宋体" w:eastAsia="宋体" w:hint="default"/>
                            <w:sz w:val="18"/>
                            <w:szCs w:val="18"/>
                          </w:rPr>
                          <w:t>该次暂时补充流动资金已于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日全部归还至募集资金专用账户，使用期限未超过</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z w:val="18"/>
                            <w:szCs w:val="18"/>
                          </w:rPr>
                          <w:t> 个月。</w:t>
                        </w:r>
                      </w:p>
                    </w:tc>
                  </w:tr>
                  <w:tr>
                    <w:trPr>
                      <w:trHeight w:val="227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vMerge/>
                        <w:tcBorders>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尚未使用的募集资金将用于完成募投项目，其存放于募投资金三方监管专户。</w:t>
                        </w:r>
                      </w:p>
                    </w:tc>
                  </w:tr>
                  <w:tr>
                    <w:trPr>
                      <w:trHeight w:val="358"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8" w:type="dxa"/>
                        <w:tcBorders>
                          <w:top w:val="nil" w:sz="6" w:space="0" w:color="auto"/>
                          <w:left w:val="single" w:sz="4" w:space="0" w:color="000000"/>
                          <w:bottom w:val="single" w:sz="4" w:space="0" w:color="000000"/>
                          <w:right w:val="single" w:sz="4" w:space="0" w:color="000000"/>
                        </w:tcBorders>
                        <w:shd w:val="clear" w:color="auto" w:fill="C6ECCC"/>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67"/>
        <w:ind w:right="2127"/>
        <w:jc w:val="left"/>
        <w:rPr>
          <w:b w:val="0"/>
          <w:bCs w:val="0"/>
        </w:rPr>
      </w:pPr>
      <w:bookmarkStart w:name="（3）募集资金变更项目情况" w:id="53"/>
      <w:bookmarkEnd w:id="53"/>
      <w:r>
        <w:rPr>
          <w:b w:val="0"/>
          <w:bCs w:val="0"/>
        </w:rPr>
      </w:r>
      <w:r>
        <w:rPr/>
        <w:t>（3）募集资金变更项目情况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公司报告期不存在募集资金变更项目情况。</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出售重大资产情况" w:id="55"/>
      <w:bookmarkEnd w:id="55"/>
      <w:r>
        <w:rPr>
          <w:b w:val="0"/>
          <w:bCs w:val="0"/>
        </w:rPr>
      </w:r>
      <w:r>
        <w:rPr/>
        <w:t>1、出售重大资产情况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2、出售重大股权情况" w:id="56"/>
      <w:bookmarkEnd w:id="56"/>
      <w:r>
        <w:rPr>
          <w:b w:val="0"/>
          <w:bCs w:val="0"/>
        </w:rPr>
      </w:r>
      <w:r>
        <w:rPr/>
        <w:t>2、出售重大股权情况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spacing w:before="44"/>
        <w:ind w:left="112" w:right="-1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宋体" w:hAnsi="宋体" w:cs="宋体" w:eastAsia="宋体" w:hint="default"/>
          <w:sz w:val="18"/>
          <w:szCs w:val="18"/>
        </w:rPr>
        <w:t>10%以上的参股公司情况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750" w:space="4168"/>
            <w:col w:w="197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885"/>
        <w:gridCol w:w="945"/>
        <w:gridCol w:w="960"/>
        <w:gridCol w:w="1215"/>
        <w:gridCol w:w="1185"/>
        <w:gridCol w:w="1230"/>
        <w:gridCol w:w="1140"/>
        <w:gridCol w:w="1110"/>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烟台华东电 子软件技术 有限公司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电子与信 息等</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60,000,000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538,677,963.</w:t>
            </w:r>
          </w:p>
          <w:p>
            <w:pPr>
              <w:pStyle w:val="TableParagraph"/>
              <w:spacing w:line="240" w:lineRule="auto" w:before="76"/>
              <w:ind w:right="19"/>
              <w:jc w:val="right"/>
              <w:rPr>
                <w:rFonts w:ascii="宋体" w:hAnsi="宋体" w:cs="宋体" w:eastAsia="宋体" w:hint="default"/>
                <w:sz w:val="18"/>
                <w:szCs w:val="18"/>
              </w:rPr>
            </w:pPr>
            <w:r>
              <w:rPr>
                <w:rFonts w:ascii="宋体"/>
                <w:sz w:val="18"/>
              </w:rPr>
              <w:t>97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419,359,620.</w:t>
            </w:r>
          </w:p>
          <w:p>
            <w:pPr>
              <w:pStyle w:val="TableParagraph"/>
              <w:spacing w:line="240" w:lineRule="auto" w:before="76"/>
              <w:ind w:right="21"/>
              <w:jc w:val="right"/>
              <w:rPr>
                <w:rFonts w:ascii="宋体" w:hAnsi="宋体" w:cs="宋体" w:eastAsia="宋体" w:hint="default"/>
                <w:sz w:val="18"/>
                <w:szCs w:val="18"/>
              </w:rPr>
            </w:pPr>
            <w:r>
              <w:rPr>
                <w:rFonts w:ascii="宋体"/>
                <w:sz w:val="18"/>
              </w:rPr>
              <w:t>94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244,397,182.8</w:t>
            </w:r>
          </w:p>
          <w:p>
            <w:pPr>
              <w:pStyle w:val="TableParagraph"/>
              <w:spacing w:line="240" w:lineRule="auto" w:before="76"/>
              <w:ind w:right="22"/>
              <w:jc w:val="right"/>
              <w:rPr>
                <w:rFonts w:ascii="宋体" w:hAnsi="宋体" w:cs="宋体" w:eastAsia="宋体" w:hint="default"/>
                <w:sz w:val="18"/>
                <w:szCs w:val="18"/>
              </w:rPr>
            </w:pPr>
            <w:r>
              <w:rPr>
                <w:rFonts w:ascii="宋体"/>
                <w:sz w:val="18"/>
              </w:rPr>
              <w:t>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36,857,757.3</w:t>
            </w:r>
          </w:p>
          <w:p>
            <w:pPr>
              <w:pStyle w:val="TableParagraph"/>
              <w:spacing w:line="240" w:lineRule="auto" w:before="76"/>
              <w:ind w:right="22"/>
              <w:jc w:val="right"/>
              <w:rPr>
                <w:rFonts w:ascii="宋体" w:hAnsi="宋体" w:cs="宋体" w:eastAsia="宋体" w:hint="default"/>
                <w:sz w:val="18"/>
                <w:szCs w:val="18"/>
              </w:rPr>
            </w:pPr>
            <w:r>
              <w:rPr>
                <w:rFonts w:ascii="宋体"/>
                <w:sz w:val="18"/>
              </w:rPr>
              <w:t>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28,909,974.</w:t>
            </w:r>
          </w:p>
          <w:p>
            <w:pPr>
              <w:pStyle w:val="TableParagraph"/>
              <w:spacing w:line="240" w:lineRule="auto" w:before="76"/>
              <w:ind w:right="21"/>
              <w:jc w:val="right"/>
              <w:rPr>
                <w:rFonts w:ascii="宋体" w:hAnsi="宋体" w:cs="宋体" w:eastAsia="宋体" w:hint="default"/>
                <w:sz w:val="18"/>
                <w:szCs w:val="18"/>
              </w:rPr>
            </w:pPr>
            <w:r>
              <w:rPr>
                <w:rFonts w:ascii="宋体"/>
                <w:sz w:val="18"/>
              </w:rPr>
              <w:t>04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电子与信 息等</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sz w:val="18"/>
              </w:rPr>
              <w:t>50,500,000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261,935,839.</w:t>
            </w:r>
          </w:p>
          <w:p>
            <w:pPr>
              <w:pStyle w:val="TableParagraph"/>
              <w:spacing w:line="240" w:lineRule="auto" w:before="76"/>
              <w:ind w:right="19"/>
              <w:jc w:val="right"/>
              <w:rPr>
                <w:rFonts w:ascii="宋体" w:hAnsi="宋体" w:cs="宋体" w:eastAsia="宋体" w:hint="default"/>
                <w:sz w:val="18"/>
                <w:szCs w:val="18"/>
              </w:rPr>
            </w:pPr>
            <w:r>
              <w:rPr>
                <w:rFonts w:ascii="宋体"/>
                <w:sz w:val="18"/>
              </w:rPr>
              <w:t>31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102,766,272.</w:t>
            </w:r>
          </w:p>
          <w:p>
            <w:pPr>
              <w:pStyle w:val="TableParagraph"/>
              <w:spacing w:line="240" w:lineRule="auto" w:before="76"/>
              <w:ind w:right="21"/>
              <w:jc w:val="right"/>
              <w:rPr>
                <w:rFonts w:ascii="宋体" w:hAnsi="宋体" w:cs="宋体" w:eastAsia="宋体" w:hint="default"/>
                <w:sz w:val="18"/>
                <w:szCs w:val="18"/>
              </w:rPr>
            </w:pPr>
            <w:r>
              <w:rPr>
                <w:rFonts w:ascii="宋体"/>
                <w:sz w:val="18"/>
              </w:rPr>
              <w:t>70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283,340,445.7</w:t>
            </w:r>
          </w:p>
          <w:p>
            <w:pPr>
              <w:pStyle w:val="TableParagraph"/>
              <w:spacing w:line="240" w:lineRule="auto" w:before="76"/>
              <w:ind w:right="22"/>
              <w:jc w:val="right"/>
              <w:rPr>
                <w:rFonts w:ascii="宋体" w:hAnsi="宋体" w:cs="宋体" w:eastAsia="宋体" w:hint="default"/>
                <w:sz w:val="18"/>
                <w:szCs w:val="18"/>
              </w:rPr>
            </w:pPr>
            <w:r>
              <w:rPr>
                <w:rFonts w:ascii="宋体"/>
                <w:sz w:val="18"/>
              </w:rPr>
              <w:t>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36,086,284.2</w:t>
            </w:r>
          </w:p>
          <w:p>
            <w:pPr>
              <w:pStyle w:val="TableParagraph"/>
              <w:spacing w:line="240" w:lineRule="auto" w:before="76"/>
              <w:ind w:right="22"/>
              <w:jc w:val="right"/>
              <w:rPr>
                <w:rFonts w:ascii="宋体" w:hAnsi="宋体" w:cs="宋体" w:eastAsia="宋体" w:hint="default"/>
                <w:sz w:val="18"/>
                <w:szCs w:val="18"/>
              </w:rPr>
            </w:pPr>
            <w:r>
              <w:rPr>
                <w:rFonts w:ascii="宋体"/>
                <w:sz w:val="18"/>
              </w:rPr>
              <w:t>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31,714,457.</w:t>
            </w:r>
          </w:p>
          <w:p>
            <w:pPr>
              <w:pStyle w:val="TableParagraph"/>
              <w:spacing w:line="240" w:lineRule="auto" w:before="76"/>
              <w:ind w:right="21"/>
              <w:jc w:val="right"/>
              <w:rPr>
                <w:rFonts w:ascii="宋体" w:hAnsi="宋体" w:cs="宋体" w:eastAsia="宋体" w:hint="default"/>
                <w:sz w:val="18"/>
                <w:szCs w:val="18"/>
              </w:rPr>
            </w:pPr>
            <w:r>
              <w:rPr>
                <w:rFonts w:ascii="宋体"/>
                <w:sz w:val="18"/>
              </w:rPr>
              <w:t>40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成都赛英科 技有限公司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军工电子 产品</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5,000,000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202,273,292.</w:t>
            </w:r>
          </w:p>
          <w:p>
            <w:pPr>
              <w:pStyle w:val="TableParagraph"/>
              <w:spacing w:line="240" w:lineRule="auto" w:before="76"/>
              <w:ind w:right="19"/>
              <w:jc w:val="right"/>
              <w:rPr>
                <w:rFonts w:ascii="宋体" w:hAnsi="宋体" w:cs="宋体" w:eastAsia="宋体" w:hint="default"/>
                <w:sz w:val="18"/>
                <w:szCs w:val="18"/>
              </w:rPr>
            </w:pPr>
            <w:r>
              <w:rPr>
                <w:rFonts w:ascii="宋体"/>
                <w:sz w:val="18"/>
              </w:rPr>
              <w:t>30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153,079,421.</w:t>
            </w:r>
          </w:p>
          <w:p>
            <w:pPr>
              <w:pStyle w:val="TableParagraph"/>
              <w:spacing w:line="240" w:lineRule="auto" w:before="76"/>
              <w:ind w:right="21"/>
              <w:jc w:val="right"/>
              <w:rPr>
                <w:rFonts w:ascii="宋体" w:hAnsi="宋体" w:cs="宋体" w:eastAsia="宋体" w:hint="default"/>
                <w:sz w:val="18"/>
                <w:szCs w:val="18"/>
              </w:rPr>
            </w:pPr>
            <w:r>
              <w:rPr>
                <w:rFonts w:ascii="宋体"/>
                <w:sz w:val="18"/>
              </w:rPr>
              <w:t>38</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95,065,852.86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37,272,343.0</w:t>
            </w:r>
          </w:p>
          <w:p>
            <w:pPr>
              <w:pStyle w:val="TableParagraph"/>
              <w:spacing w:line="240" w:lineRule="auto" w:before="76"/>
              <w:ind w:right="22"/>
              <w:jc w:val="right"/>
              <w:rPr>
                <w:rFonts w:ascii="宋体" w:hAnsi="宋体" w:cs="宋体" w:eastAsia="宋体" w:hint="default"/>
                <w:sz w:val="18"/>
                <w:szCs w:val="18"/>
              </w:rPr>
            </w:pPr>
            <w:r>
              <w:rPr>
                <w:rFonts w:ascii="宋体"/>
                <w:sz w:val="18"/>
              </w:rPr>
              <w:t>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33,062,325.</w:t>
            </w:r>
          </w:p>
          <w:p>
            <w:pPr>
              <w:pStyle w:val="TableParagraph"/>
              <w:spacing w:line="240" w:lineRule="auto" w:before="76"/>
              <w:ind w:right="21"/>
              <w:jc w:val="right"/>
              <w:rPr>
                <w:rFonts w:ascii="宋体" w:hAnsi="宋体" w:cs="宋体" w:eastAsia="宋体" w:hint="default"/>
                <w:sz w:val="18"/>
                <w:szCs w:val="18"/>
              </w:rPr>
            </w:pPr>
            <w:r>
              <w:rPr>
                <w:rFonts w:ascii="宋体"/>
                <w:sz w:val="18"/>
              </w:rPr>
              <w:t>10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发行股份购买</w:t>
            </w:r>
          </w:p>
        </w:tc>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年合并报表贡献净利润</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33,062,325.10</w:t>
            </w:r>
            <w:r>
              <w:rPr>
                <w:rFonts w:ascii="宋体" w:hAnsi="宋体" w:cs="宋体" w:eastAsia="宋体" w:hint="default"/>
                <w:spacing w:val="-52"/>
                <w:sz w:val="18"/>
                <w:szCs w:val="18"/>
              </w:rPr>
              <w:t> </w:t>
            </w:r>
            <w:r>
              <w:rPr>
                <w:rFonts w:ascii="宋体" w:hAnsi="宋体" w:cs="宋体" w:eastAsia="宋体" w:hint="default"/>
                <w:sz w:val="18"/>
                <w:szCs w:val="18"/>
              </w:rPr>
              <w:t>元</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25"/>
          <w:szCs w:val="25"/>
        </w:rPr>
      </w:pPr>
    </w:p>
    <w:p>
      <w:pPr>
        <w:pStyle w:val="Heading4"/>
        <w:spacing w:line="240" w:lineRule="auto"/>
        <w:ind w:right="2127"/>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6"/>
        <w:spacing w:line="240" w:lineRule="auto"/>
        <w:ind w:left="532" w:right="2127"/>
        <w:jc w:val="left"/>
        <w:rPr>
          <w:b w:val="0"/>
          <w:bCs w:val="0"/>
        </w:rPr>
      </w:pPr>
      <w:r>
        <w:rPr>
          <w:color w:val="181F24"/>
        </w:rPr>
        <w:t>（一）行业竞争格局和发展趋势</w:t>
      </w:r>
      <w:r>
        <w:rPr>
          <w:b w:val="0"/>
          <w:bCs w:val="0"/>
        </w:rPr>
      </w:r>
    </w:p>
    <w:p>
      <w:pPr>
        <w:spacing w:after="0" w:line="240" w:lineRule="auto"/>
        <w:jc w:val="left"/>
        <w:sectPr>
          <w:type w:val="continuous"/>
          <w:pgSz w:w="11910" w:h="16840"/>
          <w:pgMar w:top="1060" w:bottom="1160" w:left="1020" w:right="0"/>
        </w:sectPr>
      </w:pPr>
    </w:p>
    <w:p>
      <w:pPr>
        <w:spacing w:line="240" w:lineRule="auto" w:before="0"/>
        <w:rPr>
          <w:rFonts w:ascii="宋体" w:hAnsi="宋体" w:cs="宋体" w:eastAsia="宋体" w:hint="default"/>
          <w:b/>
          <w:bCs/>
          <w:sz w:val="20"/>
          <w:szCs w:val="20"/>
        </w:rPr>
      </w:pPr>
    </w:p>
    <w:p>
      <w:pPr>
        <w:pStyle w:val="Heading6"/>
        <w:spacing w:line="240" w:lineRule="auto" w:before="173"/>
        <w:ind w:left="532" w:right="2127"/>
        <w:jc w:val="left"/>
        <w:rPr>
          <w:b w:val="0"/>
          <w:bCs w:val="0"/>
        </w:rPr>
      </w:pPr>
      <w:r>
        <w:rPr/>
        <w:t>1、智慧交通迎来新的发展风口</w:t>
      </w:r>
      <w:r>
        <w:rPr>
          <w:b w:val="0"/>
          <w:bCs w:val="0"/>
        </w:rPr>
      </w:r>
    </w:p>
    <w:p>
      <w:pPr>
        <w:spacing w:line="240" w:lineRule="auto" w:before="9"/>
        <w:rPr>
          <w:rFonts w:ascii="宋体" w:hAnsi="宋体" w:cs="宋体" w:eastAsia="宋体" w:hint="default"/>
          <w:b/>
          <w:bCs/>
          <w:sz w:val="26"/>
          <w:szCs w:val="26"/>
        </w:rPr>
      </w:pPr>
    </w:p>
    <w:p>
      <w:pPr>
        <w:pStyle w:val="BodyText"/>
        <w:spacing w:line="408" w:lineRule="auto" w:before="0"/>
        <w:ind w:right="1112" w:firstLine="420"/>
        <w:jc w:val="both"/>
      </w:pPr>
      <w:r>
        <w:rPr>
          <w:w w:val="95"/>
        </w:rPr>
        <w:t>2019年全国两会期间，习近平总书记对交通运输事业提出了新要求，李克强总理在政府工作报告中对</w:t>
      </w:r>
      <w:r>
        <w:rPr>
          <w:w w:val="99"/>
        </w:rPr>
        <w:t> </w:t>
      </w:r>
      <w:r>
        <w:rPr>
          <w:w w:val="95"/>
        </w:rPr>
        <w:t>交通运输工作提出了新任务。2019年政府工作报告提出，要合理扩大有效投资，加快实施一批重点项目，</w:t>
      </w:r>
      <w:r>
        <w:rPr>
          <w:spacing w:val="61"/>
          <w:w w:val="95"/>
        </w:rPr>
        <w:t> </w:t>
      </w:r>
      <w:r>
        <w:rPr>
          <w:spacing w:val="61"/>
          <w:w w:val="95"/>
        </w:rPr>
      </w:r>
      <w:r>
        <w:rPr>
          <w:spacing w:val="2"/>
        </w:rPr>
        <w:t>完成公路水运投资1.8万亿元；推动共建一带一路，加快基础设施互联互通；深化大数据、人工智能等研</w:t>
      </w:r>
      <w:r>
        <w:rPr>
          <w:w w:val="99"/>
        </w:rPr>
        <w:t> </w:t>
      </w:r>
      <w:r>
        <w:rPr/>
        <w:t>发应用，将在两年内基本取消全国高速公路省界收费站，实现不停车快捷收费，减少拥堵、便利群众。</w:t>
      </w:r>
    </w:p>
    <w:p>
      <w:pPr>
        <w:pStyle w:val="BodyText"/>
        <w:spacing w:line="408" w:lineRule="auto" w:before="46"/>
        <w:ind w:right="1132" w:firstLine="420"/>
        <w:jc w:val="both"/>
      </w:pPr>
      <w:r>
        <w:rPr>
          <w:spacing w:val="2"/>
          <w:w w:val="95"/>
        </w:rPr>
        <w:t>随着高速公路与普通国省干线路网管理一体化的快速推进，ETC不停车收费的全面普及，公路收费管</w:t>
      </w:r>
      <w:r>
        <w:rPr>
          <w:spacing w:val="-84"/>
          <w:w w:val="95"/>
        </w:rPr>
        <w:t> </w:t>
      </w:r>
      <w:r>
        <w:rPr>
          <w:spacing w:val="-84"/>
          <w:w w:val="95"/>
        </w:rPr>
      </w:r>
      <w:r>
        <w:rPr/>
        <w:t>理体制、服务理念、出行模式将被全面重构。</w:t>
      </w:r>
    </w:p>
    <w:p>
      <w:pPr>
        <w:pStyle w:val="BodyText"/>
        <w:spacing w:line="408" w:lineRule="auto" w:before="46"/>
        <w:ind w:right="1130" w:firstLine="420"/>
        <w:jc w:val="both"/>
      </w:pPr>
      <w:r>
        <w:rPr>
          <w:w w:val="95"/>
        </w:rPr>
        <w:t>大数据、物联网、人工智能等技术赋予交通运输业新的动能，智能交通行业进入技术创新、产业整合</w:t>
      </w:r>
      <w:r>
        <w:rPr>
          <w:spacing w:val="-96"/>
          <w:w w:val="95"/>
        </w:rPr>
        <w:t> </w:t>
      </w:r>
      <w:r>
        <w:rPr>
          <w:spacing w:val="-96"/>
          <w:w w:val="95"/>
        </w:rPr>
      </w:r>
      <w:r>
        <w:rPr>
          <w:w w:val="95"/>
        </w:rPr>
        <w:t>的全新发展阶段。专注交通领域前瞻性技术研究的大交通信息化和智能化企业能有效构建集交通数据采集</w:t>
      </w:r>
      <w:r>
        <w:rPr>
          <w:spacing w:val="37"/>
          <w:w w:val="95"/>
        </w:rPr>
        <w:t> </w:t>
      </w:r>
      <w:r>
        <w:rPr>
          <w:spacing w:val="37"/>
          <w:w w:val="95"/>
        </w:rPr>
      </w:r>
      <w:r>
        <w:rPr>
          <w:w w:val="95"/>
        </w:rPr>
        <w:t>分析、车辆路径识别、收费清分结算、路网监管预警于一体的交通运营整体解决方案，助力实现多车道自</w:t>
      </w:r>
      <w:r>
        <w:rPr>
          <w:spacing w:val="44"/>
          <w:w w:val="95"/>
        </w:rPr>
        <w:t> </w:t>
      </w:r>
      <w:r>
        <w:rPr>
          <w:spacing w:val="44"/>
          <w:w w:val="95"/>
        </w:rPr>
      </w:r>
      <w:r>
        <w:rPr/>
        <w:t>由流收费，推进交通领域服务升级、消费升级，形成大交通出行产业生态圈。</w:t>
      </w:r>
    </w:p>
    <w:p>
      <w:pPr>
        <w:spacing w:line="408" w:lineRule="auto" w:before="46"/>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2、物联网+交通应用场景释放新红利</w:t>
      </w:r>
      <w:r>
        <w:rPr>
          <w:rFonts w:ascii="宋体" w:hAnsi="宋体" w:cs="宋体" w:eastAsia="宋体" w:hint="default"/>
          <w:b/>
          <w:bCs/>
          <w:w w:val="99"/>
          <w:sz w:val="21"/>
          <w:szCs w:val="21"/>
        </w:rPr>
        <w:t> </w:t>
      </w:r>
      <w:r>
        <w:rPr>
          <w:rFonts w:ascii="宋体" w:hAnsi="宋体" w:cs="宋体" w:eastAsia="宋体" w:hint="default"/>
          <w:w w:val="95"/>
          <w:sz w:val="21"/>
          <w:szCs w:val="21"/>
        </w:rPr>
        <w:t>随着5G时代的到来，超高速、超低时延的通信网络与物联网海量数据相结合，加上人工智能技术提供</w:t>
      </w:r>
      <w:r>
        <w:rPr>
          <w:rFonts w:ascii="宋体" w:hAnsi="宋体" w:cs="宋体" w:eastAsia="宋体" w:hint="default"/>
          <w:sz w:val="21"/>
          <w:szCs w:val="21"/>
        </w:rPr>
      </w:r>
    </w:p>
    <w:p>
      <w:pPr>
        <w:pStyle w:val="BodyText"/>
        <w:spacing w:line="408" w:lineRule="auto" w:before="46"/>
        <w:ind w:right="1216"/>
        <w:jc w:val="both"/>
      </w:pPr>
      <w:r>
        <w:rPr>
          <w:w w:val="95"/>
        </w:rPr>
        <w:t>语境化和智能决策能力，5G、AI和IoT三者的融合赋予交通运输行业新的发展动力，引领大交通信息产业</w:t>
      </w:r>
      <w:r>
        <w:rPr>
          <w:spacing w:val="56"/>
          <w:w w:val="95"/>
        </w:rPr>
        <w:t> </w:t>
      </w:r>
      <w:r>
        <w:rPr>
          <w:spacing w:val="56"/>
          <w:w w:val="95"/>
        </w:rPr>
      </w:r>
      <w:r>
        <w:rPr/>
        <w:t>变革升级。</w:t>
      </w:r>
    </w:p>
    <w:p>
      <w:pPr>
        <w:pStyle w:val="BodyText"/>
        <w:spacing w:line="408" w:lineRule="auto" w:before="46"/>
        <w:ind w:right="1019" w:firstLine="420"/>
        <w:jc w:val="left"/>
      </w:pPr>
      <w:r>
        <w:rPr>
          <w:spacing w:val="-3"/>
        </w:rPr>
        <w:t>技术升级为智能交通在不同应用场景的落地、融合提供了多维度发展契机。引入智能算法和深度学习，</w:t>
      </w:r>
      <w:r>
        <w:rPr>
          <w:w w:val="99"/>
        </w:rPr>
        <w:t> </w:t>
      </w:r>
      <w:r>
        <w:rPr/>
        <w:t>采用数据采集与传输汇聚、动态交通海量网联数据分析处理、综合路况态势分析预测预判及调度控制等关</w:t>
      </w:r>
      <w:r>
        <w:rPr>
          <w:w w:val="99"/>
        </w:rPr>
        <w:t> </w:t>
      </w:r>
      <w:r>
        <w:rPr>
          <w:spacing w:val="-3"/>
        </w:rPr>
        <w:t>键技术，人、车、物全息交通数据的感知采集支撑系统智能化及整体优化升级成为现实，融合人、车、路、</w:t>
      </w:r>
      <w:r>
        <w:rPr>
          <w:w w:val="99"/>
        </w:rPr>
        <w:t> </w:t>
      </w:r>
      <w:r>
        <w:rPr/>
        <w:t>环境为一体的大路网运营系统有望在交通应用场景中全面落地。</w:t>
      </w:r>
    </w:p>
    <w:p>
      <w:pPr>
        <w:pStyle w:val="BodyText"/>
        <w:spacing w:line="408" w:lineRule="auto" w:before="46"/>
        <w:ind w:right="1130" w:firstLine="420"/>
        <w:jc w:val="both"/>
      </w:pPr>
      <w:r>
        <w:rPr>
          <w:w w:val="95"/>
        </w:rPr>
        <w:t>未来，智能交通行业将加速产业生态圈的跨界融合，既具备路测融合感知、系统互联互通、高性能计</w:t>
      </w:r>
      <w:r>
        <w:rPr>
          <w:spacing w:val="-97"/>
          <w:w w:val="95"/>
        </w:rPr>
        <w:t> </w:t>
      </w:r>
      <w:r>
        <w:rPr>
          <w:spacing w:val="-97"/>
          <w:w w:val="95"/>
        </w:rPr>
      </w:r>
      <w:r>
        <w:rPr>
          <w:w w:val="95"/>
        </w:rPr>
        <w:t>算、机器学习等技术实力，又拥有出行服务、联网收费、路网运营、指挥调度、视频监控等多个业务领域</w:t>
      </w:r>
      <w:r>
        <w:rPr>
          <w:spacing w:val="39"/>
          <w:w w:val="95"/>
        </w:rPr>
        <w:t> </w:t>
      </w:r>
      <w:r>
        <w:rPr>
          <w:spacing w:val="39"/>
          <w:w w:val="95"/>
        </w:rPr>
      </w:r>
      <w:r>
        <w:rPr/>
        <w:t>和应用场景的产业互联网场景运营商将在激烈的市场竞争中脱颖而出。</w:t>
      </w:r>
    </w:p>
    <w:p>
      <w:pPr>
        <w:spacing w:line="408" w:lineRule="auto" w:before="46"/>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3、军民融合激发AI+交通新动能</w:t>
      </w:r>
      <w:r>
        <w:rPr>
          <w:rFonts w:ascii="宋体" w:hAnsi="宋体" w:cs="宋体" w:eastAsia="宋体" w:hint="default"/>
          <w:b/>
          <w:bCs/>
          <w:w w:val="99"/>
          <w:sz w:val="21"/>
          <w:szCs w:val="21"/>
        </w:rPr>
        <w:t> </w:t>
      </w:r>
      <w:r>
        <w:rPr>
          <w:rFonts w:ascii="宋体" w:hAnsi="宋体" w:cs="宋体" w:eastAsia="宋体" w:hint="default"/>
          <w:w w:val="95"/>
          <w:sz w:val="21"/>
          <w:szCs w:val="21"/>
        </w:rPr>
        <w:t>近年来，交通领域军民融合不断向广度拓展、深度延伸，特别是在交通科技产业领域，微波探测、遥</w:t>
      </w:r>
      <w:r>
        <w:rPr>
          <w:rFonts w:ascii="宋体" w:hAnsi="宋体" w:cs="宋体" w:eastAsia="宋体" w:hint="default"/>
          <w:sz w:val="21"/>
          <w:szCs w:val="21"/>
        </w:rPr>
      </w:r>
    </w:p>
    <w:p>
      <w:pPr>
        <w:pStyle w:val="BodyText"/>
        <w:spacing w:line="408" w:lineRule="auto" w:before="46"/>
        <w:ind w:right="1130"/>
        <w:jc w:val="both"/>
      </w:pPr>
      <w:r>
        <w:rPr>
          <w:w w:val="95"/>
        </w:rPr>
        <w:t>感技术、北斗导航、天地一体化网络设施在智能交通、现代仓储物流等方面的技术应用不断创新、产业规</w:t>
      </w:r>
      <w:r>
        <w:rPr>
          <w:spacing w:val="42"/>
          <w:w w:val="95"/>
        </w:rPr>
        <w:t> </w:t>
      </w:r>
      <w:r>
        <w:rPr>
          <w:spacing w:val="42"/>
          <w:w w:val="95"/>
        </w:rPr>
      </w:r>
      <w:r>
        <w:rPr>
          <w:w w:val="95"/>
        </w:rPr>
        <w:t>模不断壮大。党的十九大报告提出，将推动国防交通力量和民用交通力量大结合，促进军地交通系统全方</w:t>
      </w:r>
      <w:r>
        <w:rPr>
          <w:spacing w:val="43"/>
          <w:w w:val="95"/>
        </w:rPr>
        <w:t> </w:t>
      </w:r>
      <w:r>
        <w:rPr>
          <w:spacing w:val="43"/>
          <w:w w:val="95"/>
        </w:rPr>
      </w:r>
      <w:r>
        <w:rPr>
          <w:w w:val="95"/>
        </w:rPr>
        <w:t>位、多层次、诸领域的大统筹，构建综合公路、铁路、水路、航空、管道的大交通运输网，加快应急投送</w:t>
      </w:r>
      <w:r>
        <w:rPr>
          <w:spacing w:val="43"/>
          <w:w w:val="95"/>
        </w:rPr>
        <w:t> </w:t>
      </w:r>
      <w:r>
        <w:rPr>
          <w:spacing w:val="43"/>
          <w:w w:val="95"/>
        </w:rPr>
      </w:r>
      <w:r>
        <w:rPr/>
        <w:t>与现代物流的有机融合。</w:t>
      </w:r>
    </w:p>
    <w:p>
      <w:pPr>
        <w:pStyle w:val="BodyText"/>
        <w:spacing w:line="240" w:lineRule="auto" w:before="46"/>
        <w:ind w:left="532" w:right="0"/>
        <w:jc w:val="left"/>
      </w:pPr>
      <w:r>
        <w:rPr/>
        <w:t>随着交通管理系统向智能化、全面化、实时化发展，对数据监测、采集、分析的精度和准度提出了更</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408" w:lineRule="auto" w:before="173"/>
        <w:ind w:right="1112"/>
        <w:jc w:val="both"/>
      </w:pPr>
      <w:r>
        <w:rPr>
          <w:w w:val="95"/>
        </w:rPr>
        <w:t>高要求，微波探测技术及雷达整机系统以其可靠性、稳定性、适应性被广泛应用于交通基础设施监测、交</w:t>
      </w:r>
      <w:r>
        <w:rPr>
          <w:spacing w:val="43"/>
          <w:w w:val="95"/>
        </w:rPr>
        <w:t> </w:t>
      </w:r>
      <w:r>
        <w:rPr>
          <w:spacing w:val="43"/>
          <w:w w:val="95"/>
        </w:rPr>
      </w:r>
      <w:r>
        <w:rPr>
          <w:w w:val="95"/>
        </w:rPr>
        <w:t>通量调查、交通事件检测、指挥调度、安全报警、航海、引航、船舶靠泊等多个领域，能够推动大数据、</w:t>
      </w:r>
      <w:r>
        <w:rPr>
          <w:spacing w:val="61"/>
          <w:w w:val="95"/>
        </w:rPr>
        <w:t> </w:t>
      </w:r>
      <w:r>
        <w:rPr>
          <w:spacing w:val="61"/>
          <w:w w:val="95"/>
        </w:rPr>
      </w:r>
      <w:r>
        <w:rPr/>
        <w:t>物联网、人工智能与交通信息化系统深度融合，具有广阔的市场前景。</w:t>
      </w:r>
    </w:p>
    <w:p>
      <w:pPr>
        <w:pStyle w:val="BodyText"/>
        <w:spacing w:line="408" w:lineRule="auto" w:before="46"/>
        <w:ind w:right="1132" w:firstLine="420"/>
        <w:jc w:val="both"/>
      </w:pPr>
      <w:r>
        <w:rPr>
          <w:w w:val="95"/>
        </w:rPr>
        <w:t>公司在微波射频领域拥有业内领先的定制化软件开发、系统的产品生产能力，同时具备多元化的大交</w:t>
      </w:r>
      <w:r>
        <w:rPr>
          <w:w w:val="99"/>
        </w:rPr>
        <w:t> </w:t>
      </w:r>
      <w:r>
        <w:rPr>
          <w:w w:val="95"/>
        </w:rPr>
        <w:t>通出行运营场景，能够激发技术、渠道、资源潜能，为微波探测技术在高速公路、港口、安防等民用领域</w:t>
      </w:r>
      <w:r>
        <w:rPr>
          <w:spacing w:val="40"/>
          <w:w w:val="95"/>
        </w:rPr>
        <w:t> </w:t>
      </w:r>
      <w:r>
        <w:rPr>
          <w:spacing w:val="40"/>
          <w:w w:val="95"/>
        </w:rPr>
      </w:r>
      <w:r>
        <w:rPr/>
        <w:t>打开市场空间，夯实核心竞争力。</w:t>
      </w:r>
    </w:p>
    <w:p>
      <w:pPr>
        <w:spacing w:line="240" w:lineRule="auto" w:before="6"/>
        <w:rPr>
          <w:rFonts w:ascii="宋体" w:hAnsi="宋体" w:cs="宋体" w:eastAsia="宋体" w:hint="default"/>
          <w:sz w:val="15"/>
          <w:szCs w:val="15"/>
        </w:rPr>
      </w:pPr>
    </w:p>
    <w:p>
      <w:pPr>
        <w:pStyle w:val="Heading6"/>
        <w:spacing w:line="240" w:lineRule="auto"/>
        <w:ind w:left="532" w:right="2127"/>
        <w:jc w:val="left"/>
        <w:rPr>
          <w:b w:val="0"/>
          <w:bCs w:val="0"/>
        </w:rPr>
      </w:pPr>
      <w:r>
        <w:rPr/>
        <w:t>（二）公司发展战略</w:t>
      </w:r>
      <w:r>
        <w:rPr>
          <w:b w:val="0"/>
          <w:bCs w:val="0"/>
        </w:rPr>
      </w:r>
    </w:p>
    <w:p>
      <w:pPr>
        <w:spacing w:line="240" w:lineRule="auto" w:before="9"/>
        <w:rPr>
          <w:rFonts w:ascii="宋体" w:hAnsi="宋体" w:cs="宋体" w:eastAsia="宋体" w:hint="default"/>
          <w:b/>
          <w:bCs/>
          <w:sz w:val="26"/>
          <w:szCs w:val="26"/>
        </w:rPr>
      </w:pPr>
    </w:p>
    <w:p>
      <w:pPr>
        <w:pStyle w:val="BodyText"/>
        <w:spacing w:line="408" w:lineRule="auto" w:before="0"/>
        <w:ind w:right="1130" w:firstLine="420"/>
        <w:jc w:val="both"/>
      </w:pPr>
      <w:r>
        <w:rPr>
          <w:w w:val="95"/>
        </w:rPr>
        <w:t>2019年，公司将以大数据、物联网、人工智能为核心技术驱动，围绕大交通SaaS应用，为客户提供基</w:t>
      </w:r>
      <w:r>
        <w:rPr>
          <w:spacing w:val="-96"/>
          <w:w w:val="95"/>
        </w:rPr>
        <w:t> </w:t>
      </w:r>
      <w:r>
        <w:rPr>
          <w:spacing w:val="-96"/>
          <w:w w:val="95"/>
        </w:rPr>
      </w:r>
      <w:r>
        <w:rPr>
          <w:w w:val="95"/>
        </w:rPr>
        <w:t>于云、平台、终端三位一体服务，持续推动业务升级，致力于成为中国领先的智慧大交通和智慧新城市领</w:t>
      </w:r>
      <w:r>
        <w:rPr>
          <w:spacing w:val="43"/>
          <w:w w:val="95"/>
        </w:rPr>
        <w:t> </w:t>
      </w:r>
      <w:r>
        <w:rPr>
          <w:spacing w:val="43"/>
          <w:w w:val="95"/>
        </w:rPr>
      </w:r>
      <w:r>
        <w:rPr/>
        <w:t>域的解决方案提供商。</w:t>
      </w:r>
    </w:p>
    <w:p>
      <w:pPr>
        <w:spacing w:line="240" w:lineRule="auto" w:before="6"/>
        <w:rPr>
          <w:rFonts w:ascii="宋体" w:hAnsi="宋体" w:cs="宋体" w:eastAsia="宋体" w:hint="default"/>
          <w:sz w:val="15"/>
          <w:szCs w:val="15"/>
        </w:rPr>
      </w:pPr>
    </w:p>
    <w:p>
      <w:pPr>
        <w:pStyle w:val="Heading6"/>
        <w:spacing w:line="240" w:lineRule="auto"/>
        <w:ind w:left="532" w:right="2127"/>
        <w:jc w:val="left"/>
        <w:rPr>
          <w:b w:val="0"/>
          <w:bCs w:val="0"/>
        </w:rPr>
      </w:pPr>
      <w:r>
        <w:rPr/>
        <w:t>（三）2019年度经营计划</w:t>
      </w:r>
      <w:r>
        <w:rPr>
          <w:b w:val="0"/>
          <w:bCs w:val="0"/>
        </w:rPr>
      </w:r>
    </w:p>
    <w:p>
      <w:pPr>
        <w:spacing w:line="240" w:lineRule="auto" w:before="9"/>
        <w:rPr>
          <w:rFonts w:ascii="宋体" w:hAnsi="宋体" w:cs="宋体" w:eastAsia="宋体" w:hint="default"/>
          <w:b/>
          <w:bCs/>
          <w:sz w:val="26"/>
          <w:szCs w:val="26"/>
        </w:rPr>
      </w:pPr>
    </w:p>
    <w:p>
      <w:pPr>
        <w:tabs>
          <w:tab w:pos="2325" w:val="left" w:leader="none"/>
        </w:tabs>
        <w:spacing w:line="408" w:lineRule="auto" w:before="0"/>
        <w:ind w:left="532" w:right="1156" w:firstLine="0"/>
        <w:jc w:val="left"/>
        <w:rPr>
          <w:rFonts w:ascii="宋体" w:hAnsi="宋体" w:cs="宋体" w:eastAsia="宋体" w:hint="default"/>
          <w:sz w:val="21"/>
          <w:szCs w:val="21"/>
        </w:rPr>
      </w:pPr>
      <w:r>
        <w:rPr>
          <w:rFonts w:ascii="宋体" w:hAnsi="宋体" w:cs="宋体" w:eastAsia="宋体" w:hint="default"/>
          <w:b/>
          <w:bCs/>
          <w:w w:val="95"/>
          <w:sz w:val="21"/>
          <w:szCs w:val="21"/>
        </w:rPr>
        <w:t>1、加码研发投入</w:t>
        <w:tab/>
      </w:r>
      <w:r>
        <w:rPr>
          <w:rFonts w:ascii="宋体" w:hAnsi="宋体" w:cs="宋体" w:eastAsia="宋体" w:hint="default"/>
          <w:b/>
          <w:bCs/>
          <w:sz w:val="21"/>
          <w:szCs w:val="21"/>
        </w:rPr>
        <w:t>构建大交通数据图谱</w:t>
      </w:r>
      <w:r>
        <w:rPr>
          <w:rFonts w:ascii="宋体" w:hAnsi="宋体" w:cs="宋体" w:eastAsia="宋体" w:hint="default"/>
          <w:b/>
          <w:bCs/>
          <w:w w:val="99"/>
          <w:sz w:val="21"/>
          <w:szCs w:val="21"/>
        </w:rPr>
        <w:t> </w:t>
      </w:r>
      <w:r>
        <w:rPr>
          <w:rFonts w:ascii="宋体" w:hAnsi="宋体" w:cs="宋体" w:eastAsia="宋体" w:hint="default"/>
          <w:w w:val="95"/>
          <w:sz w:val="21"/>
          <w:szCs w:val="21"/>
        </w:rPr>
        <w:t>公司将组建创新研究院，通过与电子科技大学等高等院校、科研院所共建技术研究中心，聚合产业高</w:t>
      </w:r>
      <w:r>
        <w:rPr>
          <w:rFonts w:ascii="宋体" w:hAnsi="宋体" w:cs="宋体" w:eastAsia="宋体" w:hint="default"/>
          <w:sz w:val="21"/>
          <w:szCs w:val="21"/>
        </w:rPr>
      </w:r>
    </w:p>
    <w:p>
      <w:pPr>
        <w:pStyle w:val="BodyText"/>
        <w:spacing w:line="408" w:lineRule="auto" w:before="46"/>
        <w:ind w:right="1130"/>
        <w:jc w:val="both"/>
      </w:pPr>
      <w:r>
        <w:rPr>
          <w:spacing w:val="2"/>
          <w:w w:val="95"/>
        </w:rPr>
        <w:t>端人才，持续加码研发投入，以自动化、智能化、物联化为目标，基于“IaaS/CaaS/PaaS/SaaS”四层技</w:t>
      </w:r>
      <w:r>
        <w:rPr>
          <w:spacing w:val="27"/>
          <w:w w:val="95"/>
        </w:rPr>
        <w:t> </w:t>
      </w:r>
      <w:r>
        <w:rPr>
          <w:spacing w:val="27"/>
          <w:w w:val="95"/>
        </w:rPr>
      </w:r>
      <w:r>
        <w:rPr>
          <w:w w:val="95"/>
        </w:rPr>
        <w:t>术体系，深入开展交通大数据、云计算、聚合支付等前沿技术领域的研究，聚焦神经网络算法、视觉分析</w:t>
      </w:r>
      <w:r>
        <w:rPr>
          <w:spacing w:val="45"/>
          <w:w w:val="95"/>
        </w:rPr>
        <w:t> </w:t>
      </w:r>
      <w:r>
        <w:rPr>
          <w:spacing w:val="45"/>
          <w:w w:val="95"/>
        </w:rPr>
      </w:r>
      <w:r>
        <w:rPr>
          <w:spacing w:val="2"/>
          <w:w w:val="95"/>
        </w:rPr>
        <w:t>及人脸识别、视频结构化、语音识别、微波探测等头部技术，不断探索与5G、AI、V2X通信等新兴技术相</w:t>
      </w:r>
      <w:r>
        <w:rPr>
          <w:spacing w:val="41"/>
          <w:w w:val="95"/>
        </w:rPr>
        <w:t> </w:t>
      </w:r>
      <w:r>
        <w:rPr>
          <w:spacing w:val="41"/>
          <w:w w:val="95"/>
        </w:rPr>
      </w:r>
      <w:r>
        <w:rPr>
          <w:w w:val="95"/>
        </w:rPr>
        <w:t>结合的智慧交通解决方案，构建基于大数据图谱和人、车、路数据应用创新模式，赋能产业升级，夯实公</w:t>
      </w:r>
      <w:r>
        <w:rPr>
          <w:spacing w:val="44"/>
          <w:w w:val="95"/>
        </w:rPr>
        <w:t> </w:t>
      </w:r>
      <w:r>
        <w:rPr>
          <w:spacing w:val="44"/>
          <w:w w:val="95"/>
        </w:rPr>
      </w:r>
      <w:r>
        <w:rPr/>
        <w:t>司在智能交通垂直领域的核心竞争力，打造交通产业互联网场景运营商。</w:t>
      </w:r>
    </w:p>
    <w:p>
      <w:pPr>
        <w:tabs>
          <w:tab w:pos="2325" w:val="left" w:leader="none"/>
        </w:tabs>
        <w:spacing w:line="408" w:lineRule="auto" w:before="46"/>
        <w:ind w:left="532" w:right="1028" w:firstLine="0"/>
        <w:jc w:val="left"/>
        <w:rPr>
          <w:rFonts w:ascii="宋体" w:hAnsi="宋体" w:cs="宋体" w:eastAsia="宋体" w:hint="default"/>
          <w:sz w:val="21"/>
          <w:szCs w:val="21"/>
        </w:rPr>
      </w:pPr>
      <w:r>
        <w:rPr>
          <w:rFonts w:ascii="宋体" w:hAnsi="宋体" w:cs="宋体" w:eastAsia="宋体" w:hint="default"/>
          <w:b/>
          <w:bCs/>
          <w:w w:val="95"/>
          <w:sz w:val="21"/>
          <w:szCs w:val="21"/>
        </w:rPr>
        <w:t>2、完善营销体系</w:t>
        <w:tab/>
      </w:r>
      <w:r>
        <w:rPr>
          <w:rFonts w:ascii="宋体" w:hAnsi="宋体" w:cs="宋体" w:eastAsia="宋体" w:hint="default"/>
          <w:b/>
          <w:bCs/>
          <w:sz w:val="21"/>
          <w:szCs w:val="21"/>
        </w:rPr>
        <w:t>拓展市场空间</w:t>
      </w:r>
      <w:r>
        <w:rPr>
          <w:rFonts w:ascii="宋体" w:hAnsi="宋体" w:cs="宋体" w:eastAsia="宋体" w:hint="default"/>
          <w:b/>
          <w:bCs/>
          <w:w w:val="99"/>
          <w:sz w:val="21"/>
          <w:szCs w:val="21"/>
        </w:rPr>
        <w:t> </w:t>
      </w:r>
      <w:r>
        <w:rPr>
          <w:rFonts w:ascii="宋体" w:hAnsi="宋体" w:cs="宋体" w:eastAsia="宋体" w:hint="default"/>
          <w:spacing w:val="-3"/>
          <w:sz w:val="21"/>
          <w:szCs w:val="21"/>
        </w:rPr>
        <w:t>公司将加速全国化战略的纵深发展，以市场为导向，整合营销体系和市场团队，以区域分公司为引领，</w:t>
      </w:r>
    </w:p>
    <w:p>
      <w:pPr>
        <w:pStyle w:val="BodyText"/>
        <w:spacing w:line="408" w:lineRule="auto" w:before="46"/>
        <w:ind w:right="1127"/>
        <w:jc w:val="both"/>
      </w:pPr>
      <w:r>
        <w:rPr>
          <w:w w:val="95"/>
        </w:rPr>
        <w:t>深度挖掘交通信息化和智能化、军工电子信息等优势业务的核心价值，积极探索面向服务场景的交通大数</w:t>
      </w:r>
      <w:r>
        <w:rPr>
          <w:spacing w:val="40"/>
          <w:w w:val="95"/>
        </w:rPr>
        <w:t> </w:t>
      </w:r>
      <w:r>
        <w:rPr>
          <w:spacing w:val="40"/>
          <w:w w:val="95"/>
        </w:rPr>
      </w:r>
      <w:r>
        <w:rPr>
          <w:w w:val="95"/>
        </w:rPr>
        <w:t>据、物联网产品体系，释放智能路网、智慧收费、船舶跟踪、智慧政务、平安城市等业务潜能；继续加大</w:t>
      </w:r>
      <w:r>
        <w:rPr>
          <w:spacing w:val="45"/>
          <w:w w:val="95"/>
        </w:rPr>
        <w:t> </w:t>
      </w:r>
      <w:r>
        <w:rPr>
          <w:spacing w:val="45"/>
          <w:w w:val="95"/>
        </w:rPr>
      </w:r>
      <w:r>
        <w:rPr/>
        <w:t>海外市场投入，以“一带一路”沿线为重点区域，推进业务国际化进程。</w:t>
      </w:r>
    </w:p>
    <w:p>
      <w:pPr>
        <w:tabs>
          <w:tab w:pos="2325" w:val="left" w:leader="none"/>
        </w:tabs>
        <w:spacing w:line="408" w:lineRule="auto" w:before="46"/>
        <w:ind w:left="532" w:right="1156" w:firstLine="0"/>
        <w:jc w:val="left"/>
        <w:rPr>
          <w:rFonts w:ascii="宋体" w:hAnsi="宋体" w:cs="宋体" w:eastAsia="宋体" w:hint="default"/>
          <w:sz w:val="21"/>
          <w:szCs w:val="21"/>
        </w:rPr>
      </w:pPr>
      <w:r>
        <w:rPr>
          <w:rFonts w:ascii="宋体" w:hAnsi="宋体" w:cs="宋体" w:eastAsia="宋体" w:hint="default"/>
          <w:b/>
          <w:bCs/>
          <w:w w:val="95"/>
          <w:sz w:val="21"/>
          <w:szCs w:val="21"/>
        </w:rPr>
        <w:t>3、实行全面预算</w:t>
        <w:tab/>
      </w:r>
      <w:r>
        <w:rPr>
          <w:rFonts w:ascii="宋体" w:hAnsi="宋体" w:cs="宋体" w:eastAsia="宋体" w:hint="default"/>
          <w:b/>
          <w:bCs/>
          <w:sz w:val="21"/>
          <w:szCs w:val="21"/>
        </w:rPr>
        <w:t>促进降本增效</w:t>
      </w:r>
      <w:r>
        <w:rPr>
          <w:rFonts w:ascii="宋体" w:hAnsi="宋体" w:cs="宋体" w:eastAsia="宋体" w:hint="default"/>
          <w:b/>
          <w:bCs/>
          <w:w w:val="99"/>
          <w:sz w:val="21"/>
          <w:szCs w:val="21"/>
        </w:rPr>
        <w:t> </w:t>
      </w:r>
      <w:r>
        <w:rPr>
          <w:rFonts w:ascii="宋体" w:hAnsi="宋体" w:cs="宋体" w:eastAsia="宋体" w:hint="default"/>
          <w:w w:val="95"/>
          <w:sz w:val="21"/>
          <w:szCs w:val="21"/>
        </w:rPr>
        <w:t>公司将实施全面预算制度，对费用执行情况进行实时监控、及时预警、有效管控，建立预算执行全过</w:t>
      </w:r>
      <w:r>
        <w:rPr>
          <w:rFonts w:ascii="宋体" w:hAnsi="宋体" w:cs="宋体" w:eastAsia="宋体" w:hint="default"/>
          <w:sz w:val="21"/>
          <w:szCs w:val="21"/>
        </w:rPr>
      </w:r>
    </w:p>
    <w:p>
      <w:pPr>
        <w:pStyle w:val="BodyText"/>
        <w:spacing w:line="408" w:lineRule="auto" w:before="46"/>
        <w:ind w:right="1127"/>
        <w:jc w:val="both"/>
      </w:pPr>
      <w:r>
        <w:rPr>
          <w:w w:val="95"/>
        </w:rPr>
        <w:t>程的监管、分析和纠偏机制，将成本管理、精益管理和对标管理等措施紧密结合，助力公司提质增效；依</w:t>
      </w:r>
      <w:r>
        <w:rPr>
          <w:spacing w:val="42"/>
          <w:w w:val="95"/>
        </w:rPr>
        <w:t> </w:t>
      </w:r>
      <w:r>
        <w:rPr>
          <w:spacing w:val="42"/>
          <w:w w:val="95"/>
        </w:rPr>
      </w:r>
      <w:r>
        <w:rPr>
          <w:w w:val="95"/>
        </w:rPr>
        <w:t>托项目管理平台，建立集项目投标、启动、实施、验收、交付、运营为一体的综合管理体系，通过各阶段</w:t>
      </w:r>
      <w:r>
        <w:rPr>
          <w:spacing w:val="46"/>
          <w:w w:val="95"/>
        </w:rPr>
        <w:t> </w:t>
      </w:r>
      <w:r>
        <w:rPr>
          <w:spacing w:val="46"/>
          <w:w w:val="95"/>
        </w:rPr>
      </w:r>
      <w:r>
        <w:rPr/>
        <w:t>项目评审严格控制成本预算，持续优化项目管理流程，提升项目利润水平。</w:t>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tabs>
          <w:tab w:pos="2325" w:val="left" w:leader="none"/>
        </w:tabs>
        <w:spacing w:line="408" w:lineRule="auto" w:before="173"/>
        <w:ind w:left="532" w:right="1156" w:firstLine="0"/>
        <w:jc w:val="left"/>
        <w:rPr>
          <w:rFonts w:ascii="宋体" w:hAnsi="宋体" w:cs="宋体" w:eastAsia="宋体" w:hint="default"/>
          <w:sz w:val="21"/>
          <w:szCs w:val="21"/>
        </w:rPr>
      </w:pPr>
      <w:r>
        <w:rPr>
          <w:rFonts w:ascii="宋体" w:hAnsi="宋体" w:cs="宋体" w:eastAsia="宋体" w:hint="default"/>
          <w:b/>
          <w:bCs/>
          <w:w w:val="95"/>
          <w:sz w:val="21"/>
          <w:szCs w:val="21"/>
        </w:rPr>
        <w:t>4、强化人力管理</w:t>
        <w:tab/>
      </w:r>
      <w:r>
        <w:rPr>
          <w:rFonts w:ascii="宋体" w:hAnsi="宋体" w:cs="宋体" w:eastAsia="宋体" w:hint="default"/>
          <w:b/>
          <w:bCs/>
          <w:sz w:val="21"/>
          <w:szCs w:val="21"/>
        </w:rPr>
        <w:t>组建专业队伍</w:t>
      </w:r>
      <w:r>
        <w:rPr>
          <w:rFonts w:ascii="宋体" w:hAnsi="宋体" w:cs="宋体" w:eastAsia="宋体" w:hint="default"/>
          <w:b/>
          <w:bCs/>
          <w:w w:val="99"/>
          <w:sz w:val="21"/>
          <w:szCs w:val="21"/>
        </w:rPr>
        <w:t> </w:t>
      </w:r>
      <w:r>
        <w:rPr>
          <w:rFonts w:ascii="宋体" w:hAnsi="宋体" w:cs="宋体" w:eastAsia="宋体" w:hint="default"/>
          <w:w w:val="95"/>
          <w:sz w:val="21"/>
          <w:szCs w:val="21"/>
        </w:rPr>
        <w:t>公司重新梳理企业组织架构，加速人力资源管理体系创新，以利润为导向，明晰各岗位职责和考核指</w:t>
      </w:r>
      <w:r>
        <w:rPr>
          <w:rFonts w:ascii="宋体" w:hAnsi="宋体" w:cs="宋体" w:eastAsia="宋体" w:hint="default"/>
          <w:sz w:val="21"/>
          <w:szCs w:val="21"/>
        </w:rPr>
      </w:r>
    </w:p>
    <w:p>
      <w:pPr>
        <w:pStyle w:val="BodyText"/>
        <w:spacing w:line="408" w:lineRule="auto" w:before="46"/>
        <w:ind w:right="1025"/>
        <w:jc w:val="left"/>
      </w:pPr>
      <w:r>
        <w:rPr>
          <w:spacing w:val="4"/>
        </w:rPr>
        <w:t>标，激发前台市场开拓和业务发展能力，强化后台服务和支撑能力；完善员工绩效考核体系，科学实践</w:t>
      </w:r>
      <w:r>
        <w:rPr>
          <w:w w:val="99"/>
        </w:rPr>
        <w:t> </w:t>
      </w:r>
      <w:r>
        <w:rPr/>
        <w:t>DevOps、OKR工作方法及OEC管理模式，重点围绕业绩规模、利润、用户转化等方面关键指标，构建公开透</w:t>
      </w:r>
      <w:r>
        <w:rPr>
          <w:w w:val="99"/>
        </w:rPr>
        <w:t> </w:t>
      </w:r>
      <w:r>
        <w:rPr>
          <w:spacing w:val="-3"/>
        </w:rPr>
        <w:t>明、竞争充分的人才动态管理机制；以企业文化为引领，通过多元化的培训体系、具有竞争性的薪酬福利、</w:t>
      </w:r>
      <w:r>
        <w:rPr>
          <w:w w:val="99"/>
        </w:rPr>
        <w:t> </w:t>
      </w:r>
      <w:r>
        <w:rPr/>
        <w:t>员工持股、限制性股票等多种激励形式，提升组织运作效能，搭建一支“职业化、年轻化、透明化、全国</w:t>
      </w:r>
      <w:r>
        <w:rPr>
          <w:w w:val="99"/>
        </w:rPr>
        <w:t> </w:t>
      </w:r>
      <w:r>
        <w:rPr/>
        <w:t>化”的人才队伍。</w:t>
      </w:r>
    </w:p>
    <w:p>
      <w:pPr>
        <w:tabs>
          <w:tab w:pos="2325" w:val="left" w:leader="none"/>
        </w:tabs>
        <w:spacing w:line="408" w:lineRule="auto" w:before="46"/>
        <w:ind w:left="532" w:right="1156" w:firstLine="0"/>
        <w:jc w:val="left"/>
        <w:rPr>
          <w:rFonts w:ascii="宋体" w:hAnsi="宋体" w:cs="宋体" w:eastAsia="宋体" w:hint="default"/>
          <w:sz w:val="21"/>
          <w:szCs w:val="21"/>
        </w:rPr>
      </w:pPr>
      <w:r>
        <w:rPr>
          <w:rFonts w:ascii="宋体" w:hAnsi="宋体" w:cs="宋体" w:eastAsia="宋体" w:hint="default"/>
          <w:b/>
          <w:bCs/>
          <w:w w:val="95"/>
          <w:sz w:val="21"/>
          <w:szCs w:val="21"/>
        </w:rPr>
        <w:t>5、深化资本运作</w:t>
        <w:tab/>
      </w:r>
      <w:r>
        <w:rPr>
          <w:rFonts w:ascii="宋体" w:hAnsi="宋体" w:cs="宋体" w:eastAsia="宋体" w:hint="default"/>
          <w:b/>
          <w:bCs/>
          <w:sz w:val="21"/>
          <w:szCs w:val="21"/>
        </w:rPr>
        <w:t>做大做强主营业务</w:t>
      </w:r>
      <w:r>
        <w:rPr>
          <w:rFonts w:ascii="宋体" w:hAnsi="宋体" w:cs="宋体" w:eastAsia="宋体" w:hint="default"/>
          <w:b/>
          <w:bCs/>
          <w:w w:val="99"/>
          <w:sz w:val="21"/>
          <w:szCs w:val="21"/>
        </w:rPr>
        <w:t> </w:t>
      </w:r>
      <w:r>
        <w:rPr>
          <w:rFonts w:ascii="宋体" w:hAnsi="宋体" w:cs="宋体" w:eastAsia="宋体" w:hint="default"/>
          <w:w w:val="95"/>
          <w:sz w:val="21"/>
          <w:szCs w:val="21"/>
        </w:rPr>
        <w:t>紧密围绕大交通信息化和军工电子信息主营业务，根据产业发展动态和公司业务发展情况，充分利用</w:t>
      </w:r>
      <w:r>
        <w:rPr>
          <w:rFonts w:ascii="宋体" w:hAnsi="宋体" w:cs="宋体" w:eastAsia="宋体" w:hint="default"/>
          <w:sz w:val="21"/>
          <w:szCs w:val="21"/>
        </w:rPr>
      </w:r>
    </w:p>
    <w:p>
      <w:pPr>
        <w:pStyle w:val="BodyText"/>
        <w:spacing w:line="408" w:lineRule="auto" w:before="46"/>
        <w:ind w:right="1025"/>
        <w:jc w:val="left"/>
      </w:pPr>
      <w:r>
        <w:rPr/>
        <w:t>资本市场平台，通过并购重组、战略合作、投资参股等多种方式，寻求大数据、人工智能、物联网等领域</w:t>
      </w:r>
      <w:r>
        <w:rPr>
          <w:w w:val="99"/>
        </w:rPr>
        <w:t> </w:t>
      </w:r>
      <w:r>
        <w:rPr>
          <w:spacing w:val="-3"/>
        </w:rPr>
        <w:t>的优质伙伴，整合产业链上下游资源，增强核心业务竞争力，加快外延式发展步伐；秉承集团化发展战略，</w:t>
      </w:r>
      <w:r>
        <w:rPr>
          <w:w w:val="99"/>
        </w:rPr>
        <w:t> </w:t>
      </w:r>
      <w:r>
        <w:rPr/>
        <w:t>从财务、业务、人才、战略、文化等方面入手，加强对旗下各子公司的整合和管理力度，通过业务组合抵</w:t>
      </w:r>
      <w:r>
        <w:rPr>
          <w:w w:val="99"/>
        </w:rPr>
        <w:t> </w:t>
      </w:r>
      <w:r>
        <w:rPr/>
        <w:t>御市场风险，形成集聚优势，增强集团竞争合力。</w:t>
      </w:r>
    </w:p>
    <w:p>
      <w:pPr>
        <w:spacing w:line="240" w:lineRule="auto" w:before="6"/>
        <w:rPr>
          <w:rFonts w:ascii="宋体" w:hAnsi="宋体" w:cs="宋体" w:eastAsia="宋体" w:hint="default"/>
          <w:sz w:val="15"/>
          <w:szCs w:val="15"/>
        </w:rPr>
      </w:pPr>
    </w:p>
    <w:p>
      <w:pPr>
        <w:pStyle w:val="Heading6"/>
        <w:spacing w:line="240" w:lineRule="auto"/>
        <w:ind w:left="532" w:right="2127"/>
        <w:jc w:val="left"/>
        <w:rPr>
          <w:b w:val="0"/>
          <w:bCs w:val="0"/>
        </w:rPr>
      </w:pPr>
      <w:r>
        <w:rPr/>
        <w:t>（四）企业面临的风险及应对措施</w:t>
      </w:r>
      <w:r>
        <w:rPr>
          <w:b w:val="0"/>
          <w:bCs w:val="0"/>
        </w:rPr>
      </w:r>
    </w:p>
    <w:p>
      <w:pPr>
        <w:spacing w:line="240" w:lineRule="auto" w:before="9"/>
        <w:rPr>
          <w:rFonts w:ascii="宋体" w:hAnsi="宋体" w:cs="宋体" w:eastAsia="宋体" w:hint="default"/>
          <w:b/>
          <w:bCs/>
          <w:sz w:val="26"/>
          <w:szCs w:val="26"/>
        </w:rPr>
      </w:pPr>
    </w:p>
    <w:p>
      <w:pPr>
        <w:pStyle w:val="BodyText"/>
        <w:spacing w:line="408" w:lineRule="auto" w:before="0"/>
        <w:ind w:left="532" w:right="0"/>
        <w:jc w:val="left"/>
      </w:pPr>
      <w:r>
        <w:rPr>
          <w:rFonts w:ascii="宋体" w:hAnsi="宋体" w:cs="宋体" w:eastAsia="宋体" w:hint="default"/>
          <w:b/>
          <w:bCs/>
        </w:rPr>
        <w:t>1、季节性波动风险</w:t>
      </w:r>
      <w:r>
        <w:rPr>
          <w:rFonts w:ascii="宋体" w:hAnsi="宋体" w:cs="宋体" w:eastAsia="宋体" w:hint="default"/>
          <w:b/>
          <w:bCs/>
          <w:w w:val="99"/>
        </w:rPr>
        <w:t> </w:t>
      </w:r>
      <w:r>
        <w:rPr>
          <w:w w:val="95"/>
        </w:rPr>
        <w:t>公司专注于交通信息化和军工电子信息行业，下游客户主要是各级交通管理部门和国内军工配套企业</w:t>
      </w:r>
      <w:r>
        <w:rPr/>
      </w:r>
    </w:p>
    <w:p>
      <w:pPr>
        <w:pStyle w:val="BodyText"/>
        <w:spacing w:line="408" w:lineRule="auto" w:before="46"/>
        <w:ind w:right="1132"/>
        <w:jc w:val="both"/>
      </w:pPr>
      <w:r>
        <w:rPr>
          <w:w w:val="95"/>
        </w:rPr>
        <w:t>等。公司客户实行预算制管理，大多在上个自然年度的年底或当年年初进行资金的预算、审批和采购计划</w:t>
      </w:r>
      <w:r>
        <w:rPr>
          <w:spacing w:val="40"/>
          <w:w w:val="95"/>
        </w:rPr>
        <w:t> </w:t>
      </w:r>
      <w:r>
        <w:rPr>
          <w:spacing w:val="40"/>
          <w:w w:val="95"/>
        </w:rPr>
      </w:r>
      <w:r>
        <w:rPr>
          <w:w w:val="95"/>
        </w:rPr>
        <w:t>的制定，下半年才开始具体的设备采购、项目验收等，并依据合同分期予以结算，导致公司营业收入及经</w:t>
      </w:r>
      <w:r>
        <w:rPr>
          <w:spacing w:val="38"/>
          <w:w w:val="95"/>
        </w:rPr>
        <w:t> </w:t>
      </w:r>
      <w:r>
        <w:rPr>
          <w:spacing w:val="38"/>
          <w:w w:val="95"/>
        </w:rPr>
      </w:r>
      <w:r>
        <w:rPr/>
        <w:t>营活动现金流呈现明显的季节性特征，通常上半年收入较少，大部分收入在下半年实现。</w:t>
      </w:r>
    </w:p>
    <w:p>
      <w:pPr>
        <w:pStyle w:val="BodyText"/>
        <w:spacing w:line="408" w:lineRule="auto" w:before="46"/>
        <w:ind w:right="1135" w:firstLine="420"/>
        <w:jc w:val="both"/>
      </w:pPr>
      <w:r>
        <w:rPr>
          <w:w w:val="95"/>
        </w:rPr>
        <w:t>公司将不断加大产品研发力度，优化和丰富产品结构，同时公司将不断加强客户积累，积极拓展潜在</w:t>
      </w:r>
      <w:r>
        <w:rPr>
          <w:w w:val="99"/>
        </w:rPr>
        <w:t> </w:t>
      </w:r>
      <w:r>
        <w:rPr/>
        <w:t>客户市场，在一定程度上降低季节性波动对公司经营收入的影响。</w:t>
      </w:r>
    </w:p>
    <w:p>
      <w:pPr>
        <w:spacing w:line="408" w:lineRule="auto" w:before="46"/>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2、经营规模不断扩大引致的管理风险</w:t>
      </w:r>
      <w:r>
        <w:rPr>
          <w:rFonts w:ascii="宋体" w:hAnsi="宋体" w:cs="宋体" w:eastAsia="宋体" w:hint="default"/>
          <w:b/>
          <w:bCs/>
          <w:w w:val="99"/>
          <w:sz w:val="21"/>
          <w:szCs w:val="21"/>
        </w:rPr>
        <w:t> </w:t>
      </w:r>
      <w:r>
        <w:rPr>
          <w:rFonts w:ascii="宋体" w:hAnsi="宋体" w:cs="宋体" w:eastAsia="宋体" w:hint="default"/>
          <w:w w:val="95"/>
          <w:sz w:val="21"/>
          <w:szCs w:val="21"/>
        </w:rPr>
        <w:t>随着公司资产规模、业务规模、人员及管理队伍的持续扩大，对公司的经营决策、业务管理和实施、</w:t>
      </w:r>
      <w:r>
        <w:rPr>
          <w:rFonts w:ascii="宋体" w:hAnsi="宋体" w:cs="宋体" w:eastAsia="宋体" w:hint="default"/>
          <w:sz w:val="21"/>
          <w:szCs w:val="21"/>
        </w:rPr>
      </w:r>
    </w:p>
    <w:p>
      <w:pPr>
        <w:pStyle w:val="BodyText"/>
        <w:spacing w:line="408" w:lineRule="auto" w:before="46"/>
        <w:ind w:right="0"/>
        <w:jc w:val="left"/>
      </w:pPr>
      <w:r>
        <w:rPr>
          <w:w w:val="95"/>
        </w:rPr>
        <w:t>风险控制等方面的要求越来越高，如果不能及时优化运营管理体系，实现管理升级，将影响公司运营效率</w:t>
      </w:r>
      <w:r>
        <w:rPr>
          <w:spacing w:val="40"/>
          <w:w w:val="95"/>
        </w:rPr>
        <w:t> </w:t>
      </w:r>
      <w:r>
        <w:rPr>
          <w:spacing w:val="40"/>
          <w:w w:val="95"/>
        </w:rPr>
      </w:r>
      <w:r>
        <w:rPr/>
        <w:t>和科学决策，带来管理风险。</w:t>
      </w:r>
    </w:p>
    <w:p>
      <w:pPr>
        <w:pStyle w:val="BodyText"/>
        <w:spacing w:line="408" w:lineRule="auto" w:before="46"/>
        <w:ind w:right="1132" w:firstLine="420"/>
        <w:jc w:val="both"/>
      </w:pPr>
      <w:r>
        <w:rPr>
          <w:w w:val="95"/>
        </w:rPr>
        <w:t>公司将进一步加强管理团队建设，引进优秀管理人才，优化管理队伍和组织架构，提升公司整体管理</w:t>
      </w:r>
      <w:r>
        <w:rPr>
          <w:w w:val="99"/>
        </w:rPr>
        <w:t> </w:t>
      </w:r>
      <w:r>
        <w:rPr>
          <w:w w:val="95"/>
        </w:rPr>
        <w:t>能力；通过不断健全和完善治理和经营管理机制，形成更科学有效的决策程序；公司还将聘请专业的管理</w:t>
      </w:r>
      <w:r>
        <w:rPr>
          <w:spacing w:val="40"/>
          <w:w w:val="95"/>
        </w:rPr>
        <w:t> </w:t>
      </w:r>
      <w:r>
        <w:rPr>
          <w:spacing w:val="40"/>
          <w:w w:val="95"/>
        </w:rPr>
      </w:r>
      <w:r>
        <w:rPr/>
        <w:t>咨询公司和行业专家，积极探索合适有效的经营管理模式，完善管理体系，提升公司整体管理能力。</w:t>
      </w:r>
    </w:p>
    <w:p>
      <w:pPr>
        <w:pStyle w:val="Heading6"/>
        <w:spacing w:line="240" w:lineRule="auto" w:before="46"/>
        <w:ind w:left="532" w:right="2127"/>
        <w:jc w:val="left"/>
        <w:rPr>
          <w:b w:val="0"/>
          <w:bCs w:val="0"/>
        </w:rPr>
      </w:pPr>
      <w:r>
        <w:rPr/>
        <w:t>3、应收账款回收风险</w:t>
      </w:r>
      <w:r>
        <w:rPr>
          <w:b w:val="0"/>
          <w:bCs w:val="0"/>
        </w:rPr>
      </w:r>
    </w:p>
    <w:p>
      <w:pPr>
        <w:spacing w:after="0" w:line="240" w:lineRule="auto"/>
        <w:jc w:val="left"/>
        <w:sectPr>
          <w:footerReference w:type="default" r:id="rId18"/>
          <w:pgSz w:w="11910" w:h="16840"/>
          <w:pgMar w:footer="978" w:header="746" w:top="1060" w:bottom="1160" w:left="1020" w:right="0"/>
          <w:pgNumType w:start="30"/>
        </w:sectPr>
      </w:pPr>
    </w:p>
    <w:p>
      <w:pPr>
        <w:spacing w:line="240" w:lineRule="auto" w:before="0"/>
        <w:rPr>
          <w:rFonts w:ascii="宋体" w:hAnsi="宋体" w:cs="宋体" w:eastAsia="宋体" w:hint="default"/>
          <w:b/>
          <w:bCs/>
          <w:sz w:val="20"/>
          <w:szCs w:val="20"/>
        </w:rPr>
      </w:pPr>
    </w:p>
    <w:p>
      <w:pPr>
        <w:pStyle w:val="BodyText"/>
        <w:spacing w:line="408" w:lineRule="auto" w:before="173"/>
        <w:ind w:right="0" w:firstLine="420"/>
        <w:jc w:val="left"/>
      </w:pPr>
      <w:r>
        <w:rPr>
          <w:w w:val="95"/>
        </w:rPr>
        <w:t>公司客户以各地公路管理部门、大型军工集团、港航企业集团为主，具备可靠的信誉及资金实力，应</w:t>
      </w:r>
      <w:r>
        <w:rPr>
          <w:w w:val="99"/>
        </w:rPr>
        <w:t> </w:t>
      </w:r>
      <w:r>
        <w:rPr>
          <w:w w:val="95"/>
        </w:rPr>
        <w:t>收账款总体质量良好，但随着业务规模提升和市场开拓，应收账款呈现逐年增加的趋势。如果客户信用发</w:t>
      </w:r>
      <w:r>
        <w:rPr>
          <w:spacing w:val="40"/>
          <w:w w:val="95"/>
        </w:rPr>
        <w:t> </w:t>
      </w:r>
      <w:r>
        <w:rPr>
          <w:spacing w:val="40"/>
          <w:w w:val="95"/>
        </w:rPr>
      </w:r>
      <w:r>
        <w:rPr/>
        <w:t>生重大变化或公司采取的收款措施不力，有可能存在应收账款不能按期或无法回收以至于产生坏账的风</w:t>
      </w:r>
      <w:r>
        <w:rPr>
          <w:w w:val="99"/>
        </w:rPr>
        <w:t> </w:t>
      </w:r>
      <w:r>
        <w:rPr/>
        <w:t>险。应收账款发生损失将对公司的财务状况和经营成果产生一定影响。</w:t>
      </w:r>
    </w:p>
    <w:p>
      <w:pPr>
        <w:pStyle w:val="BodyText"/>
        <w:spacing w:line="408" w:lineRule="auto" w:before="46"/>
        <w:ind w:right="0" w:firstLine="420"/>
        <w:jc w:val="left"/>
      </w:pPr>
      <w:r>
        <w:rPr>
          <w:w w:val="95"/>
        </w:rPr>
        <w:t>公司将进一步加大客户对账频度、建立健全项目回款考核与激励机制，努力控制应收账款的规模，落</w:t>
      </w:r>
      <w:r>
        <w:rPr>
          <w:w w:val="99"/>
        </w:rPr>
        <w:t> </w:t>
      </w:r>
      <w:r>
        <w:rPr/>
        <w:t>实内部催收款项的责任，加强应收账款的催收力度，做好应收账款回收风险管控工作。</w:t>
      </w:r>
    </w:p>
    <w:p>
      <w:pPr>
        <w:spacing w:line="240" w:lineRule="auto" w:before="11"/>
        <w:rPr>
          <w:rFonts w:ascii="宋体" w:hAnsi="宋体" w:cs="宋体" w:eastAsia="宋体" w:hint="default"/>
          <w:sz w:val="18"/>
          <w:szCs w:val="18"/>
        </w:rPr>
      </w:pPr>
    </w:p>
    <w:p>
      <w:pPr>
        <w:pStyle w:val="Heading4"/>
        <w:spacing w:line="240" w:lineRule="auto"/>
        <w:ind w:right="2127"/>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报告期内接待调研、沟通、采访等活动登记表" w:id="61"/>
      <w:bookmarkEnd w:id="61"/>
      <w:r>
        <w:rPr>
          <w:b w:val="0"/>
          <w:bCs w:val="0"/>
        </w:rPr>
      </w:r>
      <w:r>
        <w:rPr/>
        <w:t>1、报告期内接待调研、沟通、采访等活动登记表</w:t>
      </w:r>
      <w:r>
        <w:rPr>
          <w:b w:val="0"/>
          <w:bCs w:val="0"/>
        </w:rPr>
      </w:r>
    </w:p>
    <w:p>
      <w:pPr>
        <w:spacing w:line="240" w:lineRule="auto" w:before="7"/>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17"/>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2127"/>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right="1025" w:firstLine="420"/>
        <w:jc w:val="left"/>
      </w:pPr>
      <w:r>
        <w:rPr>
          <w:spacing w:val="-3"/>
        </w:rPr>
        <w:t>根据中国证券监督管理委员会《关于进一步落实上市公司现金分红有关事项的通知》（证监发（2012）</w:t>
      </w:r>
      <w:r>
        <w:rPr>
          <w:w w:val="99"/>
        </w:rPr>
        <w:t> </w:t>
      </w:r>
      <w:r>
        <w:rPr/>
        <w:t>37</w:t>
      </w:r>
      <w:r>
        <w:rPr>
          <w:spacing w:val="-19"/>
        </w:rPr>
        <w:t> </w:t>
      </w:r>
      <w:r>
        <w:rPr/>
        <w:t>号）和《上市公司监管指引第3号——上市公司现金分红》等相关文件的规定和要求，公司结合实际情</w:t>
      </w:r>
      <w:r>
        <w:rPr>
          <w:w w:val="99"/>
        </w:rPr>
        <w:t> </w:t>
      </w:r>
      <w:r>
        <w:rPr/>
        <w:t>况，就股东回报规划及利润分配政策制定等事项与独立董事及部分流通股东充分沟通，同时通过专线电话</w:t>
      </w:r>
      <w:r>
        <w:rPr>
          <w:w w:val="99"/>
        </w:rPr>
        <w:t> </w:t>
      </w:r>
      <w:r>
        <w:rPr/>
        <w:t>方式听取中小股东的意见和诉求，确认适合公司未来发展的现金分红事项的决策程序，在此基础上，公司</w:t>
      </w:r>
      <w:r>
        <w:rPr>
          <w:w w:val="99"/>
        </w:rPr>
        <w:t> </w:t>
      </w:r>
      <w:r>
        <w:rPr/>
        <w:t>制订了修正案，并提交公司第一届董事会第十八次会议审议通过，独立董事发表了独立意见。为进一步征</w:t>
      </w:r>
      <w:r>
        <w:rPr>
          <w:w w:val="99"/>
        </w:rPr>
        <w:t> </w:t>
      </w:r>
      <w:r>
        <w:rPr>
          <w:spacing w:val="-3"/>
        </w:rPr>
        <w:t>求中小股东诉求，保障中小股东的合法权益，公司于2012年第一次临时股东大会上提交审议了《公司章程》</w:t>
      </w:r>
      <w:r>
        <w:rPr>
          <w:w w:val="99"/>
        </w:rPr>
        <w:t> </w:t>
      </w:r>
      <w:r>
        <w:rPr/>
        <w:t>修正案。公司董事会每三年审阅一次股东回报规划，根据国家政策、结合公司实际经营状况进行及时、合</w:t>
      </w:r>
      <w:r>
        <w:rPr>
          <w:w w:val="99"/>
        </w:rPr>
        <w:t> </w:t>
      </w:r>
      <w:r>
        <w:rPr/>
        <w:t>理的修订，确保规划内容不违反相关法律法规、规范性文件及《公司章程》确定的利润分配政策。</w:t>
      </w:r>
    </w:p>
    <w:p>
      <w:pPr>
        <w:pStyle w:val="BodyText"/>
        <w:spacing w:line="408" w:lineRule="auto" w:before="87"/>
        <w:ind w:right="1130" w:firstLine="420"/>
        <w:jc w:val="both"/>
      </w:pPr>
      <w:r>
        <w:rPr>
          <w:w w:val="95"/>
        </w:rPr>
        <w:t>《公司章程》第一百五十五条明确规定了公司的利润分配政策的原则、利润分配的形式、现金分配的</w:t>
      </w:r>
      <w:r>
        <w:rPr>
          <w:w w:val="99"/>
        </w:rPr>
        <w:t> </w:t>
      </w:r>
      <w:r>
        <w:rPr>
          <w:w w:val="95"/>
        </w:rPr>
        <w:t>条件、现金分配的比例、利润分配的期间、股票股利分配的条件、利润分配的决策程序和机制、有关利润</w:t>
      </w:r>
      <w:r>
        <w:rPr>
          <w:spacing w:val="44"/>
          <w:w w:val="95"/>
        </w:rPr>
        <w:t> </w:t>
      </w:r>
      <w:r>
        <w:rPr>
          <w:spacing w:val="44"/>
          <w:w w:val="95"/>
        </w:rPr>
      </w:r>
      <w:r>
        <w:rPr>
          <w:w w:val="95"/>
        </w:rPr>
        <w:t>分配的信息披露事项、利润分配政策的调整原则等，公司将严格按照《公司章程》的规定，实施利润分配</w:t>
      </w:r>
      <w:r>
        <w:rPr>
          <w:spacing w:val="43"/>
          <w:w w:val="95"/>
        </w:rPr>
        <w:t> </w:t>
      </w:r>
      <w:r>
        <w:rPr>
          <w:spacing w:val="43"/>
          <w:w w:val="95"/>
        </w:rPr>
      </w:r>
      <w:r>
        <w:rPr/>
        <w:t>政策，强化回报股东意识，满足股东的合理投资回报和公司长远发展的要求。</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3"/>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1"/>
        <w:rPr>
          <w:rFonts w:ascii="宋体" w:hAnsi="宋体" w:cs="宋体" w:eastAsia="宋体" w:hint="default"/>
          <w:sz w:val="13"/>
          <w:szCs w:val="13"/>
        </w:rPr>
      </w:pPr>
    </w:p>
    <w:p>
      <w:pPr>
        <w:pStyle w:val="BodyText"/>
        <w:spacing w:line="408" w:lineRule="auto" w:before="0"/>
        <w:ind w:right="1130" w:firstLine="420"/>
        <w:jc w:val="both"/>
      </w:pPr>
      <w:r>
        <w:rPr>
          <w:w w:val="95"/>
        </w:rPr>
        <w:t>1、公司2016年年度权益分配方案为：以公司2016年12月31日总股本350,327,055股为基数，向全体股</w:t>
      </w:r>
      <w:r>
        <w:rPr>
          <w:spacing w:val="-97"/>
          <w:w w:val="95"/>
        </w:rPr>
        <w:t> </w:t>
      </w:r>
      <w:r>
        <w:rPr>
          <w:spacing w:val="-97"/>
          <w:w w:val="95"/>
        </w:rPr>
      </w:r>
      <w:r>
        <w:rPr>
          <w:w w:val="95"/>
        </w:rPr>
        <w:t>东每10股派发现金红利人民币0.5元（含税），不以资本公积金转增股本，不送股。2017年4月14日实施完   </w:t>
      </w:r>
      <w:r>
        <w:rPr>
          <w:spacing w:val="43"/>
          <w:w w:val="95"/>
        </w:rPr>
        <w:t> </w:t>
      </w:r>
      <w:r>
        <w:rPr>
          <w:spacing w:val="43"/>
          <w:w w:val="95"/>
        </w:rPr>
      </w:r>
      <w:r>
        <w:rPr/>
        <w:t>毕；</w:t>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408" w:lineRule="auto" w:before="173"/>
        <w:ind w:right="1125" w:firstLine="420"/>
        <w:jc w:val="left"/>
      </w:pPr>
      <w:r>
        <w:rPr>
          <w:spacing w:val="2"/>
          <w:w w:val="95"/>
        </w:rPr>
        <w:t>2、公司2017年年度权益分配方案为：不派发现金红利，也不以资本公积金转增股本，未分配利润结</w:t>
      </w:r>
      <w:r>
        <w:rPr>
          <w:spacing w:val="-89"/>
          <w:w w:val="95"/>
        </w:rPr>
        <w:t> </w:t>
      </w:r>
      <w:r>
        <w:rPr>
          <w:spacing w:val="-89"/>
          <w:w w:val="95"/>
        </w:rPr>
      </w:r>
      <w:r>
        <w:rPr/>
        <w:t>转下一年度；</w:t>
      </w:r>
    </w:p>
    <w:p>
      <w:pPr>
        <w:pStyle w:val="BodyText"/>
        <w:spacing w:line="408" w:lineRule="auto" w:before="87"/>
        <w:ind w:right="0" w:firstLine="420"/>
        <w:jc w:val="left"/>
      </w:pPr>
      <w:r>
        <w:rPr>
          <w:w w:val="95"/>
        </w:rPr>
        <w:t>3、公司2018年年度权益分配预案为：以公司2018年12月31日总股本412,135,469股为基数，向全体股</w:t>
      </w:r>
      <w:r>
        <w:rPr>
          <w:spacing w:val="-97"/>
          <w:w w:val="95"/>
        </w:rPr>
        <w:t> </w:t>
      </w:r>
      <w:r>
        <w:rPr>
          <w:spacing w:val="-97"/>
          <w:w w:val="95"/>
        </w:rPr>
      </w:r>
      <w:r>
        <w:rPr/>
        <w:t>东每10股派发现金红利人民币0.3元（含税），不以资本公积金转增股本，不送股。</w:t>
      </w:r>
    </w:p>
    <w:p>
      <w:pPr>
        <w:spacing w:before="33"/>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7"/>
        <w:gridCol w:w="1365"/>
        <w:gridCol w:w="1356"/>
        <w:gridCol w:w="1059"/>
        <w:gridCol w:w="1140"/>
        <w:gridCol w:w="1245"/>
        <w:gridCol w:w="1340"/>
        <w:gridCol w:w="1196"/>
      </w:tblGrid>
      <w:tr>
        <w:trPr>
          <w:trHeight w:val="227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1" w:right="4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3" w:right="74"/>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24" w:right="2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7" w:right="76"/>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5"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12,364,064.07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105,820,825.29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11.68%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12,364,064.07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11.68%</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82,717,605.13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0.00</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17,516,352.75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76,872,684.10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22.79%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17,516,352.75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22.79%</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0.30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412,135,469</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12,364,064.07</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18"/>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7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12,364,064.07</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316,581,152.79</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比例</w:t>
            </w:r>
          </w:p>
        </w:tc>
        <w:tc>
          <w:tcPr>
            <w:tcW w:w="57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pacing w:val="-1"/>
                <w:sz w:val="18"/>
                <w:szCs w:val="18"/>
              </w:rPr>
              <w:t>20％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年年度权益分配预案为：以公司</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412,135,469</w:t>
            </w:r>
            <w:r>
              <w:rPr>
                <w:rFonts w:ascii="宋体" w:hAnsi="宋体" w:cs="宋体" w:eastAsia="宋体" w:hint="default"/>
                <w:spacing w:val="-47"/>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股派发现</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8"/>
          <w:szCs w:val="28"/>
        </w:rPr>
      </w:pPr>
      <w:r>
        <w:rPr/>
        <w:pict>
          <v:shape style="position:absolute;margin-left:389.759003pt;margin-top:472.650024pt;width:60.8pt;height:282.95pt;mso-position-horizontal-relative:page;mso-position-vertical-relative:page;z-index:-11091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6.049988pt;margin-top:472.650024pt;width:54.5pt;height:283.05pt;mso-position-horizontal-relative:page;mso-position-vertical-relative:page;z-index:-1109104" coordorigin="7921,9453" coordsize="1090,5661">
            <v:shape style="position:absolute;left:7921;top:9453;width:1090;height:5661" coordorigin="7921,9453" coordsize="1090,5661" path="m7921,9453l9011,9453,9011,15114,7921,15114,7921,9453xe" filled="true" fillcolor="#ffffff" stroked="false">
              <v:path arrowok="t"/>
              <v:fill type="solid"/>
            </v:shape>
            <w10:wrap type="none"/>
          </v:group>
        </w:pict>
      </w:r>
    </w:p>
    <w:p>
      <w:pPr>
        <w:spacing w:line="362" w:lineRule="exact"/>
        <w:ind w:left="11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pt;height:18.1pt;mso-position-horizontal-relative:char;mso-position-vertical-relative:line" type="#_x0000_t202" filled="true" fillcolor="#c6eccc" stroked="true" strokeweight=".48pt" strokecolor="#000000">
            <w10:anchorlock/>
            <v:textbox inset="0,0,0,0">
              <w:txbxContent>
                <w:p>
                  <w:pPr>
                    <w:spacing w:before="11"/>
                    <w:ind w:left="22" w:right="0" w:firstLine="0"/>
                    <w:jc w:val="left"/>
                    <w:rPr>
                      <w:rFonts w:ascii="宋体" w:hAnsi="宋体" w:cs="宋体" w:eastAsia="宋体" w:hint="default"/>
                      <w:sz w:val="18"/>
                      <w:szCs w:val="18"/>
                    </w:rPr>
                  </w:pPr>
                  <w:r>
                    <w:rPr>
                      <w:rFonts w:ascii="宋体" w:hAnsi="宋体" w:cs="宋体" w:eastAsia="宋体" w:hint="default"/>
                      <w:sz w:val="18"/>
                      <w:szCs w:val="18"/>
                    </w:rPr>
                    <w:t>金红利人民币</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，不以公积金转增股本，不送股。</w:t>
                  </w:r>
                </w:p>
              </w:txbxContent>
            </v:textbox>
            <v:fill type="solid"/>
          </v:shape>
        </w:pict>
      </w:r>
      <w:r>
        <w:rPr>
          <w:rFonts w:ascii="宋体" w:hAnsi="宋体" w:cs="宋体" w:eastAsia="宋体" w:hint="default"/>
          <w:position w:val="-6"/>
          <w:sz w:val="20"/>
          <w:szCs w:val="20"/>
        </w:rPr>
      </w:r>
    </w:p>
    <w:p>
      <w:pPr>
        <w:spacing w:line="240" w:lineRule="auto" w:before="7"/>
        <w:rPr>
          <w:rFonts w:ascii="宋体" w:hAnsi="宋体" w:cs="宋体" w:eastAsia="宋体" w:hint="default"/>
          <w:sz w:val="18"/>
          <w:szCs w:val="18"/>
        </w:rPr>
      </w:pPr>
    </w:p>
    <w:p>
      <w:pPr>
        <w:pStyle w:val="Heading4"/>
        <w:spacing w:line="240" w:lineRule="auto" w:before="26"/>
        <w:ind w:right="2127"/>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73" w:lineRule="auto"/>
        <w:ind w:right="0"/>
        <w:jc w:val="left"/>
        <w:rPr>
          <w:b w:val="0"/>
          <w:bCs w:val="0"/>
        </w:rPr>
      </w:pPr>
      <w:bookmarkStart w:name="1、公司实际控制人、股东、关联方、收购人以及公司等承诺相关方在报告期内履行完毕及" w:id="67"/>
      <w:bookmarkEnd w:id="67"/>
      <w:r>
        <w:rPr>
          <w:b w:val="0"/>
          <w:bCs w:val="0"/>
        </w:rPr>
      </w:r>
      <w:r>
        <w:rPr>
          <w:spacing w:val="3"/>
          <w:w w:val="95"/>
        </w:rPr>
        <w:t>1、公司实际控制人、股东、关联方、收购人以及公司等承诺相关方在报告期内履行完毕及截至报告期末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6"/>
        <w:rPr>
          <w:rFonts w:ascii="宋体" w:hAnsi="宋体" w:cs="宋体" w:eastAsia="宋体" w:hint="default"/>
          <w:b/>
          <w:bCs/>
          <w:sz w:val="25"/>
          <w:szCs w:val="25"/>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04"/>
        <w:gridCol w:w="1470"/>
        <w:gridCol w:w="1200"/>
        <w:gridCol w:w="2310"/>
        <w:gridCol w:w="1095"/>
        <w:gridCol w:w="825"/>
        <w:gridCol w:w="863"/>
      </w:tblGrid>
      <w:tr>
        <w:trPr>
          <w:trHeight w:val="402"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62" w:hRule="exact"/>
        </w:trPr>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174"/>
              <w:jc w:val="both"/>
              <w:rPr>
                <w:rFonts w:ascii="宋体" w:hAnsi="宋体" w:cs="宋体" w:eastAsia="宋体" w:hint="default"/>
                <w:sz w:val="18"/>
                <w:szCs w:val="18"/>
              </w:rPr>
            </w:pPr>
            <w:r>
              <w:rPr>
                <w:rFonts w:ascii="宋体" w:hAnsi="宋体" w:cs="宋体" w:eastAsia="宋体" w:hint="default"/>
                <w:sz w:val="18"/>
                <w:szCs w:val="18"/>
              </w:rPr>
              <w:t>陈乐桥;林洪钢; 林木顺;唐世容; 汪学刚;吴常念; 吴义华;姚宗诚; 易增辉;周云;邹 林</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63"/>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本人通过本次交易所认购的 </w:t>
            </w:r>
            <w:r>
              <w:rPr>
                <w:rFonts w:ascii="宋体" w:hAnsi="宋体" w:cs="宋体" w:eastAsia="宋体" w:hint="default"/>
                <w:spacing w:val="-7"/>
                <w:sz w:val="18"/>
                <w:szCs w:val="18"/>
              </w:rPr>
              <w:t>上市公司新股（包括但不限于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限售期内送红股、转增股本等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原因所增持的股份）自本次交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易涉及股份发行结束之日起 36</w:t>
            </w:r>
            <w:r>
              <w:rPr>
                <w:rFonts w:ascii="宋体" w:hAnsi="宋体" w:cs="宋体" w:eastAsia="宋体" w:hint="default"/>
                <w:spacing w:val="-45"/>
                <w:sz w:val="18"/>
                <w:szCs w:val="18"/>
              </w:rPr>
              <w:t> </w:t>
            </w:r>
            <w:r>
              <w:rPr>
                <w:rFonts w:ascii="宋体" w:hAnsi="宋体" w:cs="宋体" w:eastAsia="宋体" w:hint="default"/>
                <w:sz w:val="18"/>
                <w:szCs w:val="18"/>
              </w:rPr>
              <w:t>个月内不得转让。</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962" w:hRule="exact"/>
        </w:trPr>
        <w:tc>
          <w:tcPr>
            <w:tcW w:w="1804" w:type="dxa"/>
            <w:vMerge/>
            <w:tcBorders>
              <w:left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张荷花</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63"/>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本人通过本次交易取得的上 </w:t>
            </w:r>
            <w:r>
              <w:rPr>
                <w:rFonts w:ascii="宋体" w:hAnsi="宋体" w:cs="宋体" w:eastAsia="宋体" w:hint="default"/>
                <w:spacing w:val="-7"/>
                <w:sz w:val="18"/>
                <w:szCs w:val="18"/>
              </w:rPr>
              <w:t>市公司新股（包括但不限于送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红股、转增股本等原因增持的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股份）的锁定期为自本次交易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涉及股份发行结束之日起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z w:val="18"/>
                <w:szCs w:val="18"/>
              </w:rPr>
              <w:t> 个月。</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664"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3" w:right="174"/>
              <w:jc w:val="both"/>
              <w:rPr>
                <w:rFonts w:ascii="宋体" w:hAnsi="宋体" w:cs="宋体" w:eastAsia="宋体" w:hint="default"/>
                <w:sz w:val="18"/>
                <w:szCs w:val="18"/>
              </w:rPr>
            </w:pPr>
            <w:r>
              <w:rPr>
                <w:rFonts w:ascii="宋体" w:hAnsi="宋体" w:cs="宋体" w:eastAsia="宋体" w:hint="default"/>
                <w:sz w:val="18"/>
                <w:szCs w:val="18"/>
              </w:rPr>
              <w:t>陈乐桥;林洪钢; 唐世容;汪学刚; 吴义华;姚宗诚; 易增辉;周云;邹 林</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7"/>
                <w:sz w:val="18"/>
                <w:szCs w:val="18"/>
              </w:rPr>
              <w:t>1、赛英科技在</w:t>
            </w:r>
            <w:r>
              <w:rPr>
                <w:rFonts w:ascii="宋体" w:hAnsi="宋体" w:cs="宋体" w:eastAsia="宋体" w:hint="default"/>
                <w:spacing w:val="-40"/>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pacing w:val="-8"/>
                <w:sz w:val="18"/>
                <w:szCs w:val="18"/>
              </w:rPr>
              <w:t>年、2018</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年和</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年实现的净利润数</w:t>
            </w:r>
            <w:r>
              <w:rPr>
                <w:rFonts w:ascii="宋体" w:hAnsi="宋体" w:cs="宋体" w:eastAsia="宋体" w:hint="default"/>
                <w:sz w:val="18"/>
                <w:szCs w:val="18"/>
              </w:rPr>
              <w:t> 不低于</w:t>
            </w:r>
            <w:r>
              <w:rPr>
                <w:rFonts w:ascii="宋体" w:hAnsi="宋体" w:cs="宋体" w:eastAsia="宋体" w:hint="default"/>
                <w:spacing w:val="-45"/>
                <w:sz w:val="18"/>
                <w:szCs w:val="18"/>
              </w:rPr>
              <w:t> </w:t>
            </w:r>
            <w:r>
              <w:rPr>
                <w:rFonts w:ascii="宋体" w:hAnsi="宋体" w:cs="宋体" w:eastAsia="宋体" w:hint="default"/>
                <w:sz w:val="18"/>
                <w:szCs w:val="18"/>
              </w:rPr>
              <w:t>3,150</w:t>
            </w:r>
            <w:r>
              <w:rPr>
                <w:rFonts w:ascii="宋体" w:hAnsi="宋体" w:cs="宋体" w:eastAsia="宋体" w:hint="default"/>
                <w:spacing w:val="-46"/>
                <w:sz w:val="18"/>
                <w:szCs w:val="18"/>
              </w:rPr>
              <w:t> </w:t>
            </w:r>
            <w:r>
              <w:rPr>
                <w:rFonts w:ascii="宋体" w:hAnsi="宋体" w:cs="宋体" w:eastAsia="宋体" w:hint="default"/>
                <w:spacing w:val="-6"/>
                <w:sz w:val="18"/>
                <w:szCs w:val="18"/>
              </w:rPr>
              <w:t>万元、3,700</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z w:val="18"/>
                <w:szCs w:val="18"/>
              </w:rPr>
              <w:t> </w:t>
            </w:r>
            <w:r>
              <w:rPr>
                <w:rFonts w:ascii="宋体" w:hAnsi="宋体" w:cs="宋体" w:eastAsia="宋体" w:hint="default"/>
                <w:spacing w:val="-4"/>
                <w:sz w:val="18"/>
                <w:szCs w:val="18"/>
              </w:rPr>
              <w:t>元、4,350</w:t>
            </w:r>
            <w:r>
              <w:rPr>
                <w:rFonts w:ascii="宋体" w:hAnsi="宋体" w:cs="宋体" w:eastAsia="宋体" w:hint="default"/>
                <w:spacing w:val="-41"/>
                <w:sz w:val="18"/>
                <w:szCs w:val="18"/>
              </w:rPr>
              <w:t> </w:t>
            </w:r>
            <w:r>
              <w:rPr>
                <w:rFonts w:ascii="宋体" w:hAnsi="宋体" w:cs="宋体" w:eastAsia="宋体" w:hint="default"/>
                <w:spacing w:val="-3"/>
                <w:sz w:val="18"/>
                <w:szCs w:val="18"/>
              </w:rPr>
              <w:t>万元，补偿期实现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的净利润数合计不低于 11,200</w:t>
            </w:r>
            <w:r>
              <w:rPr>
                <w:rFonts w:ascii="宋体" w:hAnsi="宋体" w:cs="宋体" w:eastAsia="宋体" w:hint="default"/>
                <w:spacing w:val="-47"/>
                <w:sz w:val="18"/>
                <w:szCs w:val="18"/>
              </w:rPr>
              <w:t> </w:t>
            </w:r>
            <w:r>
              <w:rPr>
                <w:rFonts w:ascii="宋体" w:hAnsi="宋体" w:cs="宋体" w:eastAsia="宋体" w:hint="default"/>
                <w:sz w:val="18"/>
                <w:szCs w:val="18"/>
              </w:rPr>
              <w:t>万元；鉴于此，补偿</w:t>
            </w:r>
          </w:p>
          <w:p>
            <w:pPr>
              <w:pStyle w:val="TableParagraph"/>
              <w:spacing w:line="316" w:lineRule="auto" w:before="19"/>
              <w:ind w:left="22" w:right="69"/>
              <w:jc w:val="left"/>
              <w:rPr>
                <w:rFonts w:ascii="宋体" w:hAnsi="宋体" w:cs="宋体" w:eastAsia="宋体" w:hint="default"/>
                <w:sz w:val="18"/>
                <w:szCs w:val="18"/>
              </w:rPr>
            </w:pPr>
            <w:r>
              <w:rPr>
                <w:rFonts w:ascii="宋体" w:hAnsi="宋体" w:cs="宋体" w:eastAsia="宋体" w:hint="default"/>
                <w:sz w:val="18"/>
                <w:szCs w:val="18"/>
              </w:rPr>
              <w:t>义务人承诺赛英科技在</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z w:val="18"/>
                <w:szCs w:val="18"/>
              </w:rPr>
              <w:t> 年实现的净利润数不低于 3,150</w:t>
            </w:r>
            <w:r>
              <w:rPr>
                <w:rFonts w:ascii="宋体" w:hAnsi="宋体" w:cs="宋体" w:eastAsia="宋体" w:hint="default"/>
                <w:spacing w:val="-46"/>
                <w:sz w:val="18"/>
                <w:szCs w:val="18"/>
              </w:rPr>
              <w:t> </w:t>
            </w:r>
            <w:r>
              <w:rPr>
                <w:rFonts w:ascii="宋体" w:hAnsi="宋体" w:cs="宋体" w:eastAsia="宋体" w:hint="default"/>
                <w:sz w:val="18"/>
                <w:szCs w:val="18"/>
              </w:rPr>
              <w:t>万元，2017</w:t>
            </w:r>
            <w:r>
              <w:rPr>
                <w:rFonts w:ascii="宋体" w:hAnsi="宋体" w:cs="宋体" w:eastAsia="宋体" w:hint="default"/>
                <w:spacing w:val="-49"/>
                <w:sz w:val="18"/>
                <w:szCs w:val="18"/>
              </w:rPr>
              <w:t> </w:t>
            </w:r>
            <w:r>
              <w:rPr>
                <w:rFonts w:ascii="宋体" w:hAnsi="宋体" w:cs="宋体" w:eastAsia="宋体" w:hint="default"/>
                <w:sz w:val="18"/>
                <w:szCs w:val="18"/>
              </w:rPr>
              <w:t>年、2018</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年累积实现的净利润数不低 于</w:t>
            </w:r>
            <w:r>
              <w:rPr>
                <w:rFonts w:ascii="宋体" w:hAnsi="宋体" w:cs="宋体" w:eastAsia="宋体" w:hint="default"/>
                <w:spacing w:val="-43"/>
                <w:sz w:val="18"/>
                <w:szCs w:val="18"/>
              </w:rPr>
              <w:t> </w:t>
            </w:r>
            <w:r>
              <w:rPr>
                <w:rFonts w:ascii="宋体" w:hAnsi="宋体" w:cs="宋体" w:eastAsia="宋体" w:hint="default"/>
                <w:sz w:val="18"/>
                <w:szCs w:val="18"/>
              </w:rPr>
              <w:t>6,850</w:t>
            </w:r>
            <w:r>
              <w:rPr>
                <w:rFonts w:ascii="宋体" w:hAnsi="宋体" w:cs="宋体" w:eastAsia="宋体" w:hint="default"/>
                <w:spacing w:val="-44"/>
                <w:sz w:val="18"/>
                <w:szCs w:val="18"/>
              </w:rPr>
              <w:t> </w:t>
            </w:r>
            <w:r>
              <w:rPr>
                <w:rFonts w:ascii="宋体" w:hAnsi="宋体" w:cs="宋体" w:eastAsia="宋体" w:hint="default"/>
                <w:spacing w:val="-10"/>
                <w:sz w:val="18"/>
                <w:szCs w:val="18"/>
              </w:rPr>
              <w:t>万元，2017</w:t>
            </w:r>
            <w:r>
              <w:rPr>
                <w:rFonts w:ascii="宋体" w:hAnsi="宋体" w:cs="宋体" w:eastAsia="宋体" w:hint="default"/>
                <w:spacing w:val="-44"/>
                <w:sz w:val="18"/>
                <w:szCs w:val="18"/>
              </w:rPr>
              <w:t> </w:t>
            </w:r>
            <w:r>
              <w:rPr>
                <w:rFonts w:ascii="宋体" w:hAnsi="宋体" w:cs="宋体" w:eastAsia="宋体" w:hint="default"/>
                <w:spacing w:val="-12"/>
                <w:sz w:val="18"/>
                <w:szCs w:val="18"/>
              </w:rPr>
              <w:t>年、2018</w:t>
            </w:r>
            <w:r>
              <w:rPr>
                <w:rFonts w:ascii="宋体" w:hAnsi="宋体" w:cs="宋体" w:eastAsia="宋体" w:hint="default"/>
                <w:sz w:val="18"/>
                <w:szCs w:val="18"/>
              </w:rPr>
              <w:t> 年和</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年累积实现的净利</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润数不低于</w:t>
            </w:r>
            <w:r>
              <w:rPr>
                <w:rFonts w:ascii="宋体" w:hAnsi="宋体" w:cs="宋体" w:eastAsia="宋体" w:hint="default"/>
                <w:spacing w:val="-46"/>
                <w:sz w:val="18"/>
                <w:szCs w:val="18"/>
              </w:rPr>
              <w:t> </w:t>
            </w:r>
            <w:r>
              <w:rPr>
                <w:rFonts w:ascii="宋体" w:hAnsi="宋体" w:cs="宋体" w:eastAsia="宋体" w:hint="default"/>
                <w:sz w:val="18"/>
                <w:szCs w:val="18"/>
              </w:rPr>
              <w:t>11,200</w:t>
            </w:r>
            <w:r>
              <w:rPr>
                <w:rFonts w:ascii="宋体" w:hAnsi="宋体" w:cs="宋体" w:eastAsia="宋体" w:hint="default"/>
                <w:spacing w:val="-47"/>
                <w:sz w:val="18"/>
                <w:szCs w:val="18"/>
              </w:rPr>
              <w:t> </w:t>
            </w:r>
            <w:r>
              <w:rPr>
                <w:rFonts w:ascii="宋体" w:hAnsi="宋体" w:cs="宋体" w:eastAsia="宋体" w:hint="default"/>
                <w:sz w:val="18"/>
                <w:szCs w:val="18"/>
              </w:rPr>
              <w:t>万元。2</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pacing w:val="-9"/>
                <w:sz w:val="18"/>
                <w:szCs w:val="18"/>
              </w:rPr>
              <w:t>年度，若某</w:t>
            </w:r>
            <w:r>
              <w:rPr>
                <w:rFonts w:ascii="宋体" w:hAnsi="宋体" w:cs="宋体" w:eastAsia="宋体" w:hint="default"/>
                <w:sz w:val="18"/>
                <w:szCs w:val="18"/>
              </w:rPr>
              <w:t> 一年度赛英科技截至当期期 末累积实现净利润低于累积 承诺净利润但不低于累积承 诺净利润的</w:t>
            </w:r>
            <w:r>
              <w:rPr>
                <w:rFonts w:ascii="宋体" w:hAnsi="宋体" w:cs="宋体" w:eastAsia="宋体" w:hint="default"/>
                <w:spacing w:val="-44"/>
                <w:sz w:val="18"/>
                <w:szCs w:val="18"/>
              </w:rPr>
              <w:t> </w:t>
            </w:r>
            <w:r>
              <w:rPr>
                <w:rFonts w:ascii="宋体" w:hAnsi="宋体" w:cs="宋体" w:eastAsia="宋体" w:hint="default"/>
                <w:spacing w:val="-5"/>
                <w:sz w:val="18"/>
                <w:szCs w:val="18"/>
              </w:rPr>
              <w:t>90%，则当年补偿</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89.759003pt;margin-top:72.400024pt;width:60.8pt;height:236.25pt;mso-position-horizontal-relative:page;mso-position-vertical-relative:page;z-index:-1109080" type="#_x0000_t202" filled="false" stroked="false">
            <v:textbox inset="0,0,0,0">
              <w:txbxContent>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74.440002pt;margin-top:308.900024pt;width:121.4pt;height:316.1pt;mso-position-horizontal-relative:page;mso-position-vertical-relative:page;z-index:-1109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89.759003pt;margin-top:308.900024pt;width:60.8pt;height:316.1pt;mso-position-horizontal-relative:page;mso-position-vertical-relative:page;z-index:-1109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74.440002pt;margin-top:625.400024pt;width:121.4pt;height:142.550pt;mso-position-horizontal-relative:page;mso-position-vertical-relative:page;z-index:-1109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6.049988pt;margin-top:72.400024pt;width:54.5pt;height:552.75pt;mso-position-horizontal-relative:page;mso-position-vertical-relative:page;z-index:-1108984" coordorigin="7921,1448" coordsize="1090,11055">
            <v:group style="position:absolute;left:7921;top:1448;width:1090;height:4725" coordorigin="7921,1448" coordsize="1090,4725">
              <v:shape style="position:absolute;left:7921;top:1448;width:1090;height:4725" coordorigin="7921,1448" coordsize="1090,4725" path="m7921,1448l9011,1448,9011,6173,7921,6173,7921,1448xe" filled="true" fillcolor="#ffffff" stroked="false">
                <v:path arrowok="t"/>
                <v:fill type="solid"/>
              </v:shape>
            </v:group>
            <v:group style="position:absolute;left:7921;top:6178;width:1090;height:6325" coordorigin="7921,6178" coordsize="1090,6325">
              <v:shape style="position:absolute;left:7921;top:6178;width:1090;height:6325" coordorigin="7921,6178" coordsize="1090,6325" path="m7921,6178l9011,6178,9011,12503,7921,12503,7921,6178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04"/>
        <w:gridCol w:w="1470"/>
        <w:gridCol w:w="1200"/>
        <w:gridCol w:w="2310"/>
        <w:gridCol w:w="1095"/>
        <w:gridCol w:w="825"/>
        <w:gridCol w:w="863"/>
      </w:tblGrid>
      <w:tr>
        <w:trPr>
          <w:trHeight w:val="318" w:hRule="exact"/>
        </w:trPr>
        <w:tc>
          <w:tcPr>
            <w:tcW w:w="1804" w:type="dxa"/>
            <w:vMerge w:val="restart"/>
            <w:tcBorders>
              <w:top w:val="single" w:sz="4" w:space="0" w:color="000000"/>
              <w:left w:val="single" w:sz="4" w:space="0" w:color="000000"/>
              <w:right w:val="single" w:sz="4" w:space="0" w:color="000000"/>
            </w:tcBorders>
            <w:shd w:val="clear" w:color="auto" w:fill="D2D2D2"/>
          </w:tcPr>
          <w:p>
            <w:pPr/>
          </w:p>
        </w:tc>
        <w:tc>
          <w:tcPr>
            <w:tcW w:w="1470" w:type="dxa"/>
            <w:vMerge w:val="restart"/>
            <w:tcBorders>
              <w:top w:val="single" w:sz="4" w:space="0" w:color="000000"/>
              <w:left w:val="single" w:sz="4" w:space="0" w:color="000000"/>
              <w:right w:val="single" w:sz="4" w:space="0" w:color="000000"/>
            </w:tcBorders>
            <w:shd w:val="clear" w:color="auto" w:fill="C6ECCC"/>
          </w:tcPr>
          <w:p>
            <w:pPr/>
          </w:p>
        </w:tc>
        <w:tc>
          <w:tcPr>
            <w:tcW w:w="1200" w:type="dxa"/>
            <w:vMerge w:val="restart"/>
            <w:tcBorders>
              <w:top w:val="single" w:sz="4" w:space="0" w:color="000000"/>
              <w:left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义务人无需向上市公司补偿</w:t>
            </w:r>
          </w:p>
        </w:tc>
        <w:tc>
          <w:tcPr>
            <w:tcW w:w="1095" w:type="dxa"/>
            <w:vMerge w:val="restart"/>
            <w:tcBorders>
              <w:top w:val="single" w:sz="4" w:space="0" w:color="000000"/>
              <w:left w:val="single" w:sz="4" w:space="0" w:color="000000"/>
              <w:right w:val="single" w:sz="4" w:space="0" w:color="000000"/>
            </w:tcBorders>
          </w:tcPr>
          <w:p>
            <w:pPr/>
          </w:p>
        </w:tc>
        <w:tc>
          <w:tcPr>
            <w:tcW w:w="825" w:type="dxa"/>
            <w:vMerge w:val="restart"/>
            <w:tcBorders>
              <w:top w:val="single" w:sz="4" w:space="0" w:color="000000"/>
              <w:left w:val="single" w:sz="4" w:space="0" w:color="000000"/>
              <w:right w:val="single" w:sz="4" w:space="0" w:color="000000"/>
            </w:tcBorders>
            <w:shd w:val="clear" w:color="auto" w:fill="C6ECCC"/>
          </w:tcPr>
          <w:p>
            <w:pPr/>
          </w:p>
        </w:tc>
        <w:tc>
          <w:tcPr>
            <w:tcW w:w="863"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应补偿金额累积至下一需要</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补偿的年度计算。3、补偿期</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届满时</w:t>
            </w:r>
            <w:r>
              <w:rPr>
                <w:rFonts w:ascii="宋体" w:hAnsi="宋体" w:cs="宋体" w:eastAsia="宋体" w:hint="default"/>
                <w:spacing w:val="-87"/>
                <w:sz w:val="18"/>
                <w:szCs w:val="18"/>
              </w:rPr>
              <w:t>，</w:t>
            </w:r>
            <w:r>
              <w:rPr>
                <w:rFonts w:ascii="宋体" w:hAnsi="宋体" w:cs="宋体" w:eastAsia="宋体" w:hint="default"/>
                <w:sz w:val="18"/>
                <w:szCs w:val="18"/>
              </w:rPr>
              <w:t>若赛英科技各年度实</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现的累积实现净利润数低于</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补偿义务人承诺的累积净利</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润承诺数的</w:t>
            </w:r>
            <w:r>
              <w:rPr>
                <w:rFonts w:ascii="宋体" w:hAnsi="宋体" w:cs="宋体" w:eastAsia="宋体" w:hint="default"/>
                <w:spacing w:val="-87"/>
                <w:sz w:val="18"/>
                <w:szCs w:val="18"/>
              </w:rPr>
              <w:t>，</w:t>
            </w:r>
            <w:r>
              <w:rPr>
                <w:rFonts w:ascii="宋体" w:hAnsi="宋体" w:cs="宋体" w:eastAsia="宋体" w:hint="default"/>
                <w:sz w:val="18"/>
                <w:szCs w:val="18"/>
              </w:rPr>
              <w:t>则补偿义务人向</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上市公司进行补偿</w:t>
            </w:r>
            <w:r>
              <w:rPr>
                <w:rFonts w:ascii="宋体" w:hAnsi="宋体" w:cs="宋体" w:eastAsia="宋体" w:hint="default"/>
                <w:spacing w:val="-87"/>
                <w:sz w:val="18"/>
                <w:szCs w:val="18"/>
              </w:rPr>
              <w:t>；</w:t>
            </w:r>
            <w:r>
              <w:rPr>
                <w:rFonts w:ascii="宋体" w:hAnsi="宋体" w:cs="宋体" w:eastAsia="宋体" w:hint="default"/>
                <w:sz w:val="18"/>
                <w:szCs w:val="18"/>
              </w:rPr>
              <w:t>若赛英科</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技各年度累积实现净利润数</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大于或等于补偿义务人承诺</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的累积净利润承诺数的</w:t>
            </w:r>
            <w:r>
              <w:rPr>
                <w:rFonts w:ascii="宋体" w:hAnsi="宋体" w:cs="宋体" w:eastAsia="宋体" w:hint="default"/>
                <w:spacing w:val="-87"/>
                <w:sz w:val="18"/>
                <w:szCs w:val="18"/>
              </w:rPr>
              <w:t>，</w:t>
            </w:r>
            <w:r>
              <w:rPr>
                <w:rFonts w:ascii="宋体" w:hAnsi="宋体" w:cs="宋体" w:eastAsia="宋体" w:hint="default"/>
                <w:sz w:val="18"/>
                <w:szCs w:val="18"/>
              </w:rPr>
              <w:t>则补</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偿义务人无需向上市公司进</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行补偿。4、补偿义务人应优</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先采用股份补偿</w:t>
            </w:r>
            <w:r>
              <w:rPr>
                <w:rFonts w:ascii="宋体" w:hAnsi="宋体" w:cs="宋体" w:eastAsia="宋体" w:hint="default"/>
                <w:spacing w:val="-87"/>
                <w:sz w:val="18"/>
                <w:szCs w:val="18"/>
              </w:rPr>
              <w:t>，</w:t>
            </w:r>
            <w:r>
              <w:rPr>
                <w:rFonts w:ascii="宋体" w:hAnsi="宋体" w:cs="宋体" w:eastAsia="宋体" w:hint="default"/>
                <w:sz w:val="18"/>
                <w:szCs w:val="18"/>
              </w:rPr>
              <w:t>不足部分采</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56"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bottom w:val="single" w:sz="4" w:space="0" w:color="000000"/>
              <w:right w:val="single" w:sz="4" w:space="0" w:color="000000"/>
            </w:tcBorders>
            <w:shd w:val="clear" w:color="auto" w:fill="C6ECCC"/>
          </w:tcPr>
          <w:p>
            <w:pPr/>
          </w:p>
        </w:tc>
        <w:tc>
          <w:tcPr>
            <w:tcW w:w="1200" w:type="dxa"/>
            <w:vMerge/>
            <w:tcBorders>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用现金补偿。</w:t>
            </w:r>
          </w:p>
        </w:tc>
        <w:tc>
          <w:tcPr>
            <w:tcW w:w="1095" w:type="dxa"/>
            <w:vMerge/>
            <w:tcBorders>
              <w:left w:val="single" w:sz="4" w:space="0" w:color="000000"/>
              <w:bottom w:val="single" w:sz="4" w:space="0" w:color="000000"/>
              <w:right w:val="single" w:sz="4" w:space="0" w:color="000000"/>
            </w:tcBorders>
          </w:tcPr>
          <w:p>
            <w:pPr/>
          </w:p>
        </w:tc>
        <w:tc>
          <w:tcPr>
            <w:tcW w:w="825" w:type="dxa"/>
            <w:vMerge/>
            <w:tcBorders>
              <w:left w:val="single" w:sz="4" w:space="0" w:color="000000"/>
              <w:bottom w:val="single" w:sz="4" w:space="0" w:color="000000"/>
              <w:right w:val="single" w:sz="4" w:space="0" w:color="000000"/>
            </w:tcBorders>
            <w:shd w:val="clear" w:color="auto" w:fill="C6ECCC"/>
          </w:tcPr>
          <w:p>
            <w:pPr/>
          </w:p>
        </w:tc>
        <w:tc>
          <w:tcPr>
            <w:tcW w:w="863" w:type="dxa"/>
            <w:vMerge/>
            <w:tcBorders>
              <w:left w:val="single" w:sz="4" w:space="0" w:color="000000"/>
              <w:bottom w:val="single" w:sz="4" w:space="0" w:color="000000"/>
              <w:right w:val="single" w:sz="4" w:space="0" w:color="000000"/>
            </w:tcBorders>
            <w:shd w:val="clear" w:color="auto" w:fill="C6ECCC"/>
          </w:tcPr>
          <w:p>
            <w:pPr/>
          </w:p>
        </w:tc>
      </w:tr>
      <w:tr>
        <w:trPr>
          <w:trHeight w:val="357" w:hRule="exact"/>
        </w:trPr>
        <w:tc>
          <w:tcPr>
            <w:tcW w:w="1804" w:type="dxa"/>
            <w:vMerge/>
            <w:tcBorders>
              <w:left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1、本人及本人直接或间接控</w:t>
            </w:r>
          </w:p>
        </w:tc>
        <w:tc>
          <w:tcPr>
            <w:tcW w:w="1095" w:type="dxa"/>
            <w:tcBorders>
              <w:top w:val="single" w:sz="4" w:space="0" w:color="000000"/>
              <w:left w:val="single" w:sz="4" w:space="0" w:color="000000"/>
              <w:bottom w:val="nil" w:sz="6" w:space="0" w:color="auto"/>
              <w:right w:val="single" w:sz="4" w:space="0" w:color="000000"/>
            </w:tcBorders>
          </w:tcPr>
          <w:p>
            <w:pPr/>
          </w:p>
        </w:tc>
        <w:tc>
          <w:tcPr>
            <w:tcW w:w="825" w:type="dxa"/>
            <w:tcBorders>
              <w:top w:val="single" w:sz="4" w:space="0" w:color="000000"/>
              <w:left w:val="single" w:sz="4" w:space="0" w:color="000000"/>
              <w:bottom w:val="nil" w:sz="6" w:space="0" w:color="auto"/>
              <w:right w:val="single" w:sz="4" w:space="0" w:color="000000"/>
            </w:tcBorders>
            <w:shd w:val="clear" w:color="auto" w:fill="C6ECCC"/>
          </w:tcPr>
          <w:p>
            <w:pPr/>
          </w:p>
        </w:tc>
        <w:tc>
          <w:tcPr>
            <w:tcW w:w="86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制的其他企业目前不存在与</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上市公司从事直接或间接竞</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争业务的情形。2、本人及本</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人直接或间接控制的其他企</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业将不新增与上市公司产生</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直接或间接竞争的经营业务</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187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74"/>
              <w:jc w:val="both"/>
              <w:rPr>
                <w:rFonts w:ascii="宋体" w:hAnsi="宋体" w:cs="宋体" w:eastAsia="宋体" w:hint="default"/>
                <w:sz w:val="18"/>
                <w:szCs w:val="18"/>
              </w:rPr>
            </w:pPr>
            <w:r>
              <w:rPr>
                <w:rFonts w:ascii="宋体" w:hAnsi="宋体" w:cs="宋体" w:eastAsia="宋体" w:hint="default"/>
                <w:sz w:val="18"/>
                <w:szCs w:val="18"/>
              </w:rPr>
              <w:t>陈乐桥;林洪钢; 唐世容;汪学刚; 吴义华;姚宗诚; 易增辉;周云;邹 林</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86"/>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5"/>
                <w:sz w:val="18"/>
                <w:szCs w:val="18"/>
              </w:rPr>
              <w:t>争、关联交易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资金占用方面 的承诺</w:t>
            </w: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如未来与上市公司构成同业 </w:t>
            </w:r>
            <w:r>
              <w:rPr>
                <w:rFonts w:ascii="宋体" w:hAnsi="宋体" w:cs="宋体" w:eastAsia="宋体" w:hint="default"/>
                <w:spacing w:val="-7"/>
                <w:sz w:val="18"/>
                <w:szCs w:val="18"/>
              </w:rPr>
              <w:t>竞争的情形，本人将采取合法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有效的措施予以规范或避免 3、本人保证遵守上市公司章</w:t>
            </w:r>
            <w:r>
              <w:rPr>
                <w:rFonts w:ascii="宋体" w:hAnsi="宋体" w:cs="宋体" w:eastAsia="宋体" w:hint="default"/>
                <w:sz w:val="18"/>
                <w:szCs w:val="18"/>
              </w:rPr>
              <w:t> </w:t>
            </w:r>
            <w:r>
              <w:rPr>
                <w:rFonts w:ascii="宋体" w:hAnsi="宋体" w:cs="宋体" w:eastAsia="宋体" w:hint="default"/>
                <w:spacing w:val="-7"/>
                <w:sz w:val="18"/>
                <w:szCs w:val="18"/>
              </w:rPr>
              <w:t>程的规定，与其他股东一样平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等地行使股东权利、履行股东</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31</w:t>
            </w:r>
          </w:p>
        </w:tc>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义务，保障上市公司独立经</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营、自主决策。不利用股东地</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位谋求不当利益</w:t>
            </w:r>
            <w:r>
              <w:rPr>
                <w:rFonts w:ascii="宋体" w:hAnsi="宋体" w:cs="宋体" w:eastAsia="宋体" w:hint="default"/>
                <w:spacing w:val="-87"/>
                <w:sz w:val="18"/>
                <w:szCs w:val="18"/>
              </w:rPr>
              <w:t>，</w:t>
            </w:r>
            <w:r>
              <w:rPr>
                <w:rFonts w:ascii="宋体" w:hAnsi="宋体" w:cs="宋体" w:eastAsia="宋体" w:hint="default"/>
                <w:sz w:val="18"/>
                <w:szCs w:val="18"/>
              </w:rPr>
              <w:t>不损害上市</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公司和其他股东的合法利益</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本承诺持续有效且不可变更</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或撤销</w:t>
            </w:r>
            <w:r>
              <w:rPr>
                <w:rFonts w:ascii="宋体" w:hAnsi="宋体" w:cs="宋体" w:eastAsia="宋体" w:hint="default"/>
                <w:spacing w:val="-87"/>
                <w:sz w:val="18"/>
                <w:szCs w:val="18"/>
              </w:rPr>
              <w:t>，</w:t>
            </w:r>
            <w:r>
              <w:rPr>
                <w:rFonts w:ascii="宋体" w:hAnsi="宋体" w:cs="宋体" w:eastAsia="宋体" w:hint="default"/>
                <w:sz w:val="18"/>
                <w:szCs w:val="18"/>
              </w:rPr>
              <w:t>直至本人不再持有上</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7"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市公司股份为止。</w:t>
            </w:r>
          </w:p>
        </w:tc>
        <w:tc>
          <w:tcPr>
            <w:tcW w:w="1095" w:type="dxa"/>
            <w:tcBorders>
              <w:top w:val="nil" w:sz="6" w:space="0" w:color="auto"/>
              <w:left w:val="single" w:sz="4" w:space="0" w:color="000000"/>
              <w:bottom w:val="single" w:sz="4" w:space="0" w:color="000000"/>
              <w:right w:val="single" w:sz="4" w:space="0" w:color="000000"/>
            </w:tcBorders>
          </w:tcPr>
          <w:p>
            <w:pPr/>
          </w:p>
        </w:tc>
        <w:tc>
          <w:tcPr>
            <w:tcW w:w="825" w:type="dxa"/>
            <w:tcBorders>
              <w:top w:val="nil" w:sz="6" w:space="0" w:color="auto"/>
              <w:left w:val="single" w:sz="4" w:space="0" w:color="000000"/>
              <w:bottom w:val="single" w:sz="4" w:space="0" w:color="000000"/>
              <w:right w:val="single" w:sz="4" w:space="0" w:color="000000"/>
            </w:tcBorders>
            <w:shd w:val="clear" w:color="auto" w:fill="C6ECCC"/>
          </w:tcPr>
          <w:p>
            <w:pPr/>
          </w:p>
        </w:tc>
        <w:tc>
          <w:tcPr>
            <w:tcW w:w="863"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8" w:hRule="exact"/>
        </w:trPr>
        <w:tc>
          <w:tcPr>
            <w:tcW w:w="1804" w:type="dxa"/>
            <w:vMerge/>
            <w:tcBorders>
              <w:left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1、本人及本人的关联企业与</w:t>
            </w:r>
          </w:p>
        </w:tc>
        <w:tc>
          <w:tcPr>
            <w:tcW w:w="1095" w:type="dxa"/>
            <w:tcBorders>
              <w:top w:val="single" w:sz="4" w:space="0" w:color="000000"/>
              <w:left w:val="single" w:sz="4" w:space="0" w:color="000000"/>
              <w:bottom w:val="nil" w:sz="6" w:space="0" w:color="auto"/>
              <w:right w:val="single" w:sz="4" w:space="0" w:color="000000"/>
            </w:tcBorders>
          </w:tcPr>
          <w:p>
            <w:pPr/>
          </w:p>
        </w:tc>
        <w:tc>
          <w:tcPr>
            <w:tcW w:w="825" w:type="dxa"/>
            <w:tcBorders>
              <w:top w:val="single" w:sz="4" w:space="0" w:color="000000"/>
              <w:left w:val="single" w:sz="4" w:space="0" w:color="000000"/>
              <w:bottom w:val="nil" w:sz="6" w:space="0" w:color="auto"/>
              <w:right w:val="single" w:sz="4" w:space="0" w:color="000000"/>
            </w:tcBorders>
            <w:shd w:val="clear" w:color="auto" w:fill="C6ECCC"/>
          </w:tcPr>
          <w:p>
            <w:pPr/>
          </w:p>
        </w:tc>
        <w:tc>
          <w:tcPr>
            <w:tcW w:w="86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79"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陈乐桥;林洪钢;</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上市公司将来不可避免发生</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1248"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0" w:lineRule="atLeast" w:before="3"/>
              <w:ind w:left="23" w:right="176"/>
              <w:jc w:val="both"/>
              <w:rPr>
                <w:rFonts w:ascii="宋体" w:hAnsi="宋体" w:cs="宋体" w:eastAsia="宋体" w:hint="default"/>
                <w:sz w:val="18"/>
                <w:szCs w:val="18"/>
              </w:rPr>
            </w:pPr>
            <w:r>
              <w:rPr>
                <w:rFonts w:ascii="宋体" w:hAnsi="宋体" w:cs="宋体" w:eastAsia="宋体" w:hint="default"/>
                <w:sz w:val="18"/>
                <w:szCs w:val="18"/>
              </w:rPr>
              <w:t>林木顺;唐世容; 汪学刚;吴常念; 吴义华;姚宗诚; 易增辉;张荷花;</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0" w:lineRule="atLeast" w:before="3"/>
              <w:ind w:left="22" w:right="86"/>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5"/>
                <w:sz w:val="18"/>
                <w:szCs w:val="18"/>
              </w:rPr>
              <w:t>争、关联交易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资金占用方面 的承诺</w:t>
            </w: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79" w:lineRule="exact"/>
              <w:ind w:left="22" w:right="0"/>
              <w:jc w:val="both"/>
              <w:rPr>
                <w:rFonts w:ascii="宋体" w:hAnsi="宋体" w:cs="宋体" w:eastAsia="宋体" w:hint="default"/>
                <w:sz w:val="18"/>
                <w:szCs w:val="18"/>
              </w:rPr>
            </w:pPr>
            <w:r>
              <w:rPr>
                <w:rFonts w:ascii="宋体" w:hAnsi="宋体" w:cs="宋体" w:eastAsia="宋体" w:hint="default"/>
                <w:sz w:val="18"/>
                <w:szCs w:val="18"/>
              </w:rPr>
              <w:t>关联交易时</w:t>
            </w:r>
            <w:r>
              <w:rPr>
                <w:rFonts w:ascii="宋体" w:hAnsi="宋体" w:cs="宋体" w:eastAsia="宋体" w:hint="default"/>
                <w:spacing w:val="-87"/>
                <w:sz w:val="18"/>
                <w:szCs w:val="18"/>
              </w:rPr>
              <w:t>，</w:t>
            </w:r>
            <w:r>
              <w:rPr>
                <w:rFonts w:ascii="宋体" w:hAnsi="宋体" w:cs="宋体" w:eastAsia="宋体" w:hint="default"/>
                <w:sz w:val="18"/>
                <w:szCs w:val="18"/>
              </w:rPr>
              <w:t>本人及本人的关</w:t>
            </w:r>
          </w:p>
          <w:p>
            <w:pPr>
              <w:pStyle w:val="TableParagraph"/>
              <w:spacing w:line="316" w:lineRule="auto" w:before="76"/>
              <w:ind w:left="22" w:right="22"/>
              <w:jc w:val="both"/>
              <w:rPr>
                <w:rFonts w:ascii="宋体" w:hAnsi="宋体" w:cs="宋体" w:eastAsia="宋体" w:hint="default"/>
                <w:sz w:val="18"/>
                <w:szCs w:val="18"/>
              </w:rPr>
            </w:pPr>
            <w:r>
              <w:rPr>
                <w:rFonts w:ascii="宋体" w:hAnsi="宋体" w:cs="宋体" w:eastAsia="宋体" w:hint="default"/>
                <w:sz w:val="18"/>
                <w:szCs w:val="18"/>
              </w:rPr>
              <w:t>联企业保证遵循市场交易的 公平原则及政策的商业条款 </w:t>
            </w:r>
            <w:r>
              <w:rPr>
                <w:rFonts w:ascii="宋体" w:hAnsi="宋体" w:cs="宋体" w:eastAsia="宋体" w:hint="default"/>
                <w:spacing w:val="-7"/>
                <w:sz w:val="18"/>
                <w:szCs w:val="18"/>
              </w:rPr>
              <w:t>与上市公司进行交易。如未按</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31</w:t>
            </w:r>
          </w:p>
        </w:tc>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周云;邹林</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照市场交易的公平原则与上</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245"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市公司进行交易</w:t>
            </w:r>
            <w:r>
              <w:rPr>
                <w:rFonts w:ascii="宋体" w:hAnsi="宋体" w:cs="宋体" w:eastAsia="宋体" w:hint="default"/>
                <w:spacing w:val="-87"/>
                <w:sz w:val="18"/>
                <w:szCs w:val="18"/>
              </w:rPr>
              <w:t>，</w:t>
            </w:r>
            <w:r>
              <w:rPr>
                <w:rFonts w:ascii="宋体" w:hAnsi="宋体" w:cs="宋体" w:eastAsia="宋体" w:hint="default"/>
                <w:sz w:val="18"/>
                <w:szCs w:val="18"/>
              </w:rPr>
              <w:t>而给上市公</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4"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司造成损失或已经造成损失</w:t>
            </w:r>
          </w:p>
        </w:tc>
        <w:tc>
          <w:tcPr>
            <w:tcW w:w="1095" w:type="dxa"/>
            <w:tcBorders>
              <w:top w:val="nil" w:sz="6" w:space="0" w:color="auto"/>
              <w:left w:val="single" w:sz="4" w:space="0" w:color="000000"/>
              <w:bottom w:val="single" w:sz="4" w:space="0" w:color="000000"/>
              <w:right w:val="single" w:sz="4" w:space="0" w:color="000000"/>
            </w:tcBorders>
          </w:tcPr>
          <w:p>
            <w:pPr/>
          </w:p>
        </w:tc>
        <w:tc>
          <w:tcPr>
            <w:tcW w:w="825" w:type="dxa"/>
            <w:tcBorders>
              <w:top w:val="nil" w:sz="6" w:space="0" w:color="auto"/>
              <w:left w:val="single" w:sz="4" w:space="0" w:color="000000"/>
              <w:bottom w:val="single" w:sz="4" w:space="0" w:color="000000"/>
              <w:right w:val="single" w:sz="4" w:space="0" w:color="000000"/>
            </w:tcBorders>
            <w:shd w:val="clear" w:color="auto" w:fill="C6ECCC"/>
          </w:tcPr>
          <w:p>
            <w:pPr/>
          </w:p>
        </w:tc>
        <w:tc>
          <w:tcPr>
            <w:tcW w:w="863"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89.759003pt;margin-top:72.400024pt;width:60.8pt;height:626.25pt;mso-position-horizontal-relative:page;mso-position-vertical-relative:page;z-index:-1108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04"/>
        <w:gridCol w:w="1470"/>
        <w:gridCol w:w="1200"/>
        <w:gridCol w:w="2310"/>
        <w:gridCol w:w="1095"/>
        <w:gridCol w:w="825"/>
        <w:gridCol w:w="863"/>
      </w:tblGrid>
      <w:tr>
        <w:trPr>
          <w:trHeight w:val="318" w:hRule="exact"/>
        </w:trPr>
        <w:tc>
          <w:tcPr>
            <w:tcW w:w="1804" w:type="dxa"/>
            <w:vMerge w:val="restart"/>
            <w:tcBorders>
              <w:top w:val="single" w:sz="4" w:space="0" w:color="000000"/>
              <w:left w:val="single" w:sz="4" w:space="0" w:color="000000"/>
              <w:right w:val="single" w:sz="4" w:space="0" w:color="000000"/>
            </w:tcBorders>
            <w:shd w:val="clear" w:color="auto" w:fill="D2D2D2"/>
          </w:tcPr>
          <w:p>
            <w:pPr/>
          </w:p>
        </w:tc>
        <w:tc>
          <w:tcPr>
            <w:tcW w:w="1470" w:type="dxa"/>
            <w:vMerge w:val="restart"/>
            <w:tcBorders>
              <w:top w:val="single" w:sz="4" w:space="0" w:color="000000"/>
              <w:left w:val="single" w:sz="4" w:space="0" w:color="000000"/>
              <w:right w:val="single" w:sz="4" w:space="0" w:color="000000"/>
            </w:tcBorders>
            <w:shd w:val="clear" w:color="auto" w:fill="C6ECCC"/>
          </w:tcPr>
          <w:p>
            <w:pPr/>
          </w:p>
        </w:tc>
        <w:tc>
          <w:tcPr>
            <w:tcW w:w="1200" w:type="dxa"/>
            <w:vMerge w:val="restart"/>
            <w:tcBorders>
              <w:top w:val="single" w:sz="4" w:space="0" w:color="000000"/>
              <w:left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的，由本人依法承担相关责</w:t>
            </w:r>
          </w:p>
        </w:tc>
        <w:tc>
          <w:tcPr>
            <w:tcW w:w="1095" w:type="dxa"/>
            <w:vMerge w:val="restart"/>
            <w:tcBorders>
              <w:top w:val="single" w:sz="4" w:space="0" w:color="000000"/>
              <w:left w:val="single" w:sz="4" w:space="0" w:color="000000"/>
              <w:right w:val="single" w:sz="4" w:space="0" w:color="000000"/>
            </w:tcBorders>
          </w:tcPr>
          <w:p>
            <w:pPr>
              <w:pStyle w:val="TableParagraph"/>
              <w:spacing w:line="1252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0"/>
                <w:sz w:val="20"/>
                <w:szCs w:val="20"/>
              </w:rPr>
              <w:pict>
                <v:group style="width:54.5pt;height:626.25pt;mso-position-horizontal-relative:char;mso-position-vertical-relative:line" coordorigin="0,0" coordsize="1090,12525">
                  <v:group style="position:absolute;left:0;top:0;width:1090;height:12525" coordorigin="0,0" coordsize="1090,12525">
                    <v:shape style="position:absolute;left:0;top:0;width:1090;height:12525" coordorigin="0,0" coordsize="1090,12525" path="m0,0l1090,0,1090,12525,0,12525,0,0xe" filled="true" fillcolor="#ffffff" stroked="false">
                      <v:path arrowok="t"/>
                      <v:fill type="solid"/>
                    </v:shape>
                  </v:group>
                </v:group>
              </w:pict>
            </w:r>
            <w:r>
              <w:rPr>
                <w:rFonts w:ascii="Times New Roman" w:hAnsi="Times New Roman" w:cs="Times New Roman" w:eastAsia="Times New Roman" w:hint="default"/>
                <w:position w:val="-250"/>
                <w:sz w:val="20"/>
                <w:szCs w:val="20"/>
              </w:rPr>
            </w:r>
          </w:p>
        </w:tc>
        <w:tc>
          <w:tcPr>
            <w:tcW w:w="825" w:type="dxa"/>
            <w:vMerge w:val="restart"/>
            <w:tcBorders>
              <w:top w:val="single" w:sz="4" w:space="0" w:color="000000"/>
              <w:left w:val="single" w:sz="4" w:space="0" w:color="000000"/>
              <w:right w:val="single" w:sz="4" w:space="0" w:color="000000"/>
            </w:tcBorders>
            <w:shd w:val="clear" w:color="auto" w:fill="C6ECCC"/>
          </w:tcPr>
          <w:p>
            <w:pPr/>
          </w:p>
        </w:tc>
        <w:tc>
          <w:tcPr>
            <w:tcW w:w="863"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任。2、本人将善意履行作为</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上市公司股东的义务</w:t>
            </w:r>
            <w:r>
              <w:rPr>
                <w:rFonts w:ascii="宋体" w:hAnsi="宋体" w:cs="宋体" w:eastAsia="宋体" w:hint="default"/>
                <w:spacing w:val="-87"/>
                <w:sz w:val="18"/>
                <w:szCs w:val="18"/>
              </w:rPr>
              <w:t>，</w:t>
            </w:r>
            <w:r>
              <w:rPr>
                <w:rFonts w:ascii="宋体" w:hAnsi="宋体" w:cs="宋体" w:eastAsia="宋体" w:hint="default"/>
                <w:sz w:val="18"/>
                <w:szCs w:val="18"/>
              </w:rPr>
              <w:t>充分尊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重上市公司的独立法人地位</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保障上市公司独立经营</w:t>
            </w:r>
            <w:r>
              <w:rPr>
                <w:rFonts w:ascii="宋体" w:hAnsi="宋体" w:cs="宋体" w:eastAsia="宋体" w:hint="default"/>
                <w:spacing w:val="-87"/>
                <w:sz w:val="18"/>
                <w:szCs w:val="18"/>
              </w:rPr>
              <w:t>、</w:t>
            </w:r>
            <w:r>
              <w:rPr>
                <w:rFonts w:ascii="宋体" w:hAnsi="宋体" w:cs="宋体" w:eastAsia="宋体" w:hint="default"/>
                <w:sz w:val="18"/>
                <w:szCs w:val="18"/>
              </w:rPr>
              <w:t>自主</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决策。本人及本人的关联企</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87"/>
                <w:sz w:val="18"/>
                <w:szCs w:val="18"/>
              </w:rPr>
              <w:t>，</w:t>
            </w:r>
            <w:r>
              <w:rPr>
                <w:rFonts w:ascii="宋体" w:hAnsi="宋体" w:cs="宋体" w:eastAsia="宋体" w:hint="default"/>
                <w:sz w:val="18"/>
                <w:szCs w:val="18"/>
              </w:rPr>
              <w:t>将来尽可能避免与上市公</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司发生关联交易。3、本人及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本人的关联企业承诺不以借</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款、代偿债务、代垫款项或者</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其他方式占用上市公司资金</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也不要求上市公司为本人及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本人的关联企业进行违规担</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保。4、如果上市公司在今后</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的经营活动中与本人或本人</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的关联企业发生不可避免的</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7"/>
                <w:sz w:val="18"/>
                <w:szCs w:val="18"/>
              </w:rPr>
              <w:t>，</w:t>
            </w:r>
            <w:r>
              <w:rPr>
                <w:rFonts w:ascii="宋体" w:hAnsi="宋体" w:cs="宋体" w:eastAsia="宋体" w:hint="default"/>
                <w:sz w:val="18"/>
                <w:szCs w:val="18"/>
              </w:rPr>
              <w:t>本人将促使此等交</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易严格按照国家有关法律法</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规、中国证券监督管理委员</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87"/>
                <w:sz w:val="18"/>
                <w:szCs w:val="18"/>
              </w:rPr>
              <w:t>、</w:t>
            </w:r>
            <w:r>
              <w:rPr>
                <w:rFonts w:ascii="宋体" w:hAnsi="宋体" w:cs="宋体" w:eastAsia="宋体" w:hint="default"/>
                <w:sz w:val="18"/>
                <w:szCs w:val="18"/>
              </w:rPr>
              <w:t>深圳证券交易所的相关规</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定以及上市公司的章程等内</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部治理相关制度的规定履行</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有关程序</w:t>
            </w:r>
            <w:r>
              <w:rPr>
                <w:rFonts w:ascii="宋体" w:hAnsi="宋体" w:cs="宋体" w:eastAsia="宋体" w:hint="default"/>
                <w:spacing w:val="-87"/>
                <w:sz w:val="18"/>
                <w:szCs w:val="18"/>
              </w:rPr>
              <w:t>，</w:t>
            </w:r>
            <w:r>
              <w:rPr>
                <w:rFonts w:ascii="宋体" w:hAnsi="宋体" w:cs="宋体" w:eastAsia="宋体" w:hint="default"/>
                <w:sz w:val="18"/>
                <w:szCs w:val="18"/>
              </w:rPr>
              <w:t>在上市公司股东大</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会对关联交易进行表决时</w:t>
            </w:r>
            <w:r>
              <w:rPr>
                <w:rFonts w:ascii="宋体" w:hAnsi="宋体" w:cs="宋体" w:eastAsia="宋体" w:hint="default"/>
                <w:spacing w:val="-87"/>
                <w:sz w:val="18"/>
                <w:szCs w:val="18"/>
              </w:rPr>
              <w:t>，</w:t>
            </w:r>
            <w:r>
              <w:rPr>
                <w:rFonts w:ascii="宋体" w:hAnsi="宋体" w:cs="宋体" w:eastAsia="宋体" w:hint="default"/>
                <w:sz w:val="18"/>
                <w:szCs w:val="18"/>
              </w:rPr>
              <w:t>严</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格履行回避表决的义务</w:t>
            </w:r>
            <w:r>
              <w:rPr>
                <w:rFonts w:ascii="宋体" w:hAnsi="宋体" w:cs="宋体" w:eastAsia="宋体" w:hint="default"/>
                <w:spacing w:val="-87"/>
                <w:sz w:val="18"/>
                <w:szCs w:val="18"/>
              </w:rPr>
              <w:t>；</w:t>
            </w:r>
            <w:r>
              <w:rPr>
                <w:rFonts w:ascii="宋体" w:hAnsi="宋体" w:cs="宋体" w:eastAsia="宋体" w:hint="default"/>
                <w:sz w:val="18"/>
                <w:szCs w:val="18"/>
              </w:rPr>
              <w:t>与上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市公司依法签订协议</w:t>
            </w:r>
            <w:r>
              <w:rPr>
                <w:rFonts w:ascii="宋体" w:hAnsi="宋体" w:cs="宋体" w:eastAsia="宋体" w:hint="default"/>
                <w:spacing w:val="-87"/>
                <w:sz w:val="18"/>
                <w:szCs w:val="18"/>
              </w:rPr>
              <w:t>，</w:t>
            </w:r>
            <w:r>
              <w:rPr>
                <w:rFonts w:ascii="宋体" w:hAnsi="宋体" w:cs="宋体" w:eastAsia="宋体" w:hint="default"/>
                <w:sz w:val="18"/>
                <w:szCs w:val="18"/>
              </w:rPr>
              <w:t>及时进</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行信息披露</w:t>
            </w:r>
            <w:r>
              <w:rPr>
                <w:rFonts w:ascii="宋体" w:hAnsi="宋体" w:cs="宋体" w:eastAsia="宋体" w:hint="default"/>
                <w:spacing w:val="-87"/>
                <w:sz w:val="18"/>
                <w:szCs w:val="18"/>
              </w:rPr>
              <w:t>；</w:t>
            </w:r>
            <w:r>
              <w:rPr>
                <w:rFonts w:ascii="宋体" w:hAnsi="宋体" w:cs="宋体" w:eastAsia="宋体" w:hint="default"/>
                <w:sz w:val="18"/>
                <w:szCs w:val="18"/>
              </w:rPr>
              <w:t>保证按照正常的</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商业条件进行</w:t>
            </w:r>
            <w:r>
              <w:rPr>
                <w:rFonts w:ascii="宋体" w:hAnsi="宋体" w:cs="宋体" w:eastAsia="宋体" w:hint="default"/>
                <w:spacing w:val="-87"/>
                <w:sz w:val="18"/>
                <w:szCs w:val="18"/>
              </w:rPr>
              <w:t>，</w:t>
            </w:r>
            <w:r>
              <w:rPr>
                <w:rFonts w:ascii="宋体" w:hAnsi="宋体" w:cs="宋体" w:eastAsia="宋体" w:hint="default"/>
                <w:sz w:val="18"/>
                <w:szCs w:val="18"/>
              </w:rPr>
              <w:t>且本人及本人</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的关联企业将不会要求或接</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受上市公司给予比任何一项</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市场公平交易中第三者更优</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惠的条件</w:t>
            </w:r>
            <w:r>
              <w:rPr>
                <w:rFonts w:ascii="宋体" w:hAnsi="宋体" w:cs="宋体" w:eastAsia="宋体" w:hint="default"/>
                <w:spacing w:val="-87"/>
                <w:sz w:val="18"/>
                <w:szCs w:val="18"/>
              </w:rPr>
              <w:t>，</w:t>
            </w:r>
            <w:r>
              <w:rPr>
                <w:rFonts w:ascii="宋体" w:hAnsi="宋体" w:cs="宋体" w:eastAsia="宋体" w:hint="default"/>
                <w:sz w:val="18"/>
                <w:szCs w:val="18"/>
              </w:rPr>
              <w:t>保证不通过关联交</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易损害上市公司及其他股东</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的合法权益。5、本人及本人</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的关联企业将严格和善意地</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履行与上市公司签订的各种</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关联交易协议</w:t>
            </w:r>
            <w:r>
              <w:rPr>
                <w:rFonts w:ascii="宋体" w:hAnsi="宋体" w:cs="宋体" w:eastAsia="宋体" w:hint="default"/>
                <w:spacing w:val="-87"/>
                <w:sz w:val="18"/>
                <w:szCs w:val="18"/>
              </w:rPr>
              <w:t>。</w:t>
            </w:r>
            <w:r>
              <w:rPr>
                <w:rFonts w:ascii="宋体" w:hAnsi="宋体" w:cs="宋体" w:eastAsia="宋体" w:hint="default"/>
                <w:sz w:val="18"/>
                <w:szCs w:val="18"/>
              </w:rPr>
              <w:t>本人及本人的</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关联企业将不会向上市公司</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谋求任何超出上述协议规定</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56"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bottom w:val="single" w:sz="4" w:space="0" w:color="000000"/>
              <w:right w:val="single" w:sz="4" w:space="0" w:color="000000"/>
            </w:tcBorders>
            <w:shd w:val="clear" w:color="auto" w:fill="C6ECCC"/>
          </w:tcPr>
          <w:p>
            <w:pPr/>
          </w:p>
        </w:tc>
        <w:tc>
          <w:tcPr>
            <w:tcW w:w="1200" w:type="dxa"/>
            <w:vMerge/>
            <w:tcBorders>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之外的利益或收益。</w:t>
            </w:r>
          </w:p>
        </w:tc>
        <w:tc>
          <w:tcPr>
            <w:tcW w:w="1095" w:type="dxa"/>
            <w:vMerge/>
            <w:tcBorders>
              <w:left w:val="single" w:sz="4" w:space="0" w:color="000000"/>
              <w:bottom w:val="single" w:sz="4" w:space="0" w:color="000000"/>
              <w:right w:val="single" w:sz="4" w:space="0" w:color="000000"/>
            </w:tcBorders>
          </w:tcPr>
          <w:p>
            <w:pPr/>
          </w:p>
        </w:tc>
        <w:tc>
          <w:tcPr>
            <w:tcW w:w="825" w:type="dxa"/>
            <w:vMerge/>
            <w:tcBorders>
              <w:left w:val="single" w:sz="4" w:space="0" w:color="000000"/>
              <w:bottom w:val="single" w:sz="4" w:space="0" w:color="000000"/>
              <w:right w:val="single" w:sz="4" w:space="0" w:color="000000"/>
            </w:tcBorders>
            <w:shd w:val="clear" w:color="auto" w:fill="C6ECCC"/>
          </w:tcPr>
          <w:p>
            <w:pPr/>
          </w:p>
        </w:tc>
        <w:tc>
          <w:tcPr>
            <w:tcW w:w="863" w:type="dxa"/>
            <w:vMerge/>
            <w:tcBorders>
              <w:left w:val="single" w:sz="4" w:space="0" w:color="000000"/>
              <w:bottom w:val="single" w:sz="4" w:space="0" w:color="000000"/>
              <w:right w:val="single" w:sz="4" w:space="0" w:color="000000"/>
            </w:tcBorders>
            <w:shd w:val="clear" w:color="auto" w:fill="C6ECCC"/>
          </w:tcPr>
          <w:p>
            <w:pPr/>
          </w:p>
        </w:tc>
      </w:tr>
      <w:tr>
        <w:trPr>
          <w:trHeight w:val="1296"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176"/>
              <w:jc w:val="both"/>
              <w:rPr>
                <w:rFonts w:ascii="宋体" w:hAnsi="宋体" w:cs="宋体" w:eastAsia="宋体" w:hint="default"/>
                <w:sz w:val="18"/>
                <w:szCs w:val="18"/>
              </w:rPr>
            </w:pPr>
            <w:r>
              <w:rPr>
                <w:rFonts w:ascii="宋体" w:hAnsi="宋体" w:cs="宋体" w:eastAsia="宋体" w:hint="default"/>
                <w:sz w:val="18"/>
                <w:szCs w:val="18"/>
              </w:rPr>
              <w:t>陈乐桥;林洪钢; 林木顺;唐世容; 汪学刚;吴常念; 吴义华;姚宗诚;</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1、本人认可并尊重王中胜、 杨世宁和杨新子先生的皖通 </w:t>
            </w:r>
            <w:r>
              <w:rPr>
                <w:rFonts w:ascii="宋体" w:hAnsi="宋体" w:cs="宋体" w:eastAsia="宋体" w:hint="default"/>
                <w:spacing w:val="-7"/>
                <w:sz w:val="18"/>
                <w:szCs w:val="18"/>
              </w:rPr>
              <w:t>科技实际控制人地位，本次重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组完成后</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个月内，保证不</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31</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89.759003pt;margin-top:355.700012pt;width:60.8pt;height:407.75pt;mso-position-horizontal-relative:page;mso-position-vertical-relative:page;z-index:-1108912"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6.049988pt;margin-top:355.700012pt;width:54.5pt;height:407.85pt;mso-position-horizontal-relative:page;mso-position-vertical-relative:page;z-index:-1108888" coordorigin="7921,7114" coordsize="1090,8157">
            <v:shape style="position:absolute;left:7921;top:7114;width:1090;height:8157" coordorigin="7921,7114" coordsize="1090,8157" path="m7921,7114l9011,7114,9011,15271,7921,15271,7921,711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04"/>
        <w:gridCol w:w="1470"/>
        <w:gridCol w:w="1200"/>
        <w:gridCol w:w="2310"/>
        <w:gridCol w:w="1095"/>
        <w:gridCol w:w="825"/>
        <w:gridCol w:w="863"/>
      </w:tblGrid>
      <w:tr>
        <w:trPr>
          <w:trHeight w:val="318" w:hRule="exact"/>
        </w:trPr>
        <w:tc>
          <w:tcPr>
            <w:tcW w:w="1804" w:type="dxa"/>
            <w:vMerge w:val="restart"/>
            <w:tcBorders>
              <w:top w:val="single" w:sz="4" w:space="0" w:color="000000"/>
              <w:left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易增辉;张荷花;</w:t>
            </w:r>
          </w:p>
        </w:tc>
        <w:tc>
          <w:tcPr>
            <w:tcW w:w="1200" w:type="dxa"/>
            <w:vMerge w:val="restart"/>
            <w:tcBorders>
              <w:top w:val="single" w:sz="4" w:space="0" w:color="000000"/>
              <w:left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通过任何方式单独或与他人</w:t>
            </w:r>
          </w:p>
        </w:tc>
        <w:tc>
          <w:tcPr>
            <w:tcW w:w="1095" w:type="dxa"/>
            <w:vMerge w:val="restart"/>
            <w:tcBorders>
              <w:top w:val="single" w:sz="4" w:space="0" w:color="000000"/>
              <w:left w:val="single" w:sz="4" w:space="0" w:color="000000"/>
              <w:right w:val="single" w:sz="4" w:space="0" w:color="000000"/>
            </w:tcBorders>
          </w:tcPr>
          <w:p>
            <w:pPr/>
          </w:p>
        </w:tc>
        <w:tc>
          <w:tcPr>
            <w:tcW w:w="825" w:type="dxa"/>
            <w:vMerge w:val="restart"/>
            <w:tcBorders>
              <w:top w:val="single" w:sz="4" w:space="0" w:color="000000"/>
              <w:left w:val="single" w:sz="4" w:space="0" w:color="000000"/>
              <w:right w:val="single" w:sz="4" w:space="0" w:color="000000"/>
            </w:tcBorders>
            <w:shd w:val="clear" w:color="auto" w:fill="C6ECCC"/>
          </w:tcPr>
          <w:p>
            <w:pPr/>
          </w:p>
        </w:tc>
        <w:tc>
          <w:tcPr>
            <w:tcW w:w="863"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周云;邹林</w:t>
            </w: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共同谋求皖通科技的实际控</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制权；2、本次重组完成后</w:t>
            </w:r>
            <w:r>
              <w:rPr>
                <w:rFonts w:ascii="宋体" w:hAnsi="宋体" w:cs="宋体" w:eastAsia="宋体" w:hint="default"/>
                <w:spacing w:val="-40"/>
                <w:sz w:val="18"/>
                <w:szCs w:val="18"/>
              </w:rPr>
              <w:t> </w:t>
            </w:r>
            <w:r>
              <w:rPr>
                <w:rFonts w:ascii="宋体" w:hAnsi="宋体" w:cs="宋体" w:eastAsia="宋体" w:hint="default"/>
                <w:sz w:val="18"/>
                <w:szCs w:val="18"/>
              </w:rPr>
              <w:t>36</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个月内，本人（包括本人控制</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的企业及其他一致行动人</w:t>
            </w:r>
            <w:r>
              <w:rPr>
                <w:rFonts w:ascii="宋体" w:hAnsi="宋体" w:cs="宋体" w:eastAsia="宋体" w:hint="default"/>
                <w:spacing w:val="-87"/>
                <w:sz w:val="18"/>
                <w:szCs w:val="18"/>
              </w:rPr>
              <w:t>）</w:t>
            </w:r>
            <w:r>
              <w:rPr>
                <w:rFonts w:ascii="宋体" w:hAnsi="宋体" w:cs="宋体" w:eastAsia="宋体" w:hint="default"/>
                <w:sz w:val="18"/>
                <w:szCs w:val="18"/>
              </w:rPr>
              <w:t>保</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证不通过包括但不限于增持</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上市公司股份、接受委托、征</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集投票权</w:t>
            </w:r>
            <w:r>
              <w:rPr>
                <w:rFonts w:ascii="宋体" w:hAnsi="宋体" w:cs="宋体" w:eastAsia="宋体" w:hint="default"/>
                <w:spacing w:val="-87"/>
                <w:sz w:val="18"/>
                <w:szCs w:val="18"/>
              </w:rPr>
              <w:t>、</w:t>
            </w:r>
            <w:r>
              <w:rPr>
                <w:rFonts w:ascii="宋体" w:hAnsi="宋体" w:cs="宋体" w:eastAsia="宋体" w:hint="default"/>
                <w:sz w:val="18"/>
                <w:szCs w:val="18"/>
              </w:rPr>
              <w:t>协议等任何方式获</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得在上市公司的表决权</w:t>
            </w:r>
            <w:r>
              <w:rPr>
                <w:rFonts w:ascii="宋体" w:hAnsi="宋体" w:cs="宋体" w:eastAsia="宋体" w:hint="default"/>
                <w:spacing w:val="-87"/>
                <w:sz w:val="18"/>
                <w:szCs w:val="18"/>
              </w:rPr>
              <w:t>；</w:t>
            </w:r>
            <w:r>
              <w:rPr>
                <w:rFonts w:ascii="宋体" w:hAnsi="宋体" w:cs="宋体" w:eastAsia="宋体" w:hint="default"/>
                <w:sz w:val="18"/>
                <w:szCs w:val="18"/>
              </w:rPr>
              <w:t>保证</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不以任何方式直接或间接增</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持上市公司股份</w:t>
            </w:r>
            <w:r>
              <w:rPr>
                <w:rFonts w:ascii="宋体" w:hAnsi="宋体" w:cs="宋体" w:eastAsia="宋体" w:hint="default"/>
                <w:spacing w:val="-87"/>
                <w:sz w:val="18"/>
                <w:szCs w:val="18"/>
              </w:rPr>
              <w:t>，</w:t>
            </w:r>
            <w:r>
              <w:rPr>
                <w:rFonts w:ascii="宋体" w:hAnsi="宋体" w:cs="宋体" w:eastAsia="宋体" w:hint="default"/>
                <w:sz w:val="18"/>
                <w:szCs w:val="18"/>
              </w:rPr>
              <w:t>也不主动通</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过其他关联方或一致行动人</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直接或间接增持上市公司股</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7"/>
                <w:sz w:val="18"/>
                <w:szCs w:val="18"/>
              </w:rPr>
              <w:t>份</w:t>
            </w:r>
            <w:r>
              <w:rPr>
                <w:rFonts w:ascii="宋体" w:hAnsi="宋体" w:cs="宋体" w:eastAsia="宋体" w:hint="default"/>
                <w:sz w:val="18"/>
                <w:szCs w:val="18"/>
              </w:rPr>
              <w:t>（但因上市公司以资本公积</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金转增等被动因素增持除</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89"/>
                <w:sz w:val="18"/>
                <w:szCs w:val="18"/>
              </w:rPr>
              <w:t>）</w:t>
            </w:r>
            <w:r>
              <w:rPr>
                <w:rFonts w:ascii="宋体" w:hAnsi="宋体" w:cs="宋体" w:eastAsia="宋体" w:hint="default"/>
                <w:sz w:val="18"/>
                <w:szCs w:val="18"/>
              </w:rPr>
              <w:t>，以确保王中胜、杨世宁</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和杨新子先生对皖通科技的</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56"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vMerge/>
            <w:tcBorders>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实际控制权。</w:t>
            </w:r>
          </w:p>
        </w:tc>
        <w:tc>
          <w:tcPr>
            <w:tcW w:w="1095" w:type="dxa"/>
            <w:vMerge/>
            <w:tcBorders>
              <w:left w:val="single" w:sz="4" w:space="0" w:color="000000"/>
              <w:bottom w:val="single" w:sz="4" w:space="0" w:color="000000"/>
              <w:right w:val="single" w:sz="4" w:space="0" w:color="000000"/>
            </w:tcBorders>
          </w:tcPr>
          <w:p>
            <w:pPr/>
          </w:p>
        </w:tc>
        <w:tc>
          <w:tcPr>
            <w:tcW w:w="825" w:type="dxa"/>
            <w:vMerge/>
            <w:tcBorders>
              <w:left w:val="single" w:sz="4" w:space="0" w:color="000000"/>
              <w:bottom w:val="single" w:sz="4" w:space="0" w:color="000000"/>
              <w:right w:val="single" w:sz="4" w:space="0" w:color="000000"/>
            </w:tcBorders>
            <w:shd w:val="clear" w:color="auto" w:fill="C6ECCC"/>
          </w:tcPr>
          <w:p>
            <w:pPr/>
          </w:p>
        </w:tc>
        <w:tc>
          <w:tcPr>
            <w:tcW w:w="863" w:type="dxa"/>
            <w:vMerge/>
            <w:tcBorders>
              <w:left w:val="single" w:sz="4" w:space="0" w:color="000000"/>
              <w:bottom w:val="single" w:sz="4" w:space="0" w:color="000000"/>
              <w:right w:val="single" w:sz="4" w:space="0" w:color="000000"/>
            </w:tcBorders>
            <w:shd w:val="clear" w:color="auto" w:fill="C6ECCC"/>
          </w:tcPr>
          <w:p>
            <w:pPr/>
          </w:p>
        </w:tc>
      </w:tr>
      <w:tr>
        <w:trPr>
          <w:trHeight w:val="357" w:hRule="exact"/>
        </w:trPr>
        <w:tc>
          <w:tcPr>
            <w:tcW w:w="1804" w:type="dxa"/>
            <w:vMerge/>
            <w:tcBorders>
              <w:left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一、保证上市公司人员独立</w:t>
            </w:r>
          </w:p>
        </w:tc>
        <w:tc>
          <w:tcPr>
            <w:tcW w:w="1095" w:type="dxa"/>
            <w:tcBorders>
              <w:top w:val="single" w:sz="4" w:space="0" w:color="000000"/>
              <w:left w:val="single" w:sz="4" w:space="0" w:color="000000"/>
              <w:bottom w:val="nil" w:sz="6" w:space="0" w:color="auto"/>
              <w:right w:val="single" w:sz="4" w:space="0" w:color="000000"/>
            </w:tcBorders>
          </w:tcPr>
          <w:p>
            <w:pPr/>
          </w:p>
        </w:tc>
        <w:tc>
          <w:tcPr>
            <w:tcW w:w="825" w:type="dxa"/>
            <w:tcBorders>
              <w:top w:val="single" w:sz="4" w:space="0" w:color="000000"/>
              <w:left w:val="single" w:sz="4" w:space="0" w:color="000000"/>
              <w:bottom w:val="nil" w:sz="6" w:space="0" w:color="auto"/>
              <w:right w:val="single" w:sz="4" w:space="0" w:color="000000"/>
            </w:tcBorders>
            <w:shd w:val="clear" w:color="auto" w:fill="C6ECCC"/>
          </w:tcPr>
          <w:p>
            <w:pPr/>
          </w:p>
        </w:tc>
        <w:tc>
          <w:tcPr>
            <w:tcW w:w="86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1、上市公司的高级管理人员</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专职在上市公司任职</w:t>
            </w:r>
            <w:r>
              <w:rPr>
                <w:rFonts w:ascii="宋体" w:hAnsi="宋体" w:cs="宋体" w:eastAsia="宋体" w:hint="default"/>
                <w:spacing w:val="-87"/>
                <w:sz w:val="18"/>
                <w:szCs w:val="18"/>
              </w:rPr>
              <w:t>、</w:t>
            </w:r>
            <w:r>
              <w:rPr>
                <w:rFonts w:ascii="宋体" w:hAnsi="宋体" w:cs="宋体" w:eastAsia="宋体" w:hint="default"/>
                <w:sz w:val="18"/>
                <w:szCs w:val="18"/>
              </w:rPr>
              <w:t>并在上</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市公司领取薪酬</w:t>
            </w:r>
            <w:r>
              <w:rPr>
                <w:rFonts w:ascii="宋体" w:hAnsi="宋体" w:cs="宋体" w:eastAsia="宋体" w:hint="default"/>
                <w:spacing w:val="-87"/>
                <w:sz w:val="18"/>
                <w:szCs w:val="18"/>
              </w:rPr>
              <w:t>，</w:t>
            </w:r>
            <w:r>
              <w:rPr>
                <w:rFonts w:ascii="宋体" w:hAnsi="宋体" w:cs="宋体" w:eastAsia="宋体" w:hint="default"/>
                <w:sz w:val="18"/>
                <w:szCs w:val="18"/>
              </w:rPr>
              <w:t>不会在本人</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w:t>
            </w:r>
            <w:r>
              <w:rPr>
                <w:rFonts w:ascii="宋体" w:hAnsi="宋体" w:cs="宋体" w:eastAsia="宋体" w:hint="default"/>
                <w:spacing w:val="-87"/>
                <w:sz w:val="18"/>
                <w:szCs w:val="18"/>
              </w:rPr>
              <w:t>、</w:t>
            </w:r>
            <w:r>
              <w:rPr>
                <w:rFonts w:ascii="宋体" w:hAnsi="宋体" w:cs="宋体" w:eastAsia="宋体" w:hint="default"/>
                <w:sz w:val="18"/>
                <w:szCs w:val="18"/>
              </w:rPr>
              <w:t>企业或经济</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组织（以下统称“本人的关联</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pacing w:val="-89"/>
                <w:sz w:val="18"/>
                <w:szCs w:val="18"/>
              </w:rPr>
              <w:t>”</w:t>
            </w:r>
            <w:r>
              <w:rPr>
                <w:rFonts w:ascii="宋体" w:hAnsi="宋体" w:cs="宋体" w:eastAsia="宋体" w:hint="default"/>
                <w:sz w:val="18"/>
                <w:szCs w:val="18"/>
              </w:rPr>
              <w:t>）任职，继续保持上市</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公司人员的独立性；2、上市</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公司具有完整的独立的劳动</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人事管理体系</w:t>
            </w:r>
            <w:r>
              <w:rPr>
                <w:rFonts w:ascii="宋体" w:hAnsi="宋体" w:cs="宋体" w:eastAsia="宋体" w:hint="default"/>
                <w:spacing w:val="-87"/>
                <w:sz w:val="18"/>
                <w:szCs w:val="18"/>
              </w:rPr>
              <w:t>，</w:t>
            </w:r>
            <w:r>
              <w:rPr>
                <w:rFonts w:ascii="宋体" w:hAnsi="宋体" w:cs="宋体" w:eastAsia="宋体" w:hint="default"/>
                <w:sz w:val="18"/>
                <w:szCs w:val="18"/>
              </w:rPr>
              <w:t>该等体系独立</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陈乐桥;林洪钢;</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于本人；3、本人推荐出任上</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1248"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
              <w:ind w:left="23" w:right="176"/>
              <w:jc w:val="both"/>
              <w:rPr>
                <w:rFonts w:ascii="宋体" w:hAnsi="宋体" w:cs="宋体" w:eastAsia="宋体" w:hint="default"/>
                <w:sz w:val="18"/>
                <w:szCs w:val="18"/>
              </w:rPr>
            </w:pPr>
            <w:r>
              <w:rPr>
                <w:rFonts w:ascii="宋体" w:hAnsi="宋体" w:cs="宋体" w:eastAsia="宋体" w:hint="default"/>
                <w:sz w:val="18"/>
                <w:szCs w:val="18"/>
              </w:rPr>
              <w:t>林木顺;唐世容; 汪学刚;吴常念; 吴义华;姚宗诚; 易增辉;张荷花;</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20"/>
              <w:ind w:left="22" w:right="116"/>
              <w:jc w:val="both"/>
              <w:rPr>
                <w:rFonts w:ascii="宋体" w:hAnsi="宋体" w:cs="宋体" w:eastAsia="宋体" w:hint="default"/>
                <w:sz w:val="18"/>
                <w:szCs w:val="18"/>
              </w:rPr>
            </w:pPr>
            <w:r>
              <w:rPr>
                <w:rFonts w:ascii="宋体" w:hAnsi="宋体" w:cs="宋体" w:eastAsia="宋体" w:hint="default"/>
                <w:sz w:val="18"/>
                <w:szCs w:val="18"/>
              </w:rPr>
              <w:t>市公司董事和高级管理人员 的人选均通过合法程序进行 本人不干预上市公司董事会 和股东大会已做出的人事任</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31</w:t>
            </w:r>
          </w:p>
        </w:tc>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周云;邹林</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7"/>
                <w:sz w:val="18"/>
                <w:szCs w:val="18"/>
              </w:rPr>
              <w:t>免决定。二、保证上市公司资</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产独立、完整：1、上市公司</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具有完整的经营性资产；</w:t>
            </w:r>
            <w:r>
              <w:rPr>
                <w:rFonts w:ascii="宋体" w:hAnsi="宋体" w:cs="宋体" w:eastAsia="宋体" w:hint="default"/>
                <w:spacing w:val="1"/>
                <w:sz w:val="18"/>
                <w:szCs w:val="18"/>
              </w:rPr>
              <w:t> </w:t>
            </w:r>
            <w:r>
              <w:rPr>
                <w:rFonts w:ascii="宋体" w:hAnsi="宋体" w:cs="宋体" w:eastAsia="宋体" w:hint="default"/>
                <w:sz w:val="18"/>
                <w:szCs w:val="18"/>
              </w:rPr>
              <w:t>2</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本人及本人的关联企业不违</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规占用上市公司的资金</w:t>
            </w:r>
            <w:r>
              <w:rPr>
                <w:rFonts w:ascii="宋体" w:hAnsi="宋体" w:cs="宋体" w:eastAsia="宋体" w:hint="default"/>
                <w:spacing w:val="-87"/>
                <w:sz w:val="18"/>
                <w:szCs w:val="18"/>
              </w:rPr>
              <w:t>、</w:t>
            </w:r>
            <w:r>
              <w:rPr>
                <w:rFonts w:ascii="宋体" w:hAnsi="宋体" w:cs="宋体" w:eastAsia="宋体" w:hint="default"/>
                <w:sz w:val="18"/>
                <w:szCs w:val="18"/>
              </w:rPr>
              <w:t>资产</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及其他资源。三、保证上市公</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司机构独立：1、上市公司依</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法建立和完善法人治理结构</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建立独立、完整的组织机构</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2、上市公司与本人的关联企</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5"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业之间在办公机构和生产经</w:t>
            </w:r>
          </w:p>
        </w:tc>
        <w:tc>
          <w:tcPr>
            <w:tcW w:w="1095" w:type="dxa"/>
            <w:tcBorders>
              <w:top w:val="nil" w:sz="6" w:space="0" w:color="auto"/>
              <w:left w:val="single" w:sz="4" w:space="0" w:color="000000"/>
              <w:bottom w:val="single" w:sz="4" w:space="0" w:color="000000"/>
              <w:right w:val="single" w:sz="4" w:space="0" w:color="000000"/>
            </w:tcBorders>
          </w:tcPr>
          <w:p>
            <w:pPr/>
          </w:p>
        </w:tc>
        <w:tc>
          <w:tcPr>
            <w:tcW w:w="825" w:type="dxa"/>
            <w:tcBorders>
              <w:top w:val="nil" w:sz="6" w:space="0" w:color="auto"/>
              <w:left w:val="single" w:sz="4" w:space="0" w:color="000000"/>
              <w:bottom w:val="single" w:sz="4" w:space="0" w:color="000000"/>
              <w:right w:val="single" w:sz="4" w:space="0" w:color="000000"/>
            </w:tcBorders>
            <w:shd w:val="clear" w:color="auto" w:fill="C6ECCC"/>
          </w:tcPr>
          <w:p>
            <w:pPr/>
          </w:p>
        </w:tc>
        <w:tc>
          <w:tcPr>
            <w:tcW w:w="863"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89.759003pt;margin-top:72.400024pt;width:60.8pt;height:501.45pt;mso-position-horizontal-relative:page;mso-position-vertical-relative:page;z-index:-1108864" type="#_x0000_t202" filled="false" stroked="false">
            <v:textbox inset="0,0,0,0">
              <w:txbxContent>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90pt;margin-top:574.100037pt;width:60.55pt;height:189.35pt;mso-position-horizontal-relative:page;mso-position-vertical-relative:page;z-index:-1108840"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6.049988pt;margin-top:72.400024pt;width:54.5pt;height:691.15pt;mso-position-horizontal-relative:page;mso-position-vertical-relative:page;z-index:-1108816" coordorigin="7921,1448" coordsize="1090,13823">
            <v:group style="position:absolute;left:7921;top:1448;width:1090;height:10029" coordorigin="7921,1448" coordsize="1090,10029">
              <v:shape style="position:absolute;left:7921;top:1448;width:1090;height:10029" coordorigin="7921,1448" coordsize="1090,10029" path="m7921,1448l9011,1448,9011,11477,7921,11477,7921,1448xe" filled="true" fillcolor="#ffffff" stroked="false">
                <v:path arrowok="t"/>
                <v:fill type="solid"/>
              </v:shape>
            </v:group>
            <v:group style="position:absolute;left:7921;top:11482;width:1090;height:3789" coordorigin="7921,11482" coordsize="1090,3789">
              <v:shape style="position:absolute;left:7921;top:11482;width:1090;height:3789" coordorigin="7921,11482" coordsize="1090,3789" path="m7921,11482l9011,11482,9011,15271,7921,15271,7921,11482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04"/>
        <w:gridCol w:w="1470"/>
        <w:gridCol w:w="1200"/>
        <w:gridCol w:w="2310"/>
        <w:gridCol w:w="1095"/>
        <w:gridCol w:w="825"/>
        <w:gridCol w:w="863"/>
      </w:tblGrid>
      <w:tr>
        <w:trPr>
          <w:trHeight w:val="318" w:hRule="exact"/>
        </w:trPr>
        <w:tc>
          <w:tcPr>
            <w:tcW w:w="1804" w:type="dxa"/>
            <w:vMerge w:val="restart"/>
            <w:tcBorders>
              <w:top w:val="single" w:sz="4" w:space="0" w:color="000000"/>
              <w:left w:val="single" w:sz="4" w:space="0" w:color="000000"/>
              <w:right w:val="single" w:sz="4" w:space="0" w:color="000000"/>
            </w:tcBorders>
            <w:shd w:val="clear" w:color="auto" w:fill="D2D2D2"/>
          </w:tcPr>
          <w:p>
            <w:pPr/>
          </w:p>
        </w:tc>
        <w:tc>
          <w:tcPr>
            <w:tcW w:w="1470" w:type="dxa"/>
            <w:vMerge w:val="restart"/>
            <w:tcBorders>
              <w:top w:val="single" w:sz="4" w:space="0" w:color="000000"/>
              <w:left w:val="single" w:sz="4" w:space="0" w:color="000000"/>
              <w:right w:val="single" w:sz="4" w:space="0" w:color="000000"/>
            </w:tcBorders>
            <w:shd w:val="clear" w:color="auto" w:fill="C6ECCC"/>
          </w:tcPr>
          <w:p>
            <w:pPr/>
          </w:p>
        </w:tc>
        <w:tc>
          <w:tcPr>
            <w:tcW w:w="1200" w:type="dxa"/>
            <w:vMerge w:val="restart"/>
            <w:tcBorders>
              <w:top w:val="single" w:sz="4" w:space="0" w:color="000000"/>
              <w:left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营场所等方面完全分开。四</w:t>
            </w:r>
          </w:p>
        </w:tc>
        <w:tc>
          <w:tcPr>
            <w:tcW w:w="1095" w:type="dxa"/>
            <w:vMerge w:val="restart"/>
            <w:tcBorders>
              <w:top w:val="single" w:sz="4" w:space="0" w:color="000000"/>
              <w:left w:val="single" w:sz="4" w:space="0" w:color="000000"/>
              <w:right w:val="single" w:sz="4" w:space="0" w:color="000000"/>
            </w:tcBorders>
          </w:tcPr>
          <w:p>
            <w:pPr/>
          </w:p>
        </w:tc>
        <w:tc>
          <w:tcPr>
            <w:tcW w:w="825" w:type="dxa"/>
            <w:vMerge w:val="restart"/>
            <w:tcBorders>
              <w:top w:val="single" w:sz="4" w:space="0" w:color="000000"/>
              <w:left w:val="single" w:sz="4" w:space="0" w:color="000000"/>
              <w:right w:val="single" w:sz="4" w:space="0" w:color="000000"/>
            </w:tcBorders>
            <w:shd w:val="clear" w:color="auto" w:fill="C6ECCC"/>
          </w:tcPr>
          <w:p>
            <w:pPr/>
          </w:p>
        </w:tc>
        <w:tc>
          <w:tcPr>
            <w:tcW w:w="863"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保证上市公司业务独立：1、</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上市公司拥有独立开展经营</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活动的资产、人员、资质以及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具有独立面向市场自主经营</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的能力</w:t>
            </w:r>
            <w:r>
              <w:rPr>
                <w:rFonts w:ascii="宋体" w:hAnsi="宋体" w:cs="宋体" w:eastAsia="宋体" w:hint="default"/>
                <w:spacing w:val="-87"/>
                <w:sz w:val="18"/>
                <w:szCs w:val="18"/>
              </w:rPr>
              <w:t>，</w:t>
            </w:r>
            <w:r>
              <w:rPr>
                <w:rFonts w:ascii="宋体" w:hAnsi="宋体" w:cs="宋体" w:eastAsia="宋体" w:hint="default"/>
                <w:sz w:val="18"/>
                <w:szCs w:val="18"/>
              </w:rPr>
              <w:t>在经营业务方面具有</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独立运作的能力；2、除通过</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行使合法的股东权利外</w:t>
            </w:r>
            <w:r>
              <w:rPr>
                <w:rFonts w:ascii="宋体" w:hAnsi="宋体" w:cs="宋体" w:eastAsia="宋体" w:hint="default"/>
                <w:spacing w:val="-87"/>
                <w:sz w:val="18"/>
                <w:szCs w:val="18"/>
              </w:rPr>
              <w:t>，</w:t>
            </w:r>
            <w:r>
              <w:rPr>
                <w:rFonts w:ascii="宋体" w:hAnsi="宋体" w:cs="宋体" w:eastAsia="宋体" w:hint="default"/>
                <w:sz w:val="18"/>
                <w:szCs w:val="18"/>
              </w:rPr>
              <w:t>不干</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预上市公司的经营业务活动</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3、依据减少并规范关联交易</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的原则</w:t>
            </w:r>
            <w:r>
              <w:rPr>
                <w:rFonts w:ascii="宋体" w:hAnsi="宋体" w:cs="宋体" w:eastAsia="宋体" w:hint="default"/>
                <w:spacing w:val="-87"/>
                <w:sz w:val="18"/>
                <w:szCs w:val="18"/>
              </w:rPr>
              <w:t>，</w:t>
            </w:r>
            <w:r>
              <w:rPr>
                <w:rFonts w:ascii="宋体" w:hAnsi="宋体" w:cs="宋体" w:eastAsia="宋体" w:hint="default"/>
                <w:sz w:val="18"/>
                <w:szCs w:val="18"/>
              </w:rPr>
              <w:t>采取合法方式减少或</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消除本人及本人的关联企业</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与上市公司之间的关联交易</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对于确有必要存在的关联交</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87"/>
                <w:sz w:val="18"/>
                <w:szCs w:val="18"/>
              </w:rPr>
              <w:t>，</w:t>
            </w:r>
            <w:r>
              <w:rPr>
                <w:rFonts w:ascii="宋体" w:hAnsi="宋体" w:cs="宋体" w:eastAsia="宋体" w:hint="default"/>
                <w:sz w:val="18"/>
                <w:szCs w:val="18"/>
              </w:rPr>
              <w:t>其关联交易价格按照公平</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合理及市场化原则确定</w:t>
            </w:r>
            <w:r>
              <w:rPr>
                <w:rFonts w:ascii="宋体" w:hAnsi="宋体" w:cs="宋体" w:eastAsia="宋体" w:hint="default"/>
                <w:spacing w:val="-87"/>
                <w:sz w:val="18"/>
                <w:szCs w:val="18"/>
              </w:rPr>
              <w:t>，</w:t>
            </w:r>
            <w:r>
              <w:rPr>
                <w:rFonts w:ascii="宋体" w:hAnsi="宋体" w:cs="宋体" w:eastAsia="宋体" w:hint="default"/>
                <w:sz w:val="18"/>
                <w:szCs w:val="18"/>
              </w:rPr>
              <w:t>确保</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上市公司及其他股东利益不</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受到损害并及时履行信息披</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露义务。五、保证上市公司财</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务独立：1、上市公司拥有独</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立的财务会计部门</w:t>
            </w:r>
            <w:r>
              <w:rPr>
                <w:rFonts w:ascii="宋体" w:hAnsi="宋体" w:cs="宋体" w:eastAsia="宋体" w:hint="default"/>
                <w:spacing w:val="-87"/>
                <w:sz w:val="18"/>
                <w:szCs w:val="18"/>
              </w:rPr>
              <w:t>，</w:t>
            </w:r>
            <w:r>
              <w:rPr>
                <w:rFonts w:ascii="宋体" w:hAnsi="宋体" w:cs="宋体" w:eastAsia="宋体" w:hint="default"/>
                <w:sz w:val="18"/>
                <w:szCs w:val="18"/>
              </w:rPr>
              <w:t>建立独立</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的财务核算体系和财务管理</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制度；2、上市公司独立在银</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行开户</w:t>
            </w:r>
            <w:r>
              <w:rPr>
                <w:rFonts w:ascii="宋体" w:hAnsi="宋体" w:cs="宋体" w:eastAsia="宋体" w:hint="default"/>
                <w:spacing w:val="-87"/>
                <w:sz w:val="18"/>
                <w:szCs w:val="18"/>
              </w:rPr>
              <w:t>，</w:t>
            </w:r>
            <w:r>
              <w:rPr>
                <w:rFonts w:ascii="宋体" w:hAnsi="宋体" w:cs="宋体" w:eastAsia="宋体" w:hint="default"/>
                <w:sz w:val="18"/>
                <w:szCs w:val="18"/>
              </w:rPr>
              <w:t>不与本人及本人的关</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联企业共享银行账户；3、上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市公司独立作出财务决策</w:t>
            </w:r>
            <w:r>
              <w:rPr>
                <w:rFonts w:ascii="宋体" w:hAnsi="宋体" w:cs="宋体" w:eastAsia="宋体" w:hint="default"/>
                <w:spacing w:val="-87"/>
                <w:sz w:val="18"/>
                <w:szCs w:val="18"/>
              </w:rPr>
              <w:t>，</w:t>
            </w:r>
            <w:r>
              <w:rPr>
                <w:rFonts w:ascii="宋体" w:hAnsi="宋体" w:cs="宋体" w:eastAsia="宋体" w:hint="default"/>
                <w:sz w:val="18"/>
                <w:szCs w:val="18"/>
              </w:rPr>
              <w:t>本</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人及本人的关联企业不干预</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上市公司的资金使用；4、上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市公司依法独立纳税；5、上</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市公司的财务人员独立</w:t>
            </w:r>
            <w:r>
              <w:rPr>
                <w:rFonts w:ascii="宋体" w:hAnsi="宋体" w:cs="宋体" w:eastAsia="宋体" w:hint="default"/>
                <w:spacing w:val="-87"/>
                <w:sz w:val="18"/>
                <w:szCs w:val="18"/>
              </w:rPr>
              <w:t>，</w:t>
            </w:r>
            <w:r>
              <w:rPr>
                <w:rFonts w:ascii="宋体" w:hAnsi="宋体" w:cs="宋体" w:eastAsia="宋体" w:hint="default"/>
                <w:sz w:val="18"/>
                <w:szCs w:val="18"/>
              </w:rPr>
              <w:t>不在</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本人的关联企业兼职和领取</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56"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bottom w:val="single" w:sz="4" w:space="0" w:color="000000"/>
              <w:right w:val="single" w:sz="4" w:space="0" w:color="000000"/>
            </w:tcBorders>
            <w:shd w:val="clear" w:color="auto" w:fill="C6ECCC"/>
          </w:tcPr>
          <w:p>
            <w:pPr/>
          </w:p>
        </w:tc>
        <w:tc>
          <w:tcPr>
            <w:tcW w:w="1200" w:type="dxa"/>
            <w:vMerge/>
            <w:tcBorders>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报酬。</w:t>
            </w:r>
          </w:p>
        </w:tc>
        <w:tc>
          <w:tcPr>
            <w:tcW w:w="1095" w:type="dxa"/>
            <w:vMerge/>
            <w:tcBorders>
              <w:left w:val="single" w:sz="4" w:space="0" w:color="000000"/>
              <w:bottom w:val="single" w:sz="4" w:space="0" w:color="000000"/>
              <w:right w:val="single" w:sz="4" w:space="0" w:color="000000"/>
            </w:tcBorders>
          </w:tcPr>
          <w:p>
            <w:pPr/>
          </w:p>
        </w:tc>
        <w:tc>
          <w:tcPr>
            <w:tcW w:w="825" w:type="dxa"/>
            <w:vMerge/>
            <w:tcBorders>
              <w:left w:val="single" w:sz="4" w:space="0" w:color="000000"/>
              <w:bottom w:val="single" w:sz="4" w:space="0" w:color="000000"/>
              <w:right w:val="single" w:sz="4" w:space="0" w:color="000000"/>
            </w:tcBorders>
            <w:shd w:val="clear" w:color="auto" w:fill="C6ECCC"/>
          </w:tcPr>
          <w:p>
            <w:pPr/>
          </w:p>
        </w:tc>
        <w:tc>
          <w:tcPr>
            <w:tcW w:w="863" w:type="dxa"/>
            <w:vMerge/>
            <w:tcBorders>
              <w:left w:val="single" w:sz="4" w:space="0" w:color="000000"/>
              <w:bottom w:val="single" w:sz="4" w:space="0" w:color="000000"/>
              <w:right w:val="single" w:sz="4" w:space="0" w:color="000000"/>
            </w:tcBorders>
            <w:shd w:val="clear" w:color="auto" w:fill="C6ECCC"/>
          </w:tcPr>
          <w:p>
            <w:pPr/>
          </w:p>
        </w:tc>
      </w:tr>
      <w:tr>
        <w:trPr>
          <w:trHeight w:val="357" w:hRule="exact"/>
        </w:trPr>
        <w:tc>
          <w:tcPr>
            <w:tcW w:w="1804" w:type="dxa"/>
            <w:vMerge/>
            <w:tcBorders>
              <w:left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r>
              <w:rPr>
                <w:rFonts w:ascii="宋体" w:hAnsi="宋体" w:cs="宋体" w:eastAsia="宋体" w:hint="default"/>
                <w:spacing w:val="-87"/>
                <w:sz w:val="18"/>
                <w:szCs w:val="18"/>
              </w:rPr>
              <w:t>、</w:t>
            </w:r>
            <w:r>
              <w:rPr>
                <w:rFonts w:ascii="宋体" w:hAnsi="宋体" w:cs="宋体" w:eastAsia="宋体" w:hint="default"/>
                <w:sz w:val="18"/>
                <w:szCs w:val="18"/>
              </w:rPr>
              <w:t>杨世宁</w:t>
            </w:r>
            <w:r>
              <w:rPr>
                <w:rFonts w:ascii="宋体" w:hAnsi="宋体" w:cs="宋体" w:eastAsia="宋体" w:hint="default"/>
                <w:spacing w:val="-89"/>
                <w:sz w:val="18"/>
                <w:szCs w:val="18"/>
              </w:rPr>
              <w:t>、</w:t>
            </w:r>
            <w:r>
              <w:rPr>
                <w:rFonts w:ascii="宋体" w:hAnsi="宋体" w:cs="宋体" w:eastAsia="宋体" w:hint="default"/>
                <w:sz w:val="18"/>
                <w:szCs w:val="18"/>
              </w:rPr>
              <w:t>杨新子承诺</w:t>
            </w:r>
          </w:p>
        </w:tc>
        <w:tc>
          <w:tcPr>
            <w:tcW w:w="1095" w:type="dxa"/>
            <w:tcBorders>
              <w:top w:val="single" w:sz="4" w:space="0" w:color="000000"/>
              <w:left w:val="single" w:sz="4" w:space="0" w:color="000000"/>
              <w:bottom w:val="nil" w:sz="6" w:space="0" w:color="auto"/>
              <w:right w:val="single" w:sz="4" w:space="0" w:color="000000"/>
            </w:tcBorders>
          </w:tcPr>
          <w:p>
            <w:pPr/>
          </w:p>
        </w:tc>
        <w:tc>
          <w:tcPr>
            <w:tcW w:w="825" w:type="dxa"/>
            <w:tcBorders>
              <w:top w:val="single" w:sz="4" w:space="0" w:color="000000"/>
              <w:left w:val="single" w:sz="4" w:space="0" w:color="000000"/>
              <w:bottom w:val="nil" w:sz="6" w:space="0" w:color="auto"/>
              <w:right w:val="single" w:sz="4" w:space="0" w:color="000000"/>
            </w:tcBorders>
            <w:shd w:val="clear" w:color="auto" w:fill="C6ECCC"/>
          </w:tcPr>
          <w:p>
            <w:pPr/>
          </w:p>
        </w:tc>
        <w:tc>
          <w:tcPr>
            <w:tcW w:w="86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三人签署</w:t>
            </w:r>
            <w:r>
              <w:rPr>
                <w:rFonts w:ascii="宋体" w:hAnsi="宋体" w:cs="宋体" w:eastAsia="宋体" w:hint="default"/>
                <w:spacing w:val="-87"/>
                <w:sz w:val="18"/>
                <w:szCs w:val="18"/>
              </w:rPr>
              <w:t>之</w:t>
            </w:r>
            <w:r>
              <w:rPr>
                <w:rFonts w:ascii="宋体" w:hAnsi="宋体" w:cs="宋体" w:eastAsia="宋体" w:hint="default"/>
                <w:sz w:val="18"/>
                <w:szCs w:val="18"/>
              </w:rPr>
              <w:t>《一致行动人协议</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书》在解除之前长期有效，自</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本次交易完成后至少</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内，承诺人不解除上述《一致</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634"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
              <w:ind w:left="23" w:right="176"/>
              <w:jc w:val="left"/>
              <w:rPr>
                <w:rFonts w:ascii="宋体" w:hAnsi="宋体" w:cs="宋体" w:eastAsia="宋体" w:hint="default"/>
                <w:sz w:val="18"/>
                <w:szCs w:val="18"/>
              </w:rPr>
            </w:pPr>
            <w:r>
              <w:rPr>
                <w:rFonts w:ascii="宋体" w:hAnsi="宋体" w:cs="宋体" w:eastAsia="宋体" w:hint="default"/>
                <w:sz w:val="18"/>
                <w:szCs w:val="18"/>
              </w:rPr>
              <w:t>王中胜;杨世宁; 杨新子</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
              <w:ind w:left="22" w:right="86"/>
              <w:jc w:val="left"/>
              <w:rPr>
                <w:rFonts w:ascii="宋体" w:hAnsi="宋体" w:cs="宋体" w:eastAsia="宋体" w:hint="default"/>
                <w:sz w:val="18"/>
                <w:szCs w:val="18"/>
              </w:rPr>
            </w:pPr>
            <w:r>
              <w:rPr>
                <w:rFonts w:ascii="宋体" w:hAnsi="宋体" w:cs="宋体" w:eastAsia="宋体" w:hint="default"/>
                <w:sz w:val="18"/>
                <w:szCs w:val="18"/>
              </w:rPr>
              <w:t>股东一致行动 承诺</w:t>
            </w: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20"/>
              <w:ind w:left="22" w:right="24"/>
              <w:jc w:val="left"/>
              <w:rPr>
                <w:rFonts w:ascii="宋体" w:hAnsi="宋体" w:cs="宋体" w:eastAsia="宋体" w:hint="default"/>
                <w:sz w:val="18"/>
                <w:szCs w:val="18"/>
              </w:rPr>
            </w:pPr>
            <w:r>
              <w:rPr>
                <w:rFonts w:ascii="宋体" w:hAnsi="宋体" w:cs="宋体" w:eastAsia="宋体" w:hint="default"/>
                <w:spacing w:val="-7"/>
                <w:sz w:val="18"/>
                <w:szCs w:val="18"/>
              </w:rPr>
              <w:t>行动人协议书》，并将按照该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协议继续履行一致行动的相</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关约定。任何一方不履行《一</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致行动人协议书</w:t>
            </w:r>
            <w:r>
              <w:rPr>
                <w:rFonts w:ascii="宋体" w:hAnsi="宋体" w:cs="宋体" w:eastAsia="宋体" w:hint="default"/>
                <w:spacing w:val="-87"/>
                <w:sz w:val="18"/>
                <w:szCs w:val="18"/>
              </w:rPr>
              <w:t>》</w:t>
            </w:r>
            <w:r>
              <w:rPr>
                <w:rFonts w:ascii="宋体" w:hAnsi="宋体" w:cs="宋体" w:eastAsia="宋体" w:hint="default"/>
                <w:sz w:val="18"/>
                <w:szCs w:val="18"/>
              </w:rPr>
              <w:t>义务或者履</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行其义务不符合约定</w:t>
            </w:r>
            <w:r>
              <w:rPr>
                <w:rFonts w:ascii="宋体" w:hAnsi="宋体" w:cs="宋体" w:eastAsia="宋体" w:hint="default"/>
                <w:spacing w:val="-87"/>
                <w:sz w:val="18"/>
                <w:szCs w:val="18"/>
              </w:rPr>
              <w:t>，</w:t>
            </w:r>
            <w:r>
              <w:rPr>
                <w:rFonts w:ascii="宋体" w:hAnsi="宋体" w:cs="宋体" w:eastAsia="宋体" w:hint="default"/>
                <w:sz w:val="18"/>
                <w:szCs w:val="18"/>
              </w:rPr>
              <w:t>给三方</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中的其他方</w:t>
            </w:r>
            <w:r>
              <w:rPr>
                <w:rFonts w:ascii="宋体" w:hAnsi="宋体" w:cs="宋体" w:eastAsia="宋体" w:hint="default"/>
                <w:spacing w:val="-87"/>
                <w:sz w:val="18"/>
                <w:szCs w:val="18"/>
              </w:rPr>
              <w:t>、</w:t>
            </w:r>
            <w:r>
              <w:rPr>
                <w:rFonts w:ascii="宋体" w:hAnsi="宋体" w:cs="宋体" w:eastAsia="宋体" w:hint="default"/>
                <w:sz w:val="18"/>
                <w:szCs w:val="18"/>
              </w:rPr>
              <w:t>上市公司及其投</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5"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资者造成损失的</w:t>
            </w:r>
            <w:r>
              <w:rPr>
                <w:rFonts w:ascii="宋体" w:hAnsi="宋体" w:cs="宋体" w:eastAsia="宋体" w:hint="default"/>
                <w:spacing w:val="-87"/>
                <w:sz w:val="18"/>
                <w:szCs w:val="18"/>
              </w:rPr>
              <w:t>，</w:t>
            </w:r>
            <w:r>
              <w:rPr>
                <w:rFonts w:ascii="宋体" w:hAnsi="宋体" w:cs="宋体" w:eastAsia="宋体" w:hint="default"/>
                <w:sz w:val="18"/>
                <w:szCs w:val="18"/>
              </w:rPr>
              <w:t>三方中的其</w:t>
            </w:r>
          </w:p>
        </w:tc>
        <w:tc>
          <w:tcPr>
            <w:tcW w:w="1095" w:type="dxa"/>
            <w:tcBorders>
              <w:top w:val="nil" w:sz="6" w:space="0" w:color="auto"/>
              <w:left w:val="single" w:sz="4" w:space="0" w:color="000000"/>
              <w:bottom w:val="single" w:sz="4" w:space="0" w:color="000000"/>
              <w:right w:val="single" w:sz="4" w:space="0" w:color="000000"/>
            </w:tcBorders>
          </w:tcPr>
          <w:p>
            <w:pPr/>
          </w:p>
        </w:tc>
        <w:tc>
          <w:tcPr>
            <w:tcW w:w="825" w:type="dxa"/>
            <w:tcBorders>
              <w:top w:val="nil" w:sz="6" w:space="0" w:color="auto"/>
              <w:left w:val="single" w:sz="4" w:space="0" w:color="000000"/>
              <w:bottom w:val="single" w:sz="4" w:space="0" w:color="000000"/>
              <w:right w:val="single" w:sz="4" w:space="0" w:color="000000"/>
            </w:tcBorders>
            <w:shd w:val="clear" w:color="auto" w:fill="C6ECCC"/>
          </w:tcPr>
          <w:p>
            <w:pPr/>
          </w:p>
        </w:tc>
        <w:tc>
          <w:tcPr>
            <w:tcW w:w="863"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89.759003pt;margin-top:72.400024pt;width:60.8pt;height:189.45pt;mso-position-horizontal-relative:page;mso-position-vertical-relative:page;z-index:-1108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74.440002pt;margin-top:360.200012pt;width:121.4pt;height:253.7pt;mso-position-horizontal-relative:page;mso-position-vertical-relative:page;z-index:-1108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90pt;margin-top:360.200012pt;width:60.55pt;height:253.7pt;mso-position-horizontal-relative:page;mso-position-vertical-relative:page;z-index:-1108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6.049988pt;margin-top:360.200012pt;width:54.5pt;height:253.85pt;mso-position-horizontal-relative:page;mso-position-vertical-relative:page;z-index:-1108696" coordorigin="7921,7204" coordsize="1090,5077">
            <v:shape style="position:absolute;left:7921;top:7204;width:1090;height:5077" coordorigin="7921,7204" coordsize="1090,5077" path="m7921,7204l9011,7204,9011,12281,7921,12281,7921,720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04"/>
        <w:gridCol w:w="1470"/>
        <w:gridCol w:w="1200"/>
        <w:gridCol w:w="2310"/>
        <w:gridCol w:w="1095"/>
        <w:gridCol w:w="825"/>
        <w:gridCol w:w="863"/>
      </w:tblGrid>
      <w:tr>
        <w:trPr>
          <w:trHeight w:val="318" w:hRule="exact"/>
        </w:trPr>
        <w:tc>
          <w:tcPr>
            <w:tcW w:w="1804" w:type="dxa"/>
            <w:vMerge w:val="restart"/>
            <w:tcBorders>
              <w:top w:val="single" w:sz="4" w:space="0" w:color="000000"/>
              <w:left w:val="single" w:sz="4" w:space="0" w:color="000000"/>
              <w:right w:val="single" w:sz="4" w:space="0" w:color="000000"/>
            </w:tcBorders>
            <w:shd w:val="clear" w:color="auto" w:fill="D2D2D2"/>
          </w:tcPr>
          <w:p>
            <w:pPr/>
          </w:p>
        </w:tc>
        <w:tc>
          <w:tcPr>
            <w:tcW w:w="1470" w:type="dxa"/>
            <w:vMerge w:val="restart"/>
            <w:tcBorders>
              <w:top w:val="single" w:sz="4" w:space="0" w:color="000000"/>
              <w:left w:val="single" w:sz="4" w:space="0" w:color="000000"/>
              <w:right w:val="single" w:sz="4" w:space="0" w:color="000000"/>
            </w:tcBorders>
            <w:shd w:val="clear" w:color="auto" w:fill="C6ECCC"/>
          </w:tcPr>
          <w:p>
            <w:pPr/>
          </w:p>
        </w:tc>
        <w:tc>
          <w:tcPr>
            <w:tcW w:w="1200" w:type="dxa"/>
            <w:vMerge w:val="restart"/>
            <w:tcBorders>
              <w:top w:val="single" w:sz="4" w:space="0" w:color="000000"/>
              <w:left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他方作为守约方有权要求该</w:t>
            </w:r>
          </w:p>
        </w:tc>
        <w:tc>
          <w:tcPr>
            <w:tcW w:w="1095" w:type="dxa"/>
            <w:vMerge w:val="restart"/>
            <w:tcBorders>
              <w:top w:val="single" w:sz="4" w:space="0" w:color="000000"/>
              <w:left w:val="single" w:sz="4" w:space="0" w:color="000000"/>
              <w:right w:val="single" w:sz="4" w:space="0" w:color="000000"/>
            </w:tcBorders>
          </w:tcPr>
          <w:p>
            <w:pPr>
              <w:pStyle w:val="TableParagraph"/>
              <w:spacing w:line="378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54.5pt;height:189.45pt;mso-position-horizontal-relative:char;mso-position-vertical-relative:line" coordorigin="0,0" coordsize="1090,3789">
                  <v:group style="position:absolute;left:0;top:0;width:1090;height:3789" coordorigin="0,0" coordsize="1090,3789">
                    <v:shape style="position:absolute;left:0;top:0;width:1090;height:3789" coordorigin="0,0" coordsize="1090,3789" path="m0,0l1090,0,1090,3789,0,3789,0,0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825" w:type="dxa"/>
            <w:vMerge w:val="restart"/>
            <w:tcBorders>
              <w:top w:val="single" w:sz="4" w:space="0" w:color="000000"/>
              <w:left w:val="single" w:sz="4" w:space="0" w:color="000000"/>
              <w:right w:val="single" w:sz="4" w:space="0" w:color="000000"/>
            </w:tcBorders>
            <w:shd w:val="clear" w:color="auto" w:fill="C6ECCC"/>
          </w:tcPr>
          <w:p>
            <w:pPr/>
          </w:p>
        </w:tc>
        <w:tc>
          <w:tcPr>
            <w:tcW w:w="863"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违约方依法承担下述违约责</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任：1、继续履行《一致行动</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人协议书》义务，保持上市公</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司控制权稳定性；2、赔偿给</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守约方</w:t>
            </w:r>
            <w:r>
              <w:rPr>
                <w:rFonts w:ascii="宋体" w:hAnsi="宋体" w:cs="宋体" w:eastAsia="宋体" w:hint="default"/>
                <w:spacing w:val="-87"/>
                <w:sz w:val="18"/>
                <w:szCs w:val="18"/>
              </w:rPr>
              <w:t>、</w:t>
            </w:r>
            <w:r>
              <w:rPr>
                <w:rFonts w:ascii="宋体" w:hAnsi="宋体" w:cs="宋体" w:eastAsia="宋体" w:hint="default"/>
                <w:sz w:val="18"/>
                <w:szCs w:val="18"/>
              </w:rPr>
              <w:t>上市公司及其投资者</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造成的损失</w:t>
            </w:r>
            <w:r>
              <w:rPr>
                <w:rFonts w:ascii="宋体" w:hAnsi="宋体" w:cs="宋体" w:eastAsia="宋体" w:hint="default"/>
                <w:spacing w:val="-87"/>
                <w:sz w:val="18"/>
                <w:szCs w:val="18"/>
              </w:rPr>
              <w:t>，</w:t>
            </w:r>
            <w:r>
              <w:rPr>
                <w:rFonts w:ascii="宋体" w:hAnsi="宋体" w:cs="宋体" w:eastAsia="宋体" w:hint="default"/>
                <w:sz w:val="18"/>
                <w:szCs w:val="18"/>
              </w:rPr>
              <w:t>其中对守约方作</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出的赔偿总额不少于人民币</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8"/>
                <w:sz w:val="18"/>
                <w:szCs w:val="18"/>
              </w:rPr>
              <w:t> </w:t>
            </w:r>
            <w:r>
              <w:rPr>
                <w:rFonts w:ascii="宋体" w:hAnsi="宋体" w:cs="宋体" w:eastAsia="宋体" w:hint="default"/>
                <w:sz w:val="18"/>
                <w:szCs w:val="18"/>
              </w:rPr>
              <w:t>万元；3、所持股份表</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决投票权由守约方代为行使</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12" w:hRule="exact"/>
        </w:trPr>
        <w:tc>
          <w:tcPr>
            <w:tcW w:w="1804" w:type="dxa"/>
            <w:vMerge/>
            <w:tcBorders>
              <w:left w:val="single" w:sz="4" w:space="0" w:color="000000"/>
              <w:right w:val="single" w:sz="4" w:space="0" w:color="000000"/>
            </w:tcBorders>
            <w:shd w:val="clear" w:color="auto" w:fill="D2D2D2"/>
          </w:tcPr>
          <w:p>
            <w:pPr/>
          </w:p>
        </w:tc>
        <w:tc>
          <w:tcPr>
            <w:tcW w:w="1470" w:type="dxa"/>
            <w:vMerge/>
            <w:tcBorders>
              <w:left w:val="single" w:sz="4" w:space="0" w:color="000000"/>
              <w:right w:val="single" w:sz="4" w:space="0" w:color="000000"/>
            </w:tcBorders>
            <w:shd w:val="clear" w:color="auto" w:fill="C6ECCC"/>
          </w:tcPr>
          <w:p>
            <w:pPr/>
          </w:p>
        </w:tc>
        <w:tc>
          <w:tcPr>
            <w:tcW w:w="1200" w:type="dxa"/>
            <w:vMerge/>
            <w:tcBorders>
              <w:left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违约方在承担违约责任前</w:t>
            </w:r>
            <w:r>
              <w:rPr>
                <w:rFonts w:ascii="宋体" w:hAnsi="宋体" w:cs="宋体" w:eastAsia="宋体" w:hint="default"/>
                <w:spacing w:val="-87"/>
                <w:sz w:val="18"/>
                <w:szCs w:val="18"/>
              </w:rPr>
              <w:t>，</w:t>
            </w:r>
            <w:r>
              <w:rPr>
                <w:rFonts w:ascii="宋体" w:hAnsi="宋体" w:cs="宋体" w:eastAsia="宋体" w:hint="default"/>
                <w:sz w:val="18"/>
                <w:szCs w:val="18"/>
              </w:rPr>
              <w:t>不</w:t>
            </w:r>
          </w:p>
        </w:tc>
        <w:tc>
          <w:tcPr>
            <w:tcW w:w="1095" w:type="dxa"/>
            <w:vMerge/>
            <w:tcBorders>
              <w:left w:val="single" w:sz="4" w:space="0" w:color="000000"/>
              <w:right w:val="single" w:sz="4" w:space="0" w:color="000000"/>
            </w:tcBorders>
          </w:tcPr>
          <w:p>
            <w:pPr/>
          </w:p>
        </w:tc>
        <w:tc>
          <w:tcPr>
            <w:tcW w:w="825" w:type="dxa"/>
            <w:vMerge/>
            <w:tcBorders>
              <w:left w:val="single" w:sz="4" w:space="0" w:color="000000"/>
              <w:right w:val="single" w:sz="4" w:space="0" w:color="000000"/>
            </w:tcBorders>
            <w:shd w:val="clear" w:color="auto" w:fill="C6ECCC"/>
          </w:tcPr>
          <w:p>
            <w:pPr/>
          </w:p>
        </w:tc>
        <w:tc>
          <w:tcPr>
            <w:tcW w:w="863" w:type="dxa"/>
            <w:vMerge/>
            <w:tcBorders>
              <w:left w:val="single" w:sz="4" w:space="0" w:color="000000"/>
              <w:right w:val="single" w:sz="4" w:space="0" w:color="000000"/>
            </w:tcBorders>
            <w:shd w:val="clear" w:color="auto" w:fill="C6ECCC"/>
          </w:tcPr>
          <w:p>
            <w:pPr/>
          </w:p>
        </w:tc>
      </w:tr>
      <w:tr>
        <w:trPr>
          <w:trHeight w:val="356"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1470" w:type="dxa"/>
            <w:vMerge/>
            <w:tcBorders>
              <w:left w:val="single" w:sz="4" w:space="0" w:color="000000"/>
              <w:bottom w:val="single" w:sz="4" w:space="0" w:color="000000"/>
              <w:right w:val="single" w:sz="4" w:space="0" w:color="000000"/>
            </w:tcBorders>
            <w:shd w:val="clear" w:color="auto" w:fill="C6ECCC"/>
          </w:tcPr>
          <w:p>
            <w:pPr/>
          </w:p>
        </w:tc>
        <w:tc>
          <w:tcPr>
            <w:tcW w:w="1200" w:type="dxa"/>
            <w:vMerge/>
            <w:tcBorders>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得减持、质押上市公司股份</w:t>
            </w:r>
          </w:p>
        </w:tc>
        <w:tc>
          <w:tcPr>
            <w:tcW w:w="1095" w:type="dxa"/>
            <w:vMerge/>
            <w:tcBorders>
              <w:left w:val="single" w:sz="4" w:space="0" w:color="000000"/>
              <w:bottom w:val="single" w:sz="4" w:space="0" w:color="000000"/>
              <w:right w:val="single" w:sz="4" w:space="0" w:color="000000"/>
            </w:tcBorders>
          </w:tcPr>
          <w:p>
            <w:pPr/>
          </w:p>
        </w:tc>
        <w:tc>
          <w:tcPr>
            <w:tcW w:w="825" w:type="dxa"/>
            <w:vMerge/>
            <w:tcBorders>
              <w:left w:val="single" w:sz="4" w:space="0" w:color="000000"/>
              <w:bottom w:val="single" w:sz="4" w:space="0" w:color="000000"/>
              <w:right w:val="single" w:sz="4" w:space="0" w:color="000000"/>
            </w:tcBorders>
            <w:shd w:val="clear" w:color="auto" w:fill="C6ECCC"/>
          </w:tcPr>
          <w:p>
            <w:pPr/>
          </w:p>
        </w:tc>
        <w:tc>
          <w:tcPr>
            <w:tcW w:w="863" w:type="dxa"/>
            <w:vMerge/>
            <w:tcBorders>
              <w:left w:val="single" w:sz="4" w:space="0" w:color="000000"/>
              <w:bottom w:val="single" w:sz="4" w:space="0" w:color="000000"/>
              <w:right w:val="single" w:sz="4" w:space="0" w:color="000000"/>
            </w:tcBorders>
            <w:shd w:val="clear" w:color="auto" w:fill="C6ECCC"/>
          </w:tcPr>
          <w:p>
            <w:pPr/>
          </w:p>
        </w:tc>
      </w:tr>
      <w:tr>
        <w:trPr>
          <w:trHeight w:val="357" w:hRule="exact"/>
        </w:trPr>
        <w:tc>
          <w:tcPr>
            <w:tcW w:w="18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r>
              <w:rPr>
                <w:rFonts w:ascii="宋体" w:hAnsi="宋体" w:cs="宋体" w:eastAsia="宋体" w:hint="default"/>
                <w:spacing w:val="-87"/>
                <w:sz w:val="18"/>
                <w:szCs w:val="18"/>
              </w:rPr>
              <w:t>、</w:t>
            </w:r>
            <w:r>
              <w:rPr>
                <w:rFonts w:ascii="宋体" w:hAnsi="宋体" w:cs="宋体" w:eastAsia="宋体" w:hint="default"/>
                <w:sz w:val="18"/>
                <w:szCs w:val="18"/>
              </w:rPr>
              <w:t>杨世宁和杨新子三人</w:t>
            </w:r>
          </w:p>
        </w:tc>
        <w:tc>
          <w:tcPr>
            <w:tcW w:w="1095" w:type="dxa"/>
            <w:tcBorders>
              <w:top w:val="single" w:sz="4" w:space="0" w:color="000000"/>
              <w:left w:val="single" w:sz="4" w:space="0" w:color="000000"/>
              <w:bottom w:val="nil" w:sz="6" w:space="0" w:color="auto"/>
              <w:right w:val="single" w:sz="4" w:space="0" w:color="000000"/>
            </w:tcBorders>
          </w:tcPr>
          <w:p>
            <w:pPr/>
          </w:p>
        </w:tc>
        <w:tc>
          <w:tcPr>
            <w:tcW w:w="825" w:type="dxa"/>
            <w:tcBorders>
              <w:top w:val="single" w:sz="4" w:space="0" w:color="000000"/>
              <w:left w:val="single" w:sz="4" w:space="0" w:color="000000"/>
              <w:bottom w:val="nil" w:sz="6" w:space="0" w:color="auto"/>
              <w:right w:val="single" w:sz="4" w:space="0" w:color="000000"/>
            </w:tcBorders>
            <w:shd w:val="clear" w:color="auto" w:fill="C6ECCC"/>
          </w:tcPr>
          <w:p>
            <w:pPr/>
          </w:p>
        </w:tc>
        <w:tc>
          <w:tcPr>
            <w:tcW w:w="86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1248"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76"/>
              <w:jc w:val="left"/>
              <w:rPr>
                <w:rFonts w:ascii="宋体" w:hAnsi="宋体" w:cs="宋体" w:eastAsia="宋体" w:hint="default"/>
                <w:sz w:val="18"/>
                <w:szCs w:val="18"/>
              </w:rPr>
            </w:pPr>
            <w:r>
              <w:rPr>
                <w:rFonts w:ascii="宋体" w:hAnsi="宋体" w:cs="宋体" w:eastAsia="宋体" w:hint="default"/>
                <w:sz w:val="18"/>
                <w:szCs w:val="18"/>
              </w:rPr>
              <w:t>王中胜;杨世宁; 杨新子</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86"/>
              <w:jc w:val="left"/>
              <w:rPr>
                <w:rFonts w:ascii="宋体" w:hAnsi="宋体" w:cs="宋体" w:eastAsia="宋体" w:hint="default"/>
                <w:sz w:val="18"/>
                <w:szCs w:val="18"/>
              </w:rPr>
            </w:pPr>
            <w:r>
              <w:rPr>
                <w:rFonts w:ascii="宋体" w:hAnsi="宋体" w:cs="宋体" w:eastAsia="宋体" w:hint="default"/>
                <w:sz w:val="18"/>
                <w:szCs w:val="18"/>
              </w:rPr>
              <w:t>股东一致行动 承诺</w:t>
            </w: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承诺：就皖通科技的股东大 </w:t>
            </w:r>
            <w:r>
              <w:rPr>
                <w:rFonts w:ascii="宋体" w:hAnsi="宋体" w:cs="宋体" w:eastAsia="宋体" w:hint="default"/>
                <w:spacing w:val="-7"/>
                <w:sz w:val="18"/>
                <w:szCs w:val="18"/>
              </w:rPr>
              <w:t>会、董事会等重要会议的投票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权和相关事宜等，按照一致行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动人协议书约定保持行动一</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31</w:t>
            </w:r>
          </w:p>
        </w:tc>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7"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w:t>
            </w:r>
          </w:p>
        </w:tc>
        <w:tc>
          <w:tcPr>
            <w:tcW w:w="1095" w:type="dxa"/>
            <w:tcBorders>
              <w:top w:val="nil" w:sz="6" w:space="0" w:color="auto"/>
              <w:left w:val="single" w:sz="4" w:space="0" w:color="000000"/>
              <w:bottom w:val="single" w:sz="4" w:space="0" w:color="000000"/>
              <w:right w:val="single" w:sz="4" w:space="0" w:color="000000"/>
            </w:tcBorders>
          </w:tcPr>
          <w:p>
            <w:pPr/>
          </w:p>
        </w:tc>
        <w:tc>
          <w:tcPr>
            <w:tcW w:w="825" w:type="dxa"/>
            <w:tcBorders>
              <w:top w:val="nil" w:sz="6" w:space="0" w:color="auto"/>
              <w:left w:val="single" w:sz="4" w:space="0" w:color="000000"/>
              <w:bottom w:val="single" w:sz="4" w:space="0" w:color="000000"/>
              <w:right w:val="single" w:sz="4" w:space="0" w:color="000000"/>
            </w:tcBorders>
            <w:shd w:val="clear" w:color="auto" w:fill="C6ECCC"/>
          </w:tcPr>
          <w:p>
            <w:pPr/>
          </w:p>
        </w:tc>
        <w:tc>
          <w:tcPr>
            <w:tcW w:w="863"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8"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本人及本人控制的公司和/</w:t>
            </w:r>
          </w:p>
        </w:tc>
        <w:tc>
          <w:tcPr>
            <w:tcW w:w="1095" w:type="dxa"/>
            <w:tcBorders>
              <w:top w:val="single" w:sz="4" w:space="0" w:color="000000"/>
              <w:left w:val="single" w:sz="4" w:space="0" w:color="000000"/>
              <w:bottom w:val="nil" w:sz="6" w:space="0" w:color="auto"/>
              <w:right w:val="single" w:sz="4" w:space="0" w:color="000000"/>
            </w:tcBorders>
          </w:tcPr>
          <w:p>
            <w:pPr/>
          </w:p>
        </w:tc>
        <w:tc>
          <w:tcPr>
            <w:tcW w:w="825" w:type="dxa"/>
            <w:tcBorders>
              <w:top w:val="single" w:sz="4" w:space="0" w:color="000000"/>
              <w:left w:val="single" w:sz="4" w:space="0" w:color="000000"/>
              <w:bottom w:val="nil" w:sz="6" w:space="0" w:color="auto"/>
              <w:right w:val="single" w:sz="4" w:space="0" w:color="000000"/>
            </w:tcBorders>
            <w:shd w:val="clear" w:color="auto" w:fill="C6ECCC"/>
          </w:tcPr>
          <w:p>
            <w:pPr/>
          </w:p>
        </w:tc>
        <w:tc>
          <w:tcPr>
            <w:tcW w:w="86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或其他经济组织目前未从事</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与皖通科技及其下属子公司</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已生产经营或将生产经营的</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产品具有同业竞争或潜在同</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业竞争的产品的生产经营</w:t>
            </w:r>
            <w:r>
              <w:rPr>
                <w:rFonts w:ascii="宋体" w:hAnsi="宋体" w:cs="宋体" w:eastAsia="宋体" w:hint="default"/>
                <w:spacing w:val="-87"/>
                <w:sz w:val="18"/>
                <w:szCs w:val="18"/>
              </w:rPr>
              <w:t>；</w:t>
            </w:r>
            <w:r>
              <w:rPr>
                <w:rFonts w:ascii="宋体" w:hAnsi="宋体" w:cs="宋体" w:eastAsia="宋体" w:hint="default"/>
                <w:sz w:val="18"/>
                <w:szCs w:val="18"/>
              </w:rPr>
              <w:t>2</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1315"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0" w:lineRule="atLeast"/>
              <w:ind w:left="22" w:right="14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76"/>
              <w:jc w:val="left"/>
              <w:rPr>
                <w:rFonts w:ascii="宋体" w:hAnsi="宋体" w:cs="宋体" w:eastAsia="宋体" w:hint="default"/>
                <w:sz w:val="18"/>
                <w:szCs w:val="18"/>
              </w:rPr>
            </w:pPr>
            <w:r>
              <w:rPr>
                <w:rFonts w:ascii="宋体" w:hAnsi="宋体" w:cs="宋体" w:eastAsia="宋体" w:hint="default"/>
                <w:sz w:val="18"/>
                <w:szCs w:val="18"/>
              </w:rPr>
              <w:t>王中胜;杨世宁; 杨新子</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86"/>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5"/>
                <w:sz w:val="18"/>
                <w:szCs w:val="18"/>
              </w:rPr>
              <w:t>争、关联交易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资金占用方面 的承诺</w:t>
            </w: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本人及本人控制的其他公司 和/或经济组织将来不从事与 皖通科技及其下属子公司已 生产经营或将来生产经营的</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31</w:t>
            </w:r>
          </w:p>
        </w:tc>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45"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产品具有同业竞争或潜在同</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业竞争的产品的生产经营或</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7"/>
                <w:sz w:val="18"/>
                <w:szCs w:val="18"/>
              </w:rPr>
              <w:t>。</w:t>
            </w:r>
            <w:r>
              <w:rPr>
                <w:rFonts w:ascii="宋体" w:hAnsi="宋体" w:cs="宋体" w:eastAsia="宋体" w:hint="default"/>
                <w:sz w:val="18"/>
                <w:szCs w:val="18"/>
              </w:rPr>
              <w:t>本人将采取合法和有效</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的措施</w:t>
            </w:r>
            <w:r>
              <w:rPr>
                <w:rFonts w:ascii="宋体" w:hAnsi="宋体" w:cs="宋体" w:eastAsia="宋体" w:hint="default"/>
                <w:spacing w:val="-87"/>
                <w:sz w:val="18"/>
                <w:szCs w:val="18"/>
              </w:rPr>
              <w:t>，</w:t>
            </w:r>
            <w:r>
              <w:rPr>
                <w:rFonts w:ascii="宋体" w:hAnsi="宋体" w:cs="宋体" w:eastAsia="宋体" w:hint="default"/>
                <w:sz w:val="18"/>
                <w:szCs w:val="18"/>
              </w:rPr>
              <w:t>保障本人控制的公司</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和/或其他经济组织亦不从事</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6"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上述产品的生产经营。</w:t>
            </w:r>
          </w:p>
        </w:tc>
        <w:tc>
          <w:tcPr>
            <w:tcW w:w="1095" w:type="dxa"/>
            <w:tcBorders>
              <w:top w:val="nil" w:sz="6" w:space="0" w:color="auto"/>
              <w:left w:val="single" w:sz="4" w:space="0" w:color="000000"/>
              <w:bottom w:val="single" w:sz="4" w:space="0" w:color="000000"/>
              <w:right w:val="single" w:sz="4" w:space="0" w:color="000000"/>
            </w:tcBorders>
          </w:tcPr>
          <w:p>
            <w:pPr/>
          </w:p>
        </w:tc>
        <w:tc>
          <w:tcPr>
            <w:tcW w:w="825" w:type="dxa"/>
            <w:tcBorders>
              <w:top w:val="nil" w:sz="6" w:space="0" w:color="auto"/>
              <w:left w:val="single" w:sz="4" w:space="0" w:color="000000"/>
              <w:bottom w:val="single" w:sz="4" w:space="0" w:color="000000"/>
              <w:right w:val="single" w:sz="4" w:space="0" w:color="000000"/>
            </w:tcBorders>
            <w:shd w:val="clear" w:color="auto" w:fill="C6ECCC"/>
          </w:tcPr>
          <w:p>
            <w:pPr/>
          </w:p>
        </w:tc>
        <w:tc>
          <w:tcPr>
            <w:tcW w:w="863"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7"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231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自皖通科技本次非公开发行</w:t>
            </w:r>
          </w:p>
        </w:tc>
        <w:tc>
          <w:tcPr>
            <w:tcW w:w="1095" w:type="dxa"/>
            <w:tcBorders>
              <w:top w:val="single" w:sz="4" w:space="0" w:color="000000"/>
              <w:left w:val="single" w:sz="4" w:space="0" w:color="000000"/>
              <w:bottom w:val="nil" w:sz="6" w:space="0" w:color="auto"/>
              <w:right w:val="single" w:sz="4" w:space="0" w:color="000000"/>
            </w:tcBorders>
          </w:tcPr>
          <w:p>
            <w:pPr/>
          </w:p>
        </w:tc>
        <w:tc>
          <w:tcPr>
            <w:tcW w:w="825" w:type="dxa"/>
            <w:tcBorders>
              <w:top w:val="single" w:sz="4" w:space="0" w:color="000000"/>
              <w:left w:val="single" w:sz="4" w:space="0" w:color="000000"/>
              <w:bottom w:val="nil" w:sz="6" w:space="0" w:color="auto"/>
              <w:right w:val="single" w:sz="4" w:space="0" w:color="000000"/>
            </w:tcBorders>
            <w:shd w:val="clear" w:color="auto" w:fill="C6ECCC"/>
          </w:tcPr>
          <w:p>
            <w:pPr/>
          </w:p>
        </w:tc>
        <w:tc>
          <w:tcPr>
            <w:tcW w:w="86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的股票上市之日起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内，不转让本单位/本人所认</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936"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47"/>
              <w:ind w:left="23" w:right="174"/>
              <w:jc w:val="left"/>
              <w:rPr>
                <w:rFonts w:ascii="宋体" w:hAnsi="宋体" w:cs="宋体" w:eastAsia="宋体" w:hint="default"/>
                <w:sz w:val="18"/>
                <w:szCs w:val="18"/>
              </w:rPr>
            </w:pPr>
            <w:r>
              <w:rPr>
                <w:rFonts w:ascii="宋体" w:hAnsi="宋体" w:cs="宋体" w:eastAsia="宋体" w:hint="default"/>
                <w:sz w:val="18"/>
                <w:szCs w:val="18"/>
              </w:rPr>
              <w:t>南方银谷科技有 限公司</w:t>
            </w: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购的上述股份。本单位/本人 所认购的上述公司股份在锁 </w:t>
            </w:r>
            <w:r>
              <w:rPr>
                <w:rFonts w:ascii="宋体" w:hAnsi="宋体" w:cs="宋体" w:eastAsia="宋体" w:hint="default"/>
                <w:spacing w:val="-7"/>
                <w:sz w:val="18"/>
                <w:szCs w:val="18"/>
              </w:rPr>
              <w:t>定期届满后减持还将遵守《公</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89"/>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《证券法</w:t>
            </w:r>
            <w:r>
              <w:rPr>
                <w:rFonts w:ascii="宋体" w:hAnsi="宋体" w:cs="宋体" w:eastAsia="宋体" w:hint="default"/>
                <w:spacing w:val="-89"/>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《深圳证券</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804" w:type="dxa"/>
            <w:tcBorders>
              <w:top w:val="nil" w:sz="6" w:space="0" w:color="auto"/>
              <w:left w:val="single" w:sz="4" w:space="0" w:color="000000"/>
              <w:bottom w:val="nil" w:sz="6" w:space="0" w:color="auto"/>
              <w:right w:val="single" w:sz="4" w:space="0" w:color="000000"/>
            </w:tcBorders>
            <w:shd w:val="clear" w:color="auto" w:fill="D2D2D2"/>
          </w:tcPr>
          <w:p>
            <w:pPr/>
          </w:p>
        </w:tc>
        <w:tc>
          <w:tcPr>
            <w:tcW w:w="1470" w:type="dxa"/>
            <w:tcBorders>
              <w:top w:val="nil" w:sz="6" w:space="0" w:color="auto"/>
              <w:left w:val="single" w:sz="4" w:space="0" w:color="000000"/>
              <w:bottom w:val="nil" w:sz="6" w:space="0" w:color="auto"/>
              <w:right w:val="single" w:sz="4" w:space="0" w:color="000000"/>
            </w:tcBorders>
            <w:shd w:val="clear" w:color="auto" w:fill="C6ECCC"/>
          </w:tcPr>
          <w:p>
            <w:pPr/>
          </w:p>
        </w:tc>
        <w:tc>
          <w:tcPr>
            <w:tcW w:w="1200" w:type="dxa"/>
            <w:tcBorders>
              <w:top w:val="nil" w:sz="6" w:space="0" w:color="auto"/>
              <w:left w:val="single" w:sz="4" w:space="0" w:color="000000"/>
              <w:bottom w:val="nil" w:sz="6" w:space="0" w:color="auto"/>
              <w:right w:val="single" w:sz="4" w:space="0" w:color="000000"/>
            </w:tcBorders>
            <w:shd w:val="clear" w:color="auto" w:fill="C6ECCC"/>
          </w:tcPr>
          <w:p>
            <w:pPr/>
          </w:p>
        </w:tc>
        <w:tc>
          <w:tcPr>
            <w:tcW w:w="23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交易所股票上市规则</w:t>
            </w:r>
            <w:r>
              <w:rPr>
                <w:rFonts w:ascii="宋体" w:hAnsi="宋体" w:cs="宋体" w:eastAsia="宋体" w:hint="default"/>
                <w:spacing w:val="-89"/>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《上市</w:t>
            </w:r>
          </w:p>
        </w:tc>
        <w:tc>
          <w:tcPr>
            <w:tcW w:w="1095" w:type="dxa"/>
            <w:tcBorders>
              <w:top w:val="nil" w:sz="6" w:space="0" w:color="auto"/>
              <w:left w:val="single" w:sz="4" w:space="0" w:color="000000"/>
              <w:bottom w:val="nil" w:sz="6" w:space="0" w:color="auto"/>
              <w:right w:val="single" w:sz="4" w:space="0" w:color="000000"/>
            </w:tcBorders>
          </w:tcPr>
          <w:p>
            <w:pPr/>
          </w:p>
        </w:tc>
        <w:tc>
          <w:tcPr>
            <w:tcW w:w="825" w:type="dxa"/>
            <w:tcBorders>
              <w:top w:val="nil" w:sz="6" w:space="0" w:color="auto"/>
              <w:left w:val="single" w:sz="4" w:space="0" w:color="000000"/>
              <w:bottom w:val="nil" w:sz="6" w:space="0" w:color="auto"/>
              <w:right w:val="single" w:sz="4" w:space="0" w:color="000000"/>
            </w:tcBorders>
            <w:shd w:val="clear" w:color="auto" w:fill="C6ECCC"/>
          </w:tcPr>
          <w:p>
            <w:pPr/>
          </w:p>
        </w:tc>
        <w:tc>
          <w:tcPr>
            <w:tcW w:w="86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5" w:hRule="exact"/>
        </w:trPr>
        <w:tc>
          <w:tcPr>
            <w:tcW w:w="18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0"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231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w:t>
            </w:r>
            <w:r>
              <w:rPr>
                <w:rFonts w:ascii="宋体" w:hAnsi="宋体" w:cs="宋体" w:eastAsia="宋体" w:hint="default"/>
                <w:spacing w:val="-87"/>
                <w:sz w:val="18"/>
                <w:szCs w:val="18"/>
              </w:rPr>
              <w:t>、</w:t>
            </w:r>
            <w:r>
              <w:rPr>
                <w:rFonts w:ascii="宋体" w:hAnsi="宋体" w:cs="宋体" w:eastAsia="宋体" w:hint="default"/>
                <w:sz w:val="18"/>
                <w:szCs w:val="18"/>
              </w:rPr>
              <w:t>董监高减持股份的</w:t>
            </w:r>
          </w:p>
        </w:tc>
        <w:tc>
          <w:tcPr>
            <w:tcW w:w="1095" w:type="dxa"/>
            <w:tcBorders>
              <w:top w:val="nil" w:sz="6" w:space="0" w:color="auto"/>
              <w:left w:val="single" w:sz="4" w:space="0" w:color="000000"/>
              <w:bottom w:val="single" w:sz="4" w:space="0" w:color="000000"/>
              <w:right w:val="single" w:sz="4" w:space="0" w:color="000000"/>
            </w:tcBorders>
          </w:tcPr>
          <w:p>
            <w:pPr/>
          </w:p>
        </w:tc>
        <w:tc>
          <w:tcPr>
            <w:tcW w:w="825" w:type="dxa"/>
            <w:tcBorders>
              <w:top w:val="nil" w:sz="6" w:space="0" w:color="auto"/>
              <w:left w:val="single" w:sz="4" w:space="0" w:color="000000"/>
              <w:bottom w:val="single" w:sz="4" w:space="0" w:color="000000"/>
              <w:right w:val="single" w:sz="4" w:space="0" w:color="000000"/>
            </w:tcBorders>
            <w:shd w:val="clear" w:color="auto" w:fill="C6ECCC"/>
          </w:tcPr>
          <w:p>
            <w:pPr/>
          </w:p>
        </w:tc>
        <w:tc>
          <w:tcPr>
            <w:tcW w:w="863"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89.759003pt;margin-top:72.400024pt;width:60.8pt;height:127.05pt;mso-position-horizontal-relative:page;mso-position-vertical-relative:page;z-index:-1108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04"/>
        <w:gridCol w:w="1470"/>
        <w:gridCol w:w="1200"/>
        <w:gridCol w:w="2310"/>
        <w:gridCol w:w="1095"/>
        <w:gridCol w:w="825"/>
        <w:gridCol w:w="863"/>
      </w:tblGrid>
      <w:tr>
        <w:trPr>
          <w:trHeight w:val="2546"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1"/>
              <w:ind w:left="22" w:right="-19"/>
              <w:jc w:val="left"/>
              <w:rPr>
                <w:rFonts w:ascii="宋体" w:hAnsi="宋体" w:cs="宋体" w:eastAsia="宋体" w:hint="default"/>
                <w:sz w:val="18"/>
                <w:szCs w:val="18"/>
              </w:rPr>
            </w:pPr>
            <w:r>
              <w:rPr>
                <w:rFonts w:ascii="宋体" w:hAnsi="宋体" w:cs="宋体" w:eastAsia="宋体" w:hint="default"/>
                <w:spacing w:val="-9"/>
                <w:sz w:val="18"/>
                <w:szCs w:val="18"/>
              </w:rPr>
              <w:t>若干规定》（证监会公告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[2017]9</w:t>
            </w:r>
            <w:r>
              <w:rPr>
                <w:rFonts w:ascii="宋体" w:hAnsi="宋体" w:cs="宋体" w:eastAsia="宋体" w:hint="default"/>
                <w:spacing w:val="-47"/>
                <w:sz w:val="18"/>
                <w:szCs w:val="18"/>
              </w:rPr>
              <w:t> </w:t>
            </w:r>
            <w:r>
              <w:rPr>
                <w:rFonts w:ascii="宋体" w:hAnsi="宋体" w:cs="宋体" w:eastAsia="宋体" w:hint="default"/>
                <w:sz w:val="18"/>
                <w:szCs w:val="18"/>
              </w:rPr>
              <w:t>号）等法律、法规、</w:t>
            </w:r>
            <w:r>
              <w:rPr>
                <w:rFonts w:ascii="宋体" w:hAnsi="宋体" w:cs="宋体" w:eastAsia="宋体" w:hint="default"/>
                <w:sz w:val="18"/>
                <w:szCs w:val="18"/>
              </w:rPr>
              <w:t> </w:t>
            </w:r>
            <w:r>
              <w:rPr>
                <w:rFonts w:ascii="宋体" w:hAnsi="宋体" w:cs="宋体" w:eastAsia="宋体" w:hint="default"/>
                <w:spacing w:val="-7"/>
                <w:sz w:val="18"/>
                <w:szCs w:val="18"/>
              </w:rPr>
              <w:t>规章、规范性文件、深圳证券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交易所相关规则（《深圳证券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交易所上市公司股东及董事 </w:t>
            </w:r>
            <w:r>
              <w:rPr>
                <w:rFonts w:ascii="宋体" w:hAnsi="宋体" w:cs="宋体" w:eastAsia="宋体" w:hint="default"/>
                <w:spacing w:val="-7"/>
                <w:sz w:val="18"/>
                <w:szCs w:val="18"/>
              </w:rPr>
              <w:t>监事、高级管理人员减持股份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实施细则》等）以及《公司章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程》的相关规定。</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541"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54.5pt;height:127.05pt;mso-position-horizontal-relative:char;mso-position-vertical-relative:line" coordorigin="0,0" coordsize="1090,2541">
                  <v:group style="position:absolute;left:0;top:0;width:1090;height:2541" coordorigin="0,0" coordsize="1090,2541">
                    <v:shape style="position:absolute;left:0;top:0;width:1090;height:2541" coordorigin="0,0" coordsize="1090,2541" path="m0,0l1090,0,1090,2541,0,2541,0,0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6"/>
                <w:sz w:val="18"/>
                <w:szCs w:val="18"/>
              </w:rPr>
              <w:t>毕的，应当详细说明未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完成履行的具体原因 及下一步的工作计划</w:t>
            </w:r>
          </w:p>
        </w:tc>
        <w:tc>
          <w:tcPr>
            <w:tcW w:w="7763"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Times New Roman" w:hAnsi="Times New Roman" w:cs="Times New Roman" w:eastAsia="Times New Roman" w:hint="default"/>
          <w:sz w:val="21"/>
          <w:szCs w:val="21"/>
        </w:rPr>
      </w:pPr>
    </w:p>
    <w:p>
      <w:pPr>
        <w:pStyle w:val="Heading6"/>
        <w:spacing w:line="273" w:lineRule="auto" w:before="34"/>
        <w:ind w:right="1125"/>
        <w:jc w:val="left"/>
        <w:rPr>
          <w:b w:val="0"/>
          <w:bCs w:val="0"/>
        </w:rPr>
      </w:pPr>
      <w:bookmarkStart w:name="2、公司资产或项目存在盈利预测，且报告期仍处在盈利预测期间，公司就资产或项目达到" w:id="68"/>
      <w:bookmarkEnd w:id="68"/>
      <w:r>
        <w:rPr>
          <w:b w:val="0"/>
          <w:bCs w:val="0"/>
        </w:rPr>
      </w:r>
      <w:r>
        <w:rPr>
          <w:spacing w:val="3"/>
          <w:w w:val="95"/>
        </w:rPr>
        <w:t>2、公司资产或项目存在盈利预测，且报告期仍处在盈利预测期间，公司就资产或项目达到原盈利预测及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4"/>
        <w:rPr>
          <w:rFonts w:ascii="宋体" w:hAnsi="宋体" w:cs="宋体" w:eastAsia="宋体" w:hint="default"/>
          <w:b/>
          <w:bCs/>
          <w:sz w:val="25"/>
          <w:szCs w:val="25"/>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5"/>
        <w:gridCol w:w="1179"/>
        <w:gridCol w:w="1181"/>
        <w:gridCol w:w="1180"/>
        <w:gridCol w:w="1180"/>
        <w:gridCol w:w="1180"/>
        <w:gridCol w:w="1182"/>
        <w:gridCol w:w="1178"/>
      </w:tblGrid>
      <w:tr>
        <w:trPr>
          <w:trHeight w:val="71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7" w:right="106"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5" w:right="43"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4" w:right="4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5" w:hRule="exact"/>
        </w:trPr>
        <w:tc>
          <w:tcPr>
            <w:tcW w:w="1305" w:type="dxa"/>
            <w:tcBorders>
              <w:top w:val="single" w:sz="4" w:space="0" w:color="000000"/>
              <w:left w:val="single" w:sz="4" w:space="0" w:color="000000"/>
              <w:bottom w:val="nil" w:sz="6" w:space="0" w:color="auto"/>
              <w:right w:val="single" w:sz="4" w:space="0" w:color="000000"/>
            </w:tcBorders>
            <w:shd w:val="clear" w:color="auto" w:fill="C6ECCC"/>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由于摊销了限</w:t>
            </w:r>
          </w:p>
        </w:tc>
        <w:tc>
          <w:tcPr>
            <w:tcW w:w="118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305" w:type="dxa"/>
            <w:tcBorders>
              <w:top w:val="nil" w:sz="6" w:space="0" w:color="auto"/>
              <w:left w:val="single" w:sz="4" w:space="0" w:color="000000"/>
              <w:bottom w:val="nil" w:sz="6" w:space="0" w:color="auto"/>
              <w:right w:val="single" w:sz="4" w:space="0" w:color="000000"/>
            </w:tcBorders>
            <w:shd w:val="clear" w:color="auto" w:fill="C6ECCC"/>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制性股票激励</w:t>
            </w: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624" w:hRule="exact"/>
        </w:trPr>
        <w:tc>
          <w:tcPr>
            <w:tcW w:w="130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成都赛英科技 有限公司</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7" w:right="0"/>
              <w:jc w:val="left"/>
              <w:rPr>
                <w:rFonts w:ascii="宋体" w:hAnsi="宋体" w:cs="宋体" w:eastAsia="宋体" w:hint="default"/>
                <w:sz w:val="18"/>
                <w:szCs w:val="18"/>
              </w:rPr>
            </w:pPr>
            <w:r>
              <w:rPr>
                <w:rFonts w:ascii="宋体"/>
                <w:sz w:val="18"/>
              </w:rPr>
              <w:t>6,850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6" w:right="0"/>
              <w:jc w:val="left"/>
              <w:rPr>
                <w:rFonts w:ascii="宋体" w:hAnsi="宋体" w:cs="宋体" w:eastAsia="宋体" w:hint="default"/>
                <w:sz w:val="18"/>
                <w:szCs w:val="18"/>
              </w:rPr>
            </w:pPr>
            <w:r>
              <w:rPr>
                <w:rFonts w:ascii="宋体"/>
                <w:sz w:val="18"/>
              </w:rPr>
              <w:t>6,738.54</w:t>
            </w:r>
          </w:p>
        </w:tc>
        <w:tc>
          <w:tcPr>
            <w:tcW w:w="118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4" w:right="64"/>
              <w:jc w:val="left"/>
              <w:rPr>
                <w:rFonts w:ascii="宋体" w:hAnsi="宋体" w:cs="宋体" w:eastAsia="宋体" w:hint="default"/>
                <w:sz w:val="18"/>
                <w:szCs w:val="18"/>
              </w:rPr>
            </w:pPr>
            <w:r>
              <w:rPr>
                <w:rFonts w:ascii="宋体" w:hAnsi="宋体" w:cs="宋体" w:eastAsia="宋体" w:hint="default"/>
                <w:sz w:val="18"/>
                <w:szCs w:val="18"/>
              </w:rPr>
              <w:t>费用导致其净 利润减少了</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61"/>
              <w:jc w:val="left"/>
              <w:rPr>
                <w:rFonts w:ascii="宋体" w:hAnsi="宋体" w:cs="宋体" w:eastAsia="宋体" w:hint="default"/>
                <w:sz w:val="18"/>
                <w:szCs w:val="18"/>
              </w:rPr>
            </w:pPr>
            <w:hyperlink r:id="rId20">
              <w:r>
                <w:rPr>
                  <w:rFonts w:ascii="宋体"/>
                  <w:sz w:val="18"/>
                </w:rPr>
                <w:t>www.cninfo.c</w:t>
              </w:r>
            </w:hyperlink>
            <w:r>
              <w:rPr>
                <w:rFonts w:ascii="宋体"/>
                <w:sz w:val="18"/>
              </w:rPr>
              <w:t> om.cn</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shd w:val="clear" w:color="auto" w:fill="C6ECCC"/>
          </w:tcPr>
          <w:p>
            <w:pP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303.88</w:t>
            </w:r>
            <w:r>
              <w:rPr>
                <w:rFonts w:ascii="宋体" w:hAnsi="宋体" w:cs="宋体" w:eastAsia="宋体" w:hint="default"/>
                <w:spacing w:val="-50"/>
                <w:sz w:val="18"/>
                <w:szCs w:val="18"/>
              </w:rPr>
              <w:t> </w:t>
            </w:r>
            <w:r>
              <w:rPr>
                <w:rFonts w:ascii="宋体" w:hAnsi="宋体" w:cs="宋体" w:eastAsia="宋体" w:hint="default"/>
                <w:sz w:val="18"/>
                <w:szCs w:val="18"/>
              </w:rPr>
              <w:t>万元所</w:t>
            </w: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9" w:hRule="exact"/>
        </w:trPr>
        <w:tc>
          <w:tcPr>
            <w:tcW w:w="1305" w:type="dxa"/>
            <w:tcBorders>
              <w:top w:val="nil" w:sz="6" w:space="0" w:color="auto"/>
              <w:left w:val="single" w:sz="4" w:space="0" w:color="000000"/>
              <w:bottom w:val="single" w:sz="4" w:space="0" w:color="000000"/>
              <w:right w:val="single" w:sz="4" w:space="0" w:color="000000"/>
            </w:tcBorders>
            <w:shd w:val="clear" w:color="auto" w:fill="C6ECCC"/>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致。</w:t>
            </w:r>
          </w:p>
        </w:tc>
        <w:tc>
          <w:tcPr>
            <w:tcW w:w="118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357" w:lineRule="auto" w:before="117"/>
        <w:ind w:left="472" w:right="1124" w:hanging="360"/>
        <w:jc w:val="left"/>
        <w:rPr>
          <w:rFonts w:ascii="宋体" w:hAnsi="宋体" w:cs="宋体" w:eastAsia="宋体" w:hint="default"/>
          <w:sz w:val="18"/>
          <w:szCs w:val="18"/>
        </w:rPr>
      </w:pPr>
      <w:r>
        <w:rPr>
          <w:rFonts w:ascii="宋体" w:hAnsi="宋体" w:cs="宋体" w:eastAsia="宋体" w:hint="default"/>
          <w:sz w:val="18"/>
          <w:szCs w:val="18"/>
        </w:rPr>
        <w:t>√ 适用 □ 不适用 公司于2017年9月7日召开的第四届董事会第八次会议和2017年9月27日召开的2017年第二次临时股东大会审议通过了发</w:t>
      </w:r>
    </w:p>
    <w:p>
      <w:pPr>
        <w:spacing w:line="224"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行股份购买资产暨募集配套资金相关事项。根据公司与易增辉、林木顺、张荷花、吴常念、汪学刚、吴义华、林洪钢、唐世</w:t>
      </w:r>
    </w:p>
    <w:p>
      <w:pPr>
        <w:spacing w:line="316" w:lineRule="auto" w:before="76"/>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容、姚宗诚、陈乐桥、邹林、周云（以下简称“交易对方”）签订的《发行股份购买资产协议》，公司以非公开发行股份的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方式购买交易对方持有的赛英科技100%股权，交易价格为43,000.00万元。</w:t>
      </w:r>
    </w:p>
    <w:p>
      <w:pPr>
        <w:spacing w:line="316" w:lineRule="auto" w:before="19"/>
        <w:ind w:left="112" w:right="1034" w:firstLine="360"/>
        <w:jc w:val="left"/>
        <w:rPr>
          <w:rFonts w:ascii="宋体" w:hAnsi="宋体" w:cs="宋体" w:eastAsia="宋体" w:hint="default"/>
          <w:sz w:val="18"/>
          <w:szCs w:val="18"/>
        </w:rPr>
      </w:pPr>
      <w:r>
        <w:rPr>
          <w:rFonts w:ascii="宋体" w:hAnsi="宋体" w:cs="宋体" w:eastAsia="宋体" w:hint="default"/>
          <w:spacing w:val="-5"/>
          <w:sz w:val="18"/>
          <w:szCs w:val="18"/>
        </w:rPr>
        <w:t>根据公司与易增辉、汪学刚、吴义华、林洪钢、唐世容、姚宗诚、陈乐桥、邹林、周云等9人（以下简称“补偿义务人”）</w:t>
      </w:r>
      <w:r>
        <w:rPr>
          <w:rFonts w:ascii="宋体" w:hAnsi="宋体" w:cs="宋体" w:eastAsia="宋体" w:hint="default"/>
          <w:sz w:val="18"/>
          <w:szCs w:val="18"/>
        </w:rPr>
        <w:t> 签署的《关于成都赛英科技有限公司之标的资产业绩承诺补偿协议》，补偿义务人预计赛英科技在2017年、2018年和2019 年实现的净利润数不低于3,150万元、3,700万元、4,350万元，补偿期实现的净利润数合计不低于11,200万元；鉴于此，补 偿义务人承诺赛英科技在2017年实现的净利润数不低于3,150万元，2017年、2018年累积实现的净利润数不低于6,850万元， </w:t>
      </w:r>
      <w:r>
        <w:rPr>
          <w:rFonts w:ascii="宋体" w:hAnsi="宋体" w:cs="宋体" w:eastAsia="宋体" w:hint="default"/>
          <w:spacing w:val="-2"/>
          <w:sz w:val="18"/>
          <w:szCs w:val="18"/>
        </w:rPr>
        <w:t>2017年、2018年和2019年累积实现的净利润数不低于11,200万元。2017年度至2018年度，若某一年度赛英科技截至当期期末</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累积实现净利润低于累积承诺净利润但不低于累积承诺净利润的90%，则当年补偿义务人无需向上市公司补偿，应补偿金额</w:t>
      </w:r>
      <w:r>
        <w:rPr>
          <w:rFonts w:ascii="宋体" w:hAnsi="宋体" w:cs="宋体" w:eastAsia="宋体" w:hint="default"/>
          <w:sz w:val="18"/>
          <w:szCs w:val="18"/>
        </w:rPr>
        <w:t> </w:t>
      </w:r>
      <w:r>
        <w:rPr>
          <w:rFonts w:ascii="宋体" w:hAnsi="宋体" w:cs="宋体" w:eastAsia="宋体" w:hint="default"/>
          <w:spacing w:val="-2"/>
          <w:sz w:val="18"/>
          <w:szCs w:val="18"/>
        </w:rPr>
        <w:t>累积至下一需要补偿的年度计算。补偿期届满时，若赛英科技各年度实现的累积实现净利润数低于补偿义务人承诺的累积净</w:t>
      </w:r>
    </w:p>
    <w:p>
      <w:pPr>
        <w:spacing w:after="0" w:line="316" w:lineRule="auto"/>
        <w:jc w:val="left"/>
        <w:rPr>
          <w:rFonts w:ascii="宋体" w:hAnsi="宋体" w:cs="宋体" w:eastAsia="宋体" w:hint="default"/>
          <w:sz w:val="18"/>
          <w:szCs w:val="18"/>
        </w:rPr>
        <w:sectPr>
          <w:footerReference w:type="default" r:id="rId19"/>
          <w:pgSz w:w="11910" w:h="16840"/>
          <w:pgMar w:footer="978" w:header="746" w:top="1060" w:bottom="1160" w:left="1020" w:right="0"/>
          <w:pgNumType w:start="40"/>
        </w:sectPr>
      </w:pPr>
    </w:p>
    <w:p>
      <w:pPr>
        <w:spacing w:line="240" w:lineRule="auto" w:before="12"/>
        <w:rPr>
          <w:rFonts w:ascii="宋体" w:hAnsi="宋体" w:cs="宋体" w:eastAsia="宋体" w:hint="default"/>
          <w:sz w:val="25"/>
          <w:szCs w:val="25"/>
        </w:rPr>
      </w:pPr>
    </w:p>
    <w:p>
      <w:pPr>
        <w:spacing w:line="338" w:lineRule="auto" w:before="44"/>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利润承诺数的，则补偿义务人向上市公司进行补偿；若赛英科技各年度累积实现净利润数大于或等于补偿义务人承诺的累积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净利润承诺数的，则补偿义务人无需向上市公司进行补偿。补偿义务人应优先采用股份补偿，不足部分采用现金补偿。 业绩承诺的完成情况及其对商誉减值测试的影响</w:t>
      </w:r>
    </w:p>
    <w:p>
      <w:pPr>
        <w:spacing w:line="316" w:lineRule="auto" w:before="43"/>
        <w:ind w:left="112" w:right="0" w:firstLine="360"/>
        <w:jc w:val="left"/>
        <w:rPr>
          <w:rFonts w:ascii="宋体" w:hAnsi="宋体" w:cs="宋体" w:eastAsia="宋体" w:hint="default"/>
          <w:sz w:val="18"/>
          <w:szCs w:val="18"/>
        </w:rPr>
      </w:pPr>
      <w:r>
        <w:rPr>
          <w:rFonts w:ascii="宋体" w:hAnsi="宋体" w:cs="宋体" w:eastAsia="宋体" w:hint="default"/>
          <w:sz w:val="18"/>
          <w:szCs w:val="18"/>
        </w:rPr>
        <w:t>赛英科技截止当期累计业绩承诺净利润为6,850万元，实际完成业绩为净利润6,738.54万元，业绩承诺没有实现的原因 </w:t>
      </w:r>
      <w:r>
        <w:rPr>
          <w:rFonts w:ascii="宋体" w:hAnsi="宋体" w:cs="宋体" w:eastAsia="宋体" w:hint="default"/>
          <w:spacing w:val="-2"/>
          <w:sz w:val="18"/>
          <w:szCs w:val="18"/>
        </w:rPr>
        <w:t>是承担了限制性股票激励费用导致其净利润减少了303.88万元，赛英科技未扣除限制性股票成本前的净利润为7042.42万元，</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大于业绩承诺金额，同时，由于限制性股票激励费用不产生现金流出，因此对商誉减值测试不产生影响。</w:t>
      </w:r>
    </w:p>
    <w:p>
      <w:pPr>
        <w:spacing w:line="316" w:lineRule="auto" w:before="19"/>
        <w:ind w:left="112" w:right="1034" w:firstLine="360"/>
        <w:jc w:val="left"/>
        <w:rPr>
          <w:rFonts w:ascii="宋体" w:hAnsi="宋体" w:cs="宋体" w:eastAsia="宋体" w:hint="default"/>
          <w:sz w:val="18"/>
          <w:szCs w:val="18"/>
        </w:rPr>
      </w:pPr>
      <w:r>
        <w:rPr>
          <w:rFonts w:ascii="宋体" w:hAnsi="宋体" w:cs="宋体" w:eastAsia="宋体" w:hint="default"/>
          <w:spacing w:val="-2"/>
          <w:sz w:val="18"/>
          <w:szCs w:val="18"/>
        </w:rPr>
        <w:t>公司期末对与赛英科技商誉相关的资产组进行了减值测试，在进行减值测试时，将商誉的账面价值分摊至预期从企业合</w:t>
      </w:r>
      <w:r>
        <w:rPr>
          <w:rFonts w:ascii="宋体" w:hAnsi="宋体" w:cs="宋体" w:eastAsia="宋体" w:hint="default"/>
          <w:sz w:val="18"/>
          <w:szCs w:val="18"/>
        </w:rPr>
        <w:t> 并的协同效应中受益的资产组或资产组组合。然后将资产组账面价值与其可收回金额进行比较，赛英科技商誉未发生减值。</w:t>
      </w:r>
    </w:p>
    <w:p>
      <w:pPr>
        <w:spacing w:line="240" w:lineRule="auto" w:before="9"/>
        <w:rPr>
          <w:rFonts w:ascii="宋体" w:hAnsi="宋体" w:cs="宋体" w:eastAsia="宋体" w:hint="default"/>
          <w:sz w:val="20"/>
          <w:szCs w:val="20"/>
        </w:rPr>
      </w:pPr>
    </w:p>
    <w:p>
      <w:pPr>
        <w:pStyle w:val="Heading4"/>
        <w:spacing w:line="240" w:lineRule="auto"/>
        <w:ind w:right="2127"/>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9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4"/>
        <w:spacing w:line="240" w:lineRule="auto"/>
        <w:ind w:right="1025"/>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right="0" w:firstLine="424"/>
        <w:jc w:val="left"/>
      </w:pPr>
      <w:r>
        <w:rPr>
          <w:spacing w:val="-5"/>
          <w:w w:val="99"/>
        </w:rPr>
        <w:t>财政部于2018年6月15日发布了《关于修订印发2018年度一般企业财务报表格式的通知》（财会〔2018〕</w:t>
      </w:r>
      <w:r>
        <w:rPr>
          <w:w w:val="99"/>
        </w:rPr>
        <w:t> </w:t>
      </w:r>
      <w:r>
        <w:rPr>
          <w:spacing w:val="-5"/>
        </w:rPr>
        <w:t>15号），对一般企业财务报表格式进行了修订，归并部分资产负债表项目，拆分部分利润表项目；并于2018</w:t>
      </w:r>
      <w:r>
        <w:rPr>
          <w:w w:val="99"/>
        </w:rPr>
        <w:t> </w:t>
      </w:r>
      <w:r>
        <w:rPr/>
        <w:t>年9月7日发布了《关于2018年度一般企业财务报表格式有关问题的解读》，明确要求代扣个人所得税手续</w:t>
      </w:r>
      <w:r>
        <w:rPr>
          <w:w w:val="99"/>
        </w:rPr>
        <w:t> </w:t>
      </w:r>
      <w:r>
        <w:rPr/>
        <w:t>费返还在“其他收益”列报，实际收到的政府补助，无论是与资产相关还是与收益相关，在编制现金流量</w:t>
      </w:r>
      <w:r>
        <w:rPr>
          <w:w w:val="99"/>
        </w:rPr>
        <w:t> </w:t>
      </w:r>
      <w:r>
        <w:rPr/>
        <w:t>表时均作为经营活动产生的现金流量列报等。</w:t>
      </w:r>
    </w:p>
    <w:p>
      <w:pPr>
        <w:pStyle w:val="BodyText"/>
        <w:spacing w:line="408" w:lineRule="auto" w:before="46"/>
        <w:ind w:right="0" w:firstLine="424"/>
        <w:jc w:val="left"/>
      </w:pPr>
      <w:r>
        <w:rPr>
          <w:w w:val="95"/>
        </w:rPr>
        <w:t>本公司已经根据新的企业财务报表格式的要求编制财务报表，财务报表的列报项目因此发生变更的，</w:t>
      </w:r>
      <w:r>
        <w:rPr>
          <w:spacing w:val="-83"/>
          <w:w w:val="95"/>
        </w:rPr>
        <w:t> </w:t>
      </w:r>
      <w:r>
        <w:rPr>
          <w:spacing w:val="-83"/>
          <w:w w:val="95"/>
        </w:rPr>
      </w:r>
      <w:r>
        <w:rPr/>
        <w:t>已经按照《企业会计准则第30号——财务报表列报》等的相关规定，对可比期间的比较数据进行调整。</w:t>
      </w:r>
    </w:p>
    <w:p>
      <w:pPr>
        <w:pStyle w:val="BodyText"/>
        <w:spacing w:line="240" w:lineRule="auto" w:before="46"/>
        <w:ind w:left="537" w:right="2127"/>
        <w:jc w:val="left"/>
      </w:pPr>
      <w:r>
        <w:rPr/>
        <w:t>对可比期间的财务报表列报项目及金额的影响如下：</w:t>
      </w:r>
    </w:p>
    <w:p>
      <w:pPr>
        <w:pStyle w:val="BodyText"/>
        <w:spacing w:line="240" w:lineRule="auto" w:before="116"/>
        <w:ind w:left="0" w:right="2577"/>
        <w:jc w:val="right"/>
      </w:pPr>
      <w:r>
        <w:rPr>
          <w:w w:val="95"/>
        </w:rPr>
        <w:t>单位：元</w:t>
      </w:r>
      <w:r>
        <w:rPr/>
      </w:r>
    </w:p>
    <w:p>
      <w:pPr>
        <w:spacing w:line="240" w:lineRule="auto" w:before="1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843"/>
        <w:gridCol w:w="1617"/>
        <w:gridCol w:w="1617"/>
        <w:gridCol w:w="1617"/>
        <w:gridCol w:w="1618"/>
      </w:tblGrid>
      <w:tr>
        <w:trPr>
          <w:trHeight w:val="666" w:hRule="exact"/>
        </w:trPr>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51" w:right="81" w:hanging="272"/>
              <w:jc w:val="left"/>
              <w:rPr>
                <w:rFonts w:ascii="宋体" w:hAnsi="宋体" w:cs="宋体" w:eastAsia="宋体" w:hint="default"/>
                <w:sz w:val="18"/>
                <w:szCs w:val="18"/>
              </w:rPr>
            </w:pPr>
            <w:r>
              <w:rPr>
                <w:rFonts w:ascii="宋体" w:hAnsi="宋体" w:cs="宋体" w:eastAsia="宋体" w:hint="default"/>
                <w:sz w:val="18"/>
                <w:szCs w:val="18"/>
              </w:rPr>
              <w:t>2017年12月31日之 前列报金额</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41"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50" w:right="78" w:hanging="269"/>
              <w:jc w:val="left"/>
              <w:rPr>
                <w:rFonts w:ascii="宋体" w:hAnsi="宋体" w:cs="宋体" w:eastAsia="宋体" w:hint="default"/>
                <w:sz w:val="18"/>
                <w:szCs w:val="18"/>
              </w:rPr>
            </w:pPr>
            <w:r>
              <w:rPr>
                <w:rFonts w:ascii="宋体" w:hAnsi="宋体" w:cs="宋体" w:eastAsia="宋体" w:hint="default"/>
                <w:sz w:val="18"/>
                <w:szCs w:val="18"/>
              </w:rPr>
              <w:t>2017年12月31日经 重列后金额</w:t>
            </w:r>
          </w:p>
        </w:tc>
        <w:tc>
          <w:tcPr>
            <w:tcW w:w="16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17,490,283.51</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-17,490,283.51</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285,258,121.28</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-285,258,121.28</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302,748,404.79</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302,748,404.79</w:t>
            </w: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13,034,027.10</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-13,034,027.10</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415,950,303.02</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-415,950,303.02</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428,984,330.12</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428,984,330.12</w:t>
            </w:r>
          </w:p>
        </w:tc>
        <w:tc>
          <w:tcPr>
            <w:tcW w:w="1618"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843"/>
        <w:gridCol w:w="1617"/>
        <w:gridCol w:w="1617"/>
        <w:gridCol w:w="1617"/>
        <w:gridCol w:w="1618"/>
      </w:tblGrid>
      <w:tr>
        <w:trPr>
          <w:trHeight w:val="369" w:hRule="exact"/>
        </w:trPr>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2"/>
              <w:jc w:val="right"/>
              <w:rPr>
                <w:rFonts w:ascii="宋体" w:hAnsi="宋体" w:cs="宋体" w:eastAsia="宋体" w:hint="default"/>
                <w:sz w:val="18"/>
                <w:szCs w:val="18"/>
              </w:rPr>
            </w:pPr>
            <w:r>
              <w:rPr>
                <w:rFonts w:ascii="宋体"/>
                <w:spacing w:val="-1"/>
                <w:sz w:val="18"/>
              </w:rPr>
              <w:t>15,104.17</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pacing w:val="-1"/>
                <w:sz w:val="18"/>
              </w:rPr>
              <w:t>-15,104.17</w:t>
            </w:r>
          </w:p>
        </w:tc>
        <w:tc>
          <w:tcPr>
            <w:tcW w:w="1617" w:type="dxa"/>
            <w:tcBorders>
              <w:top w:val="single" w:sz="6" w:space="0" w:color="000000"/>
              <w:left w:val="single" w:sz="6" w:space="0" w:color="000000"/>
              <w:bottom w:val="single" w:sz="12" w:space="0" w:color="000000"/>
              <w:right w:val="single" w:sz="6" w:space="0" w:color="000000"/>
            </w:tcBorders>
          </w:tcPr>
          <w:p>
            <w:pPr/>
          </w:p>
        </w:tc>
        <w:tc>
          <w:tcPr>
            <w:tcW w:w="1618" w:type="dxa"/>
            <w:tcBorders>
              <w:top w:val="single" w:sz="6"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40,201,794.31</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15,104.17</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40,216,898.48</w:t>
            </w: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114,717,651.55</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-38,354,805.07</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76,362,846.48</w:t>
            </w: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38,354,805.07</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38,354,805.07</w:t>
            </w:r>
          </w:p>
        </w:tc>
        <w:tc>
          <w:tcPr>
            <w:tcW w:w="161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4"/>
        <w:spacing w:line="240" w:lineRule="auto" w:before="26"/>
        <w:ind w:right="2127"/>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1"/>
        <w:ind w:left="532" w:right="0"/>
        <w:jc w:val="left"/>
      </w:pPr>
      <w:r>
        <w:rPr/>
        <w:t>本期纳入合并财务报表范围的主体较上期相比，增加1户，减少0户，其中：</w:t>
      </w:r>
      <w:r>
        <w:rPr>
          <w:w w:val="99"/>
        </w:rPr>
        <w:t> </w:t>
      </w:r>
      <w:r>
        <w:rPr>
          <w:w w:val="95"/>
        </w:rPr>
        <w:t>本期新纳入合并范围的子公司、特殊目的主体、通过受托经营或承租等方式形成控制权的经营实体</w:t>
      </w:r>
      <w:r>
        <w:rPr/>
      </w:r>
    </w:p>
    <w:tbl>
      <w:tblPr>
        <w:tblW w:w="0" w:type="auto"/>
        <w:jc w:val="left"/>
        <w:tblInd w:w="106"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496"/>
              <w:jc w:val="right"/>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550"/>
              <w:jc w:val="righ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购并</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spacing w:line="240" w:lineRule="auto" w:before="26"/>
        <w:ind w:right="2127"/>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62</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21"/>
              <w:jc w:val="right"/>
              <w:rPr>
                <w:rFonts w:ascii="宋体" w:hAnsi="宋体" w:cs="宋体" w:eastAsia="宋体" w:hint="default"/>
                <w:sz w:val="18"/>
                <w:szCs w:val="18"/>
              </w:rPr>
            </w:pPr>
            <w:r>
              <w:rPr>
                <w:rFonts w:ascii="宋体"/>
                <w:sz w:val="18"/>
              </w:rPr>
              <w:t>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吕勇军、吴琳</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21"/>
              <w:jc w:val="right"/>
              <w:rPr>
                <w:rFonts w:ascii="宋体" w:hAnsi="宋体" w:cs="宋体" w:eastAsia="宋体" w:hint="default"/>
                <w:sz w:val="18"/>
                <w:szCs w:val="18"/>
              </w:rPr>
            </w:pPr>
            <w:r>
              <w:rPr>
                <w:rFonts w:ascii="宋体"/>
                <w:sz w:val="18"/>
              </w:rPr>
              <w:t>3</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7"/>
        <w:ind w:left="112" w:right="625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4"/>
        <w:rPr>
          <w:rFonts w:ascii="宋体" w:hAnsi="宋体" w:cs="宋体" w:eastAsia="宋体" w:hint="default"/>
          <w:sz w:val="18"/>
          <w:szCs w:val="18"/>
        </w:rPr>
      </w:pPr>
    </w:p>
    <w:p>
      <w:pPr>
        <w:pStyle w:val="Heading4"/>
        <w:spacing w:line="240" w:lineRule="auto"/>
        <w:ind w:right="0"/>
        <w:jc w:val="both"/>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left="532" w:right="0"/>
        <w:jc w:val="left"/>
      </w:pPr>
      <w:r>
        <w:rPr>
          <w:rFonts w:ascii="宋体" w:hAnsi="宋体" w:cs="宋体" w:eastAsia="宋体" w:hint="default"/>
          <w:b/>
          <w:bCs/>
        </w:rPr>
        <w:t>1、第一期员工持股计划</w:t>
      </w:r>
      <w:r>
        <w:rPr>
          <w:rFonts w:ascii="宋体" w:hAnsi="宋体" w:cs="宋体" w:eastAsia="宋体" w:hint="default"/>
          <w:b/>
          <w:bCs/>
          <w:w w:val="99"/>
        </w:rPr>
        <w:t> </w:t>
      </w:r>
      <w:r>
        <w:rPr>
          <w:spacing w:val="2"/>
          <w:w w:val="95"/>
        </w:rPr>
        <w:t>公司于2016年9月21日召开的第三届董事会第二十七次会议和2016年10月13日召开的公司2016年第一</w:t>
      </w:r>
      <w:r>
        <w:rPr>
          <w:spacing w:val="2"/>
        </w:rPr>
      </w:r>
    </w:p>
    <w:p>
      <w:pPr>
        <w:pStyle w:val="BodyText"/>
        <w:spacing w:line="273" w:lineRule="auto"/>
        <w:ind w:right="1130"/>
        <w:jc w:val="both"/>
      </w:pPr>
      <w:r>
        <w:rPr>
          <w:w w:val="95"/>
        </w:rPr>
        <w:t>次临时股东大会审议通过了《安徽皖通科技股份有限公司第一期员工持股计划（草案）及摘要》，同意实</w:t>
      </w:r>
      <w:r>
        <w:rPr>
          <w:spacing w:val="42"/>
          <w:w w:val="95"/>
        </w:rPr>
        <w:t> </w:t>
      </w:r>
      <w:r>
        <w:rPr>
          <w:spacing w:val="42"/>
          <w:w w:val="95"/>
        </w:rPr>
      </w:r>
      <w:r>
        <w:rPr>
          <w:w w:val="95"/>
        </w:rPr>
        <w:t>施公司第一期员工持股计划。本员工持股计划的参与人员范围为公司董事、监事、高级管理人员、公司及</w:t>
      </w:r>
      <w:r>
        <w:rPr>
          <w:spacing w:val="39"/>
          <w:w w:val="95"/>
        </w:rPr>
        <w:t> </w:t>
      </w:r>
      <w:r>
        <w:rPr>
          <w:spacing w:val="39"/>
          <w:w w:val="95"/>
        </w:rPr>
      </w:r>
      <w:r>
        <w:rPr>
          <w:spacing w:val="2"/>
          <w:w w:val="95"/>
        </w:rPr>
        <w:t>下属子公司核心业务骨干，参与员工总人数不超过310人；资金来源为参加对象合法薪酬、自筹资金和法</w:t>
      </w:r>
      <w:r>
        <w:rPr>
          <w:spacing w:val="47"/>
          <w:w w:val="95"/>
        </w:rPr>
        <w:t> </w:t>
      </w:r>
      <w:r>
        <w:rPr>
          <w:spacing w:val="47"/>
          <w:w w:val="95"/>
        </w:rPr>
      </w:r>
      <w:r>
        <w:rPr/>
        <w:t>律、行政法规允许的其他方式，筹集资金总额上限为7,500万元。</w:t>
      </w:r>
    </w:p>
    <w:p>
      <w:pPr>
        <w:pStyle w:val="BodyText"/>
        <w:spacing w:line="273" w:lineRule="auto"/>
        <w:ind w:right="1135" w:firstLine="420"/>
        <w:jc w:val="both"/>
      </w:pPr>
      <w:r>
        <w:rPr>
          <w:w w:val="95"/>
        </w:rPr>
        <w:t>截至2016年11月11日，公司第一期员工持股计划通过东兴金海27号定向资产管理计划从二级市场共计</w:t>
      </w:r>
      <w:r>
        <w:rPr>
          <w:w w:val="99"/>
        </w:rPr>
        <w:t> </w:t>
      </w:r>
      <w:r>
        <w:rPr/>
        <w:t>买入公司股票4,616,241股，成交金额为73,268,458元，成交均价为15.87元/股，已完成本次员工持股计</w:t>
      </w:r>
      <w:r>
        <w:rPr>
          <w:spacing w:val="-43"/>
        </w:rPr>
        <w:t> </w:t>
      </w:r>
      <w:r>
        <w:rPr>
          <w:spacing w:val="-43"/>
        </w:rPr>
      </w:r>
      <w:r>
        <w:rPr>
          <w:spacing w:val="11"/>
          <w:w w:val="95"/>
        </w:rPr>
        <w:t>划股票购买。截至本报告期末，公司第一期员工持股计划持有公司股票4,616,241股，占公司总股本</w:t>
      </w:r>
      <w:r>
        <w:rPr>
          <w:spacing w:val="95"/>
          <w:w w:val="95"/>
        </w:rPr>
        <w:t> </w:t>
      </w:r>
      <w:r>
        <w:rPr>
          <w:spacing w:val="95"/>
          <w:w w:val="95"/>
        </w:rPr>
      </w:r>
      <w:r>
        <w:rPr/>
        <w:t>412,135,469股的1.12%。</w:t>
      </w:r>
    </w:p>
    <w:p>
      <w:pPr>
        <w:pStyle w:val="BodyText"/>
        <w:spacing w:line="273" w:lineRule="auto"/>
        <w:ind w:right="1132" w:firstLine="420"/>
        <w:jc w:val="both"/>
      </w:pPr>
      <w:r>
        <w:rPr>
          <w:spacing w:val="2"/>
          <w:w w:val="95"/>
        </w:rPr>
        <w:t>公司于2018年4月12日发布了《安徽皖通科技股份有限公司关于第一期员工持股计划届满的提示性公</w:t>
      </w:r>
      <w:r>
        <w:rPr>
          <w:spacing w:val="-90"/>
          <w:w w:val="95"/>
        </w:rPr>
        <w:t> </w:t>
      </w:r>
      <w:r>
        <w:rPr>
          <w:spacing w:val="-90"/>
          <w:w w:val="95"/>
        </w:rPr>
      </w:r>
      <w:r>
        <w:rPr>
          <w:w w:val="95"/>
        </w:rPr>
        <w:t>告》(公告编号：2018-018)，本次员工持股计划购买的股票锁定期已届满，后续公司将根据员工持股计划</w:t>
      </w:r>
      <w:r>
        <w:rPr>
          <w:spacing w:val="42"/>
          <w:w w:val="95"/>
        </w:rPr>
        <w:t> </w:t>
      </w:r>
      <w:r>
        <w:rPr>
          <w:spacing w:val="42"/>
          <w:w w:val="95"/>
        </w:rPr>
      </w:r>
      <w:r>
        <w:rPr/>
        <w:t>管理委员会的意见及届时市场的情况决定是否卖出股票，并及时履行信息披露义务。</w:t>
      </w:r>
    </w:p>
    <w:p>
      <w:pPr>
        <w:pStyle w:val="BodyText"/>
        <w:spacing w:line="273" w:lineRule="auto" w:before="48"/>
        <w:ind w:right="1132" w:firstLine="420"/>
        <w:jc w:val="left"/>
      </w:pPr>
      <w:r>
        <w:rPr/>
        <w:t>公司于2018年7月26日召开的持有人会议和2018年8月7日召开的第四届董事会第十五次会议，审议通</w:t>
      </w:r>
      <w:r>
        <w:rPr>
          <w:w w:val="99"/>
        </w:rPr>
        <w:t> </w:t>
      </w:r>
      <w:r>
        <w:rPr>
          <w:w w:val="95"/>
        </w:rPr>
        <w:t>过了《关于第一期员工持股计划存续期展期的议案》，同意公司第一期员工持股计划存续期展期一年，即</w:t>
      </w:r>
      <w:r>
        <w:rPr>
          <w:spacing w:val="40"/>
          <w:w w:val="95"/>
        </w:rPr>
        <w:t> </w:t>
      </w:r>
      <w:r>
        <w:rPr>
          <w:spacing w:val="40"/>
          <w:w w:val="95"/>
        </w:rPr>
      </w:r>
      <w:r>
        <w:rPr>
          <w:w w:val="95"/>
        </w:rPr>
        <w:t>存续期展期至2019年10月12日。公司于2018年8月8日披露了《安徽皖通科技股份有限公司关于第一期员工</w:t>
      </w:r>
      <w:r>
        <w:rPr>
          <w:spacing w:val="40"/>
          <w:w w:val="95"/>
        </w:rPr>
        <w:t> </w:t>
      </w:r>
      <w:r>
        <w:rPr>
          <w:spacing w:val="40"/>
          <w:w w:val="95"/>
        </w:rPr>
      </w:r>
      <w:r>
        <w:rPr/>
        <w:t>持股计划存续期展期的公告》（公告编号：2018-045）。</w:t>
      </w:r>
    </w:p>
    <w:p>
      <w:pPr>
        <w:pStyle w:val="Heading6"/>
        <w:spacing w:line="240" w:lineRule="auto" w:before="48"/>
        <w:ind w:left="535" w:right="2127"/>
        <w:jc w:val="left"/>
        <w:rPr>
          <w:b w:val="0"/>
          <w:bCs w:val="0"/>
        </w:rPr>
      </w:pPr>
      <w:r>
        <w:rPr/>
        <w:t>2、第一期限制性股票激励计划</w:t>
      </w:r>
      <w:r>
        <w:rPr>
          <w:b w:val="0"/>
          <w:bCs w:val="0"/>
        </w:rPr>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b/>
          <w:bCs/>
          <w:sz w:val="24"/>
          <w:szCs w:val="24"/>
        </w:rPr>
      </w:pPr>
    </w:p>
    <w:p>
      <w:pPr>
        <w:pStyle w:val="BodyText"/>
        <w:spacing w:line="273" w:lineRule="auto" w:before="34"/>
        <w:ind w:right="1130" w:firstLine="420"/>
        <w:jc w:val="both"/>
      </w:pPr>
      <w:r>
        <w:rPr>
          <w:w w:val="95"/>
        </w:rPr>
        <w:t>公司于2018年2月9日召开的第四届董事会第十二次会议、第四届监事会第十次会议审议通过了《安徽</w:t>
      </w:r>
      <w:r>
        <w:rPr>
          <w:w w:val="99"/>
        </w:rPr>
        <w:t> </w:t>
      </w:r>
      <w:r>
        <w:rPr>
          <w:w w:val="95"/>
        </w:rPr>
        <w:t>皖通科技股份有限公司第一期限制性股票激励计划（草案）及摘要》等相关议案，同意实施公司第一期限</w:t>
      </w:r>
      <w:r>
        <w:rPr>
          <w:spacing w:val="44"/>
          <w:w w:val="95"/>
        </w:rPr>
        <w:t> </w:t>
      </w:r>
      <w:r>
        <w:rPr>
          <w:spacing w:val="44"/>
          <w:w w:val="95"/>
        </w:rPr>
      </w:r>
      <w:r>
        <w:rPr>
          <w:w w:val="95"/>
        </w:rPr>
        <w:t>制性股票激励计划，拟以定向发行股份的方式，向公司部分董事、高级管理人员及核心业务、技术、管理</w:t>
      </w:r>
      <w:r>
        <w:rPr>
          <w:spacing w:val="44"/>
          <w:w w:val="95"/>
        </w:rPr>
        <w:t> </w:t>
      </w:r>
      <w:r>
        <w:rPr>
          <w:spacing w:val="44"/>
          <w:w w:val="95"/>
        </w:rPr>
      </w:r>
      <w:r>
        <w:rPr>
          <w:spacing w:val="7"/>
        </w:rPr>
        <w:t>骨干共计358人授予限制性股票597.28万股，占本激励计划草案公告时公司股本总额35,032.71万股的</w:t>
      </w:r>
      <w:r>
        <w:rPr>
          <w:w w:val="99"/>
        </w:rPr>
        <w:t> </w:t>
      </w:r>
      <w:r>
        <w:rPr>
          <w:spacing w:val="2"/>
          <w:w w:val="95"/>
        </w:rPr>
        <w:t>1.70%。公司独立董事对本次限制性股票激励计划发表了独立意见，公司监事会对激励对象名单进行了核</w:t>
      </w:r>
      <w:r>
        <w:rPr>
          <w:spacing w:val="44"/>
          <w:w w:val="95"/>
        </w:rPr>
        <w:t> </w:t>
      </w:r>
      <w:r>
        <w:rPr>
          <w:spacing w:val="44"/>
          <w:w w:val="95"/>
        </w:rPr>
      </w:r>
      <w:r>
        <w:rPr>
          <w:w w:val="95"/>
        </w:rPr>
        <w:t>实，认为激励对象主体资格合法、有效，符合相关法律、法规及规范性文件规定的相关条件。具体内容详   </w:t>
      </w:r>
      <w:r>
        <w:rPr>
          <w:spacing w:val="44"/>
          <w:w w:val="95"/>
        </w:rPr>
        <w:t> </w:t>
      </w:r>
      <w:r>
        <w:rPr>
          <w:spacing w:val="44"/>
          <w:w w:val="95"/>
        </w:rPr>
      </w:r>
      <w:r>
        <w:rPr/>
        <w:t>见</w:t>
      </w:r>
      <w:r>
        <w:rPr>
          <w:spacing w:val="-63"/>
        </w:rPr>
        <w:t> </w:t>
      </w:r>
      <w:r>
        <w:rPr/>
        <w:t>公</w:t>
      </w:r>
      <w:r>
        <w:rPr>
          <w:spacing w:val="-63"/>
        </w:rPr>
        <w:t> </w:t>
      </w:r>
      <w:r>
        <w:rPr/>
        <w:t>司</w:t>
      </w:r>
      <w:r>
        <w:rPr>
          <w:spacing w:val="-63"/>
        </w:rPr>
        <w:t> </w:t>
      </w:r>
      <w:r>
        <w:rPr/>
        <w:t>于</w:t>
      </w:r>
      <w:r>
        <w:rPr>
          <w:spacing w:val="-63"/>
        </w:rPr>
        <w:t> </w:t>
      </w:r>
      <w:r>
        <w:rPr/>
        <w:t>2018</w:t>
      </w:r>
      <w:r>
        <w:rPr>
          <w:spacing w:val="-65"/>
        </w:rPr>
        <w:t> </w:t>
      </w:r>
      <w:r>
        <w:rPr/>
        <w:t>年</w:t>
      </w:r>
      <w:r>
        <w:rPr>
          <w:spacing w:val="-63"/>
        </w:rPr>
        <w:t> </w:t>
      </w:r>
      <w:r>
        <w:rPr/>
        <w:t>2</w:t>
      </w:r>
      <w:r>
        <w:rPr>
          <w:spacing w:val="-65"/>
        </w:rPr>
        <w:t> </w:t>
      </w:r>
      <w:r>
        <w:rPr/>
        <w:t>月</w:t>
      </w:r>
      <w:r>
        <w:rPr>
          <w:spacing w:val="-63"/>
        </w:rPr>
        <w:t> </w:t>
      </w:r>
      <w:r>
        <w:rPr/>
        <w:t>10</w:t>
      </w:r>
      <w:r>
        <w:rPr>
          <w:spacing w:val="-65"/>
        </w:rPr>
        <w:t> </w:t>
      </w:r>
      <w:r>
        <w:rPr/>
        <w:t>日</w:t>
      </w:r>
      <w:r>
        <w:rPr>
          <w:spacing w:val="-63"/>
        </w:rPr>
        <w:t> </w:t>
      </w:r>
      <w:r>
        <w:rPr/>
        <w:t>、</w:t>
      </w:r>
      <w:r>
        <w:rPr>
          <w:spacing w:val="-63"/>
        </w:rPr>
        <w:t> </w:t>
      </w:r>
      <w:r>
        <w:rPr/>
        <w:t>2018</w:t>
      </w:r>
      <w:r>
        <w:rPr>
          <w:spacing w:val="-67"/>
        </w:rPr>
        <w:t> </w:t>
      </w:r>
      <w:r>
        <w:rPr/>
        <w:t>年</w:t>
      </w:r>
      <w:r>
        <w:rPr>
          <w:spacing w:val="-63"/>
        </w:rPr>
        <w:t> </w:t>
      </w:r>
      <w:r>
        <w:rPr/>
        <w:t>3</w:t>
      </w:r>
      <w:r>
        <w:rPr>
          <w:spacing w:val="-62"/>
        </w:rPr>
        <w:t> </w:t>
      </w:r>
      <w:r>
        <w:rPr/>
        <w:t>月</w:t>
      </w:r>
      <w:r>
        <w:rPr>
          <w:spacing w:val="-63"/>
        </w:rPr>
        <w:t> </w:t>
      </w:r>
      <w:r>
        <w:rPr/>
        <w:t>2</w:t>
      </w:r>
      <w:r>
        <w:rPr>
          <w:spacing w:val="-65"/>
        </w:rPr>
        <w:t> </w:t>
      </w:r>
      <w:r>
        <w:rPr/>
        <w:t>日</w:t>
      </w:r>
      <w:r>
        <w:rPr>
          <w:spacing w:val="-63"/>
        </w:rPr>
        <w:t> </w:t>
      </w:r>
      <w:r>
        <w:rPr/>
        <w:t>在</w:t>
      </w:r>
      <w:r>
        <w:rPr>
          <w:spacing w:val="-63"/>
        </w:rPr>
        <w:t> </w:t>
      </w:r>
      <w:r>
        <w:rPr/>
        <w:t>《</w:t>
      </w:r>
      <w:r>
        <w:rPr>
          <w:spacing w:val="-63"/>
        </w:rPr>
        <w:t> </w:t>
      </w:r>
      <w:r>
        <w:rPr/>
        <w:t>证</w:t>
      </w:r>
      <w:r>
        <w:rPr>
          <w:spacing w:val="-63"/>
        </w:rPr>
        <w:t> </w:t>
      </w:r>
      <w:r>
        <w:rPr/>
        <w:t>券</w:t>
      </w:r>
      <w:r>
        <w:rPr>
          <w:spacing w:val="-63"/>
        </w:rPr>
        <w:t> </w:t>
      </w:r>
      <w:r>
        <w:rPr/>
        <w:t>时</w:t>
      </w:r>
      <w:r>
        <w:rPr>
          <w:spacing w:val="-63"/>
        </w:rPr>
        <w:t> </w:t>
      </w:r>
      <w:r>
        <w:rPr/>
        <w:t>报</w:t>
      </w:r>
      <w:r>
        <w:rPr>
          <w:spacing w:val="-63"/>
        </w:rPr>
        <w:t> </w:t>
      </w:r>
      <w:r>
        <w:rPr/>
        <w:t>》</w:t>
      </w:r>
      <w:r>
        <w:rPr>
          <w:spacing w:val="-63"/>
        </w:rPr>
        <w:t> </w:t>
      </w:r>
      <w:r>
        <w:rPr/>
        <w:t>、</w:t>
      </w:r>
      <w:r>
        <w:rPr>
          <w:spacing w:val="-63"/>
        </w:rPr>
        <w:t> </w:t>
      </w:r>
      <w:r>
        <w:rPr/>
        <w:t>《</w:t>
      </w:r>
      <w:r>
        <w:rPr>
          <w:spacing w:val="-63"/>
        </w:rPr>
        <w:t> </w:t>
      </w:r>
      <w:r>
        <w:rPr/>
        <w:t>中</w:t>
      </w:r>
      <w:r>
        <w:rPr>
          <w:spacing w:val="-63"/>
        </w:rPr>
        <w:t> </w:t>
      </w:r>
      <w:r>
        <w:rPr/>
        <w:t>国</w:t>
      </w:r>
      <w:r>
        <w:rPr>
          <w:spacing w:val="-63"/>
        </w:rPr>
        <w:t> </w:t>
      </w:r>
      <w:r>
        <w:rPr/>
        <w:t>证</w:t>
      </w:r>
      <w:r>
        <w:rPr>
          <w:spacing w:val="-63"/>
        </w:rPr>
        <w:t> </w:t>
      </w:r>
      <w:r>
        <w:rPr/>
        <w:t>券</w:t>
      </w:r>
      <w:r>
        <w:rPr>
          <w:spacing w:val="-63"/>
        </w:rPr>
        <w:t> </w:t>
      </w:r>
      <w:r>
        <w:rPr/>
        <w:t>报</w:t>
      </w:r>
      <w:r>
        <w:rPr>
          <w:spacing w:val="-63"/>
        </w:rPr>
        <w:t> </w:t>
      </w:r>
      <w:r>
        <w:rPr/>
        <w:t>》</w:t>
      </w:r>
      <w:r>
        <w:rPr>
          <w:spacing w:val="-63"/>
        </w:rPr>
        <w:t> </w:t>
      </w:r>
      <w:r>
        <w:rPr/>
        <w:t>和</w:t>
      </w:r>
      <w:r>
        <w:rPr>
          <w:spacing w:val="-63"/>
        </w:rPr>
        <w:t> </w:t>
      </w:r>
      <w:r>
        <w:rPr/>
        <w:t>巨</w:t>
      </w:r>
      <w:r>
        <w:rPr>
          <w:spacing w:val="-63"/>
        </w:rPr>
        <w:t> </w:t>
      </w:r>
      <w:r>
        <w:rPr/>
        <w:t>潮</w:t>
      </w:r>
      <w:r>
        <w:rPr>
          <w:spacing w:val="-63"/>
        </w:rPr>
        <w:t> </w:t>
      </w:r>
      <w:r>
        <w:rPr/>
        <w:t>资</w:t>
      </w:r>
      <w:r>
        <w:rPr>
          <w:spacing w:val="-63"/>
        </w:rPr>
        <w:t> </w:t>
      </w:r>
      <w:r>
        <w:rPr/>
        <w:t>讯</w:t>
      </w:r>
      <w:r>
        <w:rPr>
          <w:spacing w:val="-63"/>
        </w:rPr>
        <w:t> </w:t>
      </w:r>
      <w:r>
        <w:rPr/>
        <w:t>网</w:t>
      </w:r>
    </w:p>
    <w:p>
      <w:pPr>
        <w:pStyle w:val="BodyText"/>
        <w:spacing w:line="240" w:lineRule="auto"/>
        <w:ind w:right="0"/>
        <w:jc w:val="both"/>
      </w:pPr>
      <w:r>
        <w:rPr>
          <w:spacing w:val="2"/>
          <w:w w:val="99"/>
        </w:rPr>
        <w:t>（</w:t>
      </w:r>
      <w:hyperlink r:id="rId13">
        <w:r>
          <w:rPr>
            <w:spacing w:val="1"/>
            <w:w w:val="99"/>
          </w:rPr>
          <w:t>htt</w:t>
        </w:r>
        <w:r>
          <w:rPr>
            <w:spacing w:val="-2"/>
            <w:w w:val="99"/>
          </w:rPr>
          <w:t>p</w:t>
        </w:r>
        <w:r>
          <w:rPr>
            <w:spacing w:val="1"/>
            <w:w w:val="99"/>
          </w:rPr>
          <w:t>://</w:t>
        </w:r>
        <w:r>
          <w:rPr>
            <w:spacing w:val="-2"/>
            <w:w w:val="99"/>
          </w:rPr>
          <w:t>w</w:t>
        </w:r>
        <w:r>
          <w:rPr>
            <w:spacing w:val="1"/>
            <w:w w:val="99"/>
          </w:rPr>
          <w:t>ww.</w:t>
        </w:r>
        <w:r>
          <w:rPr>
            <w:spacing w:val="-2"/>
            <w:w w:val="99"/>
          </w:rPr>
          <w:t>c</w:t>
        </w:r>
        <w:r>
          <w:rPr>
            <w:spacing w:val="1"/>
            <w:w w:val="99"/>
          </w:rPr>
          <w:t>nin</w:t>
        </w:r>
        <w:r>
          <w:rPr>
            <w:spacing w:val="-2"/>
            <w:w w:val="99"/>
          </w:rPr>
          <w:t>f</w:t>
        </w:r>
        <w:r>
          <w:rPr>
            <w:spacing w:val="1"/>
            <w:w w:val="99"/>
          </w:rPr>
          <w:t>o.c</w:t>
        </w:r>
        <w:r>
          <w:rPr>
            <w:spacing w:val="-2"/>
            <w:w w:val="99"/>
          </w:rPr>
          <w:t>o</w:t>
        </w:r>
        <w:r>
          <w:rPr>
            <w:spacing w:val="1"/>
            <w:w w:val="99"/>
          </w:rPr>
          <w:t>m.c</w:t>
        </w:r>
        <w:r>
          <w:rPr>
            <w:spacing w:val="-2"/>
            <w:w w:val="99"/>
          </w:rPr>
          <w:t>n</w:t>
        </w:r>
      </w:hyperlink>
      <w:r>
        <w:rPr>
          <w:spacing w:val="-53"/>
          <w:w w:val="99"/>
        </w:rPr>
        <w:t>）</w:t>
      </w:r>
      <w:r>
        <w:rPr>
          <w:spacing w:val="-1"/>
          <w:w w:val="99"/>
        </w:rPr>
        <w:t>刊</w:t>
      </w:r>
      <w:r>
        <w:rPr>
          <w:spacing w:val="2"/>
          <w:w w:val="99"/>
        </w:rPr>
        <w:t>登</w:t>
      </w:r>
      <w:r>
        <w:rPr>
          <w:spacing w:val="-51"/>
          <w:w w:val="99"/>
        </w:rPr>
        <w:t>的</w:t>
      </w:r>
      <w:r>
        <w:rPr>
          <w:spacing w:val="2"/>
          <w:w w:val="99"/>
        </w:rPr>
        <w:t>《</w:t>
      </w:r>
      <w:r>
        <w:rPr>
          <w:spacing w:val="-1"/>
          <w:w w:val="99"/>
        </w:rPr>
        <w:t>安</w:t>
      </w:r>
      <w:r>
        <w:rPr>
          <w:spacing w:val="2"/>
          <w:w w:val="99"/>
        </w:rPr>
        <w:t>徽</w:t>
      </w:r>
      <w:r>
        <w:rPr>
          <w:spacing w:val="-1"/>
          <w:w w:val="99"/>
        </w:rPr>
        <w:t>皖</w:t>
      </w:r>
      <w:r>
        <w:rPr>
          <w:spacing w:val="2"/>
          <w:w w:val="99"/>
        </w:rPr>
        <w:t>通</w:t>
      </w:r>
      <w:r>
        <w:rPr>
          <w:spacing w:val="-1"/>
          <w:w w:val="99"/>
        </w:rPr>
        <w:t>科</w:t>
      </w:r>
      <w:r>
        <w:rPr>
          <w:spacing w:val="2"/>
          <w:w w:val="99"/>
        </w:rPr>
        <w:t>技</w:t>
      </w:r>
      <w:r>
        <w:rPr>
          <w:spacing w:val="-1"/>
          <w:w w:val="99"/>
        </w:rPr>
        <w:t>股</w:t>
      </w:r>
      <w:r>
        <w:rPr>
          <w:spacing w:val="2"/>
          <w:w w:val="99"/>
        </w:rPr>
        <w:t>份</w:t>
      </w:r>
      <w:r>
        <w:rPr>
          <w:spacing w:val="-1"/>
          <w:w w:val="99"/>
        </w:rPr>
        <w:t>有</w:t>
      </w:r>
      <w:r>
        <w:rPr>
          <w:spacing w:val="2"/>
          <w:w w:val="99"/>
        </w:rPr>
        <w:t>限</w:t>
      </w:r>
      <w:r>
        <w:rPr>
          <w:spacing w:val="-1"/>
          <w:w w:val="99"/>
        </w:rPr>
        <w:t>公</w:t>
      </w:r>
      <w:r>
        <w:rPr>
          <w:spacing w:val="2"/>
          <w:w w:val="99"/>
        </w:rPr>
        <w:t>司</w:t>
      </w:r>
      <w:r>
        <w:rPr>
          <w:spacing w:val="-1"/>
          <w:w w:val="99"/>
        </w:rPr>
        <w:t>第</w:t>
      </w:r>
      <w:r>
        <w:rPr>
          <w:spacing w:val="2"/>
          <w:w w:val="99"/>
        </w:rPr>
        <w:t>一</w:t>
      </w:r>
      <w:r>
        <w:rPr>
          <w:spacing w:val="-1"/>
          <w:w w:val="99"/>
        </w:rPr>
        <w:t>期</w:t>
      </w:r>
      <w:r>
        <w:rPr>
          <w:spacing w:val="2"/>
          <w:w w:val="99"/>
        </w:rPr>
        <w:t>限</w:t>
      </w:r>
      <w:r>
        <w:rPr>
          <w:spacing w:val="-1"/>
          <w:w w:val="99"/>
        </w:rPr>
        <w:t>制</w:t>
      </w:r>
      <w:r>
        <w:rPr>
          <w:spacing w:val="2"/>
          <w:w w:val="99"/>
        </w:rPr>
        <w:t>性</w:t>
      </w:r>
      <w:r>
        <w:rPr>
          <w:spacing w:val="-1"/>
          <w:w w:val="99"/>
        </w:rPr>
        <w:t>股</w:t>
      </w:r>
      <w:r>
        <w:rPr>
          <w:spacing w:val="2"/>
          <w:w w:val="99"/>
        </w:rPr>
        <w:t>票</w:t>
      </w:r>
      <w:r>
        <w:rPr>
          <w:spacing w:val="-1"/>
          <w:w w:val="99"/>
        </w:rPr>
        <w:t>激</w:t>
      </w:r>
      <w:r>
        <w:rPr>
          <w:spacing w:val="2"/>
          <w:w w:val="99"/>
        </w:rPr>
        <w:t>励</w:t>
      </w:r>
      <w:r>
        <w:rPr>
          <w:spacing w:val="-1"/>
          <w:w w:val="99"/>
        </w:rPr>
        <w:t>计</w:t>
      </w:r>
      <w:r>
        <w:rPr>
          <w:spacing w:val="-51"/>
          <w:w w:val="99"/>
        </w:rPr>
        <w:t>划</w:t>
      </w:r>
      <w:r>
        <w:rPr>
          <w:spacing w:val="-1"/>
          <w:w w:val="99"/>
        </w:rPr>
        <w:t>（草</w:t>
      </w:r>
      <w:r>
        <w:rPr>
          <w:spacing w:val="2"/>
          <w:w w:val="99"/>
        </w:rPr>
        <w:t>案</w:t>
      </w:r>
      <w:r>
        <w:rPr>
          <w:spacing w:val="-51"/>
          <w:w w:val="99"/>
        </w:rPr>
        <w:t>）</w:t>
      </w:r>
      <w:r>
        <w:rPr>
          <w:spacing w:val="-104"/>
          <w:w w:val="99"/>
        </w:rPr>
        <w:t>》</w:t>
      </w:r>
      <w:r>
        <w:rPr>
          <w:w w:val="99"/>
        </w:rPr>
        <w:t>、</w:t>
      </w:r>
      <w:r>
        <w:rPr/>
      </w:r>
    </w:p>
    <w:p>
      <w:pPr>
        <w:pStyle w:val="BodyText"/>
        <w:spacing w:line="273" w:lineRule="auto" w:before="37"/>
        <w:ind w:right="1135"/>
        <w:jc w:val="both"/>
      </w:pPr>
      <w:r>
        <w:rPr>
          <w:spacing w:val="4"/>
        </w:rPr>
        <w:t>《安徽皖通科技股份有限公司监事会关于第一期限制性股票激励计划激励对象名单的审核及公示情况说</w:t>
      </w:r>
      <w:r>
        <w:rPr>
          <w:w w:val="99"/>
        </w:rPr>
        <w:t> </w:t>
      </w:r>
      <w:r>
        <w:rPr/>
        <w:t>明》等相关公告。</w:t>
      </w:r>
    </w:p>
    <w:p>
      <w:pPr>
        <w:pStyle w:val="BodyText"/>
        <w:spacing w:line="273" w:lineRule="auto"/>
        <w:ind w:right="1130" w:firstLine="420"/>
        <w:jc w:val="both"/>
      </w:pPr>
      <w:r>
        <w:rPr>
          <w:w w:val="95"/>
        </w:rPr>
        <w:t>公司于2018年3月7日召开的2018年第二次临时股东大会审议通过了《安徽皖通科技股份有限公司第一</w:t>
      </w:r>
      <w:r>
        <w:rPr>
          <w:w w:val="99"/>
        </w:rPr>
        <w:t> </w:t>
      </w:r>
      <w:r>
        <w:rPr>
          <w:w w:val="95"/>
        </w:rPr>
        <w:t>期限制性股票激励计划（草案）及摘要》等相关议案，并授权董事会办理限制性股票的相关事宜。具体内</w:t>
      </w:r>
      <w:r>
        <w:rPr>
          <w:spacing w:val="43"/>
          <w:w w:val="95"/>
        </w:rPr>
        <w:t> </w:t>
      </w:r>
      <w:r>
        <w:rPr>
          <w:spacing w:val="43"/>
          <w:w w:val="95"/>
        </w:rPr>
      </w:r>
      <w:r>
        <w:rPr>
          <w:spacing w:val="4"/>
          <w:w w:val="95"/>
        </w:rPr>
        <w:t>容详见公司于2018年3月8日发布的《安徽皖通科技股份有限公司2018年第二次临时股东大会决议公告》</w:t>
      </w:r>
      <w:r>
        <w:rPr>
          <w:spacing w:val="4"/>
        </w:rPr>
      </w:r>
    </w:p>
    <w:p>
      <w:pPr>
        <w:pStyle w:val="BodyText"/>
        <w:spacing w:line="273" w:lineRule="auto"/>
        <w:ind w:left="532" w:right="0" w:hanging="420"/>
        <w:jc w:val="left"/>
      </w:pPr>
      <w:r>
        <w:rPr/>
        <w:t>（2018-015）等相关公告。</w:t>
      </w:r>
      <w:r>
        <w:rPr>
          <w:w w:val="99"/>
        </w:rPr>
        <w:t> </w:t>
      </w:r>
      <w:r>
        <w:rPr>
          <w:spacing w:val="-3"/>
        </w:rPr>
        <w:t>公司于2018年4月23日召开的第四届董事会第十四次会议、第四届监事会第十二次会议审议通过了《关</w:t>
      </w:r>
    </w:p>
    <w:p>
      <w:pPr>
        <w:pStyle w:val="BodyText"/>
        <w:spacing w:line="273" w:lineRule="auto"/>
        <w:ind w:right="1130"/>
        <w:jc w:val="both"/>
      </w:pPr>
      <w:r>
        <w:rPr>
          <w:w w:val="95"/>
        </w:rPr>
        <w:t>于调整公司第一期限制性股票激励计划激励对象名单和授予数量的议案》、《关于向激励对象授予限制性</w:t>
      </w:r>
      <w:r>
        <w:rPr>
          <w:spacing w:val="44"/>
          <w:w w:val="95"/>
        </w:rPr>
        <w:t> </w:t>
      </w:r>
      <w:r>
        <w:rPr>
          <w:spacing w:val="44"/>
          <w:w w:val="95"/>
        </w:rPr>
      </w:r>
      <w:r>
        <w:rPr>
          <w:spacing w:val="4"/>
          <w:w w:val="95"/>
        </w:rPr>
        <w:t>股票的议案》，调整后，本次限制性股票激励对象人数由358名变更为345名，授予的限制性股票数量由</w:t>
      </w:r>
      <w:r>
        <w:rPr>
          <w:spacing w:val="39"/>
          <w:w w:val="95"/>
        </w:rPr>
        <w:t> </w:t>
      </w:r>
      <w:r>
        <w:rPr>
          <w:spacing w:val="39"/>
          <w:w w:val="95"/>
        </w:rPr>
      </w:r>
      <w:r>
        <w:rPr/>
        <w:t>597.28万股变更为595万股，授予价格为4.98元/股，授予日为2018年4月25日。具体内容详见公司于2018</w:t>
      </w:r>
      <w:r>
        <w:rPr>
          <w:spacing w:val="-37"/>
        </w:rPr>
        <w:t> </w:t>
      </w:r>
      <w:r>
        <w:rPr>
          <w:spacing w:val="-37"/>
        </w:rPr>
      </w:r>
      <w:r>
        <w:rPr>
          <w:spacing w:val="2"/>
          <w:w w:val="95"/>
        </w:rPr>
        <w:t>年4月24日发布的《安徽皖通科技股份有限公司关于调整第一期限制性股票激励计划激励对象名单和授予</w:t>
      </w:r>
      <w:r>
        <w:rPr>
          <w:spacing w:val="47"/>
          <w:w w:val="95"/>
        </w:rPr>
        <w:t> </w:t>
      </w:r>
      <w:r>
        <w:rPr>
          <w:spacing w:val="47"/>
          <w:w w:val="95"/>
        </w:rPr>
      </w:r>
      <w:r>
        <w:rPr>
          <w:w w:val="95"/>
        </w:rPr>
        <w:t>数量的公告》（公告编号：2018-030）、《安徽皖通科技股份有限公司关于向激励对象授予限制性股票的</w:t>
      </w:r>
      <w:r>
        <w:rPr>
          <w:spacing w:val="43"/>
          <w:w w:val="95"/>
        </w:rPr>
        <w:t> </w:t>
      </w:r>
      <w:r>
        <w:rPr>
          <w:spacing w:val="43"/>
          <w:w w:val="95"/>
        </w:rPr>
      </w:r>
      <w:r>
        <w:rPr/>
        <w:t>公告》（公告编号：2018-031）。</w:t>
      </w:r>
    </w:p>
    <w:p>
      <w:pPr>
        <w:pStyle w:val="BodyText"/>
        <w:spacing w:line="273" w:lineRule="auto"/>
        <w:ind w:right="1130" w:firstLine="420"/>
        <w:jc w:val="both"/>
      </w:pPr>
      <w:r>
        <w:rPr>
          <w:spacing w:val="2"/>
          <w:w w:val="95"/>
        </w:rPr>
        <w:t>公司于2018年5月22日完成第一期限制性股票授予登记工作。在确定授予日后的资金缴纳、股份登记</w:t>
      </w:r>
      <w:r>
        <w:rPr>
          <w:spacing w:val="-90"/>
          <w:w w:val="95"/>
        </w:rPr>
        <w:t> </w:t>
      </w:r>
      <w:r>
        <w:rPr>
          <w:spacing w:val="-90"/>
          <w:w w:val="95"/>
        </w:rPr>
      </w:r>
      <w:r>
        <w:rPr>
          <w:spacing w:val="2"/>
          <w:w w:val="95"/>
        </w:rPr>
        <w:t>过程中，有3名激励对象因个人原因自愿放弃认购其全部获授的限制性股票3.02万股，本次限制性股票实</w:t>
      </w:r>
      <w:r>
        <w:rPr>
          <w:spacing w:val="45"/>
          <w:w w:val="95"/>
        </w:rPr>
        <w:t> </w:t>
      </w:r>
      <w:r>
        <w:rPr>
          <w:spacing w:val="45"/>
          <w:w w:val="95"/>
        </w:rPr>
      </w:r>
      <w:r>
        <w:rPr>
          <w:w w:val="95"/>
        </w:rPr>
        <w:t>际授予对象为342人，实际授予限制性股票数量为591.98万股，上市日期为2018年5月24日。具体内容详见</w:t>
      </w:r>
      <w:r>
        <w:rPr>
          <w:spacing w:val="43"/>
          <w:w w:val="95"/>
        </w:rPr>
        <w:t> </w:t>
      </w:r>
      <w:r>
        <w:rPr>
          <w:spacing w:val="43"/>
          <w:w w:val="95"/>
        </w:rPr>
      </w:r>
      <w:r>
        <w:rPr>
          <w:spacing w:val="2"/>
          <w:w w:val="95"/>
        </w:rPr>
        <w:t>公司于2018年5月23日发布的《安徽皖通科技股份有限公司关于限制性股票授予登记完成的公告》（公告</w:t>
      </w:r>
      <w:r>
        <w:rPr>
          <w:spacing w:val="41"/>
          <w:w w:val="95"/>
        </w:rPr>
        <w:t> </w:t>
      </w:r>
      <w:r>
        <w:rPr>
          <w:spacing w:val="41"/>
          <w:w w:val="95"/>
        </w:rPr>
      </w:r>
      <w:r>
        <w:rPr/>
        <w:t>编号：2018-036）。</w:t>
      </w:r>
    </w:p>
    <w:tbl>
      <w:tblPr>
        <w:tblW w:w="0" w:type="auto"/>
        <w:jc w:val="left"/>
        <w:tblInd w:w="106" w:type="dxa"/>
        <w:tblLayout w:type="fixed"/>
        <w:tblCellMar>
          <w:top w:w="0" w:type="dxa"/>
          <w:left w:w="0" w:type="dxa"/>
          <w:bottom w:w="0" w:type="dxa"/>
          <w:right w:w="0" w:type="dxa"/>
        </w:tblCellMar>
        <w:tblLook w:val="01E0"/>
      </w:tblPr>
      <w:tblGrid>
        <w:gridCol w:w="4174"/>
        <w:gridCol w:w="2340"/>
        <w:gridCol w:w="3090"/>
      </w:tblGrid>
      <w:tr>
        <w:trPr>
          <w:trHeight w:val="347" w:hRule="exact"/>
        </w:trPr>
        <w:tc>
          <w:tcPr>
            <w:tcW w:w="4174"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重要事项概述</w:t>
            </w:r>
          </w:p>
        </w:tc>
        <w:tc>
          <w:tcPr>
            <w:tcW w:w="2340"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3090"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临时报告披露网站查询索引</w:t>
            </w:r>
          </w:p>
        </w:tc>
      </w:tr>
      <w:tr>
        <w:trPr>
          <w:trHeight w:val="347" w:hRule="exact"/>
        </w:trPr>
        <w:tc>
          <w:tcPr>
            <w:tcW w:w="96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第一期员工持股计划</w:t>
            </w:r>
            <w:r>
              <w:rPr>
                <w:rFonts w:ascii="宋体" w:hAnsi="宋体" w:cs="宋体" w:eastAsia="宋体" w:hint="default"/>
                <w:sz w:val="18"/>
                <w:szCs w:val="18"/>
              </w:rPr>
            </w:r>
          </w:p>
        </w:tc>
      </w:tr>
      <w:tr>
        <w:trPr>
          <w:trHeight w:val="659"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5"/>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《安徽皖通科技股份有限公司关于第一期员工持股计 划届满的提示性公告》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2018年04月12日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hyperlink r:id="rId13">
              <w:r>
                <w:rPr>
                  <w:rFonts w:ascii="宋体"/>
                  <w:sz w:val="18"/>
                </w:rPr>
                <w:t>http://www.cninfo.com.cn</w:t>
              </w:r>
            </w:hyperlink>
          </w:p>
        </w:tc>
      </w:tr>
      <w:tr>
        <w:trPr>
          <w:trHeight w:val="659"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5"/>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《安徽皖通科技股份有限公司关于第一期员工持股计 划存续期展期的公告》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2018年08月08日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hyperlink r:id="rId13">
              <w:r>
                <w:rPr>
                  <w:rFonts w:ascii="宋体"/>
                  <w:sz w:val="18"/>
                </w:rPr>
                <w:t>http://www.cninfo.com.cn</w:t>
              </w:r>
            </w:hyperlink>
          </w:p>
        </w:tc>
      </w:tr>
      <w:tr>
        <w:trPr>
          <w:trHeight w:val="347" w:hRule="exact"/>
        </w:trPr>
        <w:tc>
          <w:tcPr>
            <w:tcW w:w="96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第一期限制性股票激励计划</w:t>
            </w:r>
            <w:r>
              <w:rPr>
                <w:rFonts w:ascii="宋体" w:hAnsi="宋体" w:cs="宋体" w:eastAsia="宋体" w:hint="default"/>
                <w:sz w:val="18"/>
                <w:szCs w:val="18"/>
              </w:rPr>
            </w:r>
          </w:p>
        </w:tc>
      </w:tr>
      <w:tr>
        <w:trPr>
          <w:trHeight w:val="659"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5"/>
              <w:jc w:val="left"/>
              <w:rPr>
                <w:rFonts w:ascii="宋体" w:hAnsi="宋体" w:cs="宋体" w:eastAsia="宋体" w:hint="default"/>
                <w:sz w:val="18"/>
                <w:szCs w:val="18"/>
              </w:rPr>
            </w:pPr>
            <w:r>
              <w:rPr>
                <w:rFonts w:ascii="宋体" w:hAnsi="宋体" w:cs="宋体" w:eastAsia="宋体" w:hint="default"/>
                <w:sz w:val="18"/>
                <w:szCs w:val="18"/>
              </w:rPr>
              <w:t>《安徽皖通科技股份有限公司第一期限制性股票激励 计划（草案）》</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2018年02月10日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hyperlink r:id="rId13">
              <w:r>
                <w:rPr>
                  <w:rFonts w:ascii="宋体"/>
                  <w:sz w:val="18"/>
                </w:rPr>
                <w:t>http://www.cninfo.com.cn</w:t>
              </w:r>
            </w:hyperlink>
          </w:p>
        </w:tc>
      </w:tr>
      <w:tr>
        <w:trPr>
          <w:trHeight w:val="971"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
              <w:jc w:val="both"/>
              <w:rPr>
                <w:rFonts w:ascii="宋体" w:hAnsi="宋体" w:cs="宋体" w:eastAsia="宋体" w:hint="default"/>
                <w:sz w:val="18"/>
                <w:szCs w:val="18"/>
              </w:rPr>
            </w:pPr>
            <w:r>
              <w:rPr>
                <w:rFonts w:ascii="宋体" w:hAnsi="宋体" w:cs="宋体" w:eastAsia="宋体" w:hint="default"/>
                <w:sz w:val="18"/>
                <w:szCs w:val="18"/>
              </w:rPr>
              <w:t>《安徽皖通科技股份有限公司监事会关于第一期限制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性股票激励计划激励对象名单的审核及公示情况说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2018年03月02日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hyperlink r:id="rId13">
              <w:r>
                <w:rPr>
                  <w:rFonts w:ascii="宋体"/>
                  <w:sz w:val="18"/>
                </w:rPr>
                <w:t>http://www.cninfo.com.cn</w:t>
              </w:r>
            </w:hyperlink>
          </w:p>
        </w:tc>
      </w:tr>
      <w:tr>
        <w:trPr>
          <w:trHeight w:val="659"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z w:val="18"/>
                <w:szCs w:val="18"/>
              </w:rPr>
              <w:t>《安徽皖通科技股份有限公司2018年第二次临时股东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大会决议公告》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2018年03月08日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hyperlink r:id="rId13">
              <w:r>
                <w:rPr>
                  <w:rFonts w:ascii="宋体"/>
                  <w:sz w:val="18"/>
                </w:rPr>
                <w:t>http://www.cninfo.com.cn</w:t>
              </w:r>
            </w:hyperlink>
          </w:p>
        </w:tc>
      </w:tr>
      <w:tr>
        <w:trPr>
          <w:trHeight w:val="659"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《安徽皖通科技股份有限公司关于调整第一期限制性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股票激励计划激励对象名单和授予数量的公告》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2018年04月24日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hyperlink r:id="rId13">
              <w:r>
                <w:rPr>
                  <w:rFonts w:ascii="宋体"/>
                  <w:sz w:val="18"/>
                </w:rPr>
                <w:t>http://www.cninfo.com.cn</w:t>
              </w:r>
            </w:hyperlink>
          </w:p>
        </w:tc>
      </w:tr>
      <w:tr>
        <w:trPr>
          <w:trHeight w:val="345"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《安徽皖通科技股份有限公司关于向激励对象授予限</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2018年04月24日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hyperlink r:id="rId13">
              <w:r>
                <w:rPr>
                  <w:rFonts w:ascii="宋体"/>
                  <w:sz w:val="18"/>
                </w:rPr>
                <w:t>http://www.cninfo.com.cn</w:t>
              </w:r>
            </w:hyperlink>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174"/>
        <w:gridCol w:w="2340"/>
        <w:gridCol w:w="3090"/>
      </w:tblGrid>
      <w:tr>
        <w:trPr>
          <w:trHeight w:val="347"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制性股票的公告》</w:t>
            </w:r>
          </w:p>
        </w:tc>
        <w:tc>
          <w:tcPr>
            <w:tcW w:w="2340" w:type="dxa"/>
            <w:tcBorders>
              <w:top w:val="single" w:sz="6" w:space="0" w:color="000000"/>
              <w:left w:val="single" w:sz="6" w:space="0" w:color="000000"/>
              <w:bottom w:val="single" w:sz="6" w:space="0" w:color="000000"/>
              <w:right w:val="single" w:sz="6" w:space="0" w:color="000000"/>
            </w:tcBorders>
          </w:tcPr>
          <w:p>
            <w:pPr/>
          </w:p>
        </w:tc>
        <w:tc>
          <w:tcPr>
            <w:tcW w:w="309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《安徽皖通科技股份有限公司关于限制性股票授予登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记完成的公告》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33" w:right="0"/>
              <w:jc w:val="left"/>
              <w:rPr>
                <w:rFonts w:ascii="宋体" w:hAnsi="宋体" w:cs="宋体" w:eastAsia="宋体" w:hint="default"/>
                <w:sz w:val="18"/>
                <w:szCs w:val="18"/>
              </w:rPr>
            </w:pPr>
            <w:r>
              <w:rPr>
                <w:rFonts w:ascii="宋体" w:hAnsi="宋体" w:cs="宋体" w:eastAsia="宋体" w:hint="default"/>
                <w:sz w:val="18"/>
                <w:szCs w:val="18"/>
              </w:rPr>
              <w:t>2018年05月23日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56" w:right="0"/>
              <w:jc w:val="left"/>
              <w:rPr>
                <w:rFonts w:ascii="宋体" w:hAnsi="宋体" w:cs="宋体" w:eastAsia="宋体" w:hint="default"/>
                <w:sz w:val="18"/>
                <w:szCs w:val="18"/>
              </w:rPr>
            </w:pPr>
            <w:hyperlink r:id="rId13">
              <w:r>
                <w:rPr>
                  <w:rFonts w:ascii="宋体"/>
                  <w:sz w:val="18"/>
                </w:rPr>
                <w:t>http://www.cninfo.com.cn</w:t>
              </w:r>
            </w:hyperlink>
          </w:p>
        </w:tc>
      </w:tr>
    </w:tbl>
    <w:p>
      <w:pPr>
        <w:spacing w:line="240" w:lineRule="auto" w:before="5"/>
        <w:rPr>
          <w:rFonts w:ascii="宋体" w:hAnsi="宋体" w:cs="宋体" w:eastAsia="宋体" w:hint="default"/>
          <w:sz w:val="24"/>
          <w:szCs w:val="24"/>
        </w:rPr>
      </w:pPr>
    </w:p>
    <w:p>
      <w:pPr>
        <w:spacing w:line="357" w:lineRule="auto" w:before="44"/>
        <w:ind w:left="472" w:right="1131" w:hanging="36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r>
        <w:rPr>
          <w:rFonts w:ascii="宋体" w:hAnsi="宋体" w:cs="宋体" w:eastAsia="宋体" w:hint="default"/>
          <w:sz w:val="18"/>
          <w:szCs w:val="18"/>
        </w:rPr>
        <w:t> 本公司实施股权激励计提费用</w:t>
      </w:r>
      <w:r>
        <w:rPr>
          <w:rFonts w:ascii="宋体" w:hAnsi="宋体" w:cs="宋体" w:eastAsia="宋体" w:hint="default"/>
          <w:spacing w:val="-47"/>
          <w:sz w:val="18"/>
          <w:szCs w:val="18"/>
        </w:rPr>
        <w:t> </w:t>
      </w:r>
      <w:r>
        <w:rPr>
          <w:rFonts w:ascii="宋体" w:hAnsi="宋体" w:cs="宋体" w:eastAsia="宋体" w:hint="default"/>
          <w:sz w:val="18"/>
          <w:szCs w:val="18"/>
        </w:rPr>
        <w:t>1410.89</w:t>
      </w:r>
      <w:r>
        <w:rPr>
          <w:rFonts w:ascii="宋体" w:hAnsi="宋体" w:cs="宋体" w:eastAsia="宋体" w:hint="default"/>
          <w:spacing w:val="-3"/>
          <w:sz w:val="18"/>
          <w:szCs w:val="18"/>
        </w:rPr>
        <w:t> </w:t>
      </w:r>
      <w:r>
        <w:rPr>
          <w:rFonts w:ascii="宋体" w:hAnsi="宋体" w:cs="宋体" w:eastAsia="宋体" w:hint="default"/>
          <w:sz w:val="18"/>
          <w:szCs w:val="18"/>
        </w:rPr>
        <w:t>万元，占归属于母公司所有者的净利润</w:t>
      </w:r>
      <w:r>
        <w:rPr>
          <w:rFonts w:ascii="宋体" w:hAnsi="宋体" w:cs="宋体" w:eastAsia="宋体" w:hint="default"/>
          <w:spacing w:val="-47"/>
          <w:sz w:val="18"/>
          <w:szCs w:val="18"/>
        </w:rPr>
        <w:t> </w:t>
      </w:r>
      <w:r>
        <w:rPr>
          <w:rFonts w:ascii="宋体" w:hAnsi="宋体" w:cs="宋体" w:eastAsia="宋体" w:hint="default"/>
          <w:sz w:val="18"/>
          <w:szCs w:val="18"/>
        </w:rPr>
        <w:t>13.33%。核心技术人员的股权激励费用</w:t>
      </w:r>
    </w:p>
    <w:p>
      <w:pPr>
        <w:spacing w:line="224" w:lineRule="exact"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760.05</w:t>
      </w:r>
      <w:r>
        <w:rPr>
          <w:rFonts w:ascii="宋体" w:hAnsi="宋体" w:cs="宋体" w:eastAsia="宋体" w:hint="default"/>
          <w:spacing w:val="-48"/>
          <w:sz w:val="18"/>
          <w:szCs w:val="18"/>
        </w:rPr>
        <w:t> </w:t>
      </w:r>
      <w:r>
        <w:rPr>
          <w:rFonts w:ascii="宋体" w:hAnsi="宋体" w:cs="宋体" w:eastAsia="宋体" w:hint="default"/>
          <w:sz w:val="18"/>
          <w:szCs w:val="18"/>
        </w:rPr>
        <w:t>万元，占公司当期股权激励费用的比重是</w:t>
      </w:r>
      <w:r>
        <w:rPr>
          <w:rFonts w:ascii="宋体" w:hAnsi="宋体" w:cs="宋体" w:eastAsia="宋体" w:hint="default"/>
          <w:spacing w:val="-47"/>
          <w:sz w:val="18"/>
          <w:szCs w:val="18"/>
        </w:rPr>
        <w:t> </w:t>
      </w:r>
      <w:r>
        <w:rPr>
          <w:rFonts w:ascii="宋体" w:hAnsi="宋体" w:cs="宋体" w:eastAsia="宋体" w:hint="default"/>
          <w:sz w:val="18"/>
          <w:szCs w:val="18"/>
        </w:rPr>
        <w:t>53.87%。</w:t>
      </w:r>
    </w:p>
    <w:p>
      <w:pPr>
        <w:spacing w:line="240" w:lineRule="auto" w:before="3"/>
        <w:rPr>
          <w:rFonts w:ascii="宋体" w:hAnsi="宋体" w:cs="宋体" w:eastAsia="宋体" w:hint="default"/>
          <w:sz w:val="25"/>
          <w:szCs w:val="25"/>
        </w:rPr>
      </w:pPr>
    </w:p>
    <w:p>
      <w:pPr>
        <w:pStyle w:val="Heading4"/>
        <w:spacing w:line="240" w:lineRule="auto"/>
        <w:ind w:right="2127"/>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2127"/>
        <w:jc w:val="left"/>
        <w:rPr>
          <w:b w:val="0"/>
          <w:bCs w:val="0"/>
        </w:rPr>
      </w:pPr>
      <w:bookmarkStart w:name="1、与日常经营相关的关联交易" w:id="82"/>
      <w:bookmarkEnd w:id="82"/>
      <w:r>
        <w:rPr>
          <w:b w:val="0"/>
          <w:bCs w:val="0"/>
        </w:rPr>
      </w:r>
      <w:r>
        <w:rPr/>
        <w:t>1、与日常经营相关的关联交易</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2、资产或股权收购、出售发生的关联交易" w:id="83"/>
      <w:bookmarkEnd w:id="83"/>
      <w:r>
        <w:rPr>
          <w:b w:val="0"/>
          <w:bCs w:val="0"/>
        </w:rPr>
      </w:r>
      <w:r>
        <w:rPr/>
        <w:t>2、资产或股权收购、出售发生的关联交易</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4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3、共同对外投资的关联交易" w:id="84"/>
      <w:bookmarkEnd w:id="84"/>
      <w:r>
        <w:rPr>
          <w:b w:val="0"/>
          <w:bCs w:val="0"/>
        </w:rPr>
      </w:r>
      <w:r>
        <w:rPr/>
        <w:t>3、共同对外投资的关联交易</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71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3"/>
        <w:rPr>
          <w:rFonts w:ascii="宋体" w:hAnsi="宋体" w:cs="宋体" w:eastAsia="宋体" w:hint="default"/>
          <w:sz w:val="20"/>
          <w:szCs w:val="20"/>
        </w:rPr>
      </w:pPr>
    </w:p>
    <w:p>
      <w:pPr>
        <w:pStyle w:val="Heading6"/>
        <w:spacing w:line="240" w:lineRule="auto"/>
        <w:ind w:right="2127"/>
        <w:jc w:val="left"/>
        <w:rPr>
          <w:b w:val="0"/>
          <w:bCs w:val="0"/>
        </w:rPr>
      </w:pPr>
      <w:bookmarkStart w:name="4、关联债权债务往来" w:id="85"/>
      <w:bookmarkEnd w:id="85"/>
      <w:r>
        <w:rPr>
          <w:b w:val="0"/>
          <w:bCs w:val="0"/>
        </w:rPr>
      </w:r>
      <w:r>
        <w:rPr/>
        <w:t>4、关联债权债务往来</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5、其他重大关联交易" w:id="86"/>
      <w:bookmarkEnd w:id="86"/>
      <w:r>
        <w:rPr>
          <w:b w:val="0"/>
          <w:bCs w:val="0"/>
        </w:rPr>
      </w:r>
      <w:r>
        <w:rPr/>
        <w:t>5、其他重大关联交易</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托管、承包、租赁事项情况" w:id="88"/>
      <w:bookmarkEnd w:id="88"/>
      <w:r>
        <w:rPr>
          <w:b w:val="0"/>
          <w:bCs w:val="0"/>
        </w:rPr>
      </w:r>
      <w:r>
        <w:rPr/>
        <w:t>1、托管、承包、租赁事项情况</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托管情况" w:id="89"/>
      <w:bookmarkEnd w:id="89"/>
      <w:r>
        <w:rPr>
          <w:b w:val="0"/>
          <w:bCs w:val="0"/>
        </w:rPr>
      </w:r>
      <w:r>
        <w:rPr/>
        <w:t>（1）托管情况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after="0" w:line="36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承包情况" w:id="90"/>
      <w:bookmarkEnd w:id="90"/>
      <w:r>
        <w:rPr>
          <w:b w:val="0"/>
          <w:bCs w:val="0"/>
        </w:rPr>
      </w:r>
      <w:r>
        <w:rPr/>
        <w:t>（2）承包情况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3）租赁情况" w:id="91"/>
      <w:bookmarkEnd w:id="91"/>
      <w:r>
        <w:rPr>
          <w:b w:val="0"/>
          <w:bCs w:val="0"/>
        </w:rPr>
      </w:r>
      <w:r>
        <w:rPr/>
        <w:t>（3）租赁情况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2、重大担保" w:id="92"/>
      <w:bookmarkEnd w:id="92"/>
      <w:r>
        <w:rPr>
          <w:b w:val="0"/>
          <w:bCs w:val="0"/>
        </w:rPr>
      </w:r>
      <w:r>
        <w:rPr/>
        <w:t>2、重大担保</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担保情况" w:id="93"/>
      <w:bookmarkEnd w:id="93"/>
      <w:r>
        <w:rPr>
          <w:b w:val="0"/>
          <w:bCs w:val="0"/>
        </w:rPr>
      </w:r>
      <w:r>
        <w:rPr/>
        <w:t>（1）担保情况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5"/>
        <w:gridCol w:w="925"/>
        <w:gridCol w:w="1296"/>
        <w:gridCol w:w="1063"/>
        <w:gridCol w:w="1035"/>
        <w:gridCol w:w="1048"/>
        <w:gridCol w:w="793"/>
        <w:gridCol w:w="779"/>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计（A1）</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生额合计（A2）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合计（A3）</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额合计（A4）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合计（B1）</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2,040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际发生额合计（B2）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r>
        <w:trPr>
          <w:trHeight w:val="71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额度合计（B3）</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7,650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保余额合计（B4）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9"/>
        <w:gridCol w:w="921"/>
        <w:gridCol w:w="912"/>
        <w:gridCol w:w="1313"/>
        <w:gridCol w:w="1044"/>
        <w:gridCol w:w="1054"/>
        <w:gridCol w:w="1045"/>
        <w:gridCol w:w="786"/>
        <w:gridCol w:w="789"/>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6"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合计（C1）</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际发生额合计（C2）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额度合计（C3）</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保余额合计（C4）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（A1+B1+C1）</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2,040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合计（A2+B2+C2）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（A3+B3+C3）</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7,650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计（A4+B4+C4）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宋体" w:hAnsi="宋体" w:cs="宋体" w:eastAsia="宋体" w:hint="default"/>
                <w:sz w:val="18"/>
                <w:szCs w:val="18"/>
              </w:rPr>
              <w:t>A4+B4+C4）占公司净资产的比例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1.64%</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为股东、实际控制人及其关联方提供担保的余额（D）</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2"/>
                <w:sz w:val="18"/>
                <w:szCs w:val="18"/>
              </w:rPr>
              <w:t> </w:t>
            </w:r>
            <w:r>
              <w:rPr>
                <w:rFonts w:ascii="宋体" w:hAnsi="宋体" w:cs="宋体" w:eastAsia="宋体" w:hint="default"/>
                <w:sz w:val="18"/>
                <w:szCs w:val="18"/>
              </w:rPr>
              <w:t>70%的被担保对象提供的债务担</w:t>
            </w:r>
            <w:r>
              <w:rPr>
                <w:rFonts w:ascii="宋体" w:hAnsi="宋体" w:cs="宋体" w:eastAsia="宋体" w:hint="default"/>
                <w:sz w:val="18"/>
                <w:szCs w:val="18"/>
              </w:rPr>
              <w:t> 保余额（E）</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宋体" w:hAnsi="宋体" w:cs="宋体" w:eastAsia="宋体" w:hint="default"/>
                <w:sz w:val="18"/>
                <w:szCs w:val="18"/>
              </w:rPr>
              <w:t>50%部分的金额（F）</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上述三项担保金额合计（D+E+F）</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60" w:lineRule="auto" w:before="51"/>
        <w:ind w:left="112" w:right="805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2）违规对外担保情况" w:id="94"/>
      <w:bookmarkEnd w:id="94"/>
      <w:r>
        <w:rPr>
          <w:b w:val="0"/>
          <w:bCs w:val="0"/>
        </w:rPr>
      </w:r>
      <w:r>
        <w:rPr/>
        <w:t>（2）违规对外担保情况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3、委托他人进行现金资产管理情况" w:id="95"/>
      <w:bookmarkEnd w:id="95"/>
      <w:r>
        <w:rPr>
          <w:b w:val="0"/>
          <w:bCs w:val="0"/>
        </w:rPr>
      </w:r>
      <w:r>
        <w:rPr/>
        <w:t>3、委托他人进行现金资产管理情况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委托理财情况" w:id="96"/>
      <w:bookmarkEnd w:id="96"/>
      <w:r>
        <w:rPr>
          <w:b w:val="0"/>
          <w:bCs w:val="0"/>
        </w:rPr>
      </w:r>
      <w:r>
        <w:rPr/>
        <w:t>（1）委托理财情况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after="0" w:line="357"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委托贷款情况" w:id="97"/>
      <w:bookmarkEnd w:id="97"/>
      <w:r>
        <w:rPr>
          <w:b w:val="0"/>
          <w:bCs w:val="0"/>
        </w:rPr>
      </w:r>
      <w:r>
        <w:rPr/>
        <w:t>（2）委托贷款情况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4、其他重大合同" w:id="98"/>
      <w:bookmarkEnd w:id="98"/>
      <w:r>
        <w:rPr>
          <w:b w:val="0"/>
          <w:bCs w:val="0"/>
        </w:rPr>
      </w:r>
      <w:r>
        <w:rPr/>
        <w:t>4、其他重大合同</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履行社会责任情况" w:id="100"/>
      <w:bookmarkEnd w:id="100"/>
      <w:r>
        <w:rPr>
          <w:b w:val="0"/>
          <w:bCs w:val="0"/>
        </w:rPr>
      </w:r>
      <w:r>
        <w:rPr/>
        <w:t>1、履行社会责任情况</w:t>
      </w:r>
      <w:r>
        <w:rPr>
          <w:b w:val="0"/>
          <w:bCs w:val="0"/>
        </w:rPr>
      </w:r>
    </w:p>
    <w:p>
      <w:pPr>
        <w:spacing w:line="240" w:lineRule="auto" w:before="9"/>
        <w:rPr>
          <w:rFonts w:ascii="宋体" w:hAnsi="宋体" w:cs="宋体" w:eastAsia="宋体" w:hint="default"/>
          <w:b/>
          <w:bCs/>
          <w:sz w:val="27"/>
          <w:szCs w:val="27"/>
        </w:rPr>
      </w:pPr>
    </w:p>
    <w:p>
      <w:pPr>
        <w:spacing w:line="316" w:lineRule="auto" w:before="0"/>
        <w:ind w:left="112" w:right="1025" w:firstLine="360"/>
        <w:jc w:val="left"/>
        <w:rPr>
          <w:rFonts w:ascii="宋体" w:hAnsi="宋体" w:cs="宋体" w:eastAsia="宋体" w:hint="default"/>
          <w:sz w:val="18"/>
          <w:szCs w:val="18"/>
        </w:rPr>
      </w:pPr>
      <w:r>
        <w:rPr>
          <w:rFonts w:ascii="宋体" w:hAnsi="宋体" w:cs="宋体" w:eastAsia="宋体" w:hint="default"/>
          <w:spacing w:val="-4"/>
          <w:sz w:val="18"/>
          <w:szCs w:val="18"/>
        </w:rPr>
        <w:t>《安徽皖通科技股份有限公司2018年度社会责任报告》刊登于2019年4月23日巨潮资讯网</w:t>
      </w:r>
      <w:hyperlink r:id="rId13">
        <w:r>
          <w:rPr>
            <w:rFonts w:ascii="宋体" w:hAnsi="宋体" w:cs="宋体" w:eastAsia="宋体" w:hint="default"/>
            <w:spacing w:val="-4"/>
            <w:sz w:val="18"/>
            <w:szCs w:val="18"/>
          </w:rPr>
          <w:t>（http://www.cninfo.com.cn</w:t>
        </w:r>
      </w:hyperlink>
      <w:r>
        <w:rPr>
          <w:rFonts w:ascii="宋体" w:hAnsi="宋体" w:cs="宋体" w:eastAsia="宋体" w:hint="default"/>
          <w:spacing w:val="-4"/>
          <w:sz w:val="18"/>
          <w:szCs w:val="18"/>
        </w:rPr>
        <w:t>），</w:t>
      </w:r>
      <w:r>
        <w:rPr>
          <w:rFonts w:ascii="宋体" w:hAnsi="宋体" w:cs="宋体" w:eastAsia="宋体" w:hint="default"/>
          <w:sz w:val="18"/>
          <w:szCs w:val="18"/>
        </w:rPr>
        <w:t> 请查阅。</w:t>
      </w:r>
    </w:p>
    <w:p>
      <w:pPr>
        <w:spacing w:line="240" w:lineRule="auto" w:before="8"/>
        <w:rPr>
          <w:rFonts w:ascii="宋体" w:hAnsi="宋体" w:cs="宋体" w:eastAsia="宋体" w:hint="default"/>
          <w:sz w:val="22"/>
          <w:szCs w:val="22"/>
        </w:rPr>
      </w:pPr>
    </w:p>
    <w:p>
      <w:pPr>
        <w:pStyle w:val="Heading6"/>
        <w:spacing w:line="240" w:lineRule="auto"/>
        <w:ind w:right="2127"/>
        <w:jc w:val="left"/>
        <w:rPr>
          <w:b w:val="0"/>
          <w:bCs w:val="0"/>
        </w:rPr>
      </w:pPr>
      <w:bookmarkStart w:name="2、履行精准扶贫社会责任情况" w:id="101"/>
      <w:bookmarkEnd w:id="101"/>
      <w:r>
        <w:rPr>
          <w:b w:val="0"/>
          <w:bCs w:val="0"/>
        </w:rPr>
      </w:r>
      <w:r>
        <w:rPr/>
        <w:t>2、履行精准扶贫社会责任情况</w:t>
      </w:r>
      <w:r>
        <w:rPr>
          <w:b w:val="0"/>
          <w:bCs w:val="0"/>
        </w:rPr>
      </w:r>
    </w:p>
    <w:p>
      <w:pPr>
        <w:spacing w:line="240" w:lineRule="auto" w:before="7"/>
        <w:rPr>
          <w:rFonts w:ascii="宋体" w:hAnsi="宋体" w:cs="宋体" w:eastAsia="宋体" w:hint="default"/>
          <w:b/>
          <w:bCs/>
          <w:sz w:val="27"/>
          <w:szCs w:val="27"/>
        </w:rPr>
      </w:pPr>
    </w:p>
    <w:p>
      <w:pPr>
        <w:spacing w:before="0"/>
        <w:ind w:left="472" w:right="2127"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环境保护相关的情况" w:id="102"/>
      <w:bookmarkEnd w:id="102"/>
      <w:r>
        <w:rPr>
          <w:b w:val="0"/>
          <w:bCs w:val="0"/>
        </w:rPr>
      </w:r>
      <w:r>
        <w:rPr/>
        <w:t>3、环境保护相关的情况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316" w:lineRule="auto" w:before="25"/>
        <w:ind w:left="112" w:right="1132" w:firstLine="360"/>
        <w:jc w:val="both"/>
        <w:rPr>
          <w:rFonts w:ascii="宋体" w:hAnsi="宋体" w:cs="宋体" w:eastAsia="宋体" w:hint="default"/>
          <w:sz w:val="18"/>
          <w:szCs w:val="18"/>
        </w:rPr>
      </w:pPr>
      <w:r>
        <w:rPr>
          <w:rFonts w:ascii="宋体" w:hAnsi="宋体" w:cs="宋体" w:eastAsia="宋体" w:hint="default"/>
          <w:spacing w:val="-5"/>
          <w:sz w:val="18"/>
          <w:szCs w:val="18"/>
        </w:rPr>
        <w:t>公司不属于环境保护部门公布的重点排污单位，具体详见2019年4月23日发布于巨潮资讯网（</w:t>
      </w:r>
      <w:hyperlink r:id="rId13">
        <w:r>
          <w:rPr>
            <w:rFonts w:ascii="宋体" w:hAnsi="宋体" w:cs="宋体" w:eastAsia="宋体" w:hint="default"/>
            <w:spacing w:val="-5"/>
            <w:sz w:val="18"/>
            <w:szCs w:val="18"/>
          </w:rPr>
          <w:t>www.cninfo.com.cn</w:t>
        </w:r>
      </w:hyperlink>
      <w:r>
        <w:rPr>
          <w:rFonts w:ascii="宋体" w:hAnsi="宋体" w:cs="宋体" w:eastAsia="宋体" w:hint="default"/>
          <w:spacing w:val="-5"/>
          <w:sz w:val="18"/>
          <w:szCs w:val="18"/>
        </w:rPr>
        <w:t>）的《安</w:t>
      </w:r>
      <w:r>
        <w:rPr>
          <w:rFonts w:ascii="宋体" w:hAnsi="宋体" w:cs="宋体" w:eastAsia="宋体" w:hint="default"/>
          <w:sz w:val="18"/>
          <w:szCs w:val="18"/>
        </w:rPr>
        <w:t> 徽皖通科技股份有限公司2018年度社会责任报告》"第六章</w:t>
      </w:r>
      <w:r>
        <w:rPr>
          <w:rFonts w:ascii="宋体" w:hAnsi="宋体" w:cs="宋体" w:eastAsia="宋体" w:hint="default"/>
          <w:spacing w:val="87"/>
          <w:sz w:val="18"/>
          <w:szCs w:val="18"/>
        </w:rPr>
        <w:t> </w:t>
      </w:r>
      <w:r>
        <w:rPr>
          <w:rFonts w:ascii="宋体" w:hAnsi="宋体" w:cs="宋体" w:eastAsia="宋体" w:hint="default"/>
          <w:sz w:val="18"/>
          <w:szCs w:val="18"/>
        </w:rPr>
        <w:t>环境保护与可持续发展"。</w:t>
      </w:r>
    </w:p>
    <w:p>
      <w:pPr>
        <w:spacing w:line="240" w:lineRule="auto" w:before="9"/>
        <w:rPr>
          <w:rFonts w:ascii="宋体" w:hAnsi="宋体" w:cs="宋体" w:eastAsia="宋体" w:hint="default"/>
          <w:sz w:val="20"/>
          <w:szCs w:val="20"/>
        </w:rPr>
      </w:pPr>
    </w:p>
    <w:p>
      <w:pPr>
        <w:pStyle w:val="Heading4"/>
        <w:spacing w:line="240" w:lineRule="auto"/>
        <w:ind w:right="0"/>
        <w:jc w:val="both"/>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73" w:lineRule="auto" w:before="91"/>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1、发行股份购买资产并募集配套资金事项</w:t>
      </w:r>
      <w:r>
        <w:rPr>
          <w:rFonts w:ascii="宋体" w:hAnsi="宋体" w:cs="宋体" w:eastAsia="宋体" w:hint="default"/>
          <w:b/>
          <w:bCs/>
          <w:w w:val="99"/>
          <w:sz w:val="21"/>
          <w:szCs w:val="21"/>
        </w:rPr>
        <w:t> </w:t>
      </w:r>
      <w:r>
        <w:rPr>
          <w:rFonts w:ascii="宋体" w:hAnsi="宋体" w:cs="宋体" w:eastAsia="宋体" w:hint="default"/>
          <w:w w:val="95"/>
          <w:sz w:val="21"/>
          <w:szCs w:val="21"/>
        </w:rPr>
        <w:t>公司于2018年1月5日收到中国证监会印发的《关于核准安徽皖通科技股份有限公司向易增辉等发行股</w:t>
      </w:r>
      <w:r>
        <w:rPr>
          <w:rFonts w:ascii="宋体" w:hAnsi="宋体" w:cs="宋体" w:eastAsia="宋体" w:hint="default"/>
          <w:sz w:val="21"/>
          <w:szCs w:val="21"/>
        </w:rPr>
      </w:r>
    </w:p>
    <w:p>
      <w:pPr>
        <w:pStyle w:val="BodyText"/>
        <w:spacing w:line="273" w:lineRule="auto"/>
        <w:ind w:right="1130"/>
        <w:jc w:val="both"/>
      </w:pPr>
      <w:r>
        <w:rPr>
          <w:w w:val="95"/>
        </w:rPr>
        <w:t>份购买资产并募集配套资金的批复》（证监许可[2017]2457号），并于2018年1月6日披露了《安徽皖通科</w:t>
      </w:r>
      <w:r>
        <w:rPr>
          <w:spacing w:val="43"/>
          <w:w w:val="95"/>
        </w:rPr>
        <w:t> </w:t>
      </w:r>
      <w:r>
        <w:rPr>
          <w:spacing w:val="43"/>
          <w:w w:val="95"/>
        </w:rPr>
      </w:r>
      <w:r>
        <w:rPr>
          <w:w w:val="95"/>
        </w:rPr>
        <w:t>技股份有限公司关于公司发行股份购买资产并募集配套资金事项获得中国证监会核准批复的公告》（公告</w:t>
      </w:r>
      <w:r>
        <w:rPr>
          <w:spacing w:val="36"/>
          <w:w w:val="95"/>
        </w:rPr>
        <w:t> </w:t>
      </w:r>
      <w:r>
        <w:rPr>
          <w:spacing w:val="36"/>
          <w:w w:val="95"/>
        </w:rPr>
      </w:r>
      <w:r>
        <w:rPr/>
        <w:t>编号：2018-001）。</w:t>
      </w:r>
    </w:p>
    <w:p>
      <w:pPr>
        <w:pStyle w:val="BodyText"/>
        <w:spacing w:line="273" w:lineRule="auto"/>
        <w:ind w:right="1135" w:firstLine="420"/>
        <w:jc w:val="both"/>
      </w:pPr>
      <w:r>
        <w:rPr>
          <w:spacing w:val="2"/>
          <w:w w:val="95"/>
        </w:rPr>
        <w:t>公司于2018年1月25日披露了《安徽皖通科技股份有限公司关于公司发行股份购买资产并募集配套资</w:t>
      </w:r>
      <w:r>
        <w:rPr>
          <w:spacing w:val="-90"/>
          <w:w w:val="95"/>
        </w:rPr>
        <w:t> </w:t>
      </w:r>
      <w:r>
        <w:rPr>
          <w:spacing w:val="-90"/>
          <w:w w:val="95"/>
        </w:rPr>
      </w:r>
      <w:r>
        <w:rPr/>
        <w:t>金之标的资产过户完成的公告》（公告编号：2018-005）。</w:t>
      </w:r>
    </w:p>
    <w:p>
      <w:pPr>
        <w:pStyle w:val="BodyText"/>
        <w:spacing w:line="273" w:lineRule="auto"/>
        <w:ind w:right="1130" w:firstLine="420"/>
        <w:jc w:val="both"/>
      </w:pPr>
      <w:r>
        <w:rPr>
          <w:spacing w:val="2"/>
          <w:w w:val="95"/>
        </w:rPr>
        <w:t>公司于2018年2月13日披露了《安徽皖通科技股份有限公司发行股份购买资产并募集配套资金实施情</w:t>
      </w:r>
      <w:r>
        <w:rPr>
          <w:spacing w:val="-90"/>
          <w:w w:val="95"/>
        </w:rPr>
        <w:t> </w:t>
      </w:r>
      <w:r>
        <w:rPr>
          <w:spacing w:val="-90"/>
          <w:w w:val="95"/>
        </w:rPr>
      </w:r>
      <w:r>
        <w:rPr>
          <w:w w:val="95"/>
        </w:rPr>
        <w:t>况暨新增股份上市报告书》，本次发行股份购买资产的发行对象易增辉、林木顺、张荷花、吴常念、汪学</w:t>
      </w:r>
      <w:r>
        <w:rPr>
          <w:spacing w:val="44"/>
          <w:w w:val="95"/>
        </w:rPr>
        <w:t> </w:t>
      </w:r>
      <w:r>
        <w:rPr>
          <w:spacing w:val="44"/>
          <w:w w:val="95"/>
        </w:rPr>
      </w:r>
      <w:r>
        <w:rPr>
          <w:spacing w:val="2"/>
          <w:w w:val="95"/>
        </w:rPr>
        <w:t>刚、吴义华、林洪钢、唐世容、姚宗诚、陈乐桥、邹林、周云等12名自然人持有的公司股份于2018年2月</w:t>
      </w:r>
      <w:r>
        <w:rPr>
          <w:spacing w:val="43"/>
          <w:w w:val="95"/>
        </w:rPr>
        <w:t> </w:t>
      </w:r>
      <w:r>
        <w:rPr>
          <w:spacing w:val="43"/>
          <w:w w:val="95"/>
        </w:rPr>
      </w:r>
      <w:r>
        <w:rPr/>
        <w:t>14日在深交所中小板上市。</w:t>
      </w:r>
    </w:p>
    <w:p>
      <w:pPr>
        <w:pStyle w:val="BodyText"/>
        <w:spacing w:line="273" w:lineRule="auto"/>
        <w:ind w:right="1112" w:firstLine="420"/>
        <w:jc w:val="both"/>
      </w:pPr>
      <w:r>
        <w:rPr>
          <w:spacing w:val="2"/>
          <w:w w:val="95"/>
        </w:rPr>
        <w:t>公司于2018年9月5日召开的第四届董事会第十六次会议和2018年9月21日召开的2018年第三次临时股</w:t>
      </w:r>
      <w:r>
        <w:rPr>
          <w:w w:val="99"/>
        </w:rPr>
        <w:t> </w:t>
      </w:r>
      <w:r>
        <w:rPr>
          <w:w w:val="95"/>
        </w:rPr>
        <w:t>东大会审议通过了《关于延长公司发行股份购买资产并募集配套资金方案股东大会决议有效期的议案》、</w:t>
      </w:r>
      <w:r>
        <w:rPr/>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12"/>
        <w:jc w:val="both"/>
      </w:pPr>
      <w:r>
        <w:rPr>
          <w:w w:val="95"/>
        </w:rPr>
        <w:t>《关于提请股东大会延长授权董事会办理本次发行股份购买资产并募集配套资金相关事宜期限的议案》，</w:t>
      </w:r>
      <w:r>
        <w:rPr>
          <w:spacing w:val="61"/>
          <w:w w:val="95"/>
        </w:rPr>
        <w:t> </w:t>
      </w:r>
      <w:r>
        <w:rPr>
          <w:spacing w:val="61"/>
          <w:w w:val="95"/>
        </w:rPr>
      </w:r>
      <w:r>
        <w:rPr>
          <w:spacing w:val="4"/>
        </w:rPr>
        <w:t>同意将本次交易方案股东大会决议有效期及授权董事会办理本次交易相关事宜的期限延长至本次交易实</w:t>
      </w:r>
      <w:r>
        <w:rPr>
          <w:w w:val="99"/>
        </w:rPr>
        <w:t> </w:t>
      </w:r>
      <w:r>
        <w:rPr>
          <w:spacing w:val="2"/>
          <w:w w:val="95"/>
        </w:rPr>
        <w:t>施完毕。公司分别于2018年9月6日、2018年9月22日披露了《安徽皖通科技股份有限公司关于延长公司发</w:t>
      </w:r>
      <w:r>
        <w:rPr>
          <w:spacing w:val="36"/>
          <w:w w:val="95"/>
        </w:rPr>
        <w:t> </w:t>
      </w:r>
      <w:r>
        <w:rPr>
          <w:spacing w:val="36"/>
          <w:w w:val="95"/>
        </w:rPr>
      </w:r>
      <w:r>
        <w:rPr>
          <w:w w:val="95"/>
        </w:rPr>
        <w:t>行股份购买资产并募集配套资金方案股东大会决议有效期及授权董事会办理相关事宜期限的公告》（公告</w:t>
      </w:r>
      <w:r>
        <w:rPr>
          <w:spacing w:val="36"/>
          <w:w w:val="95"/>
        </w:rPr>
        <w:t> </w:t>
      </w:r>
      <w:r>
        <w:rPr>
          <w:spacing w:val="36"/>
          <w:w w:val="95"/>
        </w:rPr>
      </w:r>
      <w:r>
        <w:rPr>
          <w:spacing w:val="4"/>
          <w:w w:val="95"/>
        </w:rPr>
        <w:t>编号：2018-049）、《安徽皖通科技股份有限公司2018年第三次临时股东大会决议公告》（公告编号：</w:t>
      </w:r>
      <w:r>
        <w:rPr>
          <w:spacing w:val="30"/>
          <w:w w:val="95"/>
        </w:rPr>
        <w:t> </w:t>
      </w:r>
      <w:r>
        <w:rPr>
          <w:spacing w:val="30"/>
          <w:w w:val="95"/>
        </w:rPr>
      </w:r>
      <w:r>
        <w:rPr/>
        <w:t>2018-053）。</w:t>
      </w:r>
    </w:p>
    <w:p>
      <w:pPr>
        <w:pStyle w:val="BodyText"/>
        <w:spacing w:line="273" w:lineRule="auto"/>
        <w:ind w:right="1132" w:firstLine="420"/>
        <w:jc w:val="both"/>
      </w:pPr>
      <w:r>
        <w:rPr>
          <w:spacing w:val="2"/>
          <w:w w:val="95"/>
        </w:rPr>
        <w:t>公司于2018年12月3日披露了《安徽皖通科技股份有限公司发行股份购买资产并募集配套资金之非公</w:t>
      </w:r>
      <w:r>
        <w:rPr>
          <w:spacing w:val="-90"/>
          <w:w w:val="95"/>
        </w:rPr>
        <w:t> </w:t>
      </w:r>
      <w:r>
        <w:rPr>
          <w:spacing w:val="-90"/>
          <w:w w:val="95"/>
        </w:rPr>
      </w:r>
      <w:r>
        <w:rPr>
          <w:w w:val="95"/>
        </w:rPr>
        <w:t>开发行股票募集配套资金新增股份上市公告书》，完成发行股份购买资产并募集配套资金之募集配套资金</w:t>
      </w:r>
      <w:r>
        <w:rPr>
          <w:spacing w:val="37"/>
          <w:w w:val="95"/>
        </w:rPr>
        <w:t> </w:t>
      </w:r>
      <w:r>
        <w:rPr>
          <w:spacing w:val="37"/>
          <w:w w:val="95"/>
        </w:rPr>
      </w:r>
      <w:r>
        <w:rPr>
          <w:w w:val="95"/>
        </w:rPr>
        <w:t>非公开发行股票事宜，向南方银谷科技有限公司非公开发行股份24,013,157股，本次新增股份已于2018年</w:t>
      </w:r>
      <w:r>
        <w:rPr>
          <w:spacing w:val="40"/>
          <w:w w:val="95"/>
        </w:rPr>
        <w:t> </w:t>
      </w:r>
      <w:r>
        <w:rPr>
          <w:spacing w:val="40"/>
          <w:w w:val="95"/>
        </w:rPr>
      </w:r>
      <w:r>
        <w:rPr/>
        <w:t>12月4日在深交所中小板上市。</w:t>
      </w:r>
    </w:p>
    <w:p>
      <w:pPr>
        <w:pStyle w:val="BodyText"/>
        <w:spacing w:line="273" w:lineRule="auto"/>
        <w:ind w:left="532" w:right="0" w:firstLine="2"/>
        <w:jc w:val="left"/>
      </w:pPr>
      <w:r>
        <w:rPr>
          <w:rFonts w:ascii="宋体" w:hAnsi="宋体" w:cs="宋体" w:eastAsia="宋体" w:hint="default"/>
          <w:b/>
          <w:bCs/>
        </w:rPr>
        <w:t>2、控制权变更事项</w:t>
      </w:r>
      <w:r>
        <w:rPr>
          <w:rFonts w:ascii="宋体" w:hAnsi="宋体" w:cs="宋体" w:eastAsia="宋体" w:hint="default"/>
          <w:b/>
          <w:bCs/>
          <w:w w:val="99"/>
        </w:rPr>
        <w:t> </w:t>
      </w:r>
      <w:r>
        <w:rPr>
          <w:spacing w:val="-4"/>
          <w:w w:val="95"/>
        </w:rPr>
        <w:t>因筹划控制权变更事项，公司股票自2018年12月10日开市时起停牌。公司于2018年12月10日披露了《安</w:t>
      </w:r>
      <w:r>
        <w:rPr>
          <w:spacing w:val="-4"/>
        </w:rPr>
      </w:r>
    </w:p>
    <w:p>
      <w:pPr>
        <w:pStyle w:val="BodyText"/>
        <w:spacing w:line="273" w:lineRule="auto"/>
        <w:ind w:left="532" w:right="0" w:hanging="420"/>
        <w:jc w:val="left"/>
      </w:pPr>
      <w:r>
        <w:rPr/>
        <w:t>徽皖通科技股份有限公司关于筹划控制权变更的停牌公告》（公告编号：2018-061）。</w:t>
      </w:r>
      <w:r>
        <w:rPr>
          <w:w w:val="99"/>
        </w:rPr>
        <w:t> </w:t>
      </w:r>
      <w:r>
        <w:rPr>
          <w:w w:val="95"/>
        </w:rPr>
        <w:t>公司于2018年12月14日披露了《安徽皖通科技股份有限公司关于控股股东签订&lt;表决权委托协议&gt;及控</w:t>
      </w:r>
      <w:r>
        <w:rPr/>
      </w:r>
    </w:p>
    <w:p>
      <w:pPr>
        <w:pStyle w:val="BodyText"/>
        <w:spacing w:line="273" w:lineRule="auto"/>
        <w:ind w:right="1135"/>
        <w:jc w:val="both"/>
      </w:pPr>
      <w:r>
        <w:rPr>
          <w:spacing w:val="2"/>
          <w:w w:val="95"/>
        </w:rPr>
        <w:t>制权拟变更暨公司股票复牌的提示性公告》(公告编号：2018-063),公司股票于2018年12月14日开市时起  </w:t>
      </w:r>
      <w:r>
        <w:rPr>
          <w:spacing w:val="27"/>
          <w:w w:val="95"/>
        </w:rPr>
        <w:t> </w:t>
      </w:r>
      <w:r>
        <w:rPr>
          <w:spacing w:val="27"/>
          <w:w w:val="95"/>
        </w:rPr>
      </w:r>
      <w:r>
        <w:rPr/>
        <w:t>复牌。</w:t>
      </w:r>
    </w:p>
    <w:p>
      <w:pPr>
        <w:pStyle w:val="BodyText"/>
        <w:spacing w:line="273" w:lineRule="auto"/>
        <w:ind w:right="1132" w:firstLine="420"/>
        <w:jc w:val="both"/>
      </w:pPr>
      <w:r>
        <w:rPr>
          <w:spacing w:val="-5"/>
          <w:w w:val="99"/>
        </w:rPr>
        <w:t>公司于2019年3月7日披露了《安徽皖通科技股份有限公司控股股东及实际控制人发生变更的公告》（公</w:t>
      </w:r>
      <w:r>
        <w:rPr>
          <w:w w:val="99"/>
        </w:rPr>
        <w:t> </w:t>
      </w:r>
      <w:r>
        <w:rPr>
          <w:w w:val="95"/>
        </w:rPr>
        <w:t>告编号：2019-010），公司控制权变更事项于2019年3月5日取得国防科工局批准，公司控股股东变更为南</w:t>
      </w:r>
      <w:r>
        <w:rPr>
          <w:spacing w:val="39"/>
          <w:w w:val="95"/>
        </w:rPr>
        <w:t> </w:t>
      </w:r>
      <w:r>
        <w:rPr>
          <w:spacing w:val="39"/>
          <w:w w:val="95"/>
        </w:rPr>
      </w:r>
      <w:r>
        <w:rPr/>
        <w:t>方银谷科技有限公司，实际控制人变更为周发展。</w:t>
      </w: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4860"/>
        <w:gridCol w:w="1980"/>
        <w:gridCol w:w="2729"/>
      </w:tblGrid>
      <w:tr>
        <w:trPr>
          <w:trHeight w:val="427" w:hRule="exact"/>
        </w:trPr>
        <w:tc>
          <w:tcPr>
            <w:tcW w:w="48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19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77"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9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b/>
                <w:bCs/>
                <w:sz w:val="21"/>
                <w:szCs w:val="21"/>
              </w:rPr>
              <w:t>发行股份购买资产并募集配套资金事项</w:t>
            </w:r>
            <w:r>
              <w:rPr>
                <w:rFonts w:ascii="宋体" w:hAnsi="宋体" w:cs="宋体" w:eastAsia="宋体" w:hint="default"/>
                <w:sz w:val="21"/>
                <w:szCs w:val="21"/>
              </w:rPr>
            </w:r>
          </w:p>
        </w:tc>
      </w:tr>
      <w:tr>
        <w:trPr>
          <w:trHeight w:val="739"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《安徽皖通科技股份有限公司关于公司发行股份购买资产并 募集配套资金事项获得中国证监会核准批复的公告》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2018年01月06日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2"/>
              <w:ind w:left="277" w:right="0"/>
              <w:jc w:val="left"/>
              <w:rPr>
                <w:rFonts w:ascii="宋体" w:hAnsi="宋体" w:cs="宋体" w:eastAsia="宋体" w:hint="default"/>
                <w:sz w:val="18"/>
                <w:szCs w:val="18"/>
              </w:rPr>
            </w:pPr>
            <w:hyperlink r:id="rId13">
              <w:r>
                <w:rPr>
                  <w:rFonts w:ascii="宋体"/>
                  <w:sz w:val="18"/>
                </w:rPr>
                <w:t>http://www.cninfo.com.cn</w:t>
              </w:r>
            </w:hyperlink>
          </w:p>
        </w:tc>
      </w:tr>
      <w:tr>
        <w:trPr>
          <w:trHeight w:val="739"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《安徽皖通科技股份有限公司关于公司发行股份购买资产并 募集配套资金之标的资产过户完成的公告》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2018年01月25日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0"/>
              <w:ind w:left="277" w:right="0"/>
              <w:jc w:val="left"/>
              <w:rPr>
                <w:rFonts w:ascii="宋体" w:hAnsi="宋体" w:cs="宋体" w:eastAsia="宋体" w:hint="default"/>
                <w:sz w:val="18"/>
                <w:szCs w:val="18"/>
              </w:rPr>
            </w:pPr>
            <w:hyperlink r:id="rId13">
              <w:r>
                <w:rPr>
                  <w:rFonts w:ascii="宋体"/>
                  <w:sz w:val="18"/>
                </w:rPr>
                <w:t>http://www.cninfo.com.cn</w:t>
              </w:r>
            </w:hyperlink>
          </w:p>
        </w:tc>
      </w:tr>
      <w:tr>
        <w:trPr>
          <w:trHeight w:val="739"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《安徽皖通科技股份有限公司发行股份购买资产并募集配套 资金实施情况暨新增股份上市报告书》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2018年02月13日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0"/>
              <w:ind w:left="277" w:right="0"/>
              <w:jc w:val="left"/>
              <w:rPr>
                <w:rFonts w:ascii="宋体" w:hAnsi="宋体" w:cs="宋体" w:eastAsia="宋体" w:hint="default"/>
                <w:sz w:val="18"/>
                <w:szCs w:val="18"/>
              </w:rPr>
            </w:pPr>
            <w:hyperlink r:id="rId13">
              <w:r>
                <w:rPr>
                  <w:rFonts w:ascii="宋体"/>
                  <w:sz w:val="18"/>
                </w:rPr>
                <w:t>http://www.cninfo.com.cn</w:t>
              </w:r>
            </w:hyperlink>
          </w:p>
        </w:tc>
      </w:tr>
      <w:tr>
        <w:trPr>
          <w:trHeight w:val="1051"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61"/>
              <w:jc w:val="both"/>
              <w:rPr>
                <w:rFonts w:ascii="宋体" w:hAnsi="宋体" w:cs="宋体" w:eastAsia="宋体" w:hint="default"/>
                <w:sz w:val="18"/>
                <w:szCs w:val="18"/>
              </w:rPr>
            </w:pPr>
            <w:r>
              <w:rPr>
                <w:rFonts w:ascii="宋体" w:hAnsi="宋体" w:cs="宋体" w:eastAsia="宋体" w:hint="default"/>
                <w:sz w:val="18"/>
                <w:szCs w:val="18"/>
              </w:rPr>
              <w:t>《安徽皖通科技股份有限公司关于延长公司发行股份购买资 产并募集配套资金方案股东大会决议有效期及授权董事会办 理相关事宜期限的公告》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2018年09月06日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0"/>
              <w:ind w:left="277" w:right="0"/>
              <w:jc w:val="left"/>
              <w:rPr>
                <w:rFonts w:ascii="宋体" w:hAnsi="宋体" w:cs="宋体" w:eastAsia="宋体" w:hint="default"/>
                <w:sz w:val="18"/>
                <w:szCs w:val="18"/>
              </w:rPr>
            </w:pPr>
            <w:hyperlink r:id="rId13">
              <w:r>
                <w:rPr>
                  <w:rFonts w:ascii="宋体"/>
                  <w:sz w:val="18"/>
                </w:rPr>
                <w:t>http://www.cninfo.com.cn</w:t>
              </w:r>
            </w:hyperlink>
          </w:p>
        </w:tc>
      </w:tr>
      <w:tr>
        <w:trPr>
          <w:trHeight w:val="739"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《安徽皖通科技股份有限公司2018年第三次临时股东大会决 议公告》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2018年09月22日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0"/>
              <w:ind w:left="277" w:right="0"/>
              <w:jc w:val="left"/>
              <w:rPr>
                <w:rFonts w:ascii="宋体" w:hAnsi="宋体" w:cs="宋体" w:eastAsia="宋体" w:hint="default"/>
                <w:sz w:val="18"/>
                <w:szCs w:val="18"/>
              </w:rPr>
            </w:pPr>
            <w:hyperlink r:id="rId13">
              <w:r>
                <w:rPr>
                  <w:rFonts w:ascii="宋体"/>
                  <w:sz w:val="18"/>
                </w:rPr>
                <w:t>http://www.cninfo.com.cn</w:t>
              </w:r>
            </w:hyperlink>
          </w:p>
        </w:tc>
      </w:tr>
      <w:tr>
        <w:trPr>
          <w:trHeight w:val="739"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《安徽皖通科技股份有限公司发行股份购买资产并募集配套 资金之非公开发行股票募集配套资金新增股份上市公告书》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2018年12月03日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277" w:right="0"/>
              <w:jc w:val="left"/>
              <w:rPr>
                <w:rFonts w:ascii="宋体" w:hAnsi="宋体" w:cs="宋体" w:eastAsia="宋体" w:hint="default"/>
                <w:sz w:val="18"/>
                <w:szCs w:val="18"/>
              </w:rPr>
            </w:pPr>
            <w:hyperlink r:id="rId13">
              <w:r>
                <w:rPr>
                  <w:rFonts w:ascii="宋体"/>
                  <w:sz w:val="18"/>
                </w:rPr>
                <w:t>http://www.cninfo.com.cn</w:t>
              </w:r>
            </w:hyperlink>
          </w:p>
        </w:tc>
      </w:tr>
      <w:tr>
        <w:trPr>
          <w:trHeight w:val="427" w:hRule="exact"/>
        </w:trPr>
        <w:tc>
          <w:tcPr>
            <w:tcW w:w="9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b/>
                <w:bCs/>
                <w:sz w:val="21"/>
                <w:szCs w:val="21"/>
              </w:rPr>
              <w:t>控制权变更事项</w:t>
            </w:r>
            <w:r>
              <w:rPr>
                <w:rFonts w:ascii="宋体" w:hAnsi="宋体" w:cs="宋体" w:eastAsia="宋体" w:hint="default"/>
                <w:sz w:val="21"/>
                <w:szCs w:val="21"/>
              </w:rPr>
            </w:r>
          </w:p>
        </w:tc>
      </w:tr>
      <w:tr>
        <w:trPr>
          <w:trHeight w:val="739"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《安徽皖通科技股份有限公司关于筹划控制权变更的停牌公 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2018年12月10日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277" w:right="0"/>
              <w:jc w:val="left"/>
              <w:rPr>
                <w:rFonts w:ascii="宋体" w:hAnsi="宋体" w:cs="宋体" w:eastAsia="宋体" w:hint="default"/>
                <w:sz w:val="18"/>
                <w:szCs w:val="18"/>
              </w:rPr>
            </w:pPr>
            <w:hyperlink r:id="rId13">
              <w:r>
                <w:rPr>
                  <w:rFonts w:ascii="宋体"/>
                  <w:sz w:val="18"/>
                </w:rPr>
                <w:t>http://www.cninfo.com.cn</w:t>
              </w:r>
            </w:hyperlink>
          </w:p>
        </w:tc>
      </w:tr>
      <w:tr>
        <w:trPr>
          <w:trHeight w:val="737"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71"/>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《安徽皖通科技股份有限公司关于控股股东签订&lt;表决权委托 协议&gt;及控制权拟变更暨公司股票复牌的提示性公告》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2018年12月14日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277" w:right="0"/>
              <w:jc w:val="left"/>
              <w:rPr>
                <w:rFonts w:ascii="宋体" w:hAnsi="宋体" w:cs="宋体" w:eastAsia="宋体" w:hint="default"/>
                <w:sz w:val="18"/>
                <w:szCs w:val="18"/>
              </w:rPr>
            </w:pPr>
            <w:hyperlink r:id="rId13">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860"/>
        <w:gridCol w:w="1980"/>
        <w:gridCol w:w="2729"/>
      </w:tblGrid>
      <w:tr>
        <w:trPr>
          <w:trHeight w:val="659"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《安徽皖通科技股份有限公司控股股东及实际控制人发生变 更的公告》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1" w:right="0"/>
              <w:jc w:val="left"/>
              <w:rPr>
                <w:rFonts w:ascii="宋体" w:hAnsi="宋体" w:cs="宋体" w:eastAsia="宋体" w:hint="default"/>
                <w:sz w:val="18"/>
                <w:szCs w:val="18"/>
              </w:rPr>
            </w:pPr>
            <w:r>
              <w:rPr>
                <w:rFonts w:ascii="宋体" w:hAnsi="宋体" w:cs="宋体" w:eastAsia="宋体" w:hint="default"/>
                <w:sz w:val="18"/>
                <w:szCs w:val="18"/>
              </w:rPr>
              <w:t>2019年03月07日</w:t>
            </w:r>
          </w:p>
        </w:tc>
        <w:tc>
          <w:tcPr>
            <w:tcW w:w="2729"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2"/>
              <w:ind w:left="277" w:right="0"/>
              <w:jc w:val="left"/>
              <w:rPr>
                <w:rFonts w:ascii="宋体" w:hAnsi="宋体" w:cs="宋体" w:eastAsia="宋体" w:hint="default"/>
                <w:sz w:val="18"/>
                <w:szCs w:val="18"/>
              </w:rPr>
            </w:pPr>
            <w:hyperlink r:id="rId13">
              <w:r>
                <w:rPr>
                  <w:rFonts w:ascii="宋体"/>
                  <w:sz w:val="18"/>
                </w:rPr>
                <w:t>http://www.cninfo.com.cn</w:t>
              </w:r>
            </w:hyperlink>
          </w:p>
        </w:tc>
      </w:tr>
    </w:tbl>
    <w:p>
      <w:pPr>
        <w:spacing w:line="240" w:lineRule="auto" w:before="3"/>
        <w:rPr>
          <w:rFonts w:ascii="宋体" w:hAnsi="宋体" w:cs="宋体" w:eastAsia="宋体" w:hint="default"/>
          <w:sz w:val="18"/>
          <w:szCs w:val="18"/>
        </w:rPr>
      </w:pPr>
    </w:p>
    <w:p>
      <w:pPr>
        <w:pStyle w:val="Heading4"/>
        <w:spacing w:line="240" w:lineRule="auto" w:before="26"/>
        <w:ind w:right="2127"/>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21"/>
          <w:pgSz w:w="11910" w:h="16840"/>
          <w:pgMar w:footer="978" w:header="746" w:top="1060" w:bottom="1160" w:left="1020" w:right="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8" w:right="2127"/>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股份变动情况" w:id="108"/>
      <w:bookmarkEnd w:id="108"/>
      <w:r>
        <w:rPr>
          <w:b w:val="0"/>
          <w:bCs w:val="0"/>
        </w:rPr>
      </w:r>
      <w:r>
        <w:rPr/>
        <w:t>1、股份变动情况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2"/>
        <w:gridCol w:w="1035"/>
        <w:gridCol w:w="780"/>
        <w:gridCol w:w="1020"/>
        <w:gridCol w:w="555"/>
        <w:gridCol w:w="975"/>
        <w:gridCol w:w="1110"/>
        <w:gridCol w:w="990"/>
        <w:gridCol w:w="1080"/>
        <w:gridCol w:w="600"/>
      </w:tblGrid>
      <w:tr>
        <w:trPr>
          <w:trHeight w:val="402" w:hRule="exact"/>
        </w:trPr>
        <w:tc>
          <w:tcPr>
            <w:tcW w:w="1632" w:type="dxa"/>
            <w:vMerge w:val="restart"/>
            <w:tcBorders>
              <w:top w:val="single" w:sz="4" w:space="0" w:color="000000"/>
              <w:left w:val="single" w:sz="4" w:space="0" w:color="000000"/>
              <w:right w:val="single" w:sz="4" w:space="0" w:color="000000"/>
            </w:tcBorders>
            <w:shd w:val="clear" w:color="auto" w:fill="D2D2D2"/>
          </w:tcPr>
          <w:p>
            <w:pPr/>
          </w:p>
        </w:tc>
        <w:tc>
          <w:tcPr>
            <w:tcW w:w="18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58,317,083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16.65%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61,808,414</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-11,243,289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50,565,125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108,882,208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26.42%</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宋体" w:hAnsi="宋体" w:cs="宋体" w:eastAsia="宋体" w:hint="default"/>
                <w:sz w:val="18"/>
                <w:szCs w:val="18"/>
              </w:rPr>
            </w:pPr>
            <w:r>
              <w:rPr>
                <w:rFonts w:ascii="宋体"/>
                <w:sz w:val="18"/>
              </w:rPr>
              <w:t>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58,317,083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16.65%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61,808,414</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-11,243,289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50,565,125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108,882,208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18"/>
                <w:szCs w:val="18"/>
              </w:rPr>
            </w:pPr>
            <w:r>
              <w:rPr>
                <w:rFonts w:ascii="宋体"/>
                <w:sz w:val="18"/>
              </w:rPr>
              <w:t>26.42%</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其中：境内法人持股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24,013,157</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24,013,157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24,013,157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5.83%</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58,317,083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16.65%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37,795,257</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-11,243,289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26,551,968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84,869,051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20.59%</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宋体" w:hAnsi="宋体" w:cs="宋体" w:eastAsia="宋体" w:hint="default"/>
                <w:sz w:val="18"/>
                <w:szCs w:val="18"/>
              </w:rPr>
            </w:pPr>
            <w:r>
              <w:rPr>
                <w:rFonts w:ascii="宋体"/>
                <w:sz w:val="18"/>
              </w:rPr>
              <w:t>0.00%</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0.00%</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292,009,97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83.35%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11,243,289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11,243,289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303,253,261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73.58%</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292,009,97</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83.35%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11,243,289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11,243,289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303,253,261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73.58%</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2、境内上市的外资 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0.00%</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3、境外上市的外资 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0.00%</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宋体" w:hAnsi="宋体" w:cs="宋体" w:eastAsia="宋体" w:hint="default"/>
                <w:sz w:val="18"/>
                <w:szCs w:val="18"/>
              </w:rPr>
            </w:pPr>
            <w:r>
              <w:rPr>
                <w:rFonts w:ascii="宋体"/>
                <w:sz w:val="18"/>
              </w:rPr>
              <w:t>0.00%</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350,327,05</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61,808,414</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61,808,414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412,135,469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21"/>
              <w:jc w:val="right"/>
              <w:rPr>
                <w:rFonts w:ascii="宋体" w:hAnsi="宋体" w:cs="宋体" w:eastAsia="宋体" w:hint="default"/>
                <w:sz w:val="18"/>
                <w:szCs w:val="18"/>
              </w:rPr>
            </w:pPr>
            <w:r>
              <w:rPr>
                <w:rFonts w:ascii="宋体"/>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60" w:lineRule="auto" w:before="117"/>
        <w:ind w:left="472" w:right="1124" w:hanging="360"/>
        <w:jc w:val="left"/>
        <w:rPr>
          <w:rFonts w:ascii="宋体" w:hAnsi="宋体" w:cs="宋体" w:eastAsia="宋体" w:hint="default"/>
          <w:sz w:val="18"/>
          <w:szCs w:val="18"/>
        </w:rPr>
      </w:pPr>
      <w:r>
        <w:rPr>
          <w:rFonts w:ascii="宋体" w:hAnsi="宋体" w:cs="宋体" w:eastAsia="宋体" w:hint="default"/>
          <w:sz w:val="18"/>
          <w:szCs w:val="18"/>
        </w:rPr>
        <w:t>√ 适用 □ 不适用 1、每年的第一个交易日，中国结算深圳分公司以公司董事、监事和高级管理人员在上年最后一个交易日登记在其名下</w:t>
      </w:r>
    </w:p>
    <w:p>
      <w:pPr>
        <w:spacing w:line="222"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的本公司股份为基数，按25%计算其本年度可转让股份法定额度；同时，对该人员所持的在本年度可转让股份额度内的无限</w:t>
      </w:r>
    </w:p>
    <w:p>
      <w:pPr>
        <w:spacing w:before="76"/>
        <w:ind w:left="112" w:right="2127" w:firstLine="0"/>
        <w:jc w:val="left"/>
        <w:rPr>
          <w:rFonts w:ascii="宋体" w:hAnsi="宋体" w:cs="宋体" w:eastAsia="宋体" w:hint="default"/>
          <w:sz w:val="18"/>
          <w:szCs w:val="18"/>
        </w:rPr>
      </w:pPr>
      <w:r>
        <w:rPr>
          <w:rFonts w:ascii="宋体" w:hAnsi="宋体" w:cs="宋体" w:eastAsia="宋体" w:hint="default"/>
          <w:sz w:val="18"/>
          <w:szCs w:val="18"/>
        </w:rPr>
        <w:t>售条件的流通股进行解锁。</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line="316" w:lineRule="auto" w:before="44"/>
        <w:ind w:left="112" w:right="1141" w:firstLine="360"/>
        <w:jc w:val="both"/>
        <w:rPr>
          <w:rFonts w:ascii="宋体" w:hAnsi="宋体" w:cs="宋体" w:eastAsia="宋体" w:hint="default"/>
          <w:sz w:val="18"/>
          <w:szCs w:val="18"/>
        </w:rPr>
      </w:pPr>
      <w:r>
        <w:rPr>
          <w:rFonts w:ascii="宋体" w:hAnsi="宋体" w:cs="宋体" w:eastAsia="宋体" w:hint="default"/>
          <w:sz w:val="18"/>
          <w:szCs w:val="18"/>
        </w:rPr>
        <w:t>2、报告期内，公司向易增辉等12人发行股份购买成都赛英科技有限公司100%股权，共计发行31,875,457股，新增股份 已于2018年2月14日上市。</w:t>
      </w:r>
    </w:p>
    <w:p>
      <w:pPr>
        <w:spacing w:line="316" w:lineRule="auto" w:before="57"/>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3、2018年4月22日，公司原董事、董事长王中胜和原董事、副总经理杨新子由于工作调整原因申请辞去董事及高级管理</w:t>
      </w:r>
      <w:r>
        <w:rPr>
          <w:rFonts w:ascii="宋体" w:hAnsi="宋体" w:cs="宋体" w:eastAsia="宋体" w:hint="default"/>
          <w:sz w:val="18"/>
          <w:szCs w:val="18"/>
        </w:rPr>
        <w:t> 人员职务，辞职报告自送达公司董事会之日起生效，王中胜、杨新子持有公司股份自其辞职之日起6个月内100%锁定,辞职6 个月后，在其就任时确定的任期内和任期届满后六个月内，每年转让的股份不得超过其所持有本公司股份总数的25%。</w:t>
      </w:r>
    </w:p>
    <w:p>
      <w:pPr>
        <w:spacing w:line="316" w:lineRule="auto" w:before="59"/>
        <w:ind w:left="112" w:right="1141" w:firstLine="360"/>
        <w:jc w:val="both"/>
        <w:rPr>
          <w:rFonts w:ascii="宋体" w:hAnsi="宋体" w:cs="宋体" w:eastAsia="宋体" w:hint="default"/>
          <w:sz w:val="18"/>
          <w:szCs w:val="18"/>
        </w:rPr>
      </w:pPr>
      <w:r>
        <w:rPr>
          <w:rFonts w:ascii="宋体" w:hAnsi="宋体" w:cs="宋体" w:eastAsia="宋体" w:hint="default"/>
          <w:sz w:val="18"/>
          <w:szCs w:val="18"/>
        </w:rPr>
        <w:t>4、报告期内，公司实施了第一期限制性股票激励计划，以向公司部分董事、高级管理人员及核心业务、技术、管理骨 干定向发行股份的方式，授予限制性股票共计5,919,800股，新增股份已于2018年5月24日上市。</w:t>
      </w:r>
    </w:p>
    <w:p>
      <w:pPr>
        <w:spacing w:line="316" w:lineRule="auto" w:before="59"/>
        <w:ind w:left="112" w:right="1132" w:firstLine="360"/>
        <w:jc w:val="both"/>
        <w:rPr>
          <w:rFonts w:ascii="宋体" w:hAnsi="宋体" w:cs="宋体" w:eastAsia="宋体" w:hint="default"/>
          <w:sz w:val="18"/>
          <w:szCs w:val="18"/>
        </w:rPr>
      </w:pPr>
      <w:r>
        <w:rPr>
          <w:rFonts w:ascii="宋体" w:hAnsi="宋体" w:cs="宋体" w:eastAsia="宋体" w:hint="default"/>
          <w:sz w:val="18"/>
          <w:szCs w:val="18"/>
        </w:rPr>
        <w:t>5、报告期内，公司实施了发行股份购买资产并募集配套资金之非公开发行股票募集配套资金事项，向南方银谷科技有 限公司发行24,013,157股，新增股份已于2018年12月4日上市。</w:t>
      </w:r>
    </w:p>
    <w:p>
      <w:pPr>
        <w:spacing w:before="57"/>
        <w:ind w:left="112" w:right="2127"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60" w:lineRule="auto" w:before="117"/>
        <w:ind w:left="472" w:right="1125"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1、公司于2017年9月7日召开的第四届董事会第八次会议、第四届监事会第六次会议和2017年9月27日召开的2017年第二</w:t>
      </w:r>
    </w:p>
    <w:p>
      <w:pPr>
        <w:spacing w:line="222"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次临时股东大会审议通过发行股份购买资产并募集配套资金事项，于2017年11月29日召开的第四届董事会第十次会议、第四</w:t>
      </w:r>
    </w:p>
    <w:p>
      <w:pPr>
        <w:spacing w:line="316" w:lineRule="auto" w:before="76"/>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届监事会第八次会议审议通过了发行股份购买资产并募集配套资金方案调整事项，并于2018年1月5日获得中国证监会核准批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复（证监许可[2017]2457号）。</w:t>
      </w:r>
    </w:p>
    <w:p>
      <w:pPr>
        <w:spacing w:line="316" w:lineRule="auto" w:before="57"/>
        <w:ind w:left="112" w:right="1132" w:firstLine="360"/>
        <w:jc w:val="both"/>
        <w:rPr>
          <w:rFonts w:ascii="宋体" w:hAnsi="宋体" w:cs="宋体" w:eastAsia="宋体" w:hint="default"/>
          <w:sz w:val="18"/>
          <w:szCs w:val="18"/>
        </w:rPr>
      </w:pPr>
      <w:r>
        <w:rPr>
          <w:rFonts w:ascii="宋体" w:hAnsi="宋体" w:cs="宋体" w:eastAsia="宋体" w:hint="default"/>
          <w:sz w:val="18"/>
          <w:szCs w:val="18"/>
        </w:rPr>
        <w:t>2、公司于2018年2月9日召开的第四届董事会第十二次会议、第四届监事会第十次会议和2018年3月7日召开的2018年第 </w:t>
      </w:r>
      <w:r>
        <w:rPr>
          <w:rFonts w:ascii="宋体" w:hAnsi="宋体" w:cs="宋体" w:eastAsia="宋体" w:hint="default"/>
          <w:spacing w:val="-2"/>
          <w:sz w:val="18"/>
          <w:szCs w:val="18"/>
        </w:rPr>
        <w:t>二次临时股东大会审议通过《安徽皖通科技股份有限公司第一期限制性股票激励计划（草案）及其摘要》等相关议案。根据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股东大会的授权，公司于2018年4月23日召开的第四届董事会第十四次会议、第四届监事会第十二次会议审议通过了限制性</w:t>
      </w:r>
      <w:r>
        <w:rPr>
          <w:rFonts w:ascii="宋体" w:hAnsi="宋体" w:cs="宋体" w:eastAsia="宋体" w:hint="default"/>
          <w:sz w:val="18"/>
          <w:szCs w:val="18"/>
        </w:rPr>
        <w:t> 股票授予事项，实际向342名激励对象授予限制性股票591.98万股，授予价格为4.98元/股，授予日为2018年4月25日。</w:t>
      </w:r>
    </w:p>
    <w:p>
      <w:pPr>
        <w:spacing w:before="59"/>
        <w:ind w:left="112" w:right="2127"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57" w:lineRule="auto" w:before="117"/>
        <w:ind w:left="472" w:right="1125"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1、2018年1月23日，经成都市工商行政管理局核准，公司完成发行股份购买资产的股权变更及资产过户手续，本次变更</w:t>
      </w:r>
    </w:p>
    <w:p>
      <w:pPr>
        <w:spacing w:line="224"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完成后，公司持有赛英科技100%股权，赛英科技成为公司全资子公司。公司向易增辉等12人发行的31,875,457股已在中国结</w:t>
      </w:r>
    </w:p>
    <w:p>
      <w:pPr>
        <w:spacing w:line="360" w:lineRule="auto" w:before="76"/>
        <w:ind w:left="472" w:right="0" w:hanging="360"/>
        <w:jc w:val="left"/>
        <w:rPr>
          <w:rFonts w:ascii="宋体" w:hAnsi="宋体" w:cs="宋体" w:eastAsia="宋体" w:hint="default"/>
          <w:sz w:val="18"/>
          <w:szCs w:val="18"/>
        </w:rPr>
      </w:pPr>
      <w:r>
        <w:rPr>
          <w:rFonts w:ascii="宋体" w:hAnsi="宋体" w:cs="宋体" w:eastAsia="宋体" w:hint="default"/>
          <w:sz w:val="18"/>
          <w:szCs w:val="18"/>
        </w:rPr>
        <w:t>算深圳分公司办理相关股份登记手续，该部分股份性质为有限售条件股份，已于2018年2月14日上市。 </w:t>
      </w:r>
      <w:r>
        <w:rPr>
          <w:rFonts w:ascii="宋体" w:hAnsi="宋体" w:cs="宋体" w:eastAsia="宋体" w:hint="default"/>
          <w:spacing w:val="-2"/>
          <w:sz w:val="18"/>
          <w:szCs w:val="18"/>
        </w:rPr>
        <w:t>2、公司向激励对象授予的限制性股票5,919,800股已在中国结算深圳分公司办理相关股份登记手续，该部分股份性质为</w:t>
      </w:r>
    </w:p>
    <w:p>
      <w:pPr>
        <w:spacing w:line="222" w:lineRule="exact"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有限售条件股份，已于2018年5月24日上市。</w:t>
      </w:r>
    </w:p>
    <w:p>
      <w:pPr>
        <w:spacing w:line="316" w:lineRule="auto" w:before="117"/>
        <w:ind w:left="112" w:right="1141" w:firstLine="360"/>
        <w:jc w:val="both"/>
        <w:rPr>
          <w:rFonts w:ascii="宋体" w:hAnsi="宋体" w:cs="宋体" w:eastAsia="宋体" w:hint="default"/>
          <w:sz w:val="18"/>
          <w:szCs w:val="18"/>
        </w:rPr>
      </w:pPr>
      <w:r>
        <w:rPr>
          <w:rFonts w:ascii="宋体" w:hAnsi="宋体" w:cs="宋体" w:eastAsia="宋体" w:hint="default"/>
          <w:sz w:val="18"/>
          <w:szCs w:val="18"/>
        </w:rPr>
        <w:t>3、公司向南方银谷科技有限公司发行的24,013,157股已在中国结算深圳分公司办理相关股份登记手续，该部分股份性 质为有限售条件股份，已于2018年12月4日上市。</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57" w:lineRule="auto" w:before="117"/>
        <w:ind w:left="112" w:right="6974" w:firstLine="0"/>
        <w:jc w:val="left"/>
        <w:rPr>
          <w:rFonts w:ascii="宋体" w:hAnsi="宋体" w:cs="宋体" w:eastAsia="宋体" w:hint="default"/>
          <w:sz w:val="18"/>
          <w:szCs w:val="18"/>
        </w:rPr>
      </w:pPr>
      <w:r>
        <w:rPr>
          <w:rFonts w:ascii="宋体" w:hAnsi="宋体" w:cs="宋体" w:eastAsia="宋体" w:hint="default"/>
          <w:sz w:val="18"/>
          <w:szCs w:val="18"/>
        </w:rPr>
        <w:t>□ 适用 √ 不适用 采用集中竞价方式减持回购股份的实施进展情况</w:t>
      </w:r>
    </w:p>
    <w:p>
      <w:pPr>
        <w:spacing w:line="360" w:lineRule="auto" w:before="29"/>
        <w:ind w:left="112" w:right="1394"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60" w:lineRule="auto" w:before="25"/>
        <w:ind w:left="472" w:right="1394" w:hanging="360"/>
        <w:jc w:val="left"/>
        <w:rPr>
          <w:rFonts w:ascii="宋体" w:hAnsi="宋体" w:cs="宋体" w:eastAsia="宋体" w:hint="default"/>
          <w:sz w:val="18"/>
          <w:szCs w:val="18"/>
        </w:rPr>
      </w:pPr>
      <w:r>
        <w:rPr>
          <w:rFonts w:ascii="宋体" w:hAnsi="宋体" w:cs="宋体" w:eastAsia="宋体" w:hint="default"/>
          <w:sz w:val="18"/>
          <w:szCs w:val="18"/>
        </w:rPr>
        <w:t>√ 适用 □ 不适用 公司发行股份购买资产、向激励对象授予限制性股票、非公开发行股份募集配套资金的新增股份上市，共增加股本</w:t>
      </w:r>
    </w:p>
    <w:p>
      <w:pPr>
        <w:spacing w:line="222" w:lineRule="exact"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61,808,414股，对本期基本每股收益和稀释每股收益、归属于公司普通股股东的每股净资产有所摊薄。</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限售股份变动情况" w:id="109"/>
      <w:bookmarkEnd w:id="109"/>
      <w:r>
        <w:rPr>
          <w:b w:val="0"/>
          <w:bCs w:val="0"/>
        </w:rPr>
      </w:r>
      <w:r>
        <w:rPr/>
        <w:t>2、限售股份变动情况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9"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14,343,958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14,343,958</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14,343,958</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14,343,958</w:t>
            </w:r>
            <w:r>
              <w:rPr>
                <w:rFonts w:ascii="宋体" w:hAnsi="宋体" w:cs="宋体" w:eastAsia="宋体" w:hint="default"/>
                <w:spacing w:val="-49"/>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林木顺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6,375,092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6,375,092</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6,375,092</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6,375,092</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张荷花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4,781,319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4,781,319</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4,781,319</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4,781,319</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吴常念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1,593,773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1,593,773</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1,593,773</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1,593,773</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1,593,773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1,593,773</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1,593,773</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1,593,773</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吴义华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956,263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956,263</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956,263</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956,263</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1648"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林洪钢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637,509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637,509</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637,509</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637,509</w:t>
            </w:r>
            <w:r>
              <w:rPr>
                <w:rFonts w:ascii="宋体" w:hAnsi="宋体" w:cs="宋体" w:eastAsia="宋体" w:hint="default"/>
                <w:spacing w:val="-47"/>
                <w:sz w:val="18"/>
                <w:szCs w:val="18"/>
              </w:rPr>
              <w:t> </w:t>
            </w:r>
            <w:r>
              <w:rPr>
                <w:rFonts w:ascii="宋体" w:hAnsi="宋体" w:cs="宋体" w:eastAsia="宋体" w:hint="default"/>
                <w:sz w:val="18"/>
                <w:szCs w:val="18"/>
              </w:rPr>
              <w:t>股</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唐世容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318,754</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318,754</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姚宗诚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318,754</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318,754</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陈乐桥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318,754</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318,754</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318,754</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318,754</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318,754</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首发后限售股： 发行股份购买资 产认购股份 318,754</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上市流通日期为 2021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316" w:lineRule="auto" w:before="19"/>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 318,754</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在达成相关业绩</w:t>
            </w:r>
          </w:p>
        </w:tc>
      </w:tr>
      <w:tr>
        <w:trPr>
          <w:trHeight w:val="1248" w:hRule="exact"/>
        </w:trPr>
        <w:tc>
          <w:tcPr>
            <w:tcW w:w="136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5,919,800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5,919,800</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限制性股票激励 计划新增股份 5,919,800</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考核后，在未来 三年分三期解 锁，各期解锁比 例为</w:t>
            </w:r>
            <w:r>
              <w:rPr>
                <w:rFonts w:ascii="宋体" w:hAnsi="宋体" w:cs="宋体" w:eastAsia="宋体" w:hint="default"/>
                <w:spacing w:val="-48"/>
                <w:sz w:val="18"/>
                <w:szCs w:val="18"/>
              </w:rPr>
              <w:t> </w:t>
            </w:r>
            <w:r>
              <w:rPr>
                <w:rFonts w:ascii="宋体" w:hAnsi="宋体" w:cs="宋体" w:eastAsia="宋体" w:hint="default"/>
                <w:sz w:val="18"/>
                <w:szCs w:val="18"/>
              </w:rPr>
              <w:t>40%、30%、</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sz w:val="18"/>
              </w:rPr>
              <w:t>30%</w:t>
            </w:r>
          </w:p>
        </w:tc>
      </w:tr>
      <w:tr>
        <w:trPr>
          <w:trHeight w:val="356" w:hRule="exact"/>
        </w:trPr>
        <w:tc>
          <w:tcPr>
            <w:tcW w:w="136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上市流通日期为</w:t>
            </w:r>
          </w:p>
        </w:tc>
      </w:tr>
      <w:tr>
        <w:trPr>
          <w:trHeight w:val="936" w:hRule="exact"/>
        </w:trPr>
        <w:tc>
          <w:tcPr>
            <w:tcW w:w="136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南方银谷科技有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pacing w:val="-1"/>
                <w:sz w:val="18"/>
              </w:rPr>
              <w:t>24,013,157</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9"/>
              <w:jc w:val="right"/>
              <w:rPr>
                <w:rFonts w:ascii="宋体" w:hAnsi="宋体" w:cs="宋体" w:eastAsia="宋体" w:hint="default"/>
                <w:sz w:val="18"/>
                <w:szCs w:val="18"/>
              </w:rPr>
            </w:pPr>
            <w:r>
              <w:rPr>
                <w:rFonts w:ascii="宋体"/>
                <w:spacing w:val="-1"/>
                <w:sz w:val="18"/>
              </w:rPr>
              <w:t>24,013,157</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非公开发行股份 募集配套资金认 购股份</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316" w:lineRule="auto" w:before="76"/>
              <w:ind w:left="22" w:right="73"/>
              <w:jc w:val="left"/>
              <w:rPr>
                <w:rFonts w:ascii="宋体" w:hAnsi="宋体" w:cs="宋体" w:eastAsia="宋体" w:hint="default"/>
                <w:sz w:val="18"/>
                <w:szCs w:val="18"/>
              </w:rPr>
            </w:pPr>
            <w:r>
              <w:rPr>
                <w:rFonts w:ascii="宋体" w:hAnsi="宋体" w:cs="宋体" w:eastAsia="宋体" w:hint="default"/>
                <w:sz w:val="18"/>
                <w:szCs w:val="18"/>
              </w:rPr>
              <w:t>日，解除限售股 份数量为</w:t>
            </w:r>
          </w:p>
        </w:tc>
      </w:tr>
      <w:tr>
        <w:trPr>
          <w:trHeight w:val="358" w:hRule="exact"/>
        </w:trPr>
        <w:tc>
          <w:tcPr>
            <w:tcW w:w="136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24,013,157</w:t>
            </w:r>
            <w:r>
              <w:rPr>
                <w:rFonts w:ascii="宋体" w:hAnsi="宋体" w:cs="宋体" w:eastAsia="宋体" w:hint="default"/>
                <w:spacing w:val="-49"/>
                <w:sz w:val="18"/>
                <w:szCs w:val="18"/>
              </w:rPr>
              <w:t> </w:t>
            </w:r>
            <w:r>
              <w:rPr>
                <w:rFonts w:ascii="宋体" w:hAnsi="宋体" w:cs="宋体" w:eastAsia="宋体" w:hint="default"/>
                <w:sz w:val="18"/>
                <w:szCs w:val="18"/>
              </w:rPr>
              <w:t>股</w:t>
            </w: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24,013,157</w:t>
            </w:r>
            <w:r>
              <w:rPr>
                <w:rFonts w:ascii="宋体" w:hAnsi="宋体" w:cs="宋体" w:eastAsia="宋体" w:hint="default"/>
                <w:spacing w:val="-49"/>
                <w:sz w:val="18"/>
                <w:szCs w:val="18"/>
              </w:rPr>
              <w:t> </w:t>
            </w:r>
            <w:r>
              <w:rPr>
                <w:rFonts w:ascii="宋体" w:hAnsi="宋体" w:cs="宋体" w:eastAsia="宋体" w:hint="default"/>
                <w:sz w:val="18"/>
                <w:szCs w:val="18"/>
              </w:rPr>
              <w:t>股</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每年第一个交易</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58,317,083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11,243,289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47,073,794</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日按</w:t>
            </w:r>
            <w:r>
              <w:rPr>
                <w:rFonts w:ascii="宋体" w:hAnsi="宋体" w:cs="宋体" w:eastAsia="宋体" w:hint="default"/>
                <w:spacing w:val="-45"/>
                <w:sz w:val="18"/>
                <w:szCs w:val="18"/>
              </w:rPr>
              <w:t> </w:t>
            </w:r>
            <w:r>
              <w:rPr>
                <w:rFonts w:ascii="宋体" w:hAnsi="宋体" w:cs="宋体" w:eastAsia="宋体" w:hint="default"/>
                <w:sz w:val="18"/>
                <w:szCs w:val="18"/>
              </w:rPr>
              <w:t>25%解除限</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58,317,083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11,243,289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61,808,414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108,882,208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Times New Roman" w:hAnsi="Times New Roman" w:cs="Times New Roman" w:eastAsia="Times New Roman" w:hint="default"/>
          <w:sz w:val="26"/>
          <w:szCs w:val="26"/>
        </w:rPr>
      </w:pPr>
    </w:p>
    <w:p>
      <w:pPr>
        <w:pStyle w:val="Heading4"/>
        <w:spacing w:line="240" w:lineRule="auto" w:before="26"/>
        <w:ind w:right="2127"/>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报告期内证券发行（不含优先股）情况" w:id="111"/>
      <w:bookmarkEnd w:id="111"/>
      <w:r>
        <w:rPr>
          <w:b w:val="0"/>
          <w:bCs w:val="0"/>
        </w:rPr>
      </w:r>
      <w:r>
        <w:rPr/>
        <w:t>1、报告期内证券发行（不含优先股）情况</w:t>
      </w:r>
      <w:r>
        <w:rPr>
          <w:b w:val="0"/>
          <w:bCs w:val="0"/>
        </w:rPr>
      </w:r>
    </w:p>
    <w:p>
      <w:pPr>
        <w:spacing w:line="240" w:lineRule="auto" w:before="7"/>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0" w:right="69"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1"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1" w:right="10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01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13.49</w:t>
            </w:r>
            <w:r>
              <w:rPr>
                <w:rFonts w:ascii="宋体" w:hAnsi="宋体" w:cs="宋体" w:eastAsia="宋体" w:hint="default"/>
                <w:spacing w:val="-47"/>
                <w:sz w:val="18"/>
                <w:szCs w:val="18"/>
              </w:rPr>
              <w:t> </w:t>
            </w:r>
            <w:r>
              <w:rPr>
                <w:rFonts w:ascii="宋体" w:hAnsi="宋体" w:cs="宋体" w:eastAsia="宋体" w:hint="default"/>
                <w:sz w:val="18"/>
                <w:szCs w:val="18"/>
              </w:rPr>
              <w:t>元/股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31,875,457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31,875,457</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4.98</w:t>
            </w:r>
            <w:r>
              <w:rPr>
                <w:rFonts w:ascii="宋体" w:hAnsi="宋体" w:cs="宋体" w:eastAsia="宋体" w:hint="default"/>
                <w:spacing w:val="-48"/>
                <w:sz w:val="18"/>
                <w:szCs w:val="18"/>
              </w:rPr>
              <w:t> </w:t>
            </w:r>
            <w:r>
              <w:rPr>
                <w:rFonts w:ascii="宋体" w:hAnsi="宋体" w:cs="宋体" w:eastAsia="宋体" w:hint="default"/>
                <w:sz w:val="18"/>
                <w:szCs w:val="18"/>
              </w:rPr>
              <w:t>元/股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5,919,800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5,919,800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7.60</w:t>
            </w:r>
            <w:r>
              <w:rPr>
                <w:rFonts w:ascii="宋体" w:hAnsi="宋体" w:cs="宋体" w:eastAsia="宋体" w:hint="default"/>
                <w:spacing w:val="-48"/>
                <w:sz w:val="18"/>
                <w:szCs w:val="18"/>
              </w:rPr>
              <w:t> </w:t>
            </w:r>
            <w:r>
              <w:rPr>
                <w:rFonts w:ascii="宋体" w:hAnsi="宋体" w:cs="宋体" w:eastAsia="宋体" w:hint="default"/>
                <w:sz w:val="18"/>
                <w:szCs w:val="18"/>
              </w:rPr>
              <w:t>元/股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24,013,157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24,013,157</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316" w:lineRule="auto" w:before="117"/>
        <w:ind w:left="112" w:right="1141" w:firstLine="360"/>
        <w:jc w:val="both"/>
        <w:rPr>
          <w:rFonts w:ascii="宋体" w:hAnsi="宋体" w:cs="宋体" w:eastAsia="宋体" w:hint="default"/>
          <w:sz w:val="18"/>
          <w:szCs w:val="18"/>
        </w:rPr>
      </w:pPr>
      <w:r>
        <w:rPr>
          <w:rFonts w:ascii="宋体" w:hAnsi="宋体" w:cs="宋体" w:eastAsia="宋体" w:hint="default"/>
          <w:sz w:val="18"/>
          <w:szCs w:val="18"/>
        </w:rPr>
        <w:t>（1）公司向易增辉等12人共计发行31,875,457股购买成都赛英科技有限公司100%股权，新增股份已于2018年2月1日在 中国证券登记结算有限责任公司深圳分公司办理股份登记手续，该部分股份性质为有限售条件股份，已于2018年2月14日上 市。具体内容详见公司于2018年2月13日披露的《安徽皖通科技股份有限公司发行股份购买资产并募集配套资金实施情况暨 新增股份上市报告书》。</w:t>
      </w:r>
    </w:p>
    <w:p>
      <w:pPr>
        <w:spacing w:line="316" w:lineRule="auto" w:before="19"/>
        <w:ind w:left="112" w:right="1132" w:firstLine="360"/>
        <w:jc w:val="both"/>
        <w:rPr>
          <w:rFonts w:ascii="宋体" w:hAnsi="宋体" w:cs="宋体" w:eastAsia="宋体" w:hint="default"/>
          <w:sz w:val="18"/>
          <w:szCs w:val="18"/>
        </w:rPr>
      </w:pPr>
      <w:r>
        <w:rPr>
          <w:rFonts w:ascii="宋体" w:hAnsi="宋体" w:cs="宋体" w:eastAsia="宋体" w:hint="default"/>
          <w:sz w:val="18"/>
          <w:szCs w:val="18"/>
        </w:rPr>
        <w:t>（2）公司向342名核心技术、业务管理骨干授予限制性股票5,919,800股，授予价格为4.98元/股，授予日为2018年4月 </w:t>
      </w:r>
      <w:r>
        <w:rPr>
          <w:rFonts w:ascii="宋体" w:hAnsi="宋体" w:cs="宋体" w:eastAsia="宋体" w:hint="default"/>
          <w:spacing w:val="-2"/>
          <w:sz w:val="18"/>
          <w:szCs w:val="18"/>
        </w:rPr>
        <w:t>25日。该部分股份性质为有限售条件股份，已于2018年5月24日上市。具体内容详见公司于2018年5月23日披露的《安徽皖通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科技股份有限公司关于限制性股票授予登记完成的公告》（公告编号：2018-036）。</w:t>
      </w:r>
    </w:p>
    <w:p>
      <w:pPr>
        <w:spacing w:line="316" w:lineRule="auto" w:before="19"/>
        <w:ind w:left="112" w:right="1141" w:firstLine="360"/>
        <w:jc w:val="both"/>
        <w:rPr>
          <w:rFonts w:ascii="宋体" w:hAnsi="宋体" w:cs="宋体" w:eastAsia="宋体" w:hint="default"/>
          <w:sz w:val="18"/>
          <w:szCs w:val="18"/>
        </w:rPr>
      </w:pPr>
      <w:r>
        <w:rPr>
          <w:rFonts w:ascii="宋体" w:hAnsi="宋体" w:cs="宋体" w:eastAsia="宋体" w:hint="default"/>
          <w:sz w:val="18"/>
          <w:szCs w:val="18"/>
        </w:rPr>
        <w:t>（3）公司向南方银谷科技有限公司发行24,013,157股募集配套资金，新增股份已于2018年11月22日在中国证券登记结 算有限责任公司深圳分公司办理股份登记手续，该部分股份性质为有限售条件股份，已于2018年12月4日上市。具体内容详 见公司于2018年12月3日披露的《安徽皖通科技股份有限公司发行股份购买资产并募集配套资金之非公开发行股票募集配套 资金新增股份上市公告书》。</w:t>
      </w:r>
    </w:p>
    <w:p>
      <w:pPr>
        <w:spacing w:line="240" w:lineRule="auto" w:before="8"/>
        <w:rPr>
          <w:rFonts w:ascii="宋体" w:hAnsi="宋体" w:cs="宋体" w:eastAsia="宋体" w:hint="default"/>
          <w:sz w:val="22"/>
          <w:szCs w:val="22"/>
        </w:rPr>
      </w:pPr>
    </w:p>
    <w:p>
      <w:pPr>
        <w:pStyle w:val="Heading6"/>
        <w:spacing w:line="240" w:lineRule="auto"/>
        <w:ind w:right="2127"/>
        <w:jc w:val="left"/>
        <w:rPr>
          <w:b w:val="0"/>
          <w:bCs w:val="0"/>
        </w:rPr>
      </w:pPr>
      <w:bookmarkStart w:name="2、公司股份总数及股东结构的变动、公司资产和负债结构的变动情况说明" w:id="112"/>
      <w:bookmarkEnd w:id="112"/>
      <w:r>
        <w:rPr>
          <w:b w:val="0"/>
          <w:bCs w:val="0"/>
        </w:rPr>
      </w:r>
      <w:r>
        <w:rPr/>
        <w:t>2、公司股份总数及股东结构的变动、公司资产和负债结构的变动情况说明</w:t>
      </w:r>
      <w:r>
        <w:rPr>
          <w:b w:val="0"/>
          <w:bCs w:val="0"/>
        </w:rPr>
      </w:r>
    </w:p>
    <w:p>
      <w:pPr>
        <w:spacing w:line="240" w:lineRule="auto" w:before="9"/>
        <w:rPr>
          <w:rFonts w:ascii="宋体" w:hAnsi="宋体" w:cs="宋体" w:eastAsia="宋体" w:hint="default"/>
          <w:b/>
          <w:bCs/>
          <w:sz w:val="27"/>
          <w:szCs w:val="27"/>
        </w:rPr>
      </w:pPr>
    </w:p>
    <w:p>
      <w:pPr>
        <w:spacing w:line="357" w:lineRule="auto" w:before="0"/>
        <w:ind w:left="472" w:right="1125"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2018年2月14日，公司发行股份购买赛英科技100%股权的新增股份上市，增加股本31,875,457股；2018年5月24日，公司</w:t>
      </w:r>
    </w:p>
    <w:p>
      <w:pPr>
        <w:spacing w:line="224"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向激励对象授予的限制性股票上市，增加股本5,919,800股；2018年12月4日，公司非公开发行股份募集配套资金的新增股份</w:t>
      </w:r>
    </w:p>
    <w:p>
      <w:pPr>
        <w:spacing w:line="316" w:lineRule="auto" w:before="76"/>
        <w:ind w:left="112" w:right="1124" w:firstLine="0"/>
        <w:jc w:val="left"/>
        <w:rPr>
          <w:rFonts w:ascii="宋体" w:hAnsi="宋体" w:cs="宋体" w:eastAsia="宋体" w:hint="default"/>
          <w:sz w:val="18"/>
          <w:szCs w:val="18"/>
        </w:rPr>
      </w:pPr>
      <w:r>
        <w:rPr>
          <w:rFonts w:ascii="宋体" w:hAnsi="宋体" w:cs="宋体" w:eastAsia="宋体" w:hint="default"/>
          <w:sz w:val="18"/>
          <w:szCs w:val="18"/>
        </w:rPr>
        <w:t>上市，增加股本24,013,157股。截本报告期末，公司股本为412,135,469股。上述股份发行后，公司总资产和净资产相应增 加，资产负债率有所下降。</w:t>
      </w:r>
    </w:p>
    <w:p>
      <w:pPr>
        <w:spacing w:line="240" w:lineRule="auto" w:before="8"/>
        <w:rPr>
          <w:rFonts w:ascii="宋体" w:hAnsi="宋体" w:cs="宋体" w:eastAsia="宋体" w:hint="default"/>
          <w:sz w:val="22"/>
          <w:szCs w:val="22"/>
        </w:rPr>
      </w:pPr>
    </w:p>
    <w:p>
      <w:pPr>
        <w:pStyle w:val="Heading6"/>
        <w:spacing w:line="240" w:lineRule="auto"/>
        <w:ind w:right="2127"/>
        <w:jc w:val="left"/>
        <w:rPr>
          <w:b w:val="0"/>
          <w:bCs w:val="0"/>
        </w:rPr>
      </w:pPr>
      <w:bookmarkStart w:name="3、现存的内部职工股情况" w:id="113"/>
      <w:bookmarkEnd w:id="113"/>
      <w:r>
        <w:rPr>
          <w:b w:val="0"/>
          <w:bCs w:val="0"/>
        </w:rPr>
      </w:r>
      <w:r>
        <w:rPr/>
        <w:t>3、现存的内部职工股情况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2127"/>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公司股东数量及持股情况" w:id="115"/>
      <w:bookmarkEnd w:id="115"/>
      <w:r>
        <w:rPr>
          <w:b w:val="0"/>
          <w:bCs w:val="0"/>
        </w:rPr>
      </w:r>
      <w:r>
        <w:rPr/>
        <w:t>1、公司股东数量及持股情况</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141" w:firstLine="0"/>
        <w:jc w:val="right"/>
        <w:rPr>
          <w:rFonts w:ascii="宋体" w:hAnsi="宋体" w:cs="宋体" w:eastAsia="宋体" w:hint="default"/>
          <w:sz w:val="18"/>
          <w:szCs w:val="18"/>
        </w:rPr>
      </w:pPr>
      <w:r>
        <w:rPr/>
        <w:pict>
          <v:shape style="position:absolute;margin-left:183.358994pt;margin-top:-69.538284pt;width:351.65pt;height:66.5pt;mso-position-horizontal-relative:page;mso-position-vertical-relative:paragraph;z-index:-1108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02.7883pt;width:479.15pt;height:617.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5"/>
                    <w:gridCol w:w="92"/>
                    <w:gridCol w:w="1104"/>
                    <w:gridCol w:w="261"/>
                    <w:gridCol w:w="903"/>
                    <w:gridCol w:w="1062"/>
                    <w:gridCol w:w="990"/>
                    <w:gridCol w:w="372"/>
                    <w:gridCol w:w="753"/>
                    <w:gridCol w:w="444"/>
                    <w:gridCol w:w="546"/>
                    <w:gridCol w:w="650"/>
                    <w:gridCol w:w="175"/>
                    <w:gridCol w:w="1021"/>
                  </w:tblGrid>
                  <w:tr>
                    <w:trPr>
                      <w:trHeight w:val="19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23" w:right="0"/>
                          <w:jc w:val="left"/>
                          <w:rPr>
                            <w:rFonts w:ascii="宋体" w:hAnsi="宋体" w:cs="宋体" w:eastAsia="宋体" w:hint="default"/>
                            <w:sz w:val="18"/>
                            <w:szCs w:val="18"/>
                          </w:rPr>
                        </w:pPr>
                        <w:r>
                          <w:rPr>
                            <w:rFonts w:ascii="宋体"/>
                            <w:sz w:val="18"/>
                          </w:rPr>
                          <w:t>36,149</w:t>
                        </w:r>
                      </w:p>
                    </w:tc>
                    <w:tc>
                      <w:tcPr>
                        <w:tcW w:w="11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5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32,805</w:t>
                        </w:r>
                      </w:p>
                    </w:tc>
                    <w:tc>
                      <w:tcPr>
                        <w:tcW w:w="13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6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宋体" w:hAnsi="宋体" w:cs="宋体" w:eastAsia="宋体" w:hint="default"/>
                            <w:sz w:val="18"/>
                            <w:szCs w:val="18"/>
                          </w:rPr>
                          <w:t>8）</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2"/>
                          <w:jc w:val="right"/>
                          <w:rPr>
                            <w:rFonts w:ascii="宋体" w:hAnsi="宋体" w:cs="宋体" w:eastAsia="宋体" w:hint="default"/>
                            <w:sz w:val="18"/>
                            <w:szCs w:val="18"/>
                          </w:rPr>
                        </w:pPr>
                        <w:r>
                          <w:rPr>
                            <w:rFonts w:ascii="宋体"/>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宋体" w:hAnsi="宋体" w:cs="宋体" w:eastAsia="宋体" w:hint="default"/>
                            <w:sz w:val="18"/>
                            <w:szCs w:val="18"/>
                          </w:rPr>
                          <w:t>8）</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宋体" w:hAnsi="宋体" w:cs="宋体" w:eastAsia="宋体" w:hint="default"/>
                            <w:sz w:val="18"/>
                            <w:szCs w:val="18"/>
                          </w:rPr>
                        </w:pPr>
                        <w:r>
                          <w:rPr>
                            <w:rFonts w:ascii="宋体"/>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宋体" w:hAnsi="宋体" w:cs="宋体" w:eastAsia="宋体" w:hint="default"/>
                            <w:sz w:val="18"/>
                            <w:szCs w:val="18"/>
                          </w:rPr>
                          <w:t>5%以上的股东或前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2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8" w:right="9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6" w:right="107"/>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9"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87" w:type="dxa"/>
                        <w:gridSpan w:val="2"/>
                        <w:vMerge/>
                        <w:tcBorders>
                          <w:left w:val="single" w:sz="4" w:space="0" w:color="000000"/>
                          <w:bottom w:val="single" w:sz="4" w:space="0" w:color="000000"/>
                          <w:right w:val="single" w:sz="4" w:space="0" w:color="000000"/>
                        </w:tcBorders>
                        <w:shd w:val="clear" w:color="auto" w:fill="D2D2D2"/>
                      </w:tcPr>
                      <w:p>
                        <w:pPr/>
                      </w:p>
                    </w:tc>
                    <w:tc>
                      <w:tcPr>
                        <w:tcW w:w="1365" w:type="dxa"/>
                        <w:gridSpan w:val="2"/>
                        <w:vMerge/>
                        <w:tcBorders>
                          <w:left w:val="single" w:sz="4" w:space="0" w:color="000000"/>
                          <w:bottom w:val="single" w:sz="4" w:space="0" w:color="000000"/>
                          <w:right w:val="single" w:sz="4" w:space="0" w:color="000000"/>
                        </w:tcBorders>
                        <w:shd w:val="clear" w:color="auto" w:fill="D2D2D2"/>
                      </w:tcPr>
                      <w:p>
                        <w:pPr/>
                      </w:p>
                    </w:tc>
                    <w:tc>
                      <w:tcPr>
                        <w:tcW w:w="903"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990" w:type="dxa"/>
                        <w:vMerge/>
                        <w:tcBorders>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4" w:space="0" w:color="000000"/>
                          <w:bottom w:val="single" w:sz="4" w:space="0" w:color="000000"/>
                          <w:right w:val="single" w:sz="4" w:space="0" w:color="000000"/>
                        </w:tcBorders>
                        <w:shd w:val="clear" w:color="auto" w:fill="D2D2D2"/>
                      </w:tcPr>
                      <w:p>
                        <w:pPr/>
                      </w:p>
                    </w:tc>
                    <w:tc>
                      <w:tcPr>
                        <w:tcW w:w="990" w:type="dxa"/>
                        <w:gridSpan w:val="2"/>
                        <w:vMerge/>
                        <w:tcBorders>
                          <w:left w:val="single" w:sz="4" w:space="0" w:color="000000"/>
                          <w:bottom w:val="single" w:sz="4" w:space="0" w:color="000000"/>
                          <w:right w:val="single" w:sz="4" w:space="0" w:color="000000"/>
                        </w:tcBorders>
                        <w:shd w:val="clear" w:color="auto" w:fill="D2D2D2"/>
                      </w:tcPr>
                      <w:p>
                        <w:pPr/>
                      </w:p>
                    </w:tc>
                    <w:tc>
                      <w:tcPr>
                        <w:tcW w:w="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2"/>
                          <w:jc w:val="left"/>
                          <w:rPr>
                            <w:rFonts w:ascii="宋体" w:hAnsi="宋体" w:cs="宋体" w:eastAsia="宋体" w:hint="default"/>
                            <w:sz w:val="18"/>
                            <w:szCs w:val="18"/>
                          </w:rPr>
                        </w:pPr>
                        <w:r>
                          <w:rPr>
                            <w:rFonts w:ascii="宋体" w:hAnsi="宋体" w:cs="宋体" w:eastAsia="宋体" w:hint="default"/>
                            <w:sz w:val="18"/>
                            <w:szCs w:val="18"/>
                          </w:rPr>
                          <w:t>南方银谷科技 有限公司</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6.55%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27,013,157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27,013,157</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sz w:val="18"/>
                          </w:rPr>
                          <w:t>24,013,157</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sz w:val="18"/>
                          </w:rPr>
                          <w:t>3,000,000</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right"/>
                          <w:rPr>
                            <w:rFonts w:ascii="宋体" w:hAnsi="宋体" w:cs="宋体" w:eastAsia="宋体" w:hint="default"/>
                            <w:sz w:val="18"/>
                            <w:szCs w:val="18"/>
                          </w:rPr>
                        </w:pPr>
                        <w:r>
                          <w:rPr>
                            <w:rFonts w:ascii="宋体"/>
                            <w:spacing w:val="-1"/>
                            <w:sz w:val="18"/>
                          </w:rPr>
                          <w:t>5.16%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21,246,408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0</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2" w:right="0"/>
                          <w:jc w:val="left"/>
                          <w:rPr>
                            <w:rFonts w:ascii="宋体" w:hAnsi="宋体" w:cs="宋体" w:eastAsia="宋体" w:hint="default"/>
                            <w:sz w:val="18"/>
                            <w:szCs w:val="18"/>
                          </w:rPr>
                        </w:pPr>
                        <w:r>
                          <w:rPr>
                            <w:rFonts w:ascii="宋体"/>
                            <w:sz w:val="18"/>
                          </w:rPr>
                          <w:t>15,934,806</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宋体" w:hAnsi="宋体" w:cs="宋体" w:eastAsia="宋体" w:hint="default"/>
                            <w:sz w:val="18"/>
                            <w:szCs w:val="18"/>
                          </w:rPr>
                        </w:pPr>
                        <w:r>
                          <w:rPr>
                            <w:rFonts w:ascii="宋体"/>
                            <w:sz w:val="18"/>
                          </w:rPr>
                          <w:t>5,311,602</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2"/>
                          <w:jc w:val="left"/>
                          <w:rPr>
                            <w:rFonts w:ascii="宋体" w:hAnsi="宋体" w:cs="宋体" w:eastAsia="宋体" w:hint="default"/>
                            <w:sz w:val="18"/>
                            <w:szCs w:val="18"/>
                          </w:rPr>
                        </w:pPr>
                        <w:r>
                          <w:rPr>
                            <w:rFonts w:ascii="宋体" w:hAnsi="宋体" w:cs="宋体" w:eastAsia="宋体" w:hint="default"/>
                            <w:sz w:val="18"/>
                            <w:szCs w:val="18"/>
                          </w:rPr>
                          <w:t>西藏景源投资 管理有限公司</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4.85%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19,996,669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19,996,669</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sz w:val="18"/>
                          </w:rPr>
                          <w:t>19,996,669</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right"/>
                          <w:rPr>
                            <w:rFonts w:ascii="宋体" w:hAnsi="宋体" w:cs="宋体" w:eastAsia="宋体" w:hint="default"/>
                            <w:sz w:val="18"/>
                            <w:szCs w:val="18"/>
                          </w:rPr>
                        </w:pPr>
                        <w:r>
                          <w:rPr>
                            <w:rFonts w:ascii="宋体"/>
                            <w:spacing w:val="-1"/>
                            <w:sz w:val="18"/>
                          </w:rPr>
                          <w:t>4.12%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16,982,957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-3,000,000</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2" w:right="0"/>
                          <w:jc w:val="left"/>
                          <w:rPr>
                            <w:rFonts w:ascii="宋体" w:hAnsi="宋体" w:cs="宋体" w:eastAsia="宋体" w:hint="default"/>
                            <w:sz w:val="18"/>
                            <w:szCs w:val="18"/>
                          </w:rPr>
                        </w:pPr>
                        <w:r>
                          <w:rPr>
                            <w:rFonts w:ascii="宋体"/>
                            <w:sz w:val="18"/>
                          </w:rPr>
                          <w:t>14,987,218</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宋体" w:hAnsi="宋体" w:cs="宋体" w:eastAsia="宋体" w:hint="default"/>
                            <w:sz w:val="18"/>
                            <w:szCs w:val="18"/>
                          </w:rPr>
                        </w:pPr>
                        <w:r>
                          <w:rPr>
                            <w:rFonts w:ascii="宋体"/>
                            <w:sz w:val="18"/>
                          </w:rPr>
                          <w:t>1,995,739</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2"/>
                          <w:jc w:val="both"/>
                          <w:rPr>
                            <w:rFonts w:ascii="宋体" w:hAnsi="宋体" w:cs="宋体" w:eastAsia="宋体" w:hint="default"/>
                            <w:sz w:val="18"/>
                            <w:szCs w:val="18"/>
                          </w:rPr>
                        </w:pPr>
                        <w:r>
                          <w:rPr>
                            <w:rFonts w:ascii="宋体" w:hAnsi="宋体" w:cs="宋体" w:eastAsia="宋体" w:hint="default"/>
                            <w:sz w:val="18"/>
                            <w:szCs w:val="18"/>
                          </w:rPr>
                          <w:t>福建广聚信息 技术服务有限 公司</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spacing w:val="-1"/>
                            <w:sz w:val="18"/>
                          </w:rPr>
                          <w:t>3.59%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14,784,778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14,784,778</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z w:val="18"/>
                          </w:rPr>
                          <w:t>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6" w:right="0"/>
                          <w:jc w:val="left"/>
                          <w:rPr>
                            <w:rFonts w:ascii="宋体" w:hAnsi="宋体" w:cs="宋体" w:eastAsia="宋体" w:hint="default"/>
                            <w:sz w:val="18"/>
                            <w:szCs w:val="18"/>
                          </w:rPr>
                        </w:pPr>
                        <w:r>
                          <w:rPr>
                            <w:rFonts w:ascii="宋体"/>
                            <w:sz w:val="18"/>
                          </w:rPr>
                          <w:t>14,784,778</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right"/>
                          <w:rPr>
                            <w:rFonts w:ascii="宋体" w:hAnsi="宋体" w:cs="宋体" w:eastAsia="宋体" w:hint="default"/>
                            <w:sz w:val="18"/>
                            <w:szCs w:val="18"/>
                          </w:rPr>
                        </w:pPr>
                        <w:r>
                          <w:rPr>
                            <w:rFonts w:ascii="宋体"/>
                            <w:spacing w:val="-1"/>
                            <w:sz w:val="18"/>
                          </w:rPr>
                          <w:t>3.48%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14,343,958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14,343,958</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2" w:right="0"/>
                          <w:jc w:val="left"/>
                          <w:rPr>
                            <w:rFonts w:ascii="宋体" w:hAnsi="宋体" w:cs="宋体" w:eastAsia="宋体" w:hint="default"/>
                            <w:sz w:val="18"/>
                            <w:szCs w:val="18"/>
                          </w:rPr>
                        </w:pPr>
                        <w:r>
                          <w:rPr>
                            <w:rFonts w:ascii="宋体"/>
                            <w:sz w:val="18"/>
                          </w:rPr>
                          <w:t>14,343,958</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right"/>
                          <w:rPr>
                            <w:rFonts w:ascii="宋体" w:hAnsi="宋体" w:cs="宋体" w:eastAsia="宋体" w:hint="default"/>
                            <w:sz w:val="18"/>
                            <w:szCs w:val="18"/>
                          </w:rPr>
                        </w:pPr>
                        <w:r>
                          <w:rPr>
                            <w:rFonts w:ascii="宋体"/>
                            <w:spacing w:val="-1"/>
                            <w:sz w:val="18"/>
                          </w:rPr>
                          <w:t>3.28%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13,516,287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宋体"/>
                            <w:sz w:val="18"/>
                          </w:rPr>
                          <w:t>10,137,215</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7" w:right="0"/>
                          <w:jc w:val="left"/>
                          <w:rPr>
                            <w:rFonts w:ascii="宋体" w:hAnsi="宋体" w:cs="宋体" w:eastAsia="宋体" w:hint="default"/>
                            <w:sz w:val="18"/>
                            <w:szCs w:val="18"/>
                          </w:rPr>
                        </w:pPr>
                        <w:r>
                          <w:rPr>
                            <w:rFonts w:ascii="宋体"/>
                            <w:sz w:val="18"/>
                          </w:rPr>
                          <w:t>3,379,072</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梁山</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right"/>
                          <w:rPr>
                            <w:rFonts w:ascii="宋体" w:hAnsi="宋体" w:cs="宋体" w:eastAsia="宋体" w:hint="default"/>
                            <w:sz w:val="18"/>
                            <w:szCs w:val="18"/>
                          </w:rPr>
                        </w:pPr>
                        <w:r>
                          <w:rPr>
                            <w:rFonts w:ascii="宋体"/>
                            <w:spacing w:val="-1"/>
                            <w:sz w:val="18"/>
                          </w:rPr>
                          <w:t>2.91%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12,001,052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0</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0"/>
                          <w:jc w:val="left"/>
                          <w:rPr>
                            <w:rFonts w:ascii="宋体" w:hAnsi="宋体" w:cs="宋体" w:eastAsia="宋体" w:hint="default"/>
                            <w:sz w:val="18"/>
                            <w:szCs w:val="18"/>
                          </w:rPr>
                        </w:pPr>
                        <w:r>
                          <w:rPr>
                            <w:rFonts w:ascii="宋体"/>
                            <w:sz w:val="18"/>
                          </w:rPr>
                          <w:t>12,001,052</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刘含</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right"/>
                          <w:rPr>
                            <w:rFonts w:ascii="宋体" w:hAnsi="宋体" w:cs="宋体" w:eastAsia="宋体" w:hint="default"/>
                            <w:sz w:val="18"/>
                            <w:szCs w:val="18"/>
                          </w:rPr>
                        </w:pPr>
                        <w:r>
                          <w:rPr>
                            <w:rFonts w:ascii="宋体"/>
                            <w:spacing w:val="-1"/>
                            <w:sz w:val="18"/>
                          </w:rPr>
                          <w:t>2.27%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9,355,502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9,355,502</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7" w:right="0"/>
                          <w:jc w:val="left"/>
                          <w:rPr>
                            <w:rFonts w:ascii="宋体" w:hAnsi="宋体" w:cs="宋体" w:eastAsia="宋体" w:hint="default"/>
                            <w:sz w:val="18"/>
                            <w:szCs w:val="18"/>
                          </w:rPr>
                        </w:pPr>
                        <w:r>
                          <w:rPr>
                            <w:rFonts w:ascii="宋体"/>
                            <w:sz w:val="18"/>
                          </w:rPr>
                          <w:t>9,355,502</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right"/>
                          <w:rPr>
                            <w:rFonts w:ascii="宋体" w:hAnsi="宋体" w:cs="宋体" w:eastAsia="宋体" w:hint="default"/>
                            <w:sz w:val="18"/>
                            <w:szCs w:val="18"/>
                          </w:rPr>
                        </w:pPr>
                        <w:r>
                          <w:rPr>
                            <w:rFonts w:ascii="宋体"/>
                            <w:spacing w:val="-1"/>
                            <w:sz w:val="18"/>
                          </w:rPr>
                          <w:t>1.94%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7,986,207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86,800</w:t>
                        </w:r>
                      </w:p>
                    </w:tc>
                    <w:tc>
                      <w:tcPr>
                        <w:tcW w:w="1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1" w:right="0"/>
                          <w:jc w:val="left"/>
                          <w:rPr>
                            <w:rFonts w:ascii="宋体" w:hAnsi="宋体" w:cs="宋体" w:eastAsia="宋体" w:hint="default"/>
                            <w:sz w:val="18"/>
                            <w:szCs w:val="18"/>
                          </w:rPr>
                        </w:pPr>
                        <w:r>
                          <w:rPr>
                            <w:rFonts w:ascii="宋体"/>
                            <w:sz w:val="18"/>
                          </w:rPr>
                          <w:t>6,011,355</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宋体" w:hAnsi="宋体" w:cs="宋体" w:eastAsia="宋体" w:hint="default"/>
                            <w:sz w:val="18"/>
                            <w:szCs w:val="18"/>
                          </w:rPr>
                        </w:pPr>
                        <w:r>
                          <w:rPr>
                            <w:rFonts w:ascii="宋体"/>
                            <w:sz w:val="18"/>
                          </w:rPr>
                          <w:t>1,974,852</w:t>
                        </w:r>
                      </w:p>
                    </w:tc>
                    <w:tc>
                      <w:tcPr>
                        <w:tcW w:w="825" w:type="dxa"/>
                        <w:gridSpan w:val="2"/>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6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9"/>
                            <w:sz w:val="18"/>
                            <w:szCs w:val="18"/>
                          </w:rPr>
                          <w:t> </w:t>
                        </w:r>
                        <w:r>
                          <w:rPr>
                            <w:rFonts w:ascii="宋体" w:hAnsi="宋体" w:cs="宋体" w:eastAsia="宋体" w:hint="default"/>
                            <w:spacing w:val="-1"/>
                            <w:sz w:val="18"/>
                            <w:szCs w:val="18"/>
                          </w:rPr>
                          <w:t>10</w:t>
                        </w:r>
                        <w:r>
                          <w:rPr>
                            <w:rFonts w:ascii="宋体" w:hAnsi="宋体" w:cs="宋体" w:eastAsia="宋体" w:hint="default"/>
                            <w:spacing w:val="-48"/>
                            <w:sz w:val="18"/>
                            <w:szCs w:val="18"/>
                          </w:rPr>
                          <w:t> </w:t>
                        </w:r>
                        <w:r>
                          <w:rPr>
                            <w:rFonts w:ascii="宋体" w:hAnsi="宋体" w:cs="宋体" w:eastAsia="宋体" w:hint="default"/>
                            <w:spacing w:val="-11"/>
                            <w:sz w:val="18"/>
                            <w:szCs w:val="18"/>
                          </w:rPr>
                          <w:t>名股东的情况（如有</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宋体" w:hAnsi="宋体" w:cs="宋体" w:eastAsia="宋体" w:hint="default"/>
                            <w:sz w:val="18"/>
                            <w:szCs w:val="18"/>
                          </w:rPr>
                          <w:t>3）</w:t>
                        </w:r>
                      </w:p>
                    </w:tc>
                    <w:tc>
                      <w:tcPr>
                        <w:tcW w:w="6916" w:type="dxa"/>
                        <w:gridSpan w:val="10"/>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南方银谷科技有限公司认购公司发行股份购买资产募集配套资产之募集配套资金非公开 发行股份</w:t>
                        </w:r>
                        <w:r>
                          <w:rPr>
                            <w:rFonts w:ascii="宋体" w:hAnsi="宋体" w:cs="宋体" w:eastAsia="宋体" w:hint="default"/>
                            <w:spacing w:val="-50"/>
                            <w:sz w:val="18"/>
                            <w:szCs w:val="18"/>
                          </w:rPr>
                          <w:t> </w:t>
                        </w:r>
                        <w:r>
                          <w:rPr>
                            <w:rFonts w:ascii="宋体" w:hAnsi="宋体" w:cs="宋体" w:eastAsia="宋体" w:hint="default"/>
                            <w:sz w:val="18"/>
                            <w:szCs w:val="18"/>
                          </w:rPr>
                          <w:t>24,013,157</w:t>
                        </w:r>
                        <w:r>
                          <w:rPr>
                            <w:rFonts w:ascii="宋体" w:hAnsi="宋体" w:cs="宋体" w:eastAsia="宋体" w:hint="default"/>
                            <w:spacing w:val="-51"/>
                            <w:sz w:val="18"/>
                            <w:szCs w:val="18"/>
                          </w:rPr>
                          <w:t> </w:t>
                        </w:r>
                        <w:r>
                          <w:rPr>
                            <w:rFonts w:ascii="宋体" w:hAnsi="宋体" w:cs="宋体" w:eastAsia="宋体" w:hint="default"/>
                            <w:sz w:val="18"/>
                            <w:szCs w:val="18"/>
                          </w:rPr>
                          <w:t>股，该部分股份性质为有限售条件股份，上市日为</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4</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日，锁定期为自本次非公开发行的股票上市之日起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个月，上市流通日为</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352" w:hRule="exact"/>
                    </w:trPr>
                    <w:tc>
                      <w:tcPr>
                        <w:tcW w:w="26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16" w:type="dxa"/>
                        <w:gridSpan w:val="10"/>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1、王中胜、杨世宁、杨新子为一致行动人，截至</w:t>
                        </w:r>
                        <w:r>
                          <w:rPr>
                            <w:rFonts w:ascii="宋体" w:hAnsi="宋体" w:cs="宋体" w:eastAsia="宋体" w:hint="default"/>
                            <w:spacing w:val="-42"/>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日为公司实际控制人</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2、2018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日，王中胜、杨世宁、杨新子等三人与南方银谷科技有限公司签署</w:t>
                        </w:r>
                        <w:r>
                          <w:rPr>
                            <w:rFonts w:ascii="宋体" w:hAnsi="宋体" w:cs="宋体" w:eastAsia="宋体" w:hint="default"/>
                            <w:sz w:val="18"/>
                            <w:szCs w:val="18"/>
                          </w:rPr>
                          <w:t> </w:t>
                        </w:r>
                        <w:r>
                          <w:rPr>
                            <w:rFonts w:ascii="宋体" w:hAnsi="宋体" w:cs="宋体" w:eastAsia="宋体" w:hint="default"/>
                            <w:spacing w:val="-5"/>
                            <w:sz w:val="18"/>
                            <w:szCs w:val="18"/>
                          </w:rPr>
                          <w:t>了《表决权委托协议》，南方银谷和王中胜、杨世宁、杨新子因本次表决权委托事项在表</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决权委托期间构成一致行动关系；</w:t>
                        </w:r>
                      </w:p>
                      <w:p>
                        <w:pPr>
                          <w:pStyle w:val="TableParagraph"/>
                          <w:spacing w:line="316" w:lineRule="auto" w:before="59"/>
                          <w:ind w:left="22" w:right="87"/>
                          <w:jc w:val="left"/>
                          <w:rPr>
                            <w:rFonts w:ascii="宋体" w:hAnsi="宋体" w:cs="宋体" w:eastAsia="宋体" w:hint="default"/>
                            <w:sz w:val="18"/>
                            <w:szCs w:val="18"/>
                          </w:rPr>
                        </w:pPr>
                        <w:r>
                          <w:rPr>
                            <w:rFonts w:ascii="宋体" w:hAnsi="宋体" w:cs="宋体" w:eastAsia="宋体" w:hint="default"/>
                            <w:sz w:val="18"/>
                            <w:szCs w:val="18"/>
                          </w:rPr>
                          <w:t>3、2019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28</w:t>
                        </w:r>
                        <w:r>
                          <w:rPr>
                            <w:rFonts w:ascii="宋体" w:hAnsi="宋体" w:cs="宋体" w:eastAsia="宋体" w:hint="default"/>
                            <w:spacing w:val="-41"/>
                            <w:sz w:val="18"/>
                            <w:szCs w:val="18"/>
                          </w:rPr>
                          <w:t> </w:t>
                        </w:r>
                        <w:r>
                          <w:rPr>
                            <w:rFonts w:ascii="宋体" w:hAnsi="宋体" w:cs="宋体" w:eastAsia="宋体" w:hint="default"/>
                            <w:spacing w:val="-4"/>
                            <w:sz w:val="18"/>
                            <w:szCs w:val="18"/>
                          </w:rPr>
                          <w:t>日，梁山、刘含、王亚东签署了《一致行动协议》，三人为一致行动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w:t>
                        </w:r>
                      </w:p>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4、除此之外，未知以上其余股东之间是否存在关联关系或一致行动。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44"/>
        <w:ind w:left="0" w:right="1141" w:firstLine="0"/>
        <w:jc w:val="right"/>
        <w:rPr>
          <w:rFonts w:ascii="宋体" w:hAnsi="宋体" w:cs="宋体" w:eastAsia="宋体" w:hint="default"/>
          <w:sz w:val="18"/>
          <w:szCs w:val="18"/>
        </w:rPr>
      </w:pPr>
      <w:r>
        <w:rPr/>
        <w:pict>
          <v:shape style="position:absolute;margin-left:56.459999pt;margin-top:-418.138306pt;width:479.15pt;height:536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2"/>
                    <w:gridCol w:w="5070"/>
                    <w:gridCol w:w="825"/>
                    <w:gridCol w:w="1021"/>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2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7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652" w:type="dxa"/>
                        <w:vMerge/>
                        <w:tcBorders>
                          <w:left w:val="single" w:sz="4" w:space="0" w:color="000000"/>
                          <w:bottom w:val="single" w:sz="4" w:space="0" w:color="000000"/>
                          <w:right w:val="single" w:sz="4" w:space="0" w:color="000000"/>
                        </w:tcBorders>
                        <w:shd w:val="clear" w:color="auto" w:fill="D2D2D2"/>
                      </w:tcPr>
                      <w:p>
                        <w:pPr/>
                      </w:p>
                    </w:tc>
                    <w:tc>
                      <w:tcPr>
                        <w:tcW w:w="5070" w:type="dxa"/>
                        <w:vMerge/>
                        <w:tcBorders>
                          <w:left w:val="single" w:sz="4" w:space="0" w:color="000000"/>
                          <w:bottom w:val="single" w:sz="4" w:space="0" w:color="000000"/>
                          <w:right w:val="single" w:sz="4" w:space="0" w:color="000000"/>
                        </w:tcBorders>
                        <w:shd w:val="clear" w:color="auto" w:fill="D2D2D2"/>
                      </w:tcPr>
                      <w:p>
                        <w:pPr/>
                      </w:p>
                    </w:tc>
                    <w:tc>
                      <w:tcPr>
                        <w:tcW w:w="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西藏景源投资管理有限公司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19,996,669</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19,996,669</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福建广聚信息技术服务有限公司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14,784,778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14,784,778</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梁山</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12,001,052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12,001,052</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刘含</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9,355,502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9,355,502</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5,311,602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5,311,602</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王亚东</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4,884,667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4,884,667</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安徽皖通科技股份有限公司－第 一期员工持股计划</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4,616,241</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4,616,241</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朱艳秋</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4,300,000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4,300,000</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3,379,072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3,379,072</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李明海</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3,000,000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9"/>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w:t>
                        </w:r>
                      </w:p>
                    </w:tc>
                  </w:tr>
                  <w:tr>
                    <w:trPr>
                      <w:trHeight w:val="1650"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名无限售流通股股东和</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名股东之间关联关系或一致</w:t>
                        </w:r>
                        <w:r>
                          <w:rPr>
                            <w:rFonts w:ascii="宋体" w:hAnsi="宋体" w:cs="宋体" w:eastAsia="宋体" w:hint="default"/>
                            <w:sz w:val="18"/>
                            <w:szCs w:val="18"/>
                          </w:rPr>
                          <w:t> 行动的说明</w:t>
                        </w:r>
                      </w:p>
                    </w:tc>
                    <w:tc>
                      <w:tcPr>
                        <w:tcW w:w="691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
                          <w:jc w:val="left"/>
                          <w:rPr>
                            <w:rFonts w:ascii="宋体" w:hAnsi="宋体" w:cs="宋体" w:eastAsia="宋体" w:hint="default"/>
                            <w:sz w:val="18"/>
                            <w:szCs w:val="18"/>
                          </w:rPr>
                        </w:pPr>
                        <w:r>
                          <w:rPr>
                            <w:rFonts w:ascii="宋体" w:hAnsi="宋体" w:cs="宋体" w:eastAsia="宋体" w:hint="default"/>
                            <w:spacing w:val="-4"/>
                            <w:sz w:val="18"/>
                            <w:szCs w:val="18"/>
                          </w:rPr>
                          <w:t>1、王中胜、杨世宁、杨新子和陈新为公司发起人股东；2、2018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4"/>
                            <w:sz w:val="18"/>
                            <w:szCs w:val="18"/>
                          </w:rPr>
                          <w:t>日，王中胜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杨世宁、杨新子等三人与南方银谷科技有限公司签署了《表决权委托协议》，南方银谷和</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王中胜、杨世宁、杨新子因本次表决权委托事项在表决权委托期间构成一致行动关系；3</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pacing w:val="-3"/>
                            <w:sz w:val="18"/>
                            <w:szCs w:val="18"/>
                          </w:rPr>
                          <w:t>日，梁山、刘含、王亚东签署了《一致行动协议》，三人为一致行动人；</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4、除此之外，未知以上其余股东之间是否存在关联关系或一致行动。</w:t>
                        </w:r>
                      </w:p>
                    </w:tc>
                  </w:tr>
                  <w:tr>
                    <w:trPr>
                      <w:trHeight w:val="714"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名普通股股东参与融资融券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业务情况说</w:t>
                        </w:r>
                        <w:r>
                          <w:rPr>
                            <w:rFonts w:ascii="宋体" w:hAnsi="宋体" w:cs="宋体" w:eastAsia="宋体" w:hint="default"/>
                            <w:spacing w:val="-29"/>
                            <w:sz w:val="18"/>
                            <w:szCs w:val="18"/>
                          </w:rPr>
                          <w:t>明</w:t>
                        </w:r>
                        <w:r>
                          <w:rPr>
                            <w:rFonts w:ascii="宋体" w:hAnsi="宋体" w:cs="宋体" w:eastAsia="宋体" w:hint="default"/>
                            <w:sz w:val="18"/>
                            <w:szCs w:val="18"/>
                          </w:rPr>
                          <w:t>（如有</w:t>
                        </w:r>
                        <w:r>
                          <w:rPr>
                            <w:rFonts w:ascii="宋体" w:hAnsi="宋体" w:cs="宋体" w:eastAsia="宋体" w:hint="default"/>
                            <w:spacing w:val="-120"/>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691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12" w:right="2127" w:firstLine="0"/>
        <w:jc w:val="left"/>
        <w:rPr>
          <w:rFonts w:ascii="宋体" w:hAnsi="宋体" w:cs="宋体" w:eastAsia="宋体" w:hint="default"/>
          <w:sz w:val="18"/>
          <w:szCs w:val="18"/>
        </w:rPr>
      </w:pPr>
      <w:r>
        <w:rPr/>
        <w:pict>
          <v:shape style="position:absolute;margin-left:183.358994pt;margin-top:-38.338276pt;width:351.65pt;height:35.450pt;mso-position-horizontal-relative:page;mso-position-vertical-relative:paragraph;z-index:-1108576"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名无限售条件普通股股东在报告期内是否进行约定购回交易</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公司控股股东情况" w:id="116"/>
      <w:bookmarkEnd w:id="116"/>
      <w:r>
        <w:rPr>
          <w:b w:val="0"/>
          <w:bCs w:val="0"/>
        </w:rPr>
      </w:r>
      <w:r>
        <w:rPr/>
        <w:t>2、公司控股股东情况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2"/>
        <w:gridCol w:w="3848"/>
      </w:tblGrid>
      <w:tr>
        <w:trPr>
          <w:trHeight w:val="40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44"/>
        <w:ind w:left="0" w:right="1141" w:firstLine="0"/>
        <w:jc w:val="right"/>
        <w:rPr>
          <w:rFonts w:ascii="宋体" w:hAnsi="宋体" w:cs="宋体" w:eastAsia="宋体" w:hint="default"/>
          <w:sz w:val="18"/>
          <w:szCs w:val="18"/>
        </w:rPr>
      </w:pPr>
      <w:r>
        <w:rPr/>
        <w:pict>
          <v:shape style="position:absolute;margin-left:56.459999pt;margin-top:-92.338303pt;width:479.15pt;height:243.4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2"/>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3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50" w:type="dxa"/>
                        <w:gridSpan w:val="2"/>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王中胜先生：1963</w:t>
                        </w:r>
                        <w:r>
                          <w:rPr>
                            <w:rFonts w:ascii="宋体" w:hAnsi="宋体" w:cs="宋体" w:eastAsia="宋体" w:hint="default"/>
                            <w:spacing w:val="-43"/>
                            <w:sz w:val="18"/>
                            <w:szCs w:val="18"/>
                          </w:rPr>
                          <w:t> </w:t>
                        </w:r>
                        <w:r>
                          <w:rPr>
                            <w:rFonts w:ascii="宋体" w:hAnsi="宋体" w:cs="宋体" w:eastAsia="宋体" w:hint="default"/>
                            <w:spacing w:val="-3"/>
                            <w:sz w:val="18"/>
                            <w:szCs w:val="18"/>
                          </w:rPr>
                          <w:t>年生，中国国籍，拥有加拿大永久居留权，工学硕士。现任</w:t>
                        </w:r>
                      </w:p>
                    </w:tc>
                  </w:tr>
                  <w:tr>
                    <w:trPr>
                      <w:trHeight w:val="31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子公司天津市天安怡和信息技术有限公司董事、安徽汉高信息科技有限公司董</w:t>
                        </w:r>
                      </w:p>
                    </w:tc>
                  </w:tr>
                  <w:tr>
                    <w:trPr>
                      <w:trHeight w:val="31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事、安徽行云天下科技有限公司董事长、参股公司武汉宏途科技有限公司董事</w:t>
                        </w:r>
                      </w:p>
                    </w:tc>
                  </w:tr>
                  <w:tr>
                    <w:trPr>
                      <w:trHeight w:val="31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杨世宁先生：1964</w:t>
                        </w:r>
                        <w:r>
                          <w:rPr>
                            <w:rFonts w:ascii="宋体" w:hAnsi="宋体" w:cs="宋体" w:eastAsia="宋体" w:hint="default"/>
                            <w:spacing w:val="-43"/>
                            <w:sz w:val="18"/>
                            <w:szCs w:val="18"/>
                          </w:rPr>
                          <w:t> </w:t>
                        </w:r>
                        <w:r>
                          <w:rPr>
                            <w:rFonts w:ascii="宋体" w:hAnsi="宋体" w:cs="宋体" w:eastAsia="宋体" w:hint="default"/>
                            <w:spacing w:val="-3"/>
                            <w:sz w:val="18"/>
                            <w:szCs w:val="18"/>
                          </w:rPr>
                          <w:t>年生，中国国籍，无境外永久居留权，工学硕士。现任本公</w:t>
                        </w:r>
                      </w:p>
                    </w:tc>
                  </w:tr>
                  <w:tr>
                    <w:trPr>
                      <w:trHeight w:val="32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司董事、副董事长、子公司天津市天安怡和信息技术有限公司董事长、天津信</w:t>
                        </w:r>
                      </w:p>
                    </w:tc>
                  </w:tr>
                  <w:tr>
                    <w:trPr>
                      <w:trHeight w:val="323"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息港甲子科技有限公司董事长。</w:t>
                        </w:r>
                      </w:p>
                    </w:tc>
                  </w:tr>
                  <w:tr>
                    <w:trPr>
                      <w:trHeight w:val="33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杨新子先生：1969</w:t>
                        </w:r>
                        <w:r>
                          <w:rPr>
                            <w:rFonts w:ascii="宋体" w:hAnsi="宋体" w:cs="宋体" w:eastAsia="宋体" w:hint="default"/>
                            <w:spacing w:val="-43"/>
                            <w:sz w:val="18"/>
                            <w:szCs w:val="18"/>
                          </w:rPr>
                          <w:t> </w:t>
                        </w:r>
                        <w:r>
                          <w:rPr>
                            <w:rFonts w:ascii="宋体" w:hAnsi="宋体" w:cs="宋体" w:eastAsia="宋体" w:hint="default"/>
                            <w:spacing w:val="-3"/>
                            <w:sz w:val="18"/>
                            <w:szCs w:val="18"/>
                          </w:rPr>
                          <w:t>年生，中国国籍，无境外永久居留权，管理学博士。现任子</w:t>
                        </w:r>
                      </w:p>
                    </w:tc>
                  </w:tr>
                  <w:tr>
                    <w:trPr>
                      <w:trHeight w:val="31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公司天津市天安怡和信息技术有限公司董事、总经理、烟台华东电子软件技术</w:t>
                        </w:r>
                      </w:p>
                    </w:tc>
                  </w:tr>
                  <w:tr>
                    <w:trPr>
                      <w:trHeight w:val="356" w:hRule="exact"/>
                    </w:trPr>
                    <w:tc>
                      <w:tcPr>
                        <w:tcW w:w="3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50" w:type="dxa"/>
                        <w:gridSpan w:val="2"/>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有限公司董事。</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3、公司实际控制人及其一致行动人" w:id="117"/>
      <w:bookmarkEnd w:id="117"/>
      <w:r>
        <w:rPr>
          <w:b w:val="0"/>
          <w:bCs w:val="0"/>
        </w:rPr>
      </w:r>
      <w:r>
        <w:rPr/>
        <w:t>3、公司实际控制人及其一致行动人</w:t>
      </w:r>
      <w:r>
        <w:rPr>
          <w:b w:val="0"/>
          <w:bCs w:val="0"/>
        </w:rPr>
      </w:r>
    </w:p>
    <w:p>
      <w:pPr>
        <w:spacing w:line="240" w:lineRule="auto" w:before="7"/>
        <w:rPr>
          <w:rFonts w:ascii="宋体" w:hAnsi="宋体" w:cs="宋体" w:eastAsia="宋体" w:hint="default"/>
          <w:b/>
          <w:bCs/>
          <w:sz w:val="27"/>
          <w:szCs w:val="27"/>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请参阅“公司控股股东情况”描述。</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w:t>
            </w:r>
            <w:r>
              <w:rPr>
                <w:rFonts w:ascii="宋体" w:hAnsi="宋体" w:cs="宋体" w:eastAsia="宋体" w:hint="default"/>
                <w:sz w:val="18"/>
                <w:szCs w:val="18"/>
              </w:rPr>
              <w:t> 市公司情况</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2" w:right="212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9"/>
        <w:rPr>
          <w:rFonts w:ascii="宋体" w:hAnsi="宋体" w:cs="宋体" w:eastAsia="宋体" w:hint="default"/>
          <w:sz w:val="24"/>
          <w:szCs w:val="24"/>
        </w:rPr>
      </w:pPr>
    </w:p>
    <w:p>
      <w:pPr>
        <w:spacing w:line="1565" w:lineRule="exact"/>
        <w:ind w:left="2275"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3352217" cy="99431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2" cstate="print"/>
                    <a:stretch>
                      <a:fillRect/>
                    </a:stretch>
                  </pic:blipFill>
                  <pic:spPr>
                    <a:xfrm>
                      <a:off x="0" y="0"/>
                      <a:ext cx="3352217" cy="994314"/>
                    </a:xfrm>
                    <a:prstGeom prst="rect">
                      <a:avLst/>
                    </a:prstGeom>
                  </pic:spPr>
                </pic:pic>
              </a:graphicData>
            </a:graphic>
          </wp:inline>
        </w:drawing>
      </w:r>
      <w:r>
        <w:rPr>
          <w:rFonts w:ascii="宋体" w:hAnsi="宋体" w:cs="宋体" w:eastAsia="宋体" w:hint="default"/>
          <w:position w:val="-30"/>
          <w:sz w:val="20"/>
          <w:szCs w:val="20"/>
        </w:rPr>
      </w:r>
    </w:p>
    <w:p>
      <w:pPr>
        <w:spacing w:after="0" w:line="1565" w:lineRule="exact"/>
        <w:rPr>
          <w:rFonts w:ascii="宋体" w:hAnsi="宋体" w:cs="宋体" w:eastAsia="宋体" w:hint="default"/>
          <w:sz w:val="20"/>
          <w:szCs w:val="20"/>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其他持股在10%以上的法人股东" w:id="118"/>
      <w:bookmarkEnd w:id="118"/>
      <w:r>
        <w:rPr>
          <w:b w:val="0"/>
          <w:bCs w:val="0"/>
        </w:rPr>
      </w:r>
      <w:r>
        <w:rPr/>
        <w:t>4、其他持股在</w:t>
      </w:r>
      <w:r>
        <w:rPr>
          <w:spacing w:val="-62"/>
        </w:rPr>
        <w:t> </w:t>
      </w:r>
      <w:r>
        <w:rPr/>
        <w:t>10%以上的法人股东</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5、控股股东、实际控制人、重组方及其他承诺主体股份限制减持情况" w:id="119"/>
      <w:bookmarkEnd w:id="119"/>
      <w:r>
        <w:rPr>
          <w:b w:val="0"/>
          <w:bCs w:val="0"/>
        </w:rPr>
      </w:r>
      <w:r>
        <w:rPr/>
        <w:t>5、控股股东、实际控制人、重组方及其他承诺主体股份限制减持情况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7" w:right="2127"/>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859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footerReference w:type="default" r:id="rId23"/>
          <w:pgSz w:w="11910" w:h="16840"/>
          <w:pgMar w:footer="978" w:header="746" w:top="1060" w:bottom="1160" w:left="1020" w:right="0"/>
          <w:pgNumType w:star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43" w:right="2127"/>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5"/>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2127"/>
        <w:jc w:val="left"/>
        <w:rPr>
          <w:b w:val="0"/>
          <w:bCs w:val="0"/>
        </w:rPr>
      </w:pPr>
      <w:r>
        <w:rPr/>
        <w:pict>
          <v:shape style="position:absolute;margin-left:421.200012pt;margin-top:32.945606pt;width:52.25pt;height:82.1pt;mso-position-horizontal-relative:page;mso-position-vertical-relative:paragraph;z-index:-110850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847"/>
        <w:gridCol w:w="510"/>
        <w:gridCol w:w="570"/>
        <w:gridCol w:w="960"/>
        <w:gridCol w:w="915"/>
        <w:gridCol w:w="1005"/>
        <w:gridCol w:w="1005"/>
        <w:gridCol w:w="930"/>
        <w:gridCol w:w="437"/>
        <w:gridCol w:w="973"/>
      </w:tblGrid>
      <w:tr>
        <w:trPr>
          <w:trHeight w:val="165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83" w:right="24"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71" w:right="9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45" w:firstLine="24"/>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9"/>
                <w:sz w:val="18"/>
                <w:szCs w:val="18"/>
              </w:rPr>
              <w:t>份数量（股</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8" w:right="9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9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2"/>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32"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left="124" w:right="0"/>
              <w:jc w:val="both"/>
              <w:rPr>
                <w:rFonts w:ascii="宋体" w:hAnsi="宋体" w:cs="宋体" w:eastAsia="宋体" w:hint="default"/>
                <w:sz w:val="18"/>
                <w:szCs w:val="18"/>
              </w:rPr>
            </w:pPr>
            <w:r>
              <w:rPr>
                <w:rFonts w:ascii="宋体" w:hAnsi="宋体" w:cs="宋体" w:eastAsia="宋体" w:hint="default"/>
                <w:sz w:val="18"/>
                <w:szCs w:val="18"/>
              </w:rPr>
              <w:t>）</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56" w:right="0"/>
              <w:jc w:val="left"/>
              <w:rPr>
                <w:rFonts w:ascii="宋体" w:hAnsi="宋体" w:cs="宋体" w:eastAsia="宋体" w:hint="default"/>
                <w:sz w:val="18"/>
                <w:szCs w:val="18"/>
              </w:rPr>
            </w:pPr>
            <w:r>
              <w:rPr>
                <w:rFonts w:ascii="宋体"/>
                <w:sz w:val="18"/>
              </w:rPr>
              <w:t>39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vMerge/>
            <w:tcBorders>
              <w:left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973" w:type="dxa"/>
            <w:vMerge/>
            <w:tcBorders>
              <w:left w:val="single" w:sz="4" w:space="0" w:color="000000"/>
              <w:right w:val="single" w:sz="4" w:space="0" w:color="000000"/>
            </w:tcBorders>
          </w:tcPr>
          <w:p>
            <w:pPr/>
          </w:p>
        </w:tc>
      </w:tr>
      <w:tr>
        <w:trPr>
          <w:trHeight w:val="714" w:hRule="exact"/>
        </w:trPr>
        <w:tc>
          <w:tcPr>
            <w:tcW w:w="798" w:type="dxa"/>
            <w:vMerge/>
            <w:tcBorders>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r>
      <w:tr>
        <w:trPr>
          <w:trHeight w:val="714" w:hRule="exact"/>
        </w:trPr>
        <w:tc>
          <w:tcPr>
            <w:tcW w:w="79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356" w:right="0"/>
              <w:jc w:val="left"/>
              <w:rPr>
                <w:rFonts w:ascii="宋体" w:hAnsi="宋体" w:cs="宋体" w:eastAsia="宋体" w:hint="default"/>
                <w:sz w:val="18"/>
                <w:szCs w:val="18"/>
              </w:rPr>
            </w:pPr>
            <w:r>
              <w:rPr>
                <w:rFonts w:ascii="宋体"/>
                <w:sz w:val="18"/>
              </w:rPr>
              <w:t>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62" w:right="0"/>
              <w:jc w:val="left"/>
              <w:rPr>
                <w:rFonts w:ascii="宋体" w:hAnsi="宋体" w:cs="宋体" w:eastAsia="宋体" w:hint="default"/>
                <w:sz w:val="18"/>
                <w:szCs w:val="18"/>
              </w:rPr>
            </w:pPr>
            <w:r>
              <w:rPr>
                <w:rFonts w:ascii="宋体"/>
                <w:sz w:val="18"/>
              </w:rPr>
              <w:t>7,899,407</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sz w:val="18"/>
              </w:rPr>
              <w:t>86,800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sz w:val="18"/>
              </w:rPr>
              <w:t>7,986,207</w:t>
            </w:r>
          </w:p>
        </w:tc>
      </w:tr>
      <w:tr>
        <w:trPr>
          <w:trHeight w:val="714" w:hRule="exact"/>
        </w:trPr>
        <w:tc>
          <w:tcPr>
            <w:tcW w:w="798" w:type="dxa"/>
            <w:vMerge/>
            <w:tcBorders>
              <w:left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973" w:type="dxa"/>
            <w:vMerge/>
            <w:tcBorders>
              <w:left w:val="single" w:sz="4" w:space="0" w:color="000000"/>
              <w:right w:val="single" w:sz="4" w:space="0" w:color="000000"/>
            </w:tcBorders>
          </w:tcPr>
          <w:p>
            <w:pPr/>
          </w:p>
        </w:tc>
      </w:tr>
      <w:tr>
        <w:trPr>
          <w:trHeight w:val="714" w:hRule="exact"/>
        </w:trPr>
        <w:tc>
          <w:tcPr>
            <w:tcW w:w="798" w:type="dxa"/>
            <w:vMerge/>
            <w:tcBorders>
              <w:left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973" w:type="dxa"/>
            <w:vMerge/>
            <w:tcBorders>
              <w:left w:val="single" w:sz="4" w:space="0" w:color="000000"/>
              <w:right w:val="single" w:sz="4" w:space="0" w:color="000000"/>
            </w:tcBorders>
          </w:tcPr>
          <w:p>
            <w:pPr/>
          </w:p>
        </w:tc>
      </w:tr>
      <w:tr>
        <w:trPr>
          <w:trHeight w:val="1026" w:hRule="exact"/>
        </w:trPr>
        <w:tc>
          <w:tcPr>
            <w:tcW w:w="798" w:type="dxa"/>
            <w:vMerge/>
            <w:tcBorders>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r>
      <w:tr>
        <w:trPr>
          <w:trHeight w:val="714" w:hRule="exact"/>
        </w:trPr>
        <w:tc>
          <w:tcPr>
            <w:tcW w:w="79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356" w:right="0"/>
              <w:jc w:val="left"/>
              <w:rPr>
                <w:rFonts w:ascii="宋体" w:hAnsi="宋体" w:cs="宋体" w:eastAsia="宋体" w:hint="default"/>
                <w:sz w:val="18"/>
                <w:szCs w:val="18"/>
              </w:rPr>
            </w:pPr>
            <w:r>
              <w:rPr>
                <w:rFonts w:ascii="宋体"/>
                <w:sz w:val="18"/>
              </w:rPr>
              <w:t>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71" w:right="0"/>
              <w:jc w:val="left"/>
              <w:rPr>
                <w:rFonts w:ascii="宋体" w:hAnsi="宋体" w:cs="宋体" w:eastAsia="宋体" w:hint="default"/>
                <w:sz w:val="18"/>
                <w:szCs w:val="18"/>
              </w:rPr>
            </w:pPr>
            <w:r>
              <w:rPr>
                <w:rFonts w:ascii="宋体"/>
                <w:sz w:val="18"/>
              </w:rPr>
              <w:t>19,982,957</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86" w:right="0"/>
              <w:jc w:val="left"/>
              <w:rPr>
                <w:rFonts w:ascii="宋体" w:hAnsi="宋体" w:cs="宋体" w:eastAsia="宋体" w:hint="default"/>
                <w:sz w:val="18"/>
                <w:szCs w:val="18"/>
              </w:rPr>
            </w:pPr>
            <w:r>
              <w:rPr>
                <w:rFonts w:ascii="宋体"/>
                <w:sz w:val="18"/>
              </w:rPr>
              <w:t>3,000,000</w:t>
            </w:r>
          </w:p>
        </w:tc>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sz w:val="18"/>
              </w:rPr>
              <w:t>16,982,957</w:t>
            </w:r>
          </w:p>
        </w:tc>
      </w:tr>
      <w:tr>
        <w:trPr>
          <w:trHeight w:val="714" w:hRule="exact"/>
        </w:trPr>
        <w:tc>
          <w:tcPr>
            <w:tcW w:w="798" w:type="dxa"/>
            <w:vMerge/>
            <w:tcBorders>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王中胜</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董事、董 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21,246,408</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21,246,408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杨新子</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13,516,287</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13,516,287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陈结淼</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张瑞稳</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0"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223"/>
              <w:jc w:val="right"/>
              <w:rPr>
                <w:rFonts w:ascii="宋体" w:hAnsi="宋体" w:cs="宋体" w:eastAsia="宋体" w:hint="default"/>
                <w:sz w:val="18"/>
                <w:szCs w:val="18"/>
              </w:rPr>
            </w:pPr>
            <w:r>
              <w:rPr>
                <w:rFonts w:ascii="宋体" w:hAnsi="宋体" w:cs="宋体" w:eastAsia="宋体" w:hint="default"/>
                <w:sz w:val="18"/>
                <w:szCs w:val="18"/>
              </w:rPr>
              <w:t>李洪峰</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847"/>
        <w:gridCol w:w="510"/>
        <w:gridCol w:w="570"/>
        <w:gridCol w:w="960"/>
        <w:gridCol w:w="915"/>
        <w:gridCol w:w="1005"/>
        <w:gridCol w:w="1005"/>
        <w:gridCol w:w="930"/>
        <w:gridCol w:w="437"/>
        <w:gridCol w:w="973"/>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356" w:right="0"/>
              <w:jc w:val="left"/>
              <w:rPr>
                <w:rFonts w:ascii="宋体" w:hAnsi="宋体" w:cs="宋体" w:eastAsia="宋体" w:hint="default"/>
                <w:sz w:val="18"/>
                <w:szCs w:val="18"/>
              </w:rPr>
            </w:pPr>
            <w:r>
              <w:rPr>
                <w:rFonts w:ascii="宋体"/>
                <w:sz w:val="18"/>
              </w:rPr>
              <w:t>48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431" w:right="0"/>
              <w:jc w:val="left"/>
              <w:rPr>
                <w:rFonts w:ascii="宋体" w:hAnsi="宋体" w:cs="宋体" w:eastAsia="宋体" w:hint="default"/>
                <w:sz w:val="18"/>
                <w:szCs w:val="18"/>
              </w:rPr>
            </w:pPr>
            <w:r>
              <w:rPr>
                <w:rFonts w:ascii="宋体"/>
                <w:sz w:val="18"/>
              </w:rPr>
              <w:t>86,800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400" w:right="0"/>
              <w:jc w:val="left"/>
              <w:rPr>
                <w:rFonts w:ascii="宋体" w:hAnsi="宋体" w:cs="宋体" w:eastAsia="宋体" w:hint="default"/>
                <w:sz w:val="18"/>
                <w:szCs w:val="18"/>
              </w:rPr>
            </w:pPr>
            <w:r>
              <w:rPr>
                <w:rFonts w:ascii="宋体"/>
                <w:sz w:val="18"/>
              </w:rPr>
              <w:t>86,800</w:t>
            </w:r>
          </w:p>
        </w:tc>
      </w:tr>
      <w:tr>
        <w:trPr>
          <w:trHeight w:val="714" w:hRule="exact"/>
        </w:trPr>
        <w:tc>
          <w:tcPr>
            <w:tcW w:w="798" w:type="dxa"/>
            <w:vMerge/>
            <w:tcBorders>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120,000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165,000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14,343,958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14,343,958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赵梦</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李臻</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监事、监 事会主席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陈延风</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竺进</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马晶晶</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74,400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74,400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68,200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49,600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49,600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sz w:val="18"/>
              </w:rPr>
              <w:t>--</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62,765,059</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14,754,758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74,519,817</w:t>
            </w:r>
          </w:p>
        </w:tc>
      </w:tr>
    </w:tbl>
    <w:p>
      <w:pPr>
        <w:spacing w:line="240" w:lineRule="auto" w:before="1"/>
        <w:rPr>
          <w:rFonts w:ascii="宋体" w:hAnsi="宋体" w:cs="宋体" w:eastAsia="宋体" w:hint="default"/>
          <w:b/>
          <w:bCs/>
          <w:sz w:val="18"/>
          <w:szCs w:val="18"/>
        </w:rPr>
      </w:pPr>
    </w:p>
    <w:p>
      <w:pPr>
        <w:pStyle w:val="Heading4"/>
        <w:spacing w:line="240" w:lineRule="auto" w:before="26"/>
        <w:ind w:right="2127"/>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542"/>
        <w:gridCol w:w="4035"/>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工作调整原因辞职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工作调整原因辞职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工作调整原因辞职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工作调整原因辞职</w:t>
            </w:r>
          </w:p>
        </w:tc>
      </w:tr>
    </w:tbl>
    <w:p>
      <w:pPr>
        <w:spacing w:line="240" w:lineRule="auto" w:before="0"/>
        <w:rPr>
          <w:rFonts w:ascii="宋体" w:hAnsi="宋体" w:cs="宋体" w:eastAsia="宋体" w:hint="default"/>
          <w:sz w:val="18"/>
          <w:szCs w:val="18"/>
        </w:rPr>
      </w:pPr>
    </w:p>
    <w:p>
      <w:pPr>
        <w:pStyle w:val="Heading4"/>
        <w:spacing w:line="240" w:lineRule="auto" w:before="26"/>
        <w:ind w:right="2127"/>
        <w:jc w:val="left"/>
        <w:rPr>
          <w:b w:val="0"/>
          <w:bCs w:val="0"/>
        </w:rPr>
      </w:pPr>
      <w:bookmarkStart w:name="三、任职情况" w:id="126"/>
      <w:bookmarkEnd w:id="126"/>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73" w:lineRule="auto" w:before="92"/>
        <w:ind w:left="532" w:right="1125" w:hanging="104"/>
        <w:jc w:val="left"/>
      </w:pPr>
      <w:r>
        <w:rPr>
          <w:rFonts w:ascii="宋体" w:hAnsi="宋体" w:cs="宋体" w:eastAsia="宋体" w:hint="default"/>
          <w:b/>
          <w:bCs/>
        </w:rPr>
        <w:t>（一）董事会成员</w:t>
      </w:r>
      <w:r>
        <w:rPr>
          <w:rFonts w:ascii="宋体" w:hAnsi="宋体" w:cs="宋体" w:eastAsia="宋体" w:hint="default"/>
          <w:b/>
          <w:bCs/>
          <w:w w:val="99"/>
        </w:rPr>
        <w:t> </w:t>
      </w:r>
      <w:r>
        <w:rPr>
          <w:w w:val="95"/>
        </w:rPr>
        <w:t>周发展先生：1980年生，中国国籍，无境外永久居留权，文学学士。曾任职于深圳特区报业集团、深</w:t>
      </w:r>
      <w:r>
        <w:rPr/>
      </w:r>
    </w:p>
    <w:p>
      <w:pPr>
        <w:pStyle w:val="BodyText"/>
        <w:spacing w:line="273" w:lineRule="auto"/>
        <w:ind w:left="532" w:right="0" w:hanging="420"/>
        <w:jc w:val="left"/>
      </w:pPr>
      <w:r>
        <w:rPr/>
        <w:t>圳晚报、深圳地铁报，历任本公司总经理，现任本公司董事、董事长、南方银谷科技有限公司董事长。</w:t>
      </w:r>
      <w:r>
        <w:rPr>
          <w:w w:val="99"/>
        </w:rPr>
        <w:t> </w:t>
      </w:r>
      <w:r>
        <w:rPr>
          <w:w w:val="95"/>
        </w:rPr>
        <w:t>陈新先生：1969年生，中国国籍，无境外永久居留权，理学学士，高级工程师。曾任本公司董事会秘</w:t>
      </w:r>
      <w:r>
        <w:rPr/>
      </w:r>
    </w:p>
    <w:p>
      <w:pPr>
        <w:pStyle w:val="BodyText"/>
        <w:spacing w:line="273" w:lineRule="auto"/>
        <w:ind w:right="1025"/>
        <w:jc w:val="left"/>
      </w:pPr>
      <w:r>
        <w:rPr/>
        <w:t>书、副总经理、董事长。现任本公司董事、副董事长、子公司烟台华东电子软件技术有限公司董事、安徽</w:t>
      </w:r>
      <w:r>
        <w:rPr>
          <w:w w:val="99"/>
        </w:rPr>
        <w:t> </w:t>
      </w:r>
      <w:r>
        <w:rPr>
          <w:spacing w:val="-3"/>
        </w:rPr>
        <w:t>汉高信息科技有限公司董事、安徽皖通城市智能交通科技有限公司董事、安徽行云天下科技有限公司董事。</w:t>
      </w:r>
    </w:p>
    <w:p>
      <w:pPr>
        <w:pStyle w:val="BodyText"/>
        <w:spacing w:line="273" w:lineRule="auto"/>
        <w:ind w:right="1112" w:firstLine="420"/>
        <w:jc w:val="both"/>
      </w:pPr>
      <w:r>
        <w:rPr>
          <w:w w:val="95"/>
        </w:rPr>
        <w:t>王夕众先生：1968年生，中国国籍，无境外永久居留权，本科学历，高级工程师。现任本公司董事、</w:t>
      </w:r>
      <w:r>
        <w:rPr>
          <w:spacing w:val="-79"/>
          <w:w w:val="95"/>
        </w:rPr>
        <w:t> </w:t>
      </w:r>
      <w:r>
        <w:rPr>
          <w:spacing w:val="-79"/>
          <w:w w:val="95"/>
        </w:rPr>
      </w:r>
      <w:r>
        <w:rPr>
          <w:w w:val="95"/>
        </w:rPr>
        <w:t>子公司烟台华东电子软件技术有限公司董事、副总经理、烟台华东电子科技有限公司董事长、烟台华东数</w:t>
      </w:r>
      <w:r>
        <w:rPr>
          <w:spacing w:val="40"/>
          <w:w w:val="95"/>
        </w:rPr>
        <w:t> </w:t>
      </w:r>
      <w:r>
        <w:rPr>
          <w:spacing w:val="40"/>
          <w:w w:val="95"/>
        </w:rPr>
      </w:r>
      <w:r>
        <w:rPr/>
        <w:t>据科技有限公司董事长、上海舶云供应链管理有限公司董事长。</w:t>
      </w:r>
    </w:p>
    <w:p>
      <w:pPr>
        <w:pStyle w:val="BodyText"/>
        <w:spacing w:line="273" w:lineRule="auto"/>
        <w:ind w:right="1132" w:firstLine="420"/>
        <w:jc w:val="both"/>
      </w:pPr>
      <w:r>
        <w:rPr>
          <w:spacing w:val="2"/>
          <w:w w:val="95"/>
        </w:rPr>
        <w:t>易增辉先生：1963年生，中国国籍，无境外永久居留权，本科学历，工程师。2010年5月至今任成都</w:t>
      </w:r>
      <w:r>
        <w:rPr>
          <w:spacing w:val="-90"/>
          <w:w w:val="95"/>
        </w:rPr>
        <w:t> </w:t>
      </w:r>
      <w:r>
        <w:rPr>
          <w:spacing w:val="-90"/>
          <w:w w:val="95"/>
        </w:rPr>
      </w:r>
      <w:r>
        <w:rPr/>
        <w:t>赛英科技有限公司总经理。现任本公司董事、子公司成都赛英科技有限公司董事长、总经理。</w:t>
      </w:r>
    </w:p>
    <w:p>
      <w:pPr>
        <w:pStyle w:val="BodyText"/>
        <w:spacing w:line="273" w:lineRule="auto"/>
        <w:ind w:right="1112" w:firstLine="420"/>
        <w:jc w:val="both"/>
      </w:pPr>
      <w:r>
        <w:rPr>
          <w:w w:val="95"/>
        </w:rPr>
        <w:t>赵梦女士：1973年生，中国国籍，无境外永久居留权，法学硕士。曾任北京市易行律师事务所律师、</w:t>
      </w:r>
      <w:r>
        <w:rPr>
          <w:spacing w:val="-79"/>
          <w:w w:val="95"/>
        </w:rPr>
        <w:t> </w:t>
      </w:r>
      <w:r>
        <w:rPr>
          <w:spacing w:val="-79"/>
          <w:w w:val="95"/>
        </w:rPr>
      </w:r>
      <w:r>
        <w:rPr>
          <w:w w:val="95"/>
        </w:rPr>
        <w:t>北京盛达瑞丰投资管理有限公司副总经理、方大锦化化工科技股份有限公司董事、董事长。现任本公司董   </w:t>
      </w:r>
      <w:r>
        <w:rPr>
          <w:spacing w:val="43"/>
          <w:w w:val="95"/>
        </w:rPr>
        <w:t> </w:t>
      </w:r>
      <w:r>
        <w:rPr>
          <w:spacing w:val="43"/>
          <w:w w:val="95"/>
        </w:rPr>
      </w:r>
      <w:r>
        <w:rPr/>
        <w:t>事。</w:t>
      </w:r>
    </w:p>
    <w:p>
      <w:pPr>
        <w:pStyle w:val="BodyText"/>
        <w:spacing w:line="273" w:lineRule="auto"/>
        <w:ind w:right="1130" w:firstLine="420"/>
        <w:jc w:val="both"/>
      </w:pPr>
      <w:r>
        <w:rPr>
          <w:w w:val="95"/>
        </w:rPr>
        <w:t>李臻先生：1983年生，中国国籍，无境外永久居留权，中欧国际工商学院金融工商管理硕士。曾任职</w:t>
      </w:r>
      <w:r>
        <w:rPr>
          <w:w w:val="99"/>
        </w:rPr>
        <w:t> </w:t>
      </w:r>
      <w:r>
        <w:rPr>
          <w:w w:val="95"/>
        </w:rPr>
        <w:t>于南京证券、兴业证券、上海德晖投资管理有限公司，现任本公司董事、上海执古资产管理有限公司执行</w:t>
      </w:r>
      <w:r>
        <w:rPr>
          <w:spacing w:val="44"/>
          <w:w w:val="95"/>
        </w:rPr>
        <w:t> </w:t>
      </w:r>
      <w:r>
        <w:rPr>
          <w:spacing w:val="44"/>
          <w:w w:val="95"/>
        </w:rPr>
      </w:r>
      <w:r>
        <w:rPr/>
        <w:t>董事、总经理。</w:t>
      </w:r>
    </w:p>
    <w:p>
      <w:pPr>
        <w:pStyle w:val="BodyText"/>
        <w:spacing w:line="273" w:lineRule="auto"/>
        <w:ind w:right="1130" w:firstLine="420"/>
        <w:jc w:val="both"/>
      </w:pPr>
      <w:r>
        <w:rPr>
          <w:w w:val="95"/>
        </w:rPr>
        <w:t>陈结淼先生：1966年生，中国国籍，无境外永久居留权，工学学士、法学硕士。现任安徽大学法学教</w:t>
      </w:r>
      <w:r>
        <w:rPr>
          <w:w w:val="99"/>
        </w:rPr>
        <w:t> </w:t>
      </w:r>
      <w:r>
        <w:rPr>
          <w:w w:val="95"/>
        </w:rPr>
        <w:t>授、硕士生导师、合肥百货大楼集团股份有限公司独立董事、黄山永新股份有限公司独立董事、合肥泰禾</w:t>
      </w:r>
      <w:r>
        <w:rPr>
          <w:spacing w:val="44"/>
          <w:w w:val="95"/>
        </w:rPr>
        <w:t> </w:t>
      </w:r>
      <w:r>
        <w:rPr>
          <w:spacing w:val="44"/>
          <w:w w:val="95"/>
        </w:rPr>
      </w:r>
      <w:r>
        <w:rPr/>
        <w:t>光电科技股份有限公司独立董事和本公司独立董事。</w:t>
      </w:r>
    </w:p>
    <w:p>
      <w:pPr>
        <w:pStyle w:val="BodyText"/>
        <w:spacing w:line="273" w:lineRule="auto"/>
        <w:ind w:right="1132" w:firstLine="420"/>
        <w:jc w:val="both"/>
      </w:pPr>
      <w:r>
        <w:rPr>
          <w:w w:val="95"/>
        </w:rPr>
        <w:t>张瑞稳先生：1964年生，中国国籍，无境外永久居留权，博士研究生学位，注册会计师。现任中国科</w:t>
      </w:r>
      <w:r>
        <w:rPr>
          <w:w w:val="99"/>
        </w:rPr>
        <w:t> </w:t>
      </w:r>
      <w:r>
        <w:rPr>
          <w:w w:val="95"/>
        </w:rPr>
        <w:t>技大学管理学院副教授、安徽丰原药业股份有限公司独立董事、平光制药股份有限公司独立董事和欧普康</w:t>
      </w:r>
      <w:r>
        <w:rPr>
          <w:spacing w:val="37"/>
          <w:w w:val="95"/>
        </w:rPr>
        <w:t> </w:t>
      </w:r>
      <w:r>
        <w:rPr>
          <w:spacing w:val="37"/>
          <w:w w:val="95"/>
        </w:rPr>
      </w:r>
      <w:r>
        <w:rPr/>
        <w:t>视科技股份有限公司独立董事和本公司独立董事。</w:t>
      </w:r>
    </w:p>
    <w:p>
      <w:pPr>
        <w:pStyle w:val="BodyText"/>
        <w:spacing w:line="273" w:lineRule="auto"/>
        <w:ind w:right="1130" w:firstLine="420"/>
        <w:jc w:val="both"/>
      </w:pPr>
      <w:r>
        <w:rPr>
          <w:w w:val="95"/>
        </w:rPr>
        <w:t>罗守生先生：1957年出生，中国国籍，无境外永久居留权，研究生学历，教授级高级工程师，拥有全</w:t>
      </w:r>
      <w:r>
        <w:rPr>
          <w:w w:val="99"/>
        </w:rPr>
        <w:t> </w:t>
      </w:r>
      <w:r>
        <w:rPr>
          <w:w w:val="95"/>
        </w:rPr>
        <w:t>国工程总承包项目经理证书。曾任东华工程科技股份有限公司董事、董事会秘书、总法律顾问。现任安徽</w:t>
      </w:r>
      <w:r>
        <w:rPr>
          <w:spacing w:val="43"/>
          <w:w w:val="95"/>
        </w:rPr>
        <w:t> </w:t>
      </w:r>
      <w:r>
        <w:rPr>
          <w:spacing w:val="43"/>
          <w:w w:val="95"/>
        </w:rPr>
      </w:r>
      <w:r>
        <w:rPr/>
        <w:t>华信国际控股股份有限公司独立董事、安徽合力股份有限公司独立董事和本公司独立董事。</w:t>
      </w:r>
    </w:p>
    <w:p>
      <w:pPr>
        <w:pStyle w:val="BodyText"/>
        <w:spacing w:line="273" w:lineRule="auto"/>
        <w:ind w:left="532" w:right="0"/>
        <w:jc w:val="left"/>
      </w:pPr>
      <w:r>
        <w:rPr>
          <w:rFonts w:ascii="宋体" w:hAnsi="宋体" w:cs="宋体" w:eastAsia="宋体" w:hint="default"/>
          <w:b/>
          <w:bCs/>
        </w:rPr>
        <w:t>（二）监事会成员</w:t>
      </w:r>
      <w:r>
        <w:rPr>
          <w:rFonts w:ascii="宋体" w:hAnsi="宋体" w:cs="宋体" w:eastAsia="宋体" w:hint="default"/>
          <w:b/>
          <w:bCs/>
          <w:w w:val="99"/>
        </w:rPr>
        <w:t> </w:t>
      </w:r>
      <w:r>
        <w:rPr>
          <w:w w:val="95"/>
        </w:rPr>
        <w:t>李天华先生：1971年生，中国国籍，无境外永久居留权，本科学历，高级经济师。曾任安徽皖通科技</w:t>
      </w:r>
      <w:r>
        <w:rPr/>
      </w:r>
    </w:p>
    <w:p>
      <w:pPr>
        <w:pStyle w:val="BodyText"/>
        <w:spacing w:line="273" w:lineRule="auto"/>
        <w:ind w:right="0"/>
        <w:jc w:val="left"/>
      </w:pPr>
      <w:r>
        <w:rPr>
          <w:w w:val="95"/>
        </w:rPr>
        <w:t>发展有限公司财务部信息主管、本公司内部审计部负责人，现任本公司监事会主席、子公司天津市天安怡</w:t>
      </w:r>
      <w:r>
        <w:rPr>
          <w:spacing w:val="40"/>
          <w:w w:val="95"/>
        </w:rPr>
        <w:t> </w:t>
      </w:r>
      <w:r>
        <w:rPr>
          <w:spacing w:val="40"/>
          <w:w w:val="95"/>
        </w:rPr>
      </w:r>
      <w:r>
        <w:rPr/>
        <w:t>和信息技术有限公司董事、天津信息港甲子科技有限公司董事。</w:t>
      </w:r>
    </w:p>
    <w:p>
      <w:pPr>
        <w:spacing w:after="0" w:line="273"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0" w:firstLine="420"/>
        <w:jc w:val="both"/>
      </w:pPr>
      <w:r>
        <w:rPr>
          <w:w w:val="95"/>
        </w:rPr>
        <w:t>陈延风先生：1964年生，中国国籍，无境外永久居留权，本科学历，高级经济师。曾任本公司董事会</w:t>
      </w:r>
      <w:r>
        <w:rPr>
          <w:spacing w:val="-97"/>
          <w:w w:val="95"/>
        </w:rPr>
        <w:t> </w:t>
      </w:r>
      <w:r>
        <w:rPr>
          <w:spacing w:val="-97"/>
          <w:w w:val="95"/>
        </w:rPr>
      </w:r>
      <w:r>
        <w:rPr/>
        <w:t>办公室主任、证券事务代表，现任本公司监事、综合管理部经理。</w:t>
      </w:r>
    </w:p>
    <w:p>
      <w:pPr>
        <w:pStyle w:val="BodyText"/>
        <w:spacing w:line="273" w:lineRule="auto" w:before="46"/>
        <w:ind w:right="1130" w:firstLine="420"/>
        <w:jc w:val="both"/>
      </w:pPr>
      <w:r>
        <w:rPr>
          <w:w w:val="95"/>
        </w:rPr>
        <w:t>马晶晶女士：1983年生，中国国籍，无境外永久居留权，本科学历。曾任公司项目管理部职员。现任</w:t>
      </w:r>
      <w:r>
        <w:rPr>
          <w:spacing w:val="-97"/>
          <w:w w:val="95"/>
        </w:rPr>
        <w:t> </w:t>
      </w:r>
      <w:r>
        <w:rPr>
          <w:spacing w:val="-97"/>
          <w:w w:val="95"/>
        </w:rPr>
      </w:r>
      <w:r>
        <w:rPr/>
        <w:t>本公司职工代表监事、党支部书记、项目管理部经理。</w:t>
      </w:r>
    </w:p>
    <w:p>
      <w:pPr>
        <w:pStyle w:val="Heading6"/>
        <w:spacing w:line="240" w:lineRule="auto" w:before="48"/>
        <w:ind w:left="532" w:right="2127"/>
        <w:jc w:val="left"/>
        <w:rPr>
          <w:b w:val="0"/>
          <w:bCs w:val="0"/>
        </w:rPr>
      </w:pPr>
      <w:r>
        <w:rPr/>
        <w:t>（三）高级管理人员</w:t>
      </w:r>
      <w:r>
        <w:rPr>
          <w:b w:val="0"/>
          <w:bCs w:val="0"/>
        </w:rPr>
      </w:r>
    </w:p>
    <w:p>
      <w:pPr>
        <w:pStyle w:val="BodyText"/>
        <w:spacing w:line="273" w:lineRule="auto" w:before="37"/>
        <w:ind w:right="1130" w:firstLine="420"/>
        <w:jc w:val="both"/>
      </w:pPr>
      <w:r>
        <w:rPr/>
        <w:t>廖</w:t>
      </w:r>
      <w:r>
        <w:rPr>
          <w:spacing w:val="71"/>
        </w:rPr>
        <w:t> </w:t>
      </w:r>
      <w:r>
        <w:rPr/>
        <w:t>凯先生：1977年生，中国国籍，无境外永久居留权，本科学历。曾任职于深圳桑达房地产开发有</w:t>
      </w:r>
      <w:r>
        <w:rPr>
          <w:w w:val="99"/>
        </w:rPr>
        <w:t> </w:t>
      </w:r>
      <w:r>
        <w:rPr>
          <w:w w:val="95"/>
        </w:rPr>
        <w:t>限公司、招商局地产控股股份有限公司、深圳市龙光地产股份有限公司，现任本公司总经理、南方银谷科</w:t>
      </w:r>
      <w:r>
        <w:rPr>
          <w:spacing w:val="41"/>
          <w:w w:val="95"/>
        </w:rPr>
        <w:t> </w:t>
      </w:r>
      <w:r>
        <w:rPr>
          <w:spacing w:val="41"/>
          <w:w w:val="95"/>
        </w:rPr>
      </w:r>
      <w:r>
        <w:rPr/>
        <w:t>技有限公司董事。</w:t>
      </w:r>
    </w:p>
    <w:p>
      <w:pPr>
        <w:pStyle w:val="BodyText"/>
        <w:spacing w:line="273" w:lineRule="auto"/>
        <w:ind w:right="1130" w:firstLine="420"/>
        <w:jc w:val="both"/>
      </w:pPr>
      <w:r>
        <w:rPr/>
        <w:t>孙</w:t>
      </w:r>
      <w:r>
        <w:rPr>
          <w:spacing w:val="71"/>
        </w:rPr>
        <w:t> </w:t>
      </w:r>
      <w:r>
        <w:rPr/>
        <w:t>胜先生：1971年生，中国国籍，无境外永久居留权，本科学历，工程师。曾任本公司职工代表监</w:t>
      </w:r>
      <w:r>
        <w:rPr>
          <w:w w:val="99"/>
        </w:rPr>
        <w:t> </w:t>
      </w:r>
      <w:r>
        <w:rPr/>
        <w:t>事、董事，现任本公司副总经理、安徽汉高信息科技有限公司执行监事。</w:t>
      </w:r>
    </w:p>
    <w:p>
      <w:pPr>
        <w:pStyle w:val="BodyText"/>
        <w:spacing w:line="273" w:lineRule="auto"/>
        <w:ind w:right="1130" w:firstLine="420"/>
        <w:jc w:val="both"/>
      </w:pPr>
      <w:r>
        <w:rPr/>
        <w:t>孔</w:t>
      </w:r>
      <w:r>
        <w:rPr>
          <w:spacing w:val="71"/>
        </w:rPr>
        <w:t> </w:t>
      </w:r>
      <w:r>
        <w:rPr/>
        <w:t>梅女士：1969年生，中国国籍，无境外永久居留权，大专学历。曾任安徽皖通科技发展有限公司</w:t>
      </w:r>
      <w:r>
        <w:rPr>
          <w:w w:val="99"/>
        </w:rPr>
        <w:t> </w:t>
      </w:r>
      <w:r>
        <w:rPr/>
        <w:t>总经理助理，现任本公司副总经理、子公司安徽皖通城市智能交通科技有限公司董事长。</w:t>
      </w:r>
    </w:p>
    <w:p>
      <w:pPr>
        <w:pStyle w:val="BodyText"/>
        <w:spacing w:line="273" w:lineRule="auto"/>
        <w:ind w:right="1130" w:firstLine="420"/>
        <w:jc w:val="both"/>
      </w:pPr>
      <w:r>
        <w:rPr>
          <w:w w:val="95"/>
        </w:rPr>
        <w:t>卢玉平先生：1985年生，中国国籍，无境外永久居留权，本科学历，中国注册会计师协会会员（非执</w:t>
      </w:r>
      <w:r>
        <w:rPr>
          <w:w w:val="99"/>
        </w:rPr>
        <w:t> </w:t>
      </w:r>
      <w:r>
        <w:rPr>
          <w:w w:val="95"/>
        </w:rPr>
        <w:t>业）。曾任华普天健会计师事务所（特殊普通合伙）审计职务，本公司财务部经理，现任本公司财务负责</w:t>
      </w:r>
      <w:r>
        <w:rPr>
          <w:spacing w:val="40"/>
          <w:w w:val="95"/>
        </w:rPr>
        <w:t> </w:t>
      </w:r>
      <w:r>
        <w:rPr>
          <w:spacing w:val="40"/>
          <w:w w:val="95"/>
        </w:rPr>
      </w:r>
      <w:r>
        <w:rPr>
          <w:w w:val="95"/>
        </w:rPr>
        <w:t>人、子公司重庆皖通科技有限责任公司董事、安徽行云天下科技有限公司监事、成都赛英科技有限公司董   </w:t>
      </w:r>
      <w:r>
        <w:rPr>
          <w:spacing w:val="40"/>
          <w:w w:val="95"/>
        </w:rPr>
        <w:t> </w:t>
      </w:r>
      <w:r>
        <w:rPr>
          <w:spacing w:val="40"/>
          <w:w w:val="95"/>
        </w:rPr>
      </w:r>
      <w:r>
        <w:rPr/>
        <w:t>事。</w:t>
      </w:r>
    </w:p>
    <w:p>
      <w:pPr>
        <w:pStyle w:val="BodyText"/>
        <w:spacing w:line="273" w:lineRule="auto"/>
        <w:ind w:right="1025" w:firstLine="420"/>
        <w:jc w:val="left"/>
      </w:pPr>
      <w:r>
        <w:rPr>
          <w:spacing w:val="2"/>
        </w:rPr>
        <w:t>潘大圣先生：1979年生，中国国籍，无境外永久居留权，工商管理硕士，高级工程师。2002年7月至</w:t>
      </w:r>
      <w:r>
        <w:rPr>
          <w:w w:val="99"/>
        </w:rPr>
        <w:t> </w:t>
      </w:r>
      <w:r>
        <w:rPr/>
        <w:t>今在公司任职，曾任公司交通工程事业部下商务部经理、公司董事会办公室主任、证券事务代表。现任本</w:t>
      </w:r>
      <w:r>
        <w:rPr>
          <w:w w:val="99"/>
        </w:rPr>
        <w:t> </w:t>
      </w:r>
      <w:r>
        <w:rPr>
          <w:spacing w:val="-3"/>
        </w:rPr>
        <w:t>公司副总经理、董事会秘书、安徽皖通城市智能交通科技有限公司董事、重庆皖通科技有限责任公司董事、</w:t>
      </w:r>
      <w:r>
        <w:rPr>
          <w:w w:val="99"/>
        </w:rPr>
        <w:t> </w:t>
      </w:r>
      <w:r>
        <w:rPr/>
        <w:t>武汉宏途科技有限公司董事、成都赛英科技有限公司董事。</w:t>
      </w:r>
    </w:p>
    <w:p>
      <w:pPr>
        <w:pStyle w:val="BodyText"/>
        <w:spacing w:line="273" w:lineRule="auto"/>
        <w:ind w:right="0" w:firstLine="420"/>
        <w:jc w:val="left"/>
      </w:pPr>
      <w:r>
        <w:rPr>
          <w:w w:val="95"/>
        </w:rPr>
        <w:t>汪博涵先生：1984年生，中国国籍，无境外永久居留权，理学学士。曾任职于南方基金、东方证券，</w:t>
      </w:r>
      <w:r>
        <w:rPr>
          <w:spacing w:val="-79"/>
          <w:w w:val="95"/>
        </w:rPr>
        <w:t> </w:t>
      </w:r>
      <w:r>
        <w:rPr>
          <w:spacing w:val="-79"/>
          <w:w w:val="95"/>
        </w:rPr>
      </w:r>
      <w:r>
        <w:rPr/>
        <w:t>历任南方银谷科技有限公司高级副总裁，现任本公司副总经理、南方银谷科技有限公司董事。</w:t>
      </w:r>
    </w:p>
    <w:p>
      <w:pPr>
        <w:spacing w:before="74"/>
        <w:ind w:left="112" w:right="212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7"/>
        <w:gridCol w:w="3230"/>
        <w:gridCol w:w="1077"/>
        <w:gridCol w:w="1238"/>
        <w:gridCol w:w="1350"/>
        <w:gridCol w:w="1456"/>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2"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04</w:t>
            </w:r>
            <w:r>
              <w:rPr>
                <w:rFonts w:ascii="宋体" w:hAnsi="宋体" w:cs="宋体" w:eastAsia="宋体" w:hint="default"/>
                <w:spacing w:val="-6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2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11</w:t>
            </w:r>
            <w:r>
              <w:rPr>
                <w:rFonts w:ascii="宋体" w:hAnsi="宋体" w:cs="宋体" w:eastAsia="宋体" w:hint="default"/>
                <w:spacing w:val="-6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30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2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08</w:t>
            </w:r>
            <w:r>
              <w:rPr>
                <w:rFonts w:ascii="宋体" w:hAnsi="宋体" w:cs="宋体" w:eastAsia="宋体" w:hint="default"/>
                <w:spacing w:val="-6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李臻</w:t>
            </w:r>
          </w:p>
        </w:tc>
        <w:tc>
          <w:tcPr>
            <w:tcW w:w="32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上海执古资产管理有限公司</w:t>
            </w:r>
          </w:p>
        </w:tc>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执行董事、总</w:t>
            </w:r>
            <w:r>
              <w:rPr>
                <w:rFonts w:ascii="宋体" w:hAnsi="宋体" w:cs="宋体" w:eastAsia="宋体" w:hint="default"/>
                <w:sz w:val="18"/>
                <w:szCs w:val="18"/>
              </w:rPr>
              <w:t> 经理</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10</w:t>
            </w:r>
            <w:r>
              <w:rPr>
                <w:rFonts w:ascii="宋体" w:hAnsi="宋体" w:cs="宋体" w:eastAsia="宋体" w:hint="default"/>
                <w:spacing w:val="-6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160"/>
        <w:gridCol w:w="1350"/>
        <w:gridCol w:w="1455"/>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91"/>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8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1"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2"/>
              <w:jc w:val="right"/>
              <w:rPr>
                <w:rFonts w:ascii="宋体" w:hAnsi="宋体" w:cs="宋体" w:eastAsia="宋体" w:hint="default"/>
                <w:sz w:val="18"/>
                <w:szCs w:val="18"/>
              </w:rPr>
            </w:pPr>
            <w:r>
              <w:rPr>
                <w:rFonts w:ascii="宋体" w:hAnsi="宋体" w:cs="宋体" w:eastAsia="宋体" w:hint="default"/>
                <w:sz w:val="18"/>
                <w:szCs w:val="18"/>
              </w:rPr>
              <w:t>广东电视地铁传播有限公司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8"/>
                <w:sz w:val="18"/>
                <w:szCs w:val="18"/>
              </w:rPr>
              <w:t>董事长、经理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1082"/>
              <w:jc w:val="right"/>
              <w:rPr>
                <w:rFonts w:ascii="宋体" w:hAnsi="宋体" w:cs="宋体" w:eastAsia="宋体" w:hint="default"/>
                <w:sz w:val="18"/>
                <w:szCs w:val="18"/>
              </w:rPr>
            </w:pPr>
            <w:r>
              <w:rPr>
                <w:rFonts w:ascii="宋体" w:hAnsi="宋体" w:cs="宋体" w:eastAsia="宋体" w:hint="default"/>
                <w:sz w:val="18"/>
                <w:szCs w:val="18"/>
              </w:rPr>
              <w:t>上海东方银谷科技有限公司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pacing w:val="-8"/>
                <w:sz w:val="18"/>
                <w:szCs w:val="18"/>
              </w:rPr>
              <w:t>董事长、总经</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160"/>
        <w:gridCol w:w="1350"/>
        <w:gridCol w:w="1455"/>
      </w:tblGrid>
      <w:tr>
        <w:trPr>
          <w:trHeight w:val="362"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上海南方银谷科技有限公司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深圳市花生科技有限公司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新余银谷投资管理有限公司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国信银谷科技（深圳）有限公司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深圳市银谷科技有限公司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深圳花生互娱科技有限公司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北京花生文化传媒有限公司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北京北部银谷科技有限公司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深圳柚子投资有限公司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深圳银谷建科网络有限公司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深圳市银谷动力投资发展有限公司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天津津铁银谷科技发展有限公司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广州乐途网络科技有限公司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新余坚果资产管理中心（有限合伙）</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160"/>
        <w:gridCol w:w="1350"/>
        <w:gridCol w:w="1455"/>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安徽大学法学院</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1993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合肥百货大楼集团股份有限公司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黄山永新股份有限公司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合肥泰禾光电科技股份有限公司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中国科技大学管理学院</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1991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安徽丰原药业股份有限公司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平光制药股份有限公司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欧普康视科技股份有限公司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安徽华信国际控股股份有限公司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安徽合力股份有限公司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国信银谷科技(深圳)有限公司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深圳银谷建科网络有限公司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160"/>
        <w:gridCol w:w="1350"/>
        <w:gridCol w:w="1455"/>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深圳市花生科技有限公司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深圳市马福科技有限公司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北京北部银谷科技有限公司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新余银谷投资管理有限公司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上海东方银谷科技有限公司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深圳市优加生活网络科技有限公司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2"/>
          <w:szCs w:val="12"/>
        </w:rPr>
      </w:pPr>
    </w:p>
    <w:p>
      <w:pPr>
        <w:pStyle w:val="BodyText"/>
        <w:spacing w:line="408" w:lineRule="auto" w:before="0"/>
        <w:ind w:right="0" w:firstLine="420"/>
        <w:jc w:val="left"/>
      </w:pPr>
      <w:r>
        <w:rPr>
          <w:w w:val="95"/>
        </w:rPr>
        <w:t>公司董事会薪酬与考核委员会负责对高级管理人员的工作能力、履职情况、责任目标完成情况等进行</w:t>
      </w:r>
      <w:r>
        <w:rPr>
          <w:w w:val="99"/>
        </w:rPr>
        <w:t> </w:t>
      </w:r>
      <w:r>
        <w:rPr>
          <w:w w:val="95"/>
        </w:rPr>
        <w:t>综合考评，制定薪酬计划或方案报董事会审批，独立董事每年对董事、监事及高级管理人员的薪酬情况进</w:t>
      </w:r>
      <w:r>
        <w:rPr/>
      </w:r>
    </w:p>
    <w:p>
      <w:pPr>
        <w:spacing w:after="0" w:line="408"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408" w:lineRule="auto" w:before="173"/>
        <w:ind w:right="1025"/>
        <w:jc w:val="left"/>
      </w:pPr>
      <w:r>
        <w:rPr/>
        <w:t>行核查，并发表独立意见。公司建立了完善的董事、监事及高级管理人员绩效考评体系和薪酬制度，根据</w:t>
      </w:r>
      <w:r>
        <w:rPr>
          <w:w w:val="99"/>
        </w:rPr>
        <w:t> </w:t>
      </w:r>
      <w:r>
        <w:rPr>
          <w:spacing w:val="-3"/>
        </w:rPr>
        <w:t>经营业绩、管理绩效、个人绩效等指标考核情况，确定相关人员薪酬，通过持续强化激励措施和考核管理，</w:t>
      </w:r>
      <w:r>
        <w:rPr>
          <w:w w:val="99"/>
        </w:rPr>
        <w:t> </w:t>
      </w:r>
      <w:r>
        <w:rPr/>
        <w:t>提升企业管理水平、运营能力和经济效益。</w:t>
      </w:r>
    </w:p>
    <w:p>
      <w:pPr>
        <w:spacing w:before="33"/>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2" w:firstLine="0"/>
        <w:jc w:val="right"/>
        <w:rPr>
          <w:rFonts w:ascii="宋体" w:hAnsi="宋体" w:cs="宋体" w:eastAsia="宋体" w:hint="default"/>
          <w:sz w:val="18"/>
          <w:szCs w:val="18"/>
        </w:rPr>
      </w:pPr>
      <w:r>
        <w:rPr/>
        <w:pict>
          <v:shape style="position:absolute;margin-left:187.559006pt;margin-top:99.211708pt;width:74.2pt;height:35.3pt;mso-position-horizontal-relative:page;mso-position-vertical-relative:paragraph;z-index:-1108480"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3.649994pt;margin-top:99.211708pt;width:68.1pt;height:35.450pt;mso-position-horizontal-relative:page;mso-position-vertical-relative:paragraph;z-index:-1108456" coordorigin="3873,1984" coordsize="1362,709">
            <v:shape style="position:absolute;left:3873;top:1984;width:1362;height:709" coordorigin="3873,1984" coordsize="1362,709" path="m3873,1984l5235,1984,5235,2693,3873,2693,3873,1984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112"/>
              <w:jc w:val="left"/>
              <w:rPr>
                <w:rFonts w:ascii="宋体" w:hAnsi="宋体" w:cs="宋体" w:eastAsia="宋体" w:hint="default"/>
                <w:sz w:val="18"/>
                <w:szCs w:val="18"/>
              </w:rPr>
            </w:pPr>
            <w:r>
              <w:rPr>
                <w:rFonts w:ascii="宋体" w:hAnsi="宋体" w:cs="宋体" w:eastAsia="宋体" w:hint="default"/>
                <w:spacing w:val="-6"/>
                <w:sz w:val="18"/>
                <w:szCs w:val="18"/>
              </w:rPr>
              <w:t>董事、副董事长</w:t>
            </w:r>
            <w:r>
              <w:rPr>
                <w:rFonts w:ascii="宋体" w:hAnsi="宋体" w:cs="宋体" w:eastAsia="宋体" w:hint="default"/>
                <w:sz w:val="18"/>
                <w:szCs w:val="18"/>
              </w:rPr>
              <w:t>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赵梦</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监事、监事会主 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陈延风</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竺进</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8"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613" w:space="4305"/>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98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报告期内 可行权股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7"/>
              <w:jc w:val="left"/>
              <w:rPr>
                <w:rFonts w:ascii="宋体" w:hAnsi="宋体" w:cs="宋体" w:eastAsia="宋体" w:hint="default"/>
                <w:sz w:val="18"/>
                <w:szCs w:val="18"/>
              </w:rPr>
            </w:pPr>
            <w:r>
              <w:rPr>
                <w:rFonts w:ascii="宋体" w:hAnsi="宋体" w:cs="宋体" w:eastAsia="宋体" w:hint="default"/>
                <w:sz w:val="18"/>
                <w:szCs w:val="18"/>
              </w:rPr>
              <w:t>报告期内 已行权股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报告期内 已行权股 数行权价</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firstLine="43"/>
              <w:jc w:val="left"/>
              <w:rPr>
                <w:rFonts w:ascii="宋体" w:hAnsi="宋体" w:cs="宋体" w:eastAsia="宋体" w:hint="default"/>
                <w:sz w:val="18"/>
                <w:szCs w:val="18"/>
              </w:rPr>
            </w:pPr>
            <w:r>
              <w:rPr>
                <w:rFonts w:ascii="宋体" w:hAnsi="宋体" w:cs="宋体" w:eastAsia="宋体" w:hint="default"/>
                <w:sz w:val="18"/>
                <w:szCs w:val="18"/>
              </w:rPr>
              <w:t>报告期末 市价（元/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期初持有 限制性股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本期已解 锁股份数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7"/>
              <w:jc w:val="both"/>
              <w:rPr>
                <w:rFonts w:ascii="宋体" w:hAnsi="宋体" w:cs="宋体" w:eastAsia="宋体" w:hint="default"/>
                <w:sz w:val="18"/>
                <w:szCs w:val="18"/>
              </w:rPr>
            </w:pPr>
            <w:r>
              <w:rPr>
                <w:rFonts w:ascii="宋体" w:hAnsi="宋体" w:cs="宋体" w:eastAsia="宋体" w:hint="default"/>
                <w:sz w:val="18"/>
                <w:szCs w:val="18"/>
              </w:rPr>
              <w:t>报告期新 授予限制 性股票数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2" w:firstLine="43"/>
              <w:jc w:val="both"/>
              <w:rPr>
                <w:rFonts w:ascii="宋体" w:hAnsi="宋体" w:cs="宋体" w:eastAsia="宋体" w:hint="default"/>
                <w:sz w:val="18"/>
                <w:szCs w:val="18"/>
              </w:rPr>
            </w:pPr>
            <w:r>
              <w:rPr>
                <w:rFonts w:ascii="宋体" w:hAnsi="宋体" w:cs="宋体" w:eastAsia="宋体" w:hint="default"/>
                <w:sz w:val="18"/>
                <w:szCs w:val="18"/>
              </w:rPr>
              <w:t>限制性股 票的授予 价格（元/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7"/>
              <w:jc w:val="left"/>
              <w:rPr>
                <w:rFonts w:ascii="宋体" w:hAnsi="宋体" w:cs="宋体" w:eastAsia="宋体" w:hint="default"/>
                <w:sz w:val="18"/>
                <w:szCs w:val="18"/>
              </w:rPr>
            </w:pPr>
            <w:r>
              <w:rPr>
                <w:rFonts w:ascii="宋体" w:hAnsi="宋体" w:cs="宋体" w:eastAsia="宋体" w:hint="default"/>
                <w:sz w:val="18"/>
                <w:szCs w:val="18"/>
              </w:rPr>
              <w:t>期末持有 限制性股</w:t>
            </w:r>
          </w:p>
        </w:tc>
      </w:tr>
    </w:tbl>
    <w:p>
      <w:pPr>
        <w:spacing w:after="0" w:line="316"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r>
        <w:rPr/>
        <w:pict>
          <v:shape style="position:absolute;margin-left:267.959015pt;margin-top:72.400024pt;width:49.3pt;height:17.7pt;mso-position-horizontal-relative:page;mso-position-vertical-relative:page;z-index:-1108432" type="#_x0000_t202" filled="false" stroked="false">
            <v:textbox inset="0,0,0,0">
              <w:txbxContent>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36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7"/>
                <w:sz w:val="18"/>
                <w:szCs w:val="18"/>
              </w:rPr>
              <w:t>格</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票数量</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22"/>
              <w:jc w:val="left"/>
              <w:rPr>
                <w:rFonts w:ascii="宋体" w:hAnsi="宋体" w:cs="宋体" w:eastAsia="宋体" w:hint="default"/>
                <w:sz w:val="18"/>
                <w:szCs w:val="18"/>
              </w:rPr>
            </w:pPr>
            <w:r>
              <w:rPr>
                <w:rFonts w:ascii="宋体" w:hAnsi="宋体" w:cs="宋体" w:eastAsia="宋体" w:hint="default"/>
                <w:spacing w:val="-18"/>
                <w:sz w:val="18"/>
                <w:szCs w:val="18"/>
              </w:rPr>
              <w:t>董事、副董</w:t>
            </w:r>
            <w:r>
              <w:rPr>
                <w:rFonts w:ascii="宋体" w:hAnsi="宋体" w:cs="宋体" w:eastAsia="宋体" w:hint="default"/>
                <w:sz w:val="18"/>
                <w:szCs w:val="18"/>
              </w:rPr>
              <w:t> 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86,800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86,800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74,400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11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68,200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113"/>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49,600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49,600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410,800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410,800</w:t>
            </w:r>
          </w:p>
        </w:tc>
      </w:tr>
    </w:tbl>
    <w:p>
      <w:pPr>
        <w:spacing w:line="240" w:lineRule="auto" w:before="1"/>
        <w:rPr>
          <w:rFonts w:ascii="宋体" w:hAnsi="宋体" w:cs="宋体" w:eastAsia="宋体" w:hint="default"/>
          <w:sz w:val="18"/>
          <w:szCs w:val="18"/>
        </w:rPr>
      </w:pPr>
    </w:p>
    <w:p>
      <w:pPr>
        <w:pStyle w:val="Heading4"/>
        <w:spacing w:line="240" w:lineRule="auto" w:before="26"/>
        <w:ind w:right="2127"/>
        <w:jc w:val="left"/>
        <w:rPr>
          <w:b w:val="0"/>
          <w:bCs w:val="0"/>
        </w:rPr>
      </w:pPr>
      <w:r>
        <w:rPr/>
        <w:pict>
          <v:shape style="position:absolute;margin-left:137.399994pt;margin-top:-83.293373pt;width:49.4pt;height:50.9pt;mso-position-horizontal-relative:page;mso-position-vertical-relative:paragraph;z-index:-1108408"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43.550003pt;margin-top:-83.293373pt;width:43.25pt;height:51.05pt;mso-position-horizontal-relative:page;mso-position-vertical-relative:paragraph;z-index:-1108384" coordorigin="2871,-1666" coordsize="865,1021">
            <v:shape style="position:absolute;left:2871;top:-1666;width:865;height:1021" coordorigin="2871,-1666" coordsize="865,1021" path="m2871,-1666l3736,-1666,3736,-645,2871,-645,2871,-1666xe" filled="true" fillcolor="#ffffff" stroked="false">
              <v:path arrowok="t"/>
              <v:fill type="solid"/>
            </v:shape>
            <w10:wrap type="none"/>
          </v:group>
        </w:pict>
      </w: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员工数量、专业构成及教育程度" w:id="129"/>
      <w:bookmarkEnd w:id="129"/>
      <w:r>
        <w:rPr>
          <w:b w:val="0"/>
          <w:bCs w:val="0"/>
        </w:rPr>
      </w:r>
      <w:r>
        <w:rPr/>
        <w:t>1、员工数量、专业构成及教育程度</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1,416</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105</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
        <w:rPr>
          <w:rFonts w:ascii="宋体" w:hAnsi="宋体" w:cs="宋体" w:eastAsia="宋体" w:hint="default"/>
          <w:b/>
          <w:bCs/>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37;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9100;top:120;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1,416</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b/>
          <w:bCs/>
          <w:sz w:val="19"/>
          <w:szCs w:val="19"/>
        </w:rPr>
      </w:pPr>
    </w:p>
    <w:p>
      <w:pPr>
        <w:pStyle w:val="Heading6"/>
        <w:spacing w:line="240" w:lineRule="auto" w:before="34"/>
        <w:ind w:right="2127"/>
        <w:jc w:val="left"/>
        <w:rPr>
          <w:b w:val="0"/>
          <w:bCs w:val="0"/>
        </w:rPr>
      </w:pPr>
      <w:bookmarkStart w:name="2、薪酬政策" w:id="130"/>
      <w:bookmarkEnd w:id="130"/>
      <w:r>
        <w:rPr>
          <w:b w:val="0"/>
          <w:bCs w:val="0"/>
        </w:rPr>
      </w:r>
      <w:r>
        <w:rPr/>
        <w:t>2、薪酬政策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112" w:firstLine="420"/>
        <w:jc w:val="both"/>
      </w:pPr>
      <w:r>
        <w:rPr>
          <w:w w:val="95"/>
        </w:rPr>
        <w:t>公司严格按照《劳动法》、《劳动合同法》等相关法律法规和《公司章程》的规定，结合企业发展实</w:t>
      </w:r>
      <w:r>
        <w:rPr>
          <w:w w:val="99"/>
        </w:rPr>
        <w:t> </w:t>
      </w:r>
      <w:r>
        <w:rPr>
          <w:w w:val="95"/>
        </w:rPr>
        <w:t>际情况，坚持以绩效为导向，制定并持续完善科学、合理、公平、有竞争力的薪酬制度。按照工作职能，</w:t>
      </w:r>
      <w:r>
        <w:rPr>
          <w:spacing w:val="61"/>
          <w:w w:val="95"/>
        </w:rPr>
        <w:t> </w:t>
      </w:r>
      <w:r>
        <w:rPr>
          <w:spacing w:val="61"/>
          <w:w w:val="95"/>
        </w:rPr>
      </w:r>
      <w:r>
        <w:rPr>
          <w:w w:val="95"/>
        </w:rPr>
        <w:t>公司岗位分为五个系列：管理系列、管理辅助系列、市场销售系列、软件设计系列和项目管理系列；每个</w:t>
      </w:r>
      <w:r>
        <w:rPr>
          <w:spacing w:val="43"/>
          <w:w w:val="95"/>
        </w:rPr>
        <w:t> </w:t>
      </w:r>
      <w:r>
        <w:rPr>
          <w:spacing w:val="43"/>
          <w:w w:val="95"/>
        </w:rPr>
      </w:r>
      <w:r>
        <w:rPr/>
        <w:t>系列设定为初级、中级、高级等多个级别，对应不同的薪资档位。</w:t>
      </w:r>
    </w:p>
    <w:p>
      <w:pPr>
        <w:pStyle w:val="BodyText"/>
        <w:spacing w:line="408" w:lineRule="auto" w:before="87"/>
        <w:ind w:right="1130" w:firstLine="420"/>
        <w:jc w:val="both"/>
      </w:pPr>
      <w:r>
        <w:rPr>
          <w:w w:val="95"/>
        </w:rPr>
        <w:t>公司实行动态的薪酬调整和管理制度，探索多元化的激励机制，激发全员积极性和主观能动性，努力</w:t>
      </w:r>
      <w:r>
        <w:rPr>
          <w:spacing w:val="-97"/>
          <w:w w:val="95"/>
        </w:rPr>
        <w:t> </w:t>
      </w:r>
      <w:r>
        <w:rPr>
          <w:spacing w:val="-97"/>
          <w:w w:val="95"/>
        </w:rPr>
      </w:r>
      <w:r>
        <w:rPr/>
        <w:t>实现员工能力、贡献与价值分配的统一。</w:t>
      </w:r>
    </w:p>
    <w:p>
      <w:pPr>
        <w:spacing w:before="33"/>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p>
    <w:p>
      <w:pPr>
        <w:spacing w:line="240" w:lineRule="auto" w:before="12"/>
        <w:rPr>
          <w:rFonts w:ascii="宋体" w:hAnsi="宋体" w:cs="宋体" w:eastAsia="宋体" w:hint="default"/>
          <w:sz w:val="12"/>
          <w:szCs w:val="12"/>
        </w:rPr>
      </w:pPr>
    </w:p>
    <w:p>
      <w:pPr>
        <w:pStyle w:val="BodyText"/>
        <w:spacing w:line="408" w:lineRule="auto" w:before="0"/>
        <w:ind w:right="1129" w:firstLine="420"/>
        <w:jc w:val="both"/>
      </w:pPr>
      <w:r>
        <w:rPr>
          <w:spacing w:val="-3"/>
        </w:rPr>
        <w:t>报告期内，职工薪酬总额（计入成本部分）占公司总成本的比例为</w:t>
      </w:r>
      <w:r>
        <w:rPr>
          <w:spacing w:val="-46"/>
        </w:rPr>
        <w:t> </w:t>
      </w:r>
      <w:r>
        <w:rPr/>
        <w:t>16.54%，去年同期15.93%。以2018</w:t>
      </w:r>
      <w:r>
        <w:rPr>
          <w:w w:val="99"/>
        </w:rPr>
        <w:t> </w:t>
      </w:r>
      <w:r>
        <w:rPr>
          <w:spacing w:val="2"/>
          <w:w w:val="95"/>
        </w:rPr>
        <w:t>年公司利润总额和职工薪酬总额为基数，公司利润总额对职工薪酬总额变化的敏感性系数为1.5倍。报告</w:t>
      </w:r>
      <w:r>
        <w:rPr>
          <w:spacing w:val="48"/>
          <w:w w:val="95"/>
        </w:rPr>
        <w:t> </w:t>
      </w:r>
      <w:r>
        <w:rPr>
          <w:spacing w:val="48"/>
          <w:w w:val="95"/>
        </w:rPr>
      </w:r>
      <w:r>
        <w:rPr>
          <w:w w:val="95"/>
        </w:rPr>
        <w:t>期内核心技术人员数量占在职员工数量的15.82%，核心技术人员薪酬占薪酬总额的19.33%。与上年同期相</w:t>
      </w:r>
      <w:r>
        <w:rPr>
          <w:spacing w:val="37"/>
          <w:w w:val="95"/>
        </w:rPr>
        <w:t> </w:t>
      </w:r>
      <w:r>
        <w:rPr>
          <w:spacing w:val="37"/>
          <w:w w:val="95"/>
        </w:rPr>
      </w:r>
      <w:r>
        <w:rPr/>
        <w:t>比变化不大。</w:t>
      </w:r>
    </w:p>
    <w:p>
      <w:pPr>
        <w:spacing w:line="240" w:lineRule="auto" w:before="8"/>
        <w:rPr>
          <w:rFonts w:ascii="宋体" w:hAnsi="宋体" w:cs="宋体" w:eastAsia="宋体" w:hint="default"/>
          <w:sz w:val="20"/>
          <w:szCs w:val="20"/>
        </w:rPr>
      </w:pPr>
    </w:p>
    <w:p>
      <w:pPr>
        <w:pStyle w:val="Heading6"/>
        <w:spacing w:line="240" w:lineRule="auto"/>
        <w:ind w:right="2127"/>
        <w:jc w:val="left"/>
        <w:rPr>
          <w:b w:val="0"/>
          <w:bCs w:val="0"/>
        </w:rPr>
      </w:pPr>
      <w:bookmarkStart w:name="3、培训计划" w:id="131"/>
      <w:bookmarkEnd w:id="131"/>
      <w:r>
        <w:rPr>
          <w:b w:val="0"/>
          <w:bCs w:val="0"/>
        </w:rPr>
      </w:r>
      <w:r>
        <w:rPr/>
        <w:t>3、培训计划</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132" w:firstLine="420"/>
        <w:jc w:val="both"/>
      </w:pPr>
      <w:r>
        <w:rPr>
          <w:w w:val="95"/>
        </w:rPr>
        <w:t>公司以战略驱动、组织驱动及个人需求驱动为出发点，持续健全完善企业培训体系，推进员工职业生</w:t>
      </w:r>
      <w:r>
        <w:rPr>
          <w:w w:val="99"/>
        </w:rPr>
        <w:t> </w:t>
      </w:r>
      <w:r>
        <w:rPr>
          <w:w w:val="95"/>
        </w:rPr>
        <w:t>涯规划工作，畅通各类人才的职业发展和晋升通道，开展以内部交流、外聘专家授课和赴国内外先进企业</w:t>
      </w:r>
      <w:r>
        <w:rPr>
          <w:spacing w:val="40"/>
          <w:w w:val="95"/>
        </w:rPr>
        <w:t> </w:t>
      </w:r>
      <w:r>
        <w:rPr>
          <w:spacing w:val="40"/>
          <w:w w:val="95"/>
        </w:rPr>
      </w:r>
      <w:r>
        <w:rPr>
          <w:w w:val="95"/>
        </w:rPr>
        <w:t>学习等多种形式、多种渠道、多种载体的岗位培训，提升员工专业技能和职业资格，开拓员工视野，搭建</w:t>
      </w:r>
      <w:r>
        <w:rPr>
          <w:spacing w:val="39"/>
          <w:w w:val="95"/>
        </w:rPr>
        <w:t> </w:t>
      </w:r>
      <w:r>
        <w:rPr>
          <w:spacing w:val="39"/>
          <w:w w:val="95"/>
        </w:rPr>
      </w:r>
      <w:r>
        <w:rPr/>
        <w:t>适应企业发展的多层次、复合型人才梯队。</w:t>
      </w:r>
    </w:p>
    <w:p>
      <w:pPr>
        <w:spacing w:line="240" w:lineRule="auto" w:before="8"/>
        <w:rPr>
          <w:rFonts w:ascii="宋体" w:hAnsi="宋体" w:cs="宋体" w:eastAsia="宋体" w:hint="default"/>
          <w:sz w:val="20"/>
          <w:szCs w:val="20"/>
        </w:rPr>
      </w:pPr>
    </w:p>
    <w:p>
      <w:pPr>
        <w:pStyle w:val="Heading6"/>
        <w:spacing w:line="240" w:lineRule="auto"/>
        <w:ind w:right="2127"/>
        <w:jc w:val="left"/>
        <w:rPr>
          <w:b w:val="0"/>
          <w:bCs w:val="0"/>
        </w:rPr>
      </w:pPr>
      <w:bookmarkStart w:name="4、劳务外包情况" w:id="132"/>
      <w:bookmarkEnd w:id="132"/>
      <w:r>
        <w:rPr>
          <w:b w:val="0"/>
          <w:bCs w:val="0"/>
        </w:rPr>
      </w:r>
      <w:r>
        <w:rPr/>
        <w:t>4、劳务外包情况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24"/>
          <w:pgSz w:w="11910" w:h="16840"/>
          <w:pgMar w:footer="978" w:header="746" w:top="1060" w:bottom="1160" w:left="1020" w:right="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17"/>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0" w:firstLine="480"/>
        <w:jc w:val="both"/>
      </w:pPr>
      <w:r>
        <w:rPr>
          <w:spacing w:val="-2"/>
        </w:rPr>
        <w:t>报告期内，公司严格按照《公司法》、《证券法》、《上市公司治理准则》、《深圳证券交易所股票</w:t>
      </w:r>
      <w:r>
        <w:rPr>
          <w:w w:val="99"/>
        </w:rPr>
        <w:t> </w:t>
      </w:r>
      <w:r>
        <w:rPr>
          <w:w w:val="95"/>
        </w:rPr>
        <w:t>上市规则》、《深圳证券交易所中小企业板上市公司规范运作指引》等法律法规和规范性文件要求，不断</w:t>
      </w:r>
      <w:r>
        <w:rPr>
          <w:spacing w:val="43"/>
          <w:w w:val="95"/>
        </w:rPr>
        <w:t> </w:t>
      </w:r>
      <w:r>
        <w:rPr>
          <w:spacing w:val="43"/>
          <w:w w:val="95"/>
        </w:rPr>
      </w:r>
      <w:r>
        <w:rPr>
          <w:w w:val="95"/>
        </w:rPr>
        <w:t>完善公司法人治理结构，建立健全内部管理和控制制度，进一步提高公司治理水平。目前，公司整体运作</w:t>
      </w:r>
      <w:r>
        <w:rPr>
          <w:spacing w:val="43"/>
          <w:w w:val="95"/>
        </w:rPr>
        <w:t> </w:t>
      </w:r>
      <w:r>
        <w:rPr>
          <w:spacing w:val="43"/>
          <w:w w:val="95"/>
        </w:rPr>
      </w:r>
      <w:r>
        <w:rPr/>
        <w:t>规范，信息披露规范，实际情况与中国证监会发布的有关上市公司治理规范性文件的要求基本符合。</w:t>
      </w:r>
    </w:p>
    <w:p>
      <w:pPr>
        <w:pStyle w:val="BodyText"/>
        <w:spacing w:line="240" w:lineRule="auto" w:before="87"/>
        <w:ind w:left="532" w:right="2127"/>
        <w:jc w:val="left"/>
      </w:pPr>
      <w:r>
        <w:rPr/>
        <w:t>报告期内，公司建立和修订的治理制度：</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32"/>
        <w:gridCol w:w="6990"/>
        <w:gridCol w:w="1432"/>
      </w:tblGrid>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披露载体</w:t>
            </w:r>
          </w:p>
        </w:tc>
      </w:tr>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2018-02-10</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6"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安徽皖通科技股份有限公司第一期限制性股票激励计划实施考核管理办法</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2018-04-17</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安徽皖通科技股份有限公司控股子公司管理制度（2018年4月）</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2018-04-17</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安徽皖通科技股份有限公司章程（2018年4月）</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2018-08-08</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安徽皖通科技股份有限公司章程（2018年8月）</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2018-12-27</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安徽皖通科技股份有限公司章程（2018年12月）</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408" w:lineRule="auto" w:before="62"/>
        <w:ind w:left="592" w:right="0" w:hanging="60"/>
        <w:jc w:val="left"/>
      </w:pPr>
      <w:r>
        <w:rPr/>
        <w:t>（一）关于股东与股东大会</w:t>
      </w:r>
      <w:r>
        <w:rPr>
          <w:w w:val="99"/>
        </w:rPr>
        <w:t> </w:t>
      </w:r>
      <w:r>
        <w:rPr/>
        <w:t>报告期内，公司共召开了4次股东大会。公司严格按照《公司章程》和《公司股东大会议事规则》的</w:t>
      </w:r>
    </w:p>
    <w:p>
      <w:pPr>
        <w:pStyle w:val="BodyText"/>
        <w:spacing w:line="408" w:lineRule="auto" w:before="46"/>
        <w:ind w:right="1130"/>
        <w:jc w:val="both"/>
      </w:pPr>
      <w:r>
        <w:rPr>
          <w:w w:val="95"/>
        </w:rPr>
        <w:t>规定和要求，规范股东大会的召集、召开及议事程序，并聘请律师出席见证，能够确保全体股东尤其是中</w:t>
      </w:r>
      <w:r>
        <w:rPr>
          <w:spacing w:val="44"/>
          <w:w w:val="95"/>
        </w:rPr>
        <w:t> </w:t>
      </w:r>
      <w:r>
        <w:rPr>
          <w:spacing w:val="44"/>
          <w:w w:val="95"/>
        </w:rPr>
      </w:r>
      <w:r>
        <w:rPr/>
        <w:t>小股东享有平等地位，充分行使自己的权利。</w:t>
      </w:r>
    </w:p>
    <w:p>
      <w:pPr>
        <w:pStyle w:val="BodyText"/>
        <w:spacing w:line="408" w:lineRule="auto" w:before="46"/>
        <w:ind w:left="592" w:right="1122" w:hanging="180"/>
        <w:jc w:val="left"/>
      </w:pPr>
      <w:r>
        <w:rPr/>
        <w:t>（二）关于控股股东与公司</w:t>
      </w:r>
      <w:r>
        <w:rPr>
          <w:w w:val="99"/>
        </w:rPr>
        <w:t> </w:t>
      </w:r>
      <w:r>
        <w:rPr>
          <w:spacing w:val="-2"/>
        </w:rPr>
        <w:t>公司控股股东能严格规范自己的行为，通过股东大会依法行使出资人的权利，没有超越股东大会直接</w:t>
      </w:r>
    </w:p>
    <w:p>
      <w:pPr>
        <w:pStyle w:val="BodyText"/>
        <w:spacing w:line="408" w:lineRule="auto" w:before="46"/>
        <w:ind w:right="1112"/>
        <w:jc w:val="both"/>
      </w:pPr>
      <w:r>
        <w:rPr>
          <w:w w:val="95"/>
        </w:rPr>
        <w:t>或间接干预公司的决策和经营活动。同时，公司具有独立的业务和自主经营能力，在业务、人员、资产、</w:t>
      </w:r>
      <w:r>
        <w:rPr>
          <w:spacing w:val="61"/>
          <w:w w:val="95"/>
        </w:rPr>
        <w:t> </w:t>
      </w:r>
      <w:r>
        <w:rPr>
          <w:spacing w:val="61"/>
          <w:w w:val="95"/>
        </w:rPr>
      </w:r>
      <w:r>
        <w:rPr>
          <w:w w:val="95"/>
        </w:rPr>
        <w:t>机构、财务上独立于控股股东，公司董事会、监事会和内部机构独立运作。公司未与控股股东进行关联交</w:t>
      </w:r>
      <w:r>
        <w:rPr>
          <w:spacing w:val="41"/>
          <w:w w:val="95"/>
        </w:rPr>
        <w:t> </w:t>
      </w:r>
      <w:r>
        <w:rPr>
          <w:spacing w:val="41"/>
          <w:w w:val="95"/>
        </w:rPr>
      </w:r>
      <w:r>
        <w:rPr/>
        <w:t>易，不存在控股股东占用公司资金的现象，公司亦没有为控股股东提供担保的情形。</w:t>
      </w:r>
    </w:p>
    <w:p>
      <w:pPr>
        <w:pStyle w:val="BodyText"/>
        <w:spacing w:line="408" w:lineRule="auto" w:before="46"/>
        <w:ind w:left="592" w:right="0" w:hanging="180"/>
        <w:jc w:val="left"/>
      </w:pPr>
      <w:r>
        <w:rPr/>
        <w:t>（三）关于董事与董事会</w:t>
      </w:r>
      <w:r>
        <w:rPr>
          <w:w w:val="99"/>
        </w:rPr>
        <w:t> </w:t>
      </w:r>
      <w:r>
        <w:rPr/>
        <w:t>报告期内，公司共召开了7次董事会。公司董事会由9名董事组成，其中独立董事3名，独立董事均为</w:t>
      </w:r>
    </w:p>
    <w:p>
      <w:pPr>
        <w:pStyle w:val="BodyText"/>
        <w:spacing w:line="408" w:lineRule="auto" w:before="46"/>
        <w:ind w:right="1127"/>
        <w:jc w:val="both"/>
      </w:pPr>
      <w:r>
        <w:rPr>
          <w:w w:val="95"/>
        </w:rPr>
        <w:t>在金融、法律等方面的专业人士担任，保证了董事会决策的质量和水平。公司全体董事能够依据《公司董</w:t>
      </w:r>
      <w:r>
        <w:rPr>
          <w:spacing w:val="41"/>
          <w:w w:val="95"/>
        </w:rPr>
        <w:t> </w:t>
      </w:r>
      <w:r>
        <w:rPr>
          <w:spacing w:val="41"/>
          <w:w w:val="95"/>
        </w:rPr>
      </w:r>
      <w:r>
        <w:rPr>
          <w:w w:val="95"/>
        </w:rPr>
        <w:t>事会议事规则》、《公司独立董事议事规则》、《深圳证券交易所中小企业板上市公司规范运作指引》等</w:t>
      </w:r>
      <w:r>
        <w:rPr>
          <w:spacing w:val="46"/>
          <w:w w:val="95"/>
        </w:rPr>
        <w:t> </w:t>
      </w:r>
      <w:r>
        <w:rPr>
          <w:spacing w:val="46"/>
          <w:w w:val="95"/>
        </w:rPr>
      </w:r>
      <w:r>
        <w:rPr>
          <w:w w:val="95"/>
        </w:rPr>
        <w:t>开展工作，认真出席董事会和股东大会，积极参加相关知识的培训，熟悉有关法律法规，勤勉尽责地履行</w:t>
      </w:r>
      <w:r>
        <w:rPr>
          <w:spacing w:val="41"/>
          <w:w w:val="95"/>
        </w:rPr>
        <w:t> </w:t>
      </w:r>
      <w:r>
        <w:rPr>
          <w:spacing w:val="41"/>
          <w:w w:val="95"/>
        </w:rPr>
      </w:r>
      <w:r>
        <w:rPr/>
        <w:t>职责和义务，维护公司和股东利益。</w:t>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408" w:lineRule="auto" w:before="173"/>
        <w:ind w:left="592" w:right="0" w:hanging="180"/>
        <w:jc w:val="left"/>
      </w:pPr>
      <w:r>
        <w:rPr/>
        <w:t>（四）关于监事与监事会</w:t>
      </w:r>
      <w:r>
        <w:rPr>
          <w:w w:val="99"/>
        </w:rPr>
        <w:t> </w:t>
      </w:r>
      <w:r>
        <w:rPr/>
        <w:t>报告期内，公司共召开了6次监事会。公司监事会由3名监事组成，其中职工监事1名，监事会人员构</w:t>
      </w:r>
    </w:p>
    <w:p>
      <w:pPr>
        <w:pStyle w:val="BodyText"/>
        <w:spacing w:line="408" w:lineRule="auto" w:before="46"/>
        <w:ind w:right="1025"/>
        <w:jc w:val="left"/>
      </w:pPr>
      <w:r>
        <w:rPr/>
        <w:t>成符合法律、法规的要求。公司严格按照《公司章程》、《监事会议事规则》的规定，规范监事会召集、</w:t>
      </w:r>
      <w:r>
        <w:rPr>
          <w:w w:val="99"/>
        </w:rPr>
        <w:t> </w:t>
      </w:r>
      <w:r>
        <w:rPr>
          <w:spacing w:val="-3"/>
        </w:rPr>
        <w:t>召开和表决，各位监事认真履行自己的职责，对董事会决策程序、决议事项及公司依法运作情况实施监督，</w:t>
      </w:r>
      <w:r>
        <w:rPr>
          <w:w w:val="99"/>
        </w:rPr>
        <w:t> </w:t>
      </w:r>
      <w:r>
        <w:rPr/>
        <w:t>对公司财务状况、董事、高级管理人员履行职责的合法合规性进行有效监督。</w:t>
      </w:r>
    </w:p>
    <w:p>
      <w:pPr>
        <w:pStyle w:val="BodyText"/>
        <w:spacing w:line="408" w:lineRule="auto" w:before="46"/>
        <w:ind w:left="592" w:right="1122" w:hanging="180"/>
        <w:jc w:val="left"/>
      </w:pPr>
      <w:r>
        <w:rPr/>
        <w:t>（五）关于信息披露与透明度</w:t>
      </w:r>
      <w:r>
        <w:rPr>
          <w:w w:val="99"/>
        </w:rPr>
        <w:t> </w:t>
      </w:r>
      <w:r>
        <w:rPr>
          <w:spacing w:val="-2"/>
        </w:rPr>
        <w:t>公司高度重视信息披露与投资者关系管理工作，制定并严格执行《信息披露管理制度》，指定《中国</w:t>
      </w:r>
    </w:p>
    <w:p>
      <w:pPr>
        <w:pStyle w:val="BodyText"/>
        <w:spacing w:line="408" w:lineRule="auto" w:before="46"/>
        <w:ind w:right="1025"/>
        <w:jc w:val="left"/>
      </w:pPr>
      <w:r>
        <w:rPr/>
        <w:t>证券报》、《证券时报》和巨潮资讯网为公司法定信息披露媒体和网站。公司董事会秘书为公司信息披露</w:t>
      </w:r>
      <w:r>
        <w:rPr>
          <w:w w:val="99"/>
        </w:rPr>
        <w:t> </w:t>
      </w:r>
      <w:r>
        <w:rPr/>
        <w:t>与投资者关系管理的主要负责人，协调公司与投资者的关系，建立投资者专线，接待股东来访，回答投资</w:t>
      </w:r>
      <w:r>
        <w:rPr>
          <w:w w:val="99"/>
        </w:rPr>
        <w:t> </w:t>
      </w:r>
      <w:r>
        <w:rPr/>
        <w:t>者咨询，向投资者提供公司已披露的资料。公司不断强化董事、监事、高级管理人员信息披露责任意识，</w:t>
      </w:r>
      <w:r>
        <w:rPr>
          <w:w w:val="99"/>
        </w:rPr>
        <w:t> </w:t>
      </w:r>
      <w:r>
        <w:rPr>
          <w:spacing w:val="-3"/>
        </w:rPr>
        <w:t>严格执行公司信息披露事务管理制度及责任追究机制，增强信息披露的真实性、准确性、完整性和及时性，</w:t>
      </w:r>
      <w:r>
        <w:rPr>
          <w:w w:val="99"/>
        </w:rPr>
        <w:t> </w:t>
      </w:r>
      <w:r>
        <w:rPr/>
        <w:t>提高公司信息披露质量和透明度。</w:t>
      </w:r>
    </w:p>
    <w:p>
      <w:pPr>
        <w:pStyle w:val="BodyText"/>
        <w:spacing w:line="408" w:lineRule="auto" w:before="46"/>
        <w:ind w:left="592" w:right="0" w:hanging="180"/>
        <w:jc w:val="left"/>
      </w:pPr>
      <w:r>
        <w:rPr/>
        <w:t>（六）关于绩效评价和激励约束机制</w:t>
      </w:r>
      <w:r>
        <w:rPr>
          <w:w w:val="99"/>
        </w:rPr>
        <w:t> </w:t>
      </w:r>
      <w:r>
        <w:rPr>
          <w:spacing w:val="-4"/>
          <w:w w:val="95"/>
        </w:rPr>
        <w:t>公司已建立了公正、透明的绩效考核评价标准和激励约束机制，公司高级管理人员的聘任公开、透明，</w:t>
      </w:r>
      <w:r>
        <w:rPr>
          <w:spacing w:val="-4"/>
        </w:rPr>
      </w:r>
    </w:p>
    <w:p>
      <w:pPr>
        <w:pStyle w:val="BodyText"/>
        <w:spacing w:line="240" w:lineRule="auto" w:before="46"/>
        <w:ind w:right="2127"/>
        <w:jc w:val="left"/>
      </w:pPr>
      <w:r>
        <w:rPr/>
        <w:t>符合法律法规的规定。</w:t>
      </w:r>
    </w:p>
    <w:p>
      <w:pPr>
        <w:spacing w:line="240" w:lineRule="auto" w:before="10"/>
        <w:rPr>
          <w:rFonts w:ascii="宋体" w:hAnsi="宋体" w:cs="宋体" w:eastAsia="宋体" w:hint="default"/>
          <w:sz w:val="14"/>
          <w:szCs w:val="14"/>
        </w:rPr>
      </w:pPr>
    </w:p>
    <w:p>
      <w:pPr>
        <w:pStyle w:val="BodyText"/>
        <w:spacing w:line="408" w:lineRule="auto" w:before="0"/>
        <w:ind w:left="592" w:right="0" w:hanging="180"/>
        <w:jc w:val="left"/>
      </w:pPr>
      <w:r>
        <w:rPr/>
        <w:t>（七）关于相关利益者</w:t>
      </w:r>
      <w:r>
        <w:rPr>
          <w:w w:val="99"/>
        </w:rPr>
        <w:t> </w:t>
      </w:r>
      <w:r>
        <w:rPr>
          <w:w w:val="95"/>
        </w:rPr>
        <w:t>公司充分尊重和维护相关利益者的合法权益，积极与相关利益者沟通和交流，努力实现股东、员工、</w:t>
      </w:r>
      <w:r>
        <w:rPr/>
      </w:r>
    </w:p>
    <w:p>
      <w:pPr>
        <w:pStyle w:val="BodyText"/>
        <w:spacing w:line="240" w:lineRule="auto" w:before="46"/>
        <w:ind w:right="2127"/>
        <w:jc w:val="left"/>
      </w:pPr>
      <w:r>
        <w:rPr/>
        <w:t>社会等各方利益的均衡，共同推进公司持续、稳健的发展。</w:t>
      </w:r>
    </w:p>
    <w:p>
      <w:pPr>
        <w:spacing w:line="240" w:lineRule="auto" w:before="10"/>
        <w:rPr>
          <w:rFonts w:ascii="宋体" w:hAnsi="宋体" w:cs="宋体" w:eastAsia="宋体" w:hint="default"/>
          <w:sz w:val="13"/>
          <w:szCs w:val="13"/>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7"/>
        <w:ind w:left="112" w:right="355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w w:val="95"/>
        </w:rPr>
        <w:t>公司在业务、资产、人员、财务、机构等方面完全独立，具有完整的业务体系及面向市场的独立经营</w:t>
      </w:r>
      <w:r>
        <w:rPr>
          <w:w w:val="99"/>
        </w:rPr>
        <w:t> </w:t>
      </w:r>
      <w:r>
        <w:rPr/>
        <w:t>能力，具备完整的供应、生产、销售系统。</w:t>
      </w:r>
    </w:p>
    <w:p>
      <w:pPr>
        <w:pStyle w:val="BodyText"/>
        <w:spacing w:line="408" w:lineRule="auto" w:before="46"/>
        <w:ind w:left="532" w:right="0"/>
        <w:jc w:val="left"/>
      </w:pPr>
      <w:r>
        <w:rPr>
          <w:rFonts w:ascii="宋体" w:hAnsi="宋体" w:cs="宋体" w:eastAsia="宋体" w:hint="default"/>
          <w:b/>
          <w:bCs/>
        </w:rPr>
        <w:t>（一）业务独立情况</w:t>
      </w:r>
      <w:r>
        <w:rPr>
          <w:rFonts w:ascii="宋体" w:hAnsi="宋体" w:cs="宋体" w:eastAsia="宋体" w:hint="default"/>
          <w:b/>
          <w:bCs/>
          <w:w w:val="99"/>
        </w:rPr>
        <w:t> </w:t>
      </w:r>
      <w:r>
        <w:rPr>
          <w:w w:val="95"/>
        </w:rPr>
        <w:t>公司建立了符合现代企业制度要求的法人治理结构和内部组织结构,拥有独立完整的供应、研发、生</w:t>
      </w:r>
      <w:r>
        <w:rPr/>
      </w:r>
    </w:p>
    <w:p>
      <w:pPr>
        <w:pStyle w:val="BodyText"/>
        <w:spacing w:line="408" w:lineRule="auto" w:before="46"/>
        <w:ind w:right="1125"/>
        <w:jc w:val="left"/>
      </w:pPr>
      <w:r>
        <w:rPr>
          <w:w w:val="95"/>
        </w:rPr>
        <w:t>产和销售体系，独立承担责任与风险，不依赖于控股股东或其它任何关联方业务，具备面向市场自主经营</w:t>
      </w:r>
      <w:r>
        <w:rPr>
          <w:spacing w:val="37"/>
          <w:w w:val="95"/>
        </w:rPr>
        <w:t> </w:t>
      </w:r>
      <w:r>
        <w:rPr>
          <w:spacing w:val="37"/>
          <w:w w:val="95"/>
        </w:rPr>
      </w:r>
      <w:r>
        <w:rPr/>
        <w:t>的能力。</w:t>
      </w:r>
    </w:p>
    <w:p>
      <w:pPr>
        <w:pStyle w:val="Heading6"/>
        <w:spacing w:line="240" w:lineRule="auto" w:before="46"/>
        <w:ind w:left="532" w:right="2127"/>
        <w:jc w:val="left"/>
        <w:rPr>
          <w:b w:val="0"/>
          <w:bCs w:val="0"/>
        </w:rPr>
      </w:pPr>
      <w:r>
        <w:rPr/>
        <w:t>（二）人员独立情况</w:t>
      </w:r>
      <w:r>
        <w:rPr>
          <w:b w:val="0"/>
          <w:bCs w:val="0"/>
        </w:rPr>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b/>
          <w:bCs/>
          <w:sz w:val="20"/>
          <w:szCs w:val="20"/>
        </w:rPr>
      </w:pPr>
    </w:p>
    <w:p>
      <w:pPr>
        <w:pStyle w:val="BodyText"/>
        <w:spacing w:line="408" w:lineRule="auto" w:before="173"/>
        <w:ind w:right="1132" w:firstLine="420"/>
        <w:jc w:val="both"/>
      </w:pPr>
      <w:r>
        <w:rPr>
          <w:w w:val="95"/>
        </w:rPr>
        <w:t>公司在劳动、人事及工资管理方面已形成完整的体系，设立了独立的人力资源管理部门，制订了严格</w:t>
      </w:r>
      <w:r>
        <w:rPr>
          <w:w w:val="99"/>
        </w:rPr>
        <w:t> </w:t>
      </w:r>
      <w:r>
        <w:rPr>
          <w:w w:val="95"/>
        </w:rPr>
        <w:t>的员工聘用、考评、晋升等完整的劳动用工制度，与所有员工签订了《劳动合同》。公司董事、监事和高</w:t>
      </w:r>
      <w:r>
        <w:rPr>
          <w:spacing w:val="37"/>
          <w:w w:val="95"/>
        </w:rPr>
        <w:t> </w:t>
      </w:r>
      <w:r>
        <w:rPr>
          <w:spacing w:val="37"/>
          <w:w w:val="95"/>
        </w:rPr>
      </w:r>
      <w:r>
        <w:rPr>
          <w:w w:val="95"/>
        </w:rPr>
        <w:t>级管理人员均按照《公司法》、《公司章程》等有关法律、法规及规定合法产生，公司高级管理人员均在</w:t>
      </w:r>
      <w:r>
        <w:rPr>
          <w:spacing w:val="36"/>
          <w:w w:val="95"/>
        </w:rPr>
        <w:t> </w:t>
      </w:r>
      <w:r>
        <w:rPr>
          <w:spacing w:val="36"/>
          <w:w w:val="95"/>
        </w:rPr>
      </w:r>
      <w:r>
        <w:rPr/>
        <w:t>公司工作并领取薪酬。</w:t>
      </w:r>
    </w:p>
    <w:p>
      <w:pPr>
        <w:pStyle w:val="BodyText"/>
        <w:spacing w:line="408" w:lineRule="auto" w:before="46"/>
        <w:ind w:left="532" w:right="0"/>
        <w:jc w:val="left"/>
      </w:pPr>
      <w:r>
        <w:rPr>
          <w:rFonts w:ascii="宋体" w:hAnsi="宋体" w:cs="宋体" w:eastAsia="宋体" w:hint="default"/>
          <w:b/>
          <w:bCs/>
        </w:rPr>
        <w:t>（三）机构独立情况</w:t>
      </w:r>
      <w:r>
        <w:rPr>
          <w:rFonts w:ascii="宋体" w:hAnsi="宋体" w:cs="宋体" w:eastAsia="宋体" w:hint="default"/>
          <w:b/>
          <w:bCs/>
          <w:w w:val="99"/>
        </w:rPr>
        <w:t> </w:t>
      </w:r>
      <w:r>
        <w:rPr>
          <w:w w:val="95"/>
        </w:rPr>
        <w:t>公司拥有健全的股东大会、董事会、监事会法人治理机构，能够严格按照《公司法》、《公司章程》</w:t>
      </w:r>
      <w:r>
        <w:rPr/>
      </w:r>
    </w:p>
    <w:p>
      <w:pPr>
        <w:pStyle w:val="BodyText"/>
        <w:spacing w:line="408" w:lineRule="auto" w:before="46"/>
        <w:ind w:right="1132"/>
        <w:jc w:val="both"/>
      </w:pPr>
      <w:r>
        <w:rPr>
          <w:w w:val="95"/>
        </w:rPr>
        <w:t>规范运作。公司组织结构健全，建立了独立的、适应公司发展的职能部门，各部门按照规定的职责分工协</w:t>
      </w:r>
      <w:r>
        <w:rPr>
          <w:spacing w:val="40"/>
          <w:w w:val="95"/>
        </w:rPr>
        <w:t> </w:t>
      </w:r>
      <w:r>
        <w:rPr>
          <w:spacing w:val="40"/>
          <w:w w:val="95"/>
        </w:rPr>
      </w:r>
      <w:r>
        <w:rPr>
          <w:w w:val="95"/>
        </w:rPr>
        <w:t>作、独立运作，不存在合署办公的情况。公司管理层独立行使经营管理职权，与控股股东、实际控制人及</w:t>
      </w:r>
      <w:r>
        <w:rPr>
          <w:spacing w:val="37"/>
          <w:w w:val="95"/>
        </w:rPr>
        <w:t> </w:t>
      </w:r>
      <w:r>
        <w:rPr>
          <w:spacing w:val="37"/>
          <w:w w:val="95"/>
        </w:rPr>
      </w:r>
      <w:r>
        <w:rPr/>
        <w:t>其控制的其他企业不存在机构混同的情形。</w:t>
      </w:r>
    </w:p>
    <w:p>
      <w:pPr>
        <w:pStyle w:val="BodyText"/>
        <w:spacing w:line="408" w:lineRule="auto" w:before="46"/>
        <w:ind w:left="532" w:right="0"/>
        <w:jc w:val="left"/>
      </w:pPr>
      <w:r>
        <w:rPr>
          <w:rFonts w:ascii="宋体" w:hAnsi="宋体" w:cs="宋体" w:eastAsia="宋体" w:hint="default"/>
          <w:b/>
          <w:bCs/>
        </w:rPr>
        <w:t>（四）资产独立情况</w:t>
      </w:r>
      <w:r>
        <w:rPr>
          <w:rFonts w:ascii="宋体" w:hAnsi="宋体" w:cs="宋体" w:eastAsia="宋体" w:hint="default"/>
          <w:b/>
          <w:bCs/>
          <w:w w:val="99"/>
        </w:rPr>
        <w:t> </w:t>
      </w:r>
      <w:r>
        <w:rPr>
          <w:w w:val="95"/>
        </w:rPr>
        <w:t>公司拥有独立、完整的生产经营场所及与经营有关的资产、专利技术及商标所有权,不存在资产、资</w:t>
      </w:r>
      <w:r>
        <w:rPr/>
      </w:r>
    </w:p>
    <w:p>
      <w:pPr>
        <w:pStyle w:val="BodyText"/>
        <w:spacing w:line="240" w:lineRule="auto" w:before="46"/>
        <w:ind w:right="0"/>
        <w:jc w:val="both"/>
      </w:pPr>
      <w:r>
        <w:rPr/>
        <w:t>金被股东占用而损害公司利益的情况，公司资产独立完整。</w:t>
      </w:r>
    </w:p>
    <w:p>
      <w:pPr>
        <w:spacing w:line="240" w:lineRule="auto" w:before="10"/>
        <w:rPr>
          <w:rFonts w:ascii="宋体" w:hAnsi="宋体" w:cs="宋体" w:eastAsia="宋体" w:hint="default"/>
          <w:sz w:val="14"/>
          <w:szCs w:val="14"/>
        </w:rPr>
      </w:pPr>
    </w:p>
    <w:p>
      <w:pPr>
        <w:pStyle w:val="BodyText"/>
        <w:spacing w:line="408" w:lineRule="auto" w:before="0"/>
        <w:ind w:left="532" w:right="0"/>
        <w:jc w:val="left"/>
      </w:pPr>
      <w:r>
        <w:rPr>
          <w:rFonts w:ascii="宋体" w:hAnsi="宋体" w:cs="宋体" w:eastAsia="宋体" w:hint="default"/>
          <w:b/>
          <w:bCs/>
        </w:rPr>
        <w:t>（五）财务独立情况</w:t>
      </w:r>
      <w:r>
        <w:rPr>
          <w:rFonts w:ascii="宋体" w:hAnsi="宋体" w:cs="宋体" w:eastAsia="宋体" w:hint="default"/>
          <w:b/>
          <w:bCs/>
          <w:w w:val="99"/>
        </w:rPr>
        <w:t> </w:t>
      </w:r>
      <w:r>
        <w:rPr>
          <w:w w:val="95"/>
        </w:rPr>
        <w:t>公司设立了独立银行账户，依法独立履行纳税义务，公司设有独立的财务管理部门和内部审计部门，</w:t>
      </w:r>
      <w:r>
        <w:rPr/>
      </w:r>
    </w:p>
    <w:p>
      <w:pPr>
        <w:pStyle w:val="BodyText"/>
        <w:spacing w:line="408" w:lineRule="auto" w:before="46"/>
        <w:ind w:right="0"/>
        <w:jc w:val="left"/>
      </w:pPr>
      <w:r>
        <w:rPr>
          <w:w w:val="95"/>
        </w:rPr>
        <w:t>并配备专职财务管理人员和内部审计人员。公司建立了独立的会计核算体系、财务管理制度和内部审计管</w:t>
      </w:r>
      <w:r>
        <w:rPr>
          <w:spacing w:val="37"/>
          <w:w w:val="95"/>
        </w:rPr>
        <w:t> </w:t>
      </w:r>
      <w:r>
        <w:rPr>
          <w:spacing w:val="37"/>
          <w:w w:val="95"/>
        </w:rPr>
      </w:r>
      <w:r>
        <w:rPr/>
        <w:t>理制度，独立作出财务决策，实施严格的内部审计制度。</w:t>
      </w:r>
    </w:p>
    <w:p>
      <w:pPr>
        <w:spacing w:line="240" w:lineRule="auto" w:before="11"/>
        <w:rPr>
          <w:rFonts w:ascii="宋体" w:hAnsi="宋体" w:cs="宋体" w:eastAsia="宋体" w:hint="default"/>
          <w:sz w:val="18"/>
          <w:szCs w:val="18"/>
        </w:rPr>
      </w:pPr>
    </w:p>
    <w:p>
      <w:pPr>
        <w:pStyle w:val="Heading4"/>
        <w:spacing w:line="240" w:lineRule="auto"/>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本报告期股东大会情况" w:id="139"/>
      <w:bookmarkEnd w:id="139"/>
      <w:r>
        <w:rPr>
          <w:b w:val="0"/>
          <w:bCs w:val="0"/>
        </w:rPr>
      </w:r>
      <w:r>
        <w:rPr/>
        <w:t>1、本报告期股东大会情况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w:t>
            </w:r>
            <w:r>
              <w:rPr>
                <w:rFonts w:ascii="宋体" w:hAnsi="宋体" w:cs="宋体" w:eastAsia="宋体" w:hint="default"/>
                <w:sz w:val="18"/>
                <w:szCs w:val="18"/>
              </w:rPr>
              <w:t>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证券报》、《巨潮资讯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年第二次临时</w:t>
            </w:r>
            <w:r>
              <w:rPr>
                <w:rFonts w:ascii="宋体" w:hAnsi="宋体" w:cs="宋体" w:eastAsia="宋体" w:hint="default"/>
                <w:sz w:val="18"/>
                <w:szCs w:val="18"/>
              </w:rPr>
              <w:t>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16.48%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5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5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证券报》、《巨潮资讯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年年度股东大</w:t>
            </w:r>
            <w:r>
              <w:rPr>
                <w:rFonts w:ascii="宋体" w:hAnsi="宋体" w:cs="宋体" w:eastAsia="宋体" w:hint="default"/>
                <w:sz w:val="18"/>
                <w:szCs w:val="18"/>
              </w:rPr>
              <w:t>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证券报》、《巨潮资讯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w:t>
            </w:r>
          </w:p>
        </w:tc>
      </w:tr>
    </w:tbl>
    <w:p>
      <w:pPr>
        <w:spacing w:after="0" w:line="316" w:lineRule="auto"/>
        <w:jc w:val="both"/>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年第三次临时</w:t>
            </w:r>
            <w:r>
              <w:rPr>
                <w:rFonts w:ascii="宋体" w:hAnsi="宋体" w:cs="宋体" w:eastAsia="宋体" w:hint="default"/>
                <w:sz w:val="18"/>
                <w:szCs w:val="18"/>
              </w:rPr>
              <w:t>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0" w:right="0"/>
              <w:jc w:val="left"/>
              <w:rPr>
                <w:rFonts w:ascii="宋体" w:hAnsi="宋体" w:cs="宋体" w:eastAsia="宋体" w:hint="default"/>
                <w:sz w:val="18"/>
                <w:szCs w:val="18"/>
              </w:rPr>
            </w:pPr>
            <w:r>
              <w:rPr>
                <w:rFonts w:ascii="宋体"/>
                <w:sz w:val="18"/>
              </w:rPr>
              <w:t>19.95%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证券报》、《巨潮资讯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w:t>
            </w:r>
          </w:p>
        </w:tc>
      </w:tr>
    </w:tbl>
    <w:p>
      <w:pPr>
        <w:spacing w:line="240" w:lineRule="auto" w:before="4"/>
        <w:rPr>
          <w:rFonts w:ascii="宋体" w:hAnsi="宋体" w:cs="宋体" w:eastAsia="宋体" w:hint="default"/>
          <w:b/>
          <w:bCs/>
          <w:sz w:val="19"/>
          <w:szCs w:val="19"/>
        </w:rPr>
      </w:pPr>
    </w:p>
    <w:p>
      <w:pPr>
        <w:pStyle w:val="Heading6"/>
        <w:spacing w:line="240" w:lineRule="auto" w:before="34"/>
        <w:ind w:right="2127"/>
        <w:jc w:val="left"/>
        <w:rPr>
          <w:b w:val="0"/>
          <w:bCs w:val="0"/>
        </w:rPr>
      </w:pPr>
      <w:bookmarkStart w:name="2、表决权恢复的优先股股东请求召开临时股东大会" w:id="140"/>
      <w:bookmarkEnd w:id="140"/>
      <w:r>
        <w:rPr>
          <w:b w:val="0"/>
          <w:bCs w:val="0"/>
        </w:rPr>
      </w:r>
      <w:r>
        <w:rPr/>
        <w:t>2、表决权恢复的优先股股东请求召开临时股东大会</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独立董事出席董事会及股东大会的情况" w:id="142"/>
      <w:bookmarkEnd w:id="142"/>
      <w:r>
        <w:rPr>
          <w:b w:val="0"/>
          <w:bCs w:val="0"/>
        </w:rPr>
      </w:r>
      <w:r>
        <w:rPr/>
        <w:t>1、独立董事出席董事会及股东大会的情况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w:t>
            </w:r>
          </w:p>
        </w:tc>
      </w:tr>
    </w:tbl>
    <w:p>
      <w:pPr>
        <w:spacing w:line="360" w:lineRule="auto" w:before="50"/>
        <w:ind w:left="11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2"/>
        <w:rPr>
          <w:rFonts w:ascii="宋体" w:hAnsi="宋体" w:cs="宋体" w:eastAsia="宋体" w:hint="default"/>
          <w:sz w:val="19"/>
          <w:szCs w:val="19"/>
        </w:rPr>
      </w:pPr>
    </w:p>
    <w:p>
      <w:pPr>
        <w:pStyle w:val="Heading6"/>
        <w:spacing w:line="240" w:lineRule="auto"/>
        <w:ind w:right="0"/>
        <w:jc w:val="both"/>
        <w:rPr>
          <w:b w:val="0"/>
          <w:bCs w:val="0"/>
        </w:rPr>
      </w:pPr>
      <w:bookmarkStart w:name="2、独立董事对公司有关事项提出异议的情况" w:id="143"/>
      <w:bookmarkEnd w:id="143"/>
      <w:r>
        <w:rPr>
          <w:b w:val="0"/>
          <w:bCs w:val="0"/>
        </w:rPr>
      </w:r>
      <w:r>
        <w:rPr/>
        <w:t>2、独立董事对公司有关事项提出异议的情况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7"/>
        <w:ind w:left="112" w:right="6974"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2"/>
        <w:rPr>
          <w:rFonts w:ascii="宋体" w:hAnsi="宋体" w:cs="宋体" w:eastAsia="宋体" w:hint="default"/>
          <w:sz w:val="19"/>
          <w:szCs w:val="19"/>
        </w:rPr>
      </w:pPr>
    </w:p>
    <w:p>
      <w:pPr>
        <w:pStyle w:val="Heading6"/>
        <w:spacing w:line="240" w:lineRule="auto"/>
        <w:ind w:right="0"/>
        <w:jc w:val="both"/>
        <w:rPr>
          <w:b w:val="0"/>
          <w:bCs w:val="0"/>
        </w:rPr>
      </w:pPr>
      <w:bookmarkStart w:name="3、独立董事履行职责的其他说明" w:id="144"/>
      <w:bookmarkEnd w:id="144"/>
      <w:r>
        <w:rPr>
          <w:b w:val="0"/>
          <w:bCs w:val="0"/>
        </w:rPr>
      </w:r>
      <w:r>
        <w:rPr/>
        <w:t>3、独立董事履行职责的其他说明</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240" w:lineRule="auto" w:before="82"/>
        <w:ind w:left="532" w:right="0"/>
        <w:jc w:val="left"/>
      </w:pPr>
      <w:r>
        <w:rPr/>
        <w:t>报告期内，公司独立董事严格按照《公司章程》、《独立董事工作细则》、《上市公司治理准则》及</w:t>
      </w:r>
    </w:p>
    <w:p>
      <w:pPr>
        <w:spacing w:line="240" w:lineRule="auto" w:before="10"/>
        <w:rPr>
          <w:rFonts w:ascii="宋体" w:hAnsi="宋体" w:cs="宋体" w:eastAsia="宋体" w:hint="default"/>
          <w:sz w:val="14"/>
          <w:szCs w:val="14"/>
        </w:rPr>
      </w:pPr>
    </w:p>
    <w:p>
      <w:pPr>
        <w:pStyle w:val="BodyText"/>
        <w:spacing w:line="408" w:lineRule="auto" w:before="0"/>
        <w:ind w:right="1132"/>
        <w:jc w:val="both"/>
      </w:pPr>
      <w:r>
        <w:rPr>
          <w:w w:val="95"/>
        </w:rPr>
        <w:t>《深圳证券交易所中小企业板上市公司规范运作指引》及相关法律、法规等有关规定和要求，本着对公司</w:t>
      </w:r>
      <w:r>
        <w:rPr>
          <w:spacing w:val="40"/>
          <w:w w:val="95"/>
        </w:rPr>
        <w:t> </w:t>
      </w:r>
      <w:r>
        <w:rPr>
          <w:spacing w:val="40"/>
          <w:w w:val="95"/>
        </w:rPr>
      </w:r>
      <w:r>
        <w:rPr>
          <w:w w:val="95"/>
        </w:rPr>
        <w:t>及中小股东负责的态度，独立公正地履行职责，积极出席董事会、股东大会，深入公司现场调查，了解生</w:t>
      </w:r>
      <w:r>
        <w:rPr>
          <w:spacing w:val="40"/>
          <w:w w:val="95"/>
        </w:rPr>
        <w:t> </w:t>
      </w:r>
      <w:r>
        <w:rPr>
          <w:spacing w:val="40"/>
          <w:w w:val="95"/>
        </w:rPr>
      </w:r>
      <w:r>
        <w:rPr>
          <w:w w:val="95"/>
        </w:rPr>
        <w:t>产经营状况和内部控制建设及董事会决议的执行情况，关注外部环境变化对公司造成的影响。独立董事利</w:t>
      </w:r>
      <w:r>
        <w:rPr>
          <w:spacing w:val="40"/>
          <w:w w:val="95"/>
        </w:rPr>
        <w:t> </w:t>
      </w:r>
      <w:r>
        <w:rPr>
          <w:spacing w:val="40"/>
          <w:w w:val="95"/>
        </w:rPr>
      </w:r>
      <w:r>
        <w:rPr>
          <w:w w:val="95"/>
        </w:rPr>
        <w:t>用自已的专业知识和经验对公司的战略发展、内部控制、重大经营决策等提供了专业性意见，对公司财务</w:t>
      </w:r>
      <w:r>
        <w:rPr>
          <w:spacing w:val="40"/>
          <w:w w:val="95"/>
        </w:rPr>
        <w:t> </w:t>
      </w:r>
      <w:r>
        <w:rPr>
          <w:spacing w:val="40"/>
          <w:w w:val="95"/>
        </w:rPr>
      </w:r>
      <w:r>
        <w:rPr>
          <w:w w:val="95"/>
        </w:rPr>
        <w:t>及生产经营活动、信息披露工作进行有效监督，为公司未来发展和规范运作及提升管理水平起到了积极作</w:t>
      </w:r>
      <w:r>
        <w:rPr/>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pStyle w:val="BodyText"/>
        <w:spacing w:line="240" w:lineRule="auto" w:before="173"/>
        <w:ind w:right="0"/>
        <w:jc w:val="both"/>
      </w:pPr>
      <w:r>
        <w:rPr/>
        <w:t>用。</w:t>
      </w:r>
    </w:p>
    <w:p>
      <w:pPr>
        <w:spacing w:line="240" w:lineRule="auto" w:before="0"/>
        <w:rPr>
          <w:rFonts w:ascii="宋体" w:hAnsi="宋体" w:cs="宋体" w:eastAsia="宋体" w:hint="default"/>
          <w:sz w:val="20"/>
          <w:szCs w:val="20"/>
        </w:rPr>
      </w:pPr>
    </w:p>
    <w:p>
      <w:pPr>
        <w:pStyle w:val="Heading4"/>
        <w:spacing w:line="240" w:lineRule="auto" w:before="131"/>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8" w:firstLine="420"/>
        <w:jc w:val="both"/>
      </w:pPr>
      <w:r>
        <w:rPr>
          <w:spacing w:val="-3"/>
        </w:rPr>
        <w:t>公司董事会下设四个专门委员会，分别为战略委员会、提名委员会、薪酬与考核委员会、审计委员会。</w:t>
      </w:r>
      <w:r>
        <w:rPr>
          <w:w w:val="99"/>
        </w:rPr>
        <w:t> </w:t>
      </w:r>
      <w:r>
        <w:rPr>
          <w:spacing w:val="-3"/>
        </w:rPr>
        <w:t>2018年，公司董事会各专门委员会恪尽职守、勤勉尽责，切实履行相关职责，推动公司持续健康稳定发展。</w:t>
      </w:r>
      <w:r>
        <w:rPr>
          <w:w w:val="99"/>
        </w:rPr>
        <w:t> </w:t>
      </w:r>
      <w:r>
        <w:rPr/>
        <w:t>报告期内，各专门委员会履职情况如下：</w:t>
      </w:r>
    </w:p>
    <w:p>
      <w:pPr>
        <w:pStyle w:val="BodyText"/>
        <w:spacing w:line="408" w:lineRule="auto" w:before="46"/>
        <w:ind w:left="532" w:right="0"/>
        <w:jc w:val="left"/>
      </w:pPr>
      <w:r>
        <w:rPr/>
        <w:t>（一）董事会战略委员会履职情况</w:t>
      </w:r>
      <w:r>
        <w:rPr>
          <w:w w:val="99"/>
        </w:rPr>
        <w:t> </w:t>
      </w:r>
      <w:r>
        <w:rPr>
          <w:w w:val="95"/>
        </w:rPr>
        <w:t>报告期内，董事会战略委员会根据有关规定积极开展相关工作，认真履行职责。战略委员会基于对宏</w:t>
      </w:r>
      <w:r>
        <w:rPr/>
      </w:r>
    </w:p>
    <w:p>
      <w:pPr>
        <w:pStyle w:val="BodyText"/>
        <w:spacing w:line="408" w:lineRule="auto" w:before="46"/>
        <w:ind w:left="532" w:right="0" w:hanging="420"/>
        <w:jc w:val="left"/>
      </w:pPr>
      <w:r>
        <w:rPr>
          <w:w w:val="95"/>
        </w:rPr>
        <w:t>观经济形势和公司发展现状，对业务发展、资本运作、内部管理等多方面进行了研究并提出专业化建议。</w:t>
      </w:r>
      <w:r>
        <w:rPr>
          <w:spacing w:val="61"/>
          <w:w w:val="95"/>
        </w:rPr>
        <w:t> </w:t>
      </w:r>
      <w:r>
        <w:rPr>
          <w:spacing w:val="61"/>
          <w:w w:val="95"/>
        </w:rPr>
      </w:r>
      <w:r>
        <w:rPr>
          <w:w w:val="95"/>
        </w:rPr>
        <w:t>报告期内，战略委员会讨论了公司参与投资设立军工产业并购基金等相关事宜，并对公司战略执行情</w:t>
      </w:r>
      <w:r>
        <w:rPr/>
      </w:r>
    </w:p>
    <w:p>
      <w:pPr>
        <w:pStyle w:val="BodyText"/>
        <w:spacing w:line="240" w:lineRule="auto" w:before="46"/>
        <w:ind w:right="0"/>
        <w:jc w:val="both"/>
      </w:pPr>
      <w:r>
        <w:rPr/>
        <w:t>况进行实时监督和检查。</w:t>
      </w:r>
    </w:p>
    <w:p>
      <w:pPr>
        <w:spacing w:line="240" w:lineRule="auto" w:before="10"/>
        <w:rPr>
          <w:rFonts w:ascii="宋体" w:hAnsi="宋体" w:cs="宋体" w:eastAsia="宋体" w:hint="default"/>
          <w:sz w:val="14"/>
          <w:szCs w:val="14"/>
        </w:rPr>
      </w:pPr>
    </w:p>
    <w:p>
      <w:pPr>
        <w:pStyle w:val="BodyText"/>
        <w:spacing w:line="408" w:lineRule="auto" w:before="0"/>
        <w:ind w:left="532" w:right="0"/>
        <w:jc w:val="left"/>
      </w:pPr>
      <w:r>
        <w:rPr/>
        <w:t>（二）董事会提名委员会履职情况</w:t>
      </w:r>
      <w:r>
        <w:rPr>
          <w:w w:val="99"/>
        </w:rPr>
        <w:t> </w:t>
      </w:r>
      <w:r>
        <w:rPr>
          <w:w w:val="95"/>
        </w:rPr>
        <w:t>报告期内，董事会提名委员会根据有关规定积极开展相关工作，认真履行职责。报告期内，提名委员</w:t>
      </w:r>
      <w:r>
        <w:rPr/>
      </w:r>
    </w:p>
    <w:p>
      <w:pPr>
        <w:pStyle w:val="BodyText"/>
        <w:spacing w:line="408" w:lineRule="auto" w:before="46"/>
        <w:ind w:right="1135"/>
        <w:jc w:val="both"/>
      </w:pPr>
      <w:r>
        <w:rPr>
          <w:w w:val="95"/>
        </w:rPr>
        <w:t>会对易增辉先生、赵梦女士担任第四届董事会非独立董事、潘大圣担任公司副总经理兼董事会秘书的任职</w:t>
      </w:r>
      <w:r>
        <w:rPr>
          <w:spacing w:val="37"/>
          <w:w w:val="95"/>
        </w:rPr>
        <w:t> </w:t>
      </w:r>
      <w:r>
        <w:rPr>
          <w:spacing w:val="37"/>
          <w:w w:val="95"/>
        </w:rPr>
      </w:r>
      <w:r>
        <w:rPr/>
        <w:t>资格进行审核；经过充分讨论、综合评估和资格审查，提名周发展为公司总经理。</w:t>
      </w:r>
    </w:p>
    <w:p>
      <w:pPr>
        <w:pStyle w:val="BodyText"/>
        <w:spacing w:line="408" w:lineRule="auto" w:before="46"/>
        <w:ind w:left="532" w:right="0"/>
        <w:jc w:val="left"/>
      </w:pPr>
      <w:r>
        <w:rPr/>
        <w:t>（三）董事会薪酬与考核委员会履职情况</w:t>
      </w:r>
      <w:r>
        <w:rPr>
          <w:w w:val="99"/>
        </w:rPr>
        <w:t> </w:t>
      </w:r>
      <w:r>
        <w:rPr>
          <w:w w:val="95"/>
        </w:rPr>
        <w:t>报告期内，董事会薪酬与考核委员会根据有关规定积极开展相关工作，认真履行职责。报告期内，薪</w:t>
      </w:r>
      <w:r>
        <w:rPr/>
      </w:r>
    </w:p>
    <w:p>
      <w:pPr>
        <w:pStyle w:val="BodyText"/>
        <w:spacing w:line="408" w:lineRule="auto" w:before="46"/>
        <w:ind w:right="1132"/>
        <w:jc w:val="both"/>
      </w:pPr>
      <w:r>
        <w:rPr>
          <w:w w:val="95"/>
        </w:rPr>
        <w:t>酬与考核委员会拟订公司第一期限制性股票激励计划草案并报董事会审议；对公司现行的董事、监事及高</w:t>
      </w:r>
      <w:r>
        <w:rPr>
          <w:spacing w:val="37"/>
          <w:w w:val="95"/>
        </w:rPr>
        <w:t> </w:t>
      </w:r>
      <w:r>
        <w:rPr>
          <w:spacing w:val="37"/>
          <w:w w:val="95"/>
        </w:rPr>
      </w:r>
      <w:r>
        <w:rPr>
          <w:w w:val="95"/>
        </w:rPr>
        <w:t>级管理人员2018年度薪酬发放情况进行了审核，认为其薪酬标准和年度薪酬总额的确定、发放与各自的岗</w:t>
      </w:r>
      <w:r>
        <w:rPr>
          <w:spacing w:val="40"/>
          <w:w w:val="95"/>
        </w:rPr>
        <w:t> </w:t>
      </w:r>
      <w:r>
        <w:rPr>
          <w:spacing w:val="40"/>
          <w:w w:val="95"/>
        </w:rPr>
      </w:r>
      <w:r>
        <w:rPr/>
        <w:t>位履职情况相结合，符合公司的薪酬管理规定。</w:t>
      </w:r>
    </w:p>
    <w:p>
      <w:pPr>
        <w:pStyle w:val="BodyText"/>
        <w:spacing w:line="408" w:lineRule="auto" w:before="46"/>
        <w:ind w:left="532" w:right="0"/>
        <w:jc w:val="left"/>
      </w:pPr>
      <w:r>
        <w:rPr/>
        <w:t>（四）董事会审计委员会履职情况</w:t>
      </w:r>
      <w:r>
        <w:rPr>
          <w:w w:val="99"/>
        </w:rPr>
        <w:t> </w:t>
      </w:r>
      <w:r>
        <w:rPr>
          <w:w w:val="95"/>
        </w:rPr>
        <w:t>报告期内，审计委员会严格按照《深圳证券交易所股票上市规则》、《深圳证券交易所中小企业板上</w:t>
      </w:r>
      <w:r>
        <w:rPr/>
      </w:r>
    </w:p>
    <w:p>
      <w:pPr>
        <w:pStyle w:val="BodyText"/>
        <w:spacing w:line="408" w:lineRule="auto" w:before="46"/>
        <w:ind w:right="1112"/>
        <w:jc w:val="both"/>
      </w:pPr>
      <w:r>
        <w:rPr>
          <w:w w:val="95"/>
        </w:rPr>
        <w:t>市公司规范运作指引》、《公司章程》、《董事会审计委员会工作细则》、《董事会审计委员会年报工作</w:t>
      </w:r>
      <w:r>
        <w:rPr>
          <w:spacing w:val="46"/>
          <w:w w:val="95"/>
        </w:rPr>
        <w:t> </w:t>
      </w:r>
      <w:r>
        <w:rPr>
          <w:spacing w:val="46"/>
          <w:w w:val="95"/>
        </w:rPr>
      </w:r>
      <w:r>
        <w:rPr>
          <w:spacing w:val="2"/>
        </w:rPr>
        <w:t>制度》及其他相关规定，积极开展各项工作。审计委员会共召开了5次会议，对公司2017年度财务报告、</w:t>
      </w:r>
      <w:r>
        <w:rPr>
          <w:w w:val="99"/>
        </w:rPr>
        <w:t> </w:t>
      </w:r>
      <w:r>
        <w:rPr>
          <w:w w:val="95"/>
        </w:rPr>
        <w:t>利润分配预案、聘请2018年度会计师事务所、2018年一季度、半年度、三季度财务报告及2017年四季度、</w:t>
      </w:r>
      <w:r>
        <w:rPr>
          <w:spacing w:val="61"/>
          <w:w w:val="95"/>
        </w:rPr>
        <w:t> </w:t>
      </w:r>
      <w:r>
        <w:rPr>
          <w:spacing w:val="61"/>
          <w:w w:val="95"/>
        </w:rPr>
      </w:r>
      <w:r>
        <w:rPr>
          <w:w w:val="95"/>
        </w:rPr>
        <w:t>2018年一季度、二季度、三季度募集资金管理专项报告，发表了意见。同时，对会计师事务所的年度审计</w:t>
      </w:r>
      <w:r>
        <w:rPr>
          <w:spacing w:val="43"/>
          <w:w w:val="95"/>
        </w:rPr>
        <w:t> </w:t>
      </w:r>
      <w:r>
        <w:rPr>
          <w:spacing w:val="43"/>
          <w:w w:val="95"/>
        </w:rPr>
      </w:r>
      <w:r>
        <w:rPr>
          <w:w w:val="95"/>
        </w:rPr>
        <w:t>工作进行督促并就审计过程中的相关问题进行充分沟通，确保审计工作顺利进行，积极发挥审核和监督职   </w:t>
      </w:r>
      <w:r>
        <w:rPr>
          <w:spacing w:val="37"/>
          <w:w w:val="95"/>
        </w:rPr>
        <w:t> </w:t>
      </w:r>
      <w:r>
        <w:rPr>
          <w:spacing w:val="37"/>
          <w:w w:val="95"/>
        </w:rPr>
      </w:r>
      <w:r>
        <w:rPr/>
        <w:t>能。</w:t>
      </w:r>
    </w:p>
    <w:p>
      <w:pPr>
        <w:spacing w:after="0" w:line="408" w:lineRule="auto"/>
        <w:jc w:val="both"/>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12" w:right="7694"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7"/>
        <w:rPr>
          <w:rFonts w:ascii="宋体" w:hAnsi="宋体" w:cs="宋体" w:eastAsia="宋体" w:hint="default"/>
          <w:sz w:val="18"/>
          <w:szCs w:val="18"/>
        </w:rPr>
      </w:pPr>
    </w:p>
    <w:p>
      <w:pPr>
        <w:pStyle w:val="Heading4"/>
        <w:spacing w:line="240" w:lineRule="auto"/>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before="0"/>
        <w:ind w:left="532" w:right="0"/>
        <w:jc w:val="left"/>
      </w:pPr>
      <w:r>
        <w:rPr/>
        <w:t>公司高级管理人员全部由董事会聘任，直接对董事会负责，承担董事会下达的经营指标。董事会制定</w:t>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w w:val="95"/>
        </w:rPr>
        <w:t>《绩效考核办法》，办法对薪酬发放、比例考核、年终绩效奖金考核、对未完成目标人员的处罚等作出了</w:t>
      </w:r>
      <w:r>
        <w:rPr>
          <w:spacing w:val="44"/>
          <w:w w:val="95"/>
        </w:rPr>
        <w:t> </w:t>
      </w:r>
      <w:r>
        <w:rPr>
          <w:spacing w:val="44"/>
          <w:w w:val="95"/>
        </w:rPr>
      </w:r>
      <w:r>
        <w:rPr>
          <w:w w:val="95"/>
        </w:rPr>
        <w:t>明确规定，根据高级管理人员的工作能力、履职情况、责任目标完成情况等进行年终考评，并及时进行年</w:t>
      </w:r>
      <w:r>
        <w:rPr>
          <w:spacing w:val="45"/>
          <w:w w:val="95"/>
        </w:rPr>
        <w:t> </w:t>
      </w:r>
      <w:r>
        <w:rPr>
          <w:spacing w:val="45"/>
          <w:w w:val="95"/>
        </w:rPr>
      </w:r>
      <w:r>
        <w:rPr/>
        <w:t>终绩效奖金发放。</w:t>
      </w:r>
    </w:p>
    <w:p>
      <w:pPr>
        <w:pStyle w:val="BodyText"/>
        <w:spacing w:line="408" w:lineRule="auto" w:before="46"/>
        <w:ind w:right="1130" w:firstLine="420"/>
        <w:jc w:val="both"/>
      </w:pPr>
      <w:r>
        <w:rPr>
          <w:spacing w:val="-5"/>
          <w:w w:val="95"/>
        </w:rPr>
        <w:t>报告期内，高级管理人员薪酬及绩效考核管理制度执行情况良好。公司高级管理人员能够严格按照《公</w:t>
      </w:r>
      <w:r>
        <w:rPr>
          <w:spacing w:val="-72"/>
          <w:w w:val="95"/>
        </w:rPr>
        <w:t> </w:t>
      </w:r>
      <w:r>
        <w:rPr>
          <w:spacing w:val="-72"/>
          <w:w w:val="95"/>
        </w:rPr>
      </w:r>
      <w:r>
        <w:rPr>
          <w:w w:val="95"/>
        </w:rPr>
        <w:t>司法》、《公司章程》及国家有关法律法规认真履行职责，积极落实公司股东大会和董事会相关决议，在</w:t>
      </w:r>
      <w:r>
        <w:rPr>
          <w:spacing w:val="42"/>
          <w:w w:val="95"/>
        </w:rPr>
        <w:t> </w:t>
      </w:r>
      <w:r>
        <w:rPr>
          <w:spacing w:val="42"/>
          <w:w w:val="95"/>
        </w:rPr>
      </w:r>
      <w:r>
        <w:rPr/>
        <w:t>董事会的正确指导下积极调整经营思路，加强内部管理，较好地完成了本年度的各项工作任务。</w:t>
      </w:r>
    </w:p>
    <w:p>
      <w:pPr>
        <w:pStyle w:val="BodyText"/>
        <w:spacing w:line="240" w:lineRule="auto" w:before="46"/>
        <w:ind w:left="532" w:right="2127"/>
        <w:jc w:val="left"/>
      </w:pPr>
      <w:r>
        <w:rPr/>
        <w:t>公司通过实施股权激励等方式，对高级管理人员实行激励。</w:t>
      </w:r>
    </w:p>
    <w:p>
      <w:pPr>
        <w:spacing w:line="240" w:lineRule="auto" w:before="0"/>
        <w:rPr>
          <w:rFonts w:ascii="宋体" w:hAnsi="宋体" w:cs="宋体" w:eastAsia="宋体" w:hint="default"/>
          <w:sz w:val="20"/>
          <w:szCs w:val="20"/>
        </w:rPr>
      </w:pPr>
    </w:p>
    <w:p>
      <w:pPr>
        <w:pStyle w:val="Heading4"/>
        <w:spacing w:line="240" w:lineRule="auto" w:before="131"/>
        <w:ind w:right="0"/>
        <w:jc w:val="both"/>
        <w:rPr>
          <w:b w:val="0"/>
          <w:bCs w:val="0"/>
        </w:rPr>
      </w:pPr>
      <w:bookmarkStart w:name="九、内部控制评价报告" w:id="148"/>
      <w:bookmarkEnd w:id="148"/>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报告期内发现的内部控制重大缺陷的具体情况" w:id="149"/>
      <w:bookmarkEnd w:id="149"/>
      <w:r>
        <w:rPr>
          <w:b w:val="0"/>
          <w:bCs w:val="0"/>
        </w:rPr>
      </w:r>
      <w:r>
        <w:rPr/>
        <w:t>1、报告期内发现的内部控制重大缺陷的具体情况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6"/>
        <w:spacing w:line="240" w:lineRule="auto" w:before="118"/>
        <w:ind w:right="0"/>
        <w:jc w:val="both"/>
        <w:rPr>
          <w:b w:val="0"/>
          <w:bCs w:val="0"/>
        </w:rPr>
      </w:pPr>
      <w:bookmarkStart w:name="2、内控自我评价报告" w:id="150"/>
      <w:bookmarkEnd w:id="150"/>
      <w:r>
        <w:rPr>
          <w:b w:val="0"/>
          <w:bCs w:val="0"/>
        </w:rPr>
      </w:r>
      <w:r>
        <w:rPr/>
        <w:t>2、内控自我评价报告</w:t>
      </w:r>
      <w:r>
        <w:rPr>
          <w:b w:val="0"/>
          <w:bCs w:val="0"/>
        </w:rPr>
      </w:r>
    </w:p>
    <w:p>
      <w:pPr>
        <w:spacing w:line="240" w:lineRule="auto" w:before="10"/>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日巨潮资讯</w:t>
            </w:r>
            <w:r>
              <w:rPr>
                <w:rFonts w:ascii="宋体" w:hAnsi="宋体" w:cs="宋体" w:eastAsia="宋体" w:hint="default"/>
                <w:spacing w:val="-12"/>
                <w:sz w:val="18"/>
                <w:szCs w:val="18"/>
              </w:rPr>
              <w:t>网</w:t>
            </w:r>
            <w:r>
              <w:rPr>
                <w:rFonts w:ascii="宋体" w:hAnsi="宋体" w:cs="宋体" w:eastAsia="宋体" w:hint="default"/>
                <w:spacing w:val="-3"/>
                <w:sz w:val="18"/>
                <w:szCs w:val="18"/>
              </w:rPr>
              <w:t>（</w:t>
            </w:r>
            <w:hyperlink r:id="rId13">
              <w:r>
                <w:rPr>
                  <w:rFonts w:ascii="宋体" w:hAnsi="宋体" w:cs="宋体" w:eastAsia="宋体" w:hint="default"/>
                  <w:spacing w:val="1"/>
                  <w:sz w:val="18"/>
                  <w:szCs w:val="18"/>
                </w:rPr>
                <w:t>h</w:t>
              </w:r>
              <w:r>
                <w:rPr>
                  <w:rFonts w:ascii="宋体" w:hAnsi="宋体" w:cs="宋体" w:eastAsia="宋体" w:hint="default"/>
                  <w:spacing w:val="-2"/>
                  <w:sz w:val="18"/>
                  <w:szCs w:val="18"/>
                </w:rPr>
                <w:t>t</w:t>
              </w:r>
              <w:r>
                <w:rPr>
                  <w:rFonts w:ascii="宋体" w:hAnsi="宋体" w:cs="宋体" w:eastAsia="宋体" w:hint="default"/>
                  <w:spacing w:val="1"/>
                  <w:sz w:val="18"/>
                  <w:szCs w:val="18"/>
                </w:rPr>
                <w:t>t</w:t>
              </w:r>
              <w:r>
                <w:rPr>
                  <w:rFonts w:ascii="宋体" w:hAnsi="宋体" w:cs="宋体" w:eastAsia="宋体" w:hint="default"/>
                  <w:spacing w:val="-2"/>
                  <w:sz w:val="18"/>
                  <w:szCs w:val="18"/>
                </w:rPr>
                <w:t>p</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w</w:t>
              </w:r>
              <w:r>
                <w:rPr>
                  <w:rFonts w:ascii="宋体" w:hAnsi="宋体" w:cs="宋体" w:eastAsia="宋体" w:hint="default"/>
                  <w:spacing w:val="1"/>
                  <w:sz w:val="18"/>
                  <w:szCs w:val="18"/>
                </w:rPr>
                <w:t>w</w:t>
              </w:r>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n</w:t>
              </w:r>
              <w:r>
                <w:rPr>
                  <w:rFonts w:ascii="宋体" w:hAnsi="宋体" w:cs="宋体" w:eastAsia="宋体" w:hint="default"/>
                  <w:spacing w:val="-2"/>
                  <w:sz w:val="18"/>
                  <w:szCs w:val="18"/>
                </w:rPr>
                <w:t>i</w:t>
              </w:r>
              <w:r>
                <w:rPr>
                  <w:rFonts w:ascii="宋体" w:hAnsi="宋体" w:cs="宋体" w:eastAsia="宋体" w:hint="default"/>
                  <w:spacing w:val="1"/>
                  <w:sz w:val="18"/>
                  <w:szCs w:val="18"/>
                </w:rPr>
                <w:t>n</w:t>
              </w:r>
              <w:r>
                <w:rPr>
                  <w:rFonts w:ascii="宋体" w:hAnsi="宋体" w:cs="宋体" w:eastAsia="宋体" w:hint="default"/>
                  <w:spacing w:val="-2"/>
                  <w:sz w:val="18"/>
                  <w:szCs w:val="18"/>
                </w:rPr>
                <w:t>f</w:t>
              </w:r>
              <w:r>
                <w:rPr>
                  <w:rFonts w:ascii="宋体" w:hAnsi="宋体" w:cs="宋体" w:eastAsia="宋体" w:hint="default"/>
                  <w:spacing w:val="1"/>
                  <w:sz w:val="18"/>
                  <w:szCs w:val="18"/>
                </w:rPr>
                <w:t>o</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o</w:t>
              </w:r>
              <w:r>
                <w:rPr>
                  <w:rFonts w:ascii="宋体" w:hAnsi="宋体" w:cs="宋体" w:eastAsia="宋体" w:hint="default"/>
                  <w:spacing w:val="1"/>
                  <w:sz w:val="18"/>
                  <w:szCs w:val="18"/>
                </w:rPr>
                <w:t>m</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n</w:t>
              </w:r>
            </w:hyperlink>
            <w:r>
              <w:rPr>
                <w:rFonts w:ascii="宋体" w:hAnsi="宋体" w:cs="宋体" w:eastAsia="宋体" w:hint="default"/>
                <w:spacing w:val="-104"/>
                <w:sz w:val="18"/>
                <w:szCs w:val="18"/>
              </w:rPr>
              <w:t>）</w:t>
            </w:r>
            <w:r>
              <w:rPr>
                <w:rFonts w:ascii="宋体" w:hAnsi="宋体" w:cs="宋体" w:eastAsia="宋体" w:hint="default"/>
                <w:sz w:val="18"/>
                <w:szCs w:val="18"/>
              </w:rPr>
              <w:t>《安徽皖通科技股份</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年度内部控制评价报告》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9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48"/>
              <w:jc w:val="left"/>
              <w:rPr>
                <w:rFonts w:ascii="宋体" w:hAnsi="宋体" w:cs="宋体" w:eastAsia="宋体" w:hint="default"/>
                <w:sz w:val="18"/>
                <w:szCs w:val="18"/>
              </w:rPr>
            </w:pPr>
            <w:r>
              <w:rPr>
                <w:rFonts w:ascii="宋体" w:hAnsi="宋体" w:cs="宋体" w:eastAsia="宋体" w:hint="default"/>
                <w:sz w:val="18"/>
                <w:szCs w:val="18"/>
              </w:rPr>
              <w:t>A、可认定重大缺陷的迹象：a.公司董事 监事和高级管理人员的舞弊行为；b.公司 更正已公布的财务报告；c.注册会计师发 现的却未被公司内部控制识别的当期财务</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186" w:lineRule="exact" w:before="50"/>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4" w:right="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pacing w:val="-4"/>
                <w:sz w:val="18"/>
                <w:szCs w:val="18"/>
              </w:rPr>
              <w:t>务流程有效性的影响程度、发生的可能</w:t>
            </w:r>
            <w:r>
              <w:rPr>
                <w:rFonts w:ascii="宋体" w:hAnsi="宋体" w:cs="宋体" w:eastAsia="宋体" w:hint="default"/>
                <w:sz w:val="18"/>
                <w:szCs w:val="18"/>
              </w:rPr>
              <w:t> 性作判定。</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1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报告中的重大错报；d.审计委员会和内部</w:t>
            </w:r>
          </w:p>
        </w:tc>
        <w:tc>
          <w:tcPr>
            <w:tcW w:w="3051"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审计部门对公司的对外财务报告和财务报</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告内部控制监督无效。B、可认定重要缺陷</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的迹象：a.未依照公认会计准则选择和应</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用会计政策；b.未建立反舞弊程序和控制</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措施；c.对于非常规或特殊交易的账务处</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理没有建立相应的控制机制或没有实施且</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没有相应的补偿性控制；d.对于期末财务</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报告过程的控制存在一项或多项缺陷且不</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能合理保证编制的财务报表达到真实、完</w:t>
            </w:r>
          </w:p>
        </w:tc>
        <w:tc>
          <w:tcPr>
            <w:tcW w:w="3051" w:type="dxa"/>
            <w:vMerge/>
            <w:tcBorders>
              <w:left w:val="single" w:sz="4" w:space="0" w:color="000000"/>
              <w:right w:val="single" w:sz="4" w:space="0" w:color="000000"/>
            </w:tcBorders>
            <w:shd w:val="clear" w:color="auto" w:fill="C6ECCC"/>
          </w:tcPr>
          <w:p>
            <w:pP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整的目标。</w:t>
            </w:r>
          </w:p>
        </w:tc>
        <w:tc>
          <w:tcPr>
            <w:tcW w:w="3051" w:type="dxa"/>
            <w:vMerge/>
            <w:tcBorders>
              <w:left w:val="single" w:sz="4" w:space="0" w:color="000000"/>
              <w:bottom w:val="single" w:sz="4" w:space="0" w:color="000000"/>
              <w:right w:val="single" w:sz="4" w:space="0" w:color="000000"/>
            </w:tcBorders>
            <w:shd w:val="clear" w:color="auto" w:fill="C6ECCC"/>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48"/>
              <w:jc w:val="left"/>
              <w:rPr>
                <w:rFonts w:ascii="宋体" w:hAnsi="宋体" w:cs="宋体" w:eastAsia="宋体" w:hint="default"/>
                <w:sz w:val="18"/>
                <w:szCs w:val="18"/>
              </w:rPr>
            </w:pPr>
            <w:r>
              <w:rPr>
                <w:rFonts w:ascii="宋体" w:hAnsi="宋体" w:cs="宋体" w:eastAsia="宋体" w:hint="default"/>
                <w:sz w:val="18"/>
                <w:szCs w:val="18"/>
              </w:rPr>
              <w:t>以财务报告营业收入、资产总额作为衡量 指标。</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以财务报告营业收入、资产总额作为衡</w:t>
            </w:r>
            <w:r>
              <w:rPr>
                <w:rFonts w:ascii="宋体" w:hAnsi="宋体" w:cs="宋体" w:eastAsia="宋体" w:hint="default"/>
                <w:sz w:val="18"/>
                <w:szCs w:val="18"/>
              </w:rPr>
              <w:t> 量指标。</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b/>
          <w:bCs/>
          <w:sz w:val="18"/>
          <w:szCs w:val="18"/>
        </w:rPr>
      </w:pPr>
    </w:p>
    <w:p>
      <w:pPr>
        <w:pStyle w:val="Heading4"/>
        <w:spacing w:line="240" w:lineRule="auto" w:before="26"/>
        <w:ind w:right="2127"/>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2018 年 1 月 1 日至 2018 年 12 月 31</w:t>
            </w:r>
            <w:r>
              <w:rPr>
                <w:rFonts w:ascii="宋体" w:hAnsi="宋体" w:cs="宋体" w:eastAsia="宋体" w:hint="default"/>
                <w:spacing w:val="-5"/>
                <w:sz w:val="18"/>
                <w:szCs w:val="18"/>
              </w:rPr>
              <w:t> </w:t>
            </w:r>
            <w:r>
              <w:rPr>
                <w:rFonts w:ascii="宋体" w:hAnsi="宋体" w:cs="宋体" w:eastAsia="宋体" w:hint="default"/>
                <w:sz w:val="18"/>
                <w:szCs w:val="18"/>
              </w:rPr>
              <w:t>日，皖通科技按照《企业内部控制基本规范》和相关规定在所有重大方面保持</w:t>
            </w:r>
            <w:r>
              <w:rPr>
                <w:rFonts w:ascii="宋体" w:hAnsi="宋体" w:cs="宋体" w:eastAsia="宋体" w:hint="default"/>
                <w:sz w:val="18"/>
                <w:szCs w:val="18"/>
              </w:rPr>
              <w:t> 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 年</w:t>
            </w:r>
            <w:r>
              <w:rPr>
                <w:rFonts w:ascii="宋体" w:hAnsi="宋体" w:cs="宋体" w:eastAsia="宋体" w:hint="default"/>
                <w:spacing w:val="-2"/>
                <w:sz w:val="18"/>
                <w:szCs w:val="18"/>
              </w:rPr>
              <w:t> </w:t>
            </w:r>
            <w:r>
              <w:rPr>
                <w:rFonts w:ascii="宋体" w:hAnsi="宋体" w:cs="宋体" w:eastAsia="宋体" w:hint="default"/>
                <w:sz w:val="18"/>
                <w:szCs w:val="18"/>
              </w:rPr>
              <w:t>4 月</w:t>
            </w:r>
            <w:r>
              <w:rPr>
                <w:rFonts w:ascii="宋体" w:hAnsi="宋体" w:cs="宋体" w:eastAsia="宋体" w:hint="default"/>
                <w:spacing w:val="1"/>
                <w:sz w:val="18"/>
                <w:szCs w:val="18"/>
              </w:rPr>
              <w:t> 2</w:t>
            </w: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日巨潮资讯</w:t>
            </w:r>
            <w:r>
              <w:rPr>
                <w:rFonts w:ascii="宋体" w:hAnsi="宋体" w:cs="宋体" w:eastAsia="宋体" w:hint="default"/>
                <w:spacing w:val="-39"/>
                <w:sz w:val="18"/>
                <w:szCs w:val="18"/>
              </w:rPr>
              <w:t>网</w:t>
            </w:r>
            <w:hyperlink r:id="rId13">
              <w:r>
                <w:rPr>
                  <w:rFonts w:ascii="宋体" w:hAnsi="宋体" w:cs="宋体" w:eastAsia="宋体" w:hint="default"/>
                  <w:sz w:val="18"/>
                  <w:szCs w:val="18"/>
                </w:rPr>
                <w:t>（</w:t>
              </w:r>
              <w:r>
                <w:rPr>
                  <w:rFonts w:ascii="宋体" w:hAnsi="宋体" w:cs="宋体" w:eastAsia="宋体" w:hint="default"/>
                  <w:spacing w:val="1"/>
                  <w:sz w:val="18"/>
                  <w:szCs w:val="18"/>
                </w:rPr>
                <w:t>h</w:t>
              </w:r>
              <w:r>
                <w:rPr>
                  <w:rFonts w:ascii="宋体" w:hAnsi="宋体" w:cs="宋体" w:eastAsia="宋体" w:hint="default"/>
                  <w:spacing w:val="-2"/>
                  <w:sz w:val="18"/>
                  <w:szCs w:val="18"/>
                </w:rPr>
                <w:t>t</w:t>
              </w:r>
              <w:r>
                <w:rPr>
                  <w:rFonts w:ascii="宋体" w:hAnsi="宋体" w:cs="宋体" w:eastAsia="宋体" w:hint="default"/>
                  <w:spacing w:val="1"/>
                  <w:sz w:val="18"/>
                  <w:szCs w:val="18"/>
                </w:rPr>
                <w:t>t</w:t>
              </w:r>
              <w:r>
                <w:rPr>
                  <w:rFonts w:ascii="宋体" w:hAnsi="宋体" w:cs="宋体" w:eastAsia="宋体" w:hint="default"/>
                  <w:spacing w:val="-2"/>
                  <w:sz w:val="18"/>
                  <w:szCs w:val="18"/>
                </w:rPr>
                <w:t>p</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w</w:t>
              </w:r>
              <w:r>
                <w:rPr>
                  <w:rFonts w:ascii="宋体" w:hAnsi="宋体" w:cs="宋体" w:eastAsia="宋体" w:hint="default"/>
                  <w:spacing w:val="1"/>
                  <w:sz w:val="18"/>
                  <w:szCs w:val="18"/>
                </w:rPr>
                <w:t>w</w:t>
              </w:r>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n</w:t>
              </w:r>
              <w:r>
                <w:rPr>
                  <w:rFonts w:ascii="宋体" w:hAnsi="宋体" w:cs="宋体" w:eastAsia="宋体" w:hint="default"/>
                  <w:spacing w:val="-2"/>
                  <w:sz w:val="18"/>
                  <w:szCs w:val="18"/>
                </w:rPr>
                <w:t>i</w:t>
              </w:r>
              <w:r>
                <w:rPr>
                  <w:rFonts w:ascii="宋体" w:hAnsi="宋体" w:cs="宋体" w:eastAsia="宋体" w:hint="default"/>
                  <w:spacing w:val="1"/>
                  <w:sz w:val="18"/>
                  <w:szCs w:val="18"/>
                </w:rPr>
                <w:t>n</w:t>
              </w:r>
              <w:r>
                <w:rPr>
                  <w:rFonts w:ascii="宋体" w:hAnsi="宋体" w:cs="宋体" w:eastAsia="宋体" w:hint="default"/>
                  <w:spacing w:val="-2"/>
                  <w:sz w:val="18"/>
                  <w:szCs w:val="18"/>
                </w:rPr>
                <w:t>f</w:t>
              </w:r>
              <w:r>
                <w:rPr>
                  <w:rFonts w:ascii="宋体" w:hAnsi="宋体" w:cs="宋体" w:eastAsia="宋体" w:hint="default"/>
                  <w:spacing w:val="1"/>
                  <w:sz w:val="18"/>
                  <w:szCs w:val="18"/>
                </w:rPr>
                <w:t>o</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o</w:t>
              </w:r>
              <w:r>
                <w:rPr>
                  <w:rFonts w:ascii="宋体" w:hAnsi="宋体" w:cs="宋体" w:eastAsia="宋体" w:hint="default"/>
                  <w:spacing w:val="1"/>
                  <w:sz w:val="18"/>
                  <w:szCs w:val="18"/>
                </w:rPr>
                <w:t>m</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n</w:t>
              </w:r>
            </w:hyperlink>
            <w:r>
              <w:rPr>
                <w:rFonts w:ascii="宋体" w:hAnsi="宋体" w:cs="宋体" w:eastAsia="宋体" w:hint="default"/>
                <w:spacing w:val="-132"/>
                <w:sz w:val="18"/>
                <w:szCs w:val="18"/>
              </w:rPr>
              <w:t>）</w:t>
            </w:r>
            <w:r>
              <w:rPr>
                <w:rFonts w:ascii="宋体" w:hAnsi="宋体" w:cs="宋体" w:eastAsia="宋体" w:hint="default"/>
                <w:sz w:val="18"/>
                <w:szCs w:val="18"/>
              </w:rPr>
              <w:t>《安徽皖通科技股份有限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 2018</w:t>
            </w:r>
            <w:r>
              <w:rPr>
                <w:rFonts w:ascii="宋体" w:hAnsi="宋体" w:cs="宋体" w:eastAsia="宋体" w:hint="default"/>
                <w:spacing w:val="-2"/>
                <w:sz w:val="18"/>
                <w:szCs w:val="18"/>
              </w:rPr>
              <w:t> </w:t>
            </w:r>
            <w:r>
              <w:rPr>
                <w:rFonts w:ascii="宋体" w:hAnsi="宋体" w:cs="宋体" w:eastAsia="宋体" w:hint="default"/>
                <w:sz w:val="18"/>
                <w:szCs w:val="18"/>
              </w:rPr>
              <w:t>年度内部控制鉴证报告》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60" w:lineRule="auto" w:before="115"/>
        <w:ind w:left="112" w:right="4634"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会计师事务所出具的内部控制鉴证报告与董事会的自我评价报告意见是否一致</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2127"/>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7"/>
        </w:rPr>
        <w:t> </w:t>
      </w:r>
      <w:r>
        <w:rPr/>
        <w:t>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68" w:right="2127"/>
        <w:jc w:val="left"/>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审计报告" w:id="156"/>
      <w:bookmarkEnd w:id="156"/>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大华审字【2019】002206</w:t>
            </w:r>
            <w:r>
              <w:rPr>
                <w:rFonts w:ascii="宋体" w:hAnsi="宋体" w:cs="宋体" w:eastAsia="宋体" w:hint="default"/>
                <w:spacing w:val="-49"/>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吕勇军，吴琳</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before="52"/>
        <w:ind w:left="4291" w:right="0" w:firstLine="0"/>
        <w:jc w:val="left"/>
        <w:rPr>
          <w:rFonts w:ascii="宋体" w:hAnsi="宋体" w:cs="宋体" w:eastAsia="宋体" w:hint="default"/>
          <w:sz w:val="32"/>
          <w:szCs w:val="32"/>
        </w:rPr>
      </w:pPr>
      <w:r>
        <w:rPr>
          <w:rFonts w:ascii="宋体" w:hAnsi="宋体" w:cs="宋体" w:eastAsia="宋体" w:hint="default"/>
          <w:b/>
          <w:bCs/>
          <w:w w:val="95"/>
          <w:sz w:val="32"/>
          <w:szCs w:val="32"/>
        </w:rPr>
        <w:t>审计报告</w:t>
      </w:r>
      <w:r>
        <w:rPr>
          <w:rFonts w:ascii="宋体" w:hAnsi="宋体" w:cs="宋体" w:eastAsia="宋体" w:hint="default"/>
          <w:sz w:val="32"/>
          <w:szCs w:val="32"/>
        </w:rPr>
      </w:r>
    </w:p>
    <w:p>
      <w:pPr>
        <w:spacing w:line="240" w:lineRule="auto" w:before="13"/>
        <w:rPr>
          <w:rFonts w:ascii="宋体" w:hAnsi="宋体" w:cs="宋体" w:eastAsia="宋体" w:hint="default"/>
          <w:b/>
          <w:bCs/>
          <w:sz w:val="41"/>
          <w:szCs w:val="41"/>
        </w:rPr>
      </w:pPr>
    </w:p>
    <w:p>
      <w:pPr>
        <w:pStyle w:val="Heading2"/>
        <w:spacing w:line="408" w:lineRule="auto"/>
        <w:ind w:left="674" w:right="0" w:hanging="562"/>
        <w:jc w:val="left"/>
        <w:rPr>
          <w:b w:val="0"/>
          <w:bCs w:val="0"/>
        </w:rPr>
      </w:pPr>
      <w:r>
        <w:rPr>
          <w:w w:val="95"/>
        </w:rPr>
        <w:t>安徽皖通科技股份有限公司全体股东：</w:t>
      </w:r>
      <w:r>
        <w:rPr>
          <w:spacing w:val="93"/>
          <w:w w:val="95"/>
        </w:rPr>
        <w:t> </w:t>
      </w:r>
      <w:r>
        <w:rPr>
          <w:spacing w:val="93"/>
          <w:w w:val="95"/>
        </w:rPr>
      </w:r>
      <w:r>
        <w:rPr/>
        <w:t>一、审计意见</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6"/>
          <w:szCs w:val="26"/>
        </w:rPr>
      </w:pPr>
    </w:p>
    <w:p>
      <w:pPr>
        <w:pStyle w:val="Heading6"/>
        <w:spacing w:line="240" w:lineRule="auto"/>
        <w:ind w:right="0"/>
        <w:jc w:val="left"/>
        <w:rPr>
          <w:b w:val="0"/>
          <w:bCs w:val="0"/>
        </w:rPr>
      </w:pPr>
      <w:r>
        <w:rPr/>
        <w:t>大华审字[2019]002206号</w:t>
      </w:r>
      <w:r>
        <w:rPr>
          <w:b w:val="0"/>
          <w:bCs w:val="0"/>
        </w:rPr>
      </w:r>
    </w:p>
    <w:p>
      <w:pPr>
        <w:spacing w:after="0" w:line="240" w:lineRule="auto"/>
        <w:jc w:val="left"/>
        <w:sectPr>
          <w:type w:val="continuous"/>
          <w:pgSz w:w="11910" w:h="16840"/>
          <w:pgMar w:top="1060" w:bottom="1160" w:left="1020" w:right="0"/>
          <w:cols w:num="2" w:equalWidth="0">
            <w:col w:w="5575" w:space="1754"/>
            <w:col w:w="3561"/>
          </w:cols>
        </w:sectPr>
      </w:pPr>
    </w:p>
    <w:p>
      <w:pPr>
        <w:pStyle w:val="Heading3"/>
        <w:spacing w:line="408" w:lineRule="auto"/>
        <w:ind w:right="1130"/>
        <w:jc w:val="both"/>
      </w:pPr>
      <w:r>
        <w:rPr>
          <w:spacing w:val="2"/>
        </w:rPr>
        <w:t>我们审计了安徽皖通科技股份有限公司(以下简称皖通科技)财务报表，包</w:t>
      </w:r>
      <w:r>
        <w:rPr>
          <w:w w:val="100"/>
        </w:rPr>
        <w:t> </w:t>
      </w:r>
      <w:r>
        <w:rPr/>
        <w:t>括2018年12月31日的合并及母公司资产负债表，2018年度的合并及母公司利润</w:t>
      </w:r>
      <w:r>
        <w:rPr>
          <w:spacing w:val="-33"/>
        </w:rPr>
        <w:t> </w:t>
      </w:r>
      <w:r>
        <w:rPr>
          <w:spacing w:val="-33"/>
        </w:rPr>
      </w:r>
      <w:r>
        <w:rPr>
          <w:spacing w:val="2"/>
        </w:rPr>
        <w:t>表、合并及母公司现金流量表、合并及母公司股东权益变动表以及相关财务报</w:t>
      </w:r>
      <w:r>
        <w:rPr>
          <w:spacing w:val="-99"/>
        </w:rPr>
        <w:t> </w:t>
      </w:r>
      <w:r>
        <w:rPr>
          <w:spacing w:val="-99"/>
        </w:rPr>
      </w:r>
      <w:r>
        <w:rPr/>
        <w:t>表附注。</w:t>
      </w:r>
    </w:p>
    <w:p>
      <w:pPr>
        <w:pStyle w:val="Heading3"/>
        <w:spacing w:line="408" w:lineRule="auto"/>
        <w:ind w:right="0"/>
        <w:jc w:val="left"/>
      </w:pPr>
      <w:r>
        <w:rPr>
          <w:spacing w:val="-3"/>
        </w:rPr>
        <w:t>我们认为，后附的财务报表在所有重大方面按照企业会计准则的规定编制，</w:t>
      </w:r>
      <w:r>
        <w:rPr>
          <w:w w:val="100"/>
        </w:rPr>
        <w:t> </w:t>
      </w:r>
      <w:r>
        <w:rPr/>
        <w:t>公允反映了皖通科技2018年12月31日的合并及母公司财务状况以及2018年度的</w:t>
      </w:r>
      <w:r>
        <w:rPr>
          <w:spacing w:val="-34"/>
        </w:rPr>
        <w:t> </w:t>
      </w:r>
      <w:r>
        <w:rPr>
          <w:spacing w:val="-34"/>
        </w:rPr>
      </w:r>
      <w:r>
        <w:rPr/>
        <w:t>合并及母公司经营成果和现金流量。</w:t>
      </w:r>
    </w:p>
    <w:p>
      <w:pPr>
        <w:spacing w:line="408" w:lineRule="auto" w:before="61"/>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二、形成审计意见的基础</w:t>
      </w:r>
      <w:r>
        <w:rPr>
          <w:rFonts w:ascii="宋体" w:hAnsi="宋体" w:cs="宋体" w:eastAsia="宋体" w:hint="default"/>
          <w:b/>
          <w:bCs/>
          <w:w w:val="99"/>
          <w:sz w:val="28"/>
          <w:szCs w:val="28"/>
        </w:rPr>
        <w:t> </w:t>
      </w:r>
      <w:r>
        <w:rPr>
          <w:rFonts w:ascii="宋体" w:hAnsi="宋体" w:cs="宋体" w:eastAsia="宋体" w:hint="default"/>
          <w:spacing w:val="-7"/>
          <w:sz w:val="28"/>
          <w:szCs w:val="28"/>
        </w:rPr>
        <w:t>我们按照中国注册会计师审计准则的规定执行了审计工作。审计报告的“注</w:t>
      </w:r>
    </w:p>
    <w:p>
      <w:pPr>
        <w:pStyle w:val="Heading3"/>
        <w:spacing w:line="408" w:lineRule="auto"/>
        <w:ind w:right="0" w:firstLine="0"/>
        <w:jc w:val="left"/>
      </w:pPr>
      <w:r>
        <w:rPr>
          <w:spacing w:val="-3"/>
        </w:rPr>
        <w:t>册会计师对财务报表审计的责任”部分进一步阐述了我们在这些准则下的责任。</w:t>
      </w:r>
      <w:r>
        <w:rPr>
          <w:spacing w:val="-78"/>
        </w:rPr>
        <w:t> </w:t>
      </w:r>
      <w:r>
        <w:rPr>
          <w:spacing w:val="-78"/>
        </w:rPr>
      </w:r>
      <w:r>
        <w:rPr>
          <w:spacing w:val="2"/>
        </w:rPr>
        <w:t>按照中国注册会计师职业道德守则，我们独立于皖通科技，并履行了职业道德</w:t>
      </w:r>
      <w:r>
        <w:rPr>
          <w:spacing w:val="-99"/>
        </w:rPr>
        <w:t> </w:t>
      </w:r>
      <w:r>
        <w:rPr>
          <w:spacing w:val="-99"/>
        </w:rPr>
      </w:r>
      <w:r>
        <w:rPr>
          <w:spacing w:val="2"/>
        </w:rPr>
        <w:t>方面的其他责任。我们相信，我们获取的审计证据是充分、适当的，为发表审</w:t>
      </w:r>
    </w:p>
    <w:p>
      <w:pPr>
        <w:spacing w:after="0" w:line="408" w:lineRule="auto"/>
        <w:jc w:val="left"/>
        <w:sectPr>
          <w:type w:val="continuous"/>
          <w:pgSz w:w="11910" w:h="16840"/>
          <w:pgMar w:top="1060" w:bottom="1160" w:left="10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14"/>
        <w:ind w:left="674" w:right="7943" w:hanging="562"/>
        <w:jc w:val="left"/>
        <w:rPr>
          <w:rFonts w:ascii="宋体" w:hAnsi="宋体" w:cs="宋体" w:eastAsia="宋体" w:hint="default"/>
          <w:sz w:val="28"/>
          <w:szCs w:val="28"/>
        </w:rPr>
      </w:pPr>
      <w:r>
        <w:rPr>
          <w:rFonts w:ascii="宋体" w:hAnsi="宋体" w:cs="宋体" w:eastAsia="宋体" w:hint="default"/>
          <w:sz w:val="28"/>
          <w:szCs w:val="28"/>
        </w:rPr>
        <w:t>计意见提供了基础。</w:t>
      </w:r>
      <w:r>
        <w:rPr>
          <w:rFonts w:ascii="宋体" w:hAnsi="宋体" w:cs="宋体" w:eastAsia="宋体" w:hint="default"/>
          <w:w w:val="100"/>
          <w:sz w:val="28"/>
          <w:szCs w:val="28"/>
        </w:rPr>
        <w:t> </w:t>
      </w:r>
      <w:r>
        <w:rPr>
          <w:rFonts w:ascii="宋体" w:hAnsi="宋体" w:cs="宋体" w:eastAsia="宋体" w:hint="default"/>
          <w:b/>
          <w:bCs/>
          <w:sz w:val="28"/>
          <w:szCs w:val="28"/>
        </w:rPr>
        <w:t>三、关键审计事项</w:t>
      </w:r>
      <w:r>
        <w:rPr>
          <w:rFonts w:ascii="宋体" w:hAnsi="宋体" w:cs="宋体" w:eastAsia="宋体" w:hint="default"/>
          <w:sz w:val="28"/>
          <w:szCs w:val="28"/>
        </w:rPr>
      </w:r>
    </w:p>
    <w:p>
      <w:pPr>
        <w:pStyle w:val="Heading3"/>
        <w:spacing w:line="408" w:lineRule="auto"/>
        <w:ind w:right="1130"/>
        <w:jc w:val="both"/>
      </w:pPr>
      <w:r>
        <w:rPr>
          <w:spacing w:val="2"/>
        </w:rPr>
        <w:t>关键审计事项是我们根据职业判断，认为对本期财务报表审计最为重要的</w:t>
      </w:r>
      <w:r>
        <w:rPr>
          <w:w w:val="100"/>
        </w:rPr>
        <w:t> </w:t>
      </w:r>
      <w:r>
        <w:rPr>
          <w:spacing w:val="2"/>
        </w:rPr>
        <w:t>事项。这些事项的应对以对财务报表整体进行审计并形成审计意见为背景，我</w:t>
      </w:r>
      <w:r>
        <w:rPr>
          <w:spacing w:val="-99"/>
        </w:rPr>
        <w:t> </w:t>
      </w:r>
      <w:r>
        <w:rPr>
          <w:spacing w:val="-99"/>
        </w:rPr>
      </w:r>
      <w:r>
        <w:rPr/>
        <w:t>们不对这些事项单独发表意见。</w:t>
      </w:r>
    </w:p>
    <w:p>
      <w:pPr>
        <w:pStyle w:val="Heading3"/>
        <w:spacing w:line="408" w:lineRule="auto"/>
        <w:ind w:left="674" w:right="2127" w:firstLine="0"/>
        <w:jc w:val="left"/>
      </w:pPr>
      <w:r>
        <w:rPr>
          <w:spacing w:val="-2"/>
        </w:rPr>
        <w:t>我们确定下列事项是需要在审计报告中沟通的关键审计事项。</w:t>
      </w:r>
      <w:r>
        <w:rPr>
          <w:spacing w:val="-103"/>
        </w:rPr>
        <w:t> </w:t>
      </w:r>
      <w:r>
        <w:rPr>
          <w:spacing w:val="-103"/>
        </w:rPr>
      </w:r>
      <w:r>
        <w:rPr/>
        <w:t>1.应收账款坏账准备计提</w:t>
      </w:r>
    </w:p>
    <w:p>
      <w:pPr>
        <w:pStyle w:val="Heading3"/>
        <w:spacing w:line="240" w:lineRule="auto"/>
        <w:ind w:left="674" w:right="2127" w:firstLine="0"/>
        <w:jc w:val="left"/>
      </w:pPr>
      <w:r>
        <w:rPr/>
        <w:t>2.</w:t>
      </w:r>
      <w:r>
        <w:rPr>
          <w:spacing w:val="-2"/>
        </w:rPr>
        <w:t> </w:t>
      </w:r>
      <w:r>
        <w:rPr/>
        <w:t>商誉减值</w:t>
      </w:r>
    </w:p>
    <w:p>
      <w:pPr>
        <w:spacing w:line="240" w:lineRule="auto" w:before="9"/>
        <w:rPr>
          <w:rFonts w:ascii="宋体" w:hAnsi="宋体" w:cs="宋体" w:eastAsia="宋体" w:hint="default"/>
          <w:sz w:val="19"/>
          <w:szCs w:val="19"/>
        </w:rPr>
      </w:pPr>
    </w:p>
    <w:p>
      <w:pPr>
        <w:pStyle w:val="Heading3"/>
        <w:spacing w:line="240" w:lineRule="auto" w:before="0"/>
        <w:ind w:left="674" w:right="2127" w:firstLine="0"/>
        <w:jc w:val="left"/>
      </w:pPr>
      <w:r>
        <w:rPr/>
        <w:t>3.</w:t>
      </w:r>
      <w:r>
        <w:rPr>
          <w:spacing w:val="-2"/>
        </w:rPr>
        <w:t> </w:t>
      </w:r>
      <w:r>
        <w:rPr/>
        <w:t>收入确认</w:t>
      </w:r>
    </w:p>
    <w:p>
      <w:pPr>
        <w:spacing w:line="240" w:lineRule="auto" w:before="9"/>
        <w:rPr>
          <w:rFonts w:ascii="宋体" w:hAnsi="宋体" w:cs="宋体" w:eastAsia="宋体" w:hint="default"/>
          <w:sz w:val="19"/>
          <w:szCs w:val="19"/>
        </w:rPr>
      </w:pPr>
    </w:p>
    <w:p>
      <w:pPr>
        <w:pStyle w:val="Heading3"/>
        <w:spacing w:line="408" w:lineRule="auto" w:before="0"/>
        <w:ind w:left="674" w:right="6254" w:firstLine="0"/>
        <w:jc w:val="left"/>
      </w:pPr>
      <w:r>
        <w:rPr>
          <w:spacing w:val="-2"/>
        </w:rPr>
        <w:t>（一）应收账款坏账准备计提</w:t>
      </w:r>
      <w:r>
        <w:rPr>
          <w:spacing w:val="-121"/>
        </w:rPr>
        <w:t> </w:t>
      </w:r>
      <w:r>
        <w:rPr>
          <w:spacing w:val="-121"/>
        </w:rPr>
      </w:r>
      <w:r>
        <w:rPr/>
        <w:t>1.事项描述</w:t>
      </w:r>
    </w:p>
    <w:p>
      <w:pPr>
        <w:pStyle w:val="Heading3"/>
        <w:spacing w:line="408" w:lineRule="auto"/>
        <w:ind w:right="1130"/>
        <w:jc w:val="both"/>
      </w:pPr>
      <w:r>
        <w:rPr>
          <w:spacing w:val="2"/>
        </w:rPr>
        <w:t>皖通科技与应收账款坏账准备计提相关的会计政策及账面金额信息请参阅</w:t>
      </w:r>
      <w:r>
        <w:rPr>
          <w:w w:val="100"/>
        </w:rPr>
        <w:t> </w:t>
      </w:r>
      <w:r>
        <w:rPr>
          <w:spacing w:val="-2"/>
        </w:rPr>
        <w:t>合并财务报表附注五注释11与合并财务报表附注七注释4所述，截至2018年12月</w:t>
      </w:r>
      <w:r>
        <w:rPr>
          <w:spacing w:val="-104"/>
        </w:rPr>
        <w:t> </w:t>
      </w:r>
      <w:r>
        <w:rPr>
          <w:spacing w:val="-104"/>
        </w:rPr>
      </w:r>
      <w:r>
        <w:rPr/>
        <w:t>31日，应收账款余额473,554,125.45元，坏账准备金额33,763,280.50元。</w:t>
      </w:r>
    </w:p>
    <w:p>
      <w:pPr>
        <w:pStyle w:val="Heading3"/>
        <w:spacing w:line="408" w:lineRule="auto"/>
        <w:ind w:right="1130"/>
        <w:jc w:val="both"/>
      </w:pPr>
      <w:r>
        <w:rPr>
          <w:spacing w:val="2"/>
        </w:rPr>
        <w:t>由于皖通科技管理层在确定应收账款预计可回收金额时需要运用重要会计</w:t>
      </w:r>
      <w:r>
        <w:rPr>
          <w:w w:val="100"/>
        </w:rPr>
        <w:t> </w:t>
      </w:r>
      <w:r>
        <w:rPr>
          <w:spacing w:val="2"/>
        </w:rPr>
        <w:t>估计和判断，且若应收账款不能按期收回或者无法收回对财务报表的影响较为</w:t>
      </w:r>
      <w:r>
        <w:rPr>
          <w:spacing w:val="-99"/>
        </w:rPr>
        <w:t> </w:t>
      </w:r>
      <w:r>
        <w:rPr>
          <w:spacing w:val="-99"/>
        </w:rPr>
      </w:r>
      <w:r>
        <w:rPr/>
        <w:t>重大，因此我们将应收账款坏账准备计提事项作为关键审计事项。</w:t>
      </w:r>
    </w:p>
    <w:p>
      <w:pPr>
        <w:pStyle w:val="Heading3"/>
        <w:spacing w:line="408" w:lineRule="auto"/>
        <w:ind w:left="674" w:right="2127" w:firstLine="0"/>
        <w:jc w:val="left"/>
      </w:pPr>
      <w:r>
        <w:rPr/>
        <w:t>2.审计应对</w:t>
      </w:r>
      <w:r>
        <w:rPr>
          <w:w w:val="100"/>
        </w:rPr>
        <w:t> </w:t>
      </w:r>
      <w:r>
        <w:rPr>
          <w:spacing w:val="-2"/>
        </w:rPr>
        <w:t>我们针对应收账款坏账准备计提实施的重要审计程序包括：</w:t>
      </w:r>
    </w:p>
    <w:p>
      <w:pPr>
        <w:pStyle w:val="Heading3"/>
        <w:spacing w:line="408" w:lineRule="auto"/>
        <w:ind w:right="1130"/>
        <w:jc w:val="both"/>
      </w:pPr>
      <w:r>
        <w:rPr>
          <w:spacing w:val="-3"/>
        </w:rPr>
        <w:t>（1）了解和评估管理层对应收账款坏账准备计提相关内部控制的设计，并</w:t>
      </w:r>
      <w:r>
        <w:rPr>
          <w:w w:val="100"/>
        </w:rPr>
        <w:t> </w:t>
      </w:r>
      <w:r>
        <w:rPr/>
        <w:t>测试了关键控制执行的有效性；</w:t>
      </w:r>
    </w:p>
    <w:p>
      <w:pPr>
        <w:pStyle w:val="Heading3"/>
        <w:spacing w:line="240" w:lineRule="auto"/>
        <w:ind w:left="674" w:right="0" w:firstLine="0"/>
        <w:jc w:val="left"/>
      </w:pPr>
      <w:r>
        <w:rPr>
          <w:spacing w:val="-3"/>
        </w:rPr>
        <w:t>（2）对重点客户单位进行抽样检查，检查其收入确认、应收账款确认与销</w:t>
      </w:r>
    </w:p>
    <w:p>
      <w:pPr>
        <w:spacing w:after="0" w:line="240" w:lineRule="auto"/>
        <w:jc w:val="left"/>
        <w:sectPr>
          <w:footerReference w:type="default" r:id="rId25"/>
          <w:pgSz w:w="11910" w:h="16840"/>
          <w:pgMar w:footer="978" w:header="746" w:top="1060" w:bottom="1160" w:left="1020" w:right="0"/>
          <w:pgNumType w:start="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14"/>
        <w:ind w:right="2127" w:firstLine="0"/>
        <w:jc w:val="left"/>
      </w:pPr>
      <w:r>
        <w:rPr/>
        <w:t>售合同、验收、回款原始凭证的对应关系，对账龄记录进行复核；</w:t>
      </w:r>
    </w:p>
    <w:p>
      <w:pPr>
        <w:spacing w:line="240" w:lineRule="auto" w:before="9"/>
        <w:rPr>
          <w:rFonts w:ascii="宋体" w:hAnsi="宋体" w:cs="宋体" w:eastAsia="宋体" w:hint="default"/>
          <w:sz w:val="19"/>
          <w:szCs w:val="19"/>
        </w:rPr>
      </w:pPr>
    </w:p>
    <w:p>
      <w:pPr>
        <w:pStyle w:val="Heading3"/>
        <w:spacing w:line="408" w:lineRule="auto" w:before="0"/>
        <w:ind w:right="1132"/>
        <w:jc w:val="both"/>
      </w:pPr>
      <w:r>
        <w:rPr>
          <w:spacing w:val="-3"/>
        </w:rPr>
        <w:t>（3）分析与应收账款坏账准备计提相关的会计政策政策的合理性，包括确</w:t>
      </w:r>
      <w:r>
        <w:rPr>
          <w:w w:val="100"/>
        </w:rPr>
        <w:t> </w:t>
      </w:r>
      <w:r>
        <w:rPr/>
        <w:t>定应收账款组合的依据、金额重大的判断、单独计提坏账准备的判断等；</w:t>
      </w:r>
    </w:p>
    <w:p>
      <w:pPr>
        <w:pStyle w:val="Heading3"/>
        <w:spacing w:line="408" w:lineRule="auto"/>
        <w:ind w:right="1132"/>
        <w:jc w:val="both"/>
      </w:pPr>
      <w:r>
        <w:rPr>
          <w:spacing w:val="-3"/>
        </w:rPr>
        <w:t>（4）对单项金额重大的应收账款单独进行减值测试，复核管理层对预计未</w:t>
      </w:r>
      <w:r>
        <w:rPr>
          <w:w w:val="100"/>
        </w:rPr>
        <w:t> </w:t>
      </w:r>
      <w:r>
        <w:rPr>
          <w:spacing w:val="2"/>
        </w:rPr>
        <w:t>来可获得的现金流做出的评估的依据；对于管理层按信用风险特性组合计提坏</w:t>
      </w:r>
      <w:r>
        <w:rPr>
          <w:spacing w:val="-99"/>
        </w:rPr>
        <w:t> </w:t>
      </w:r>
      <w:r>
        <w:rPr>
          <w:spacing w:val="-99"/>
        </w:rPr>
      </w:r>
      <w:r>
        <w:rPr>
          <w:spacing w:val="2"/>
        </w:rPr>
        <w:t>账准备的应收款项，结合信用风险特性及账龄，评价管理层坏账准备计提的合</w:t>
      </w:r>
      <w:r>
        <w:rPr>
          <w:spacing w:val="-99"/>
        </w:rPr>
        <w:t> </w:t>
      </w:r>
      <w:r>
        <w:rPr>
          <w:spacing w:val="-99"/>
        </w:rPr>
      </w:r>
      <w:r>
        <w:rPr/>
        <w:t>理性；</w:t>
      </w:r>
    </w:p>
    <w:p>
      <w:pPr>
        <w:pStyle w:val="Heading3"/>
        <w:spacing w:line="408" w:lineRule="auto"/>
        <w:ind w:right="1132"/>
        <w:jc w:val="both"/>
      </w:pPr>
      <w:r>
        <w:rPr>
          <w:spacing w:val="-3"/>
        </w:rPr>
        <w:t>（5）分析资产负债表日坏账准备金额与应收账款余额之间的比率，并与上</w:t>
      </w:r>
      <w:r>
        <w:rPr>
          <w:w w:val="100"/>
        </w:rPr>
        <w:t> </w:t>
      </w:r>
      <w:r>
        <w:rPr/>
        <w:t>年度进行对比，分析本期应收账款坏账准备计提是否充分；</w:t>
      </w:r>
    </w:p>
    <w:p>
      <w:pPr>
        <w:pStyle w:val="Heading3"/>
        <w:spacing w:line="408" w:lineRule="auto"/>
        <w:ind w:right="1130"/>
        <w:jc w:val="both"/>
      </w:pPr>
      <w:r>
        <w:rPr>
          <w:spacing w:val="-3"/>
        </w:rPr>
        <w:t>（6）分析应收账款的账龄和客户信誉情况，结合应收账款函证程序及检查</w:t>
      </w:r>
      <w:r>
        <w:rPr>
          <w:w w:val="100"/>
        </w:rPr>
        <w:t> </w:t>
      </w:r>
      <w:r>
        <w:rPr/>
        <w:t>期后回款情况，评价应收账款坏账准备计提的合理性；</w:t>
      </w:r>
    </w:p>
    <w:p>
      <w:pPr>
        <w:pStyle w:val="Heading3"/>
        <w:spacing w:line="408" w:lineRule="auto"/>
        <w:ind w:left="674" w:right="0" w:firstLine="0"/>
        <w:jc w:val="left"/>
      </w:pPr>
      <w:r>
        <w:rPr/>
        <w:t>（7）评估管理层对应收账款坏账准备的财务报表披露是否恰当。</w:t>
      </w:r>
      <w:r>
        <w:rPr>
          <w:w w:val="100"/>
        </w:rPr>
        <w:t> </w:t>
      </w:r>
      <w:r>
        <w:rPr>
          <w:spacing w:val="2"/>
        </w:rPr>
        <w:t>基于已执行的审计工作，我们认为皖通科技对应收账款坏账准备计提的相</w:t>
      </w:r>
    </w:p>
    <w:p>
      <w:pPr>
        <w:pStyle w:val="Heading3"/>
        <w:spacing w:line="240" w:lineRule="auto"/>
        <w:ind w:right="2127" w:firstLine="0"/>
        <w:jc w:val="left"/>
      </w:pPr>
      <w:r>
        <w:rPr/>
        <w:t>关判断及估计是合理的。</w:t>
      </w:r>
    </w:p>
    <w:p>
      <w:pPr>
        <w:spacing w:line="240" w:lineRule="auto" w:before="9"/>
        <w:rPr>
          <w:rFonts w:ascii="宋体" w:hAnsi="宋体" w:cs="宋体" w:eastAsia="宋体" w:hint="default"/>
          <w:sz w:val="19"/>
          <w:szCs w:val="19"/>
        </w:rPr>
      </w:pPr>
    </w:p>
    <w:p>
      <w:pPr>
        <w:pStyle w:val="Heading3"/>
        <w:tabs>
          <w:tab w:pos="1372" w:val="left" w:leader="none"/>
        </w:tabs>
        <w:spacing w:line="408" w:lineRule="auto" w:before="0"/>
        <w:ind w:left="674" w:right="7689" w:firstLine="0"/>
        <w:jc w:val="left"/>
      </w:pPr>
      <w:r>
        <w:rPr>
          <w:spacing w:val="-2"/>
        </w:rPr>
        <w:t>（二）商誉减值事项</w:t>
      </w:r>
      <w:r>
        <w:rPr>
          <w:spacing w:val="-127"/>
        </w:rPr>
        <w:t> </w:t>
      </w:r>
      <w:r>
        <w:rPr>
          <w:spacing w:val="-127"/>
        </w:rPr>
      </w:r>
      <w:r>
        <w:rPr/>
        <w:t>1.</w:t>
        <w:tab/>
        <w:t>事项描述</w:t>
      </w:r>
    </w:p>
    <w:p>
      <w:pPr>
        <w:pStyle w:val="Heading3"/>
        <w:spacing w:line="408" w:lineRule="auto"/>
        <w:ind w:right="1130"/>
        <w:jc w:val="both"/>
      </w:pPr>
      <w:r>
        <w:rPr/>
        <w:t>皖通科技合并财务报表附注六注释14所述，截至2018年12月31日，合并报</w:t>
      </w:r>
      <w:r>
        <w:rPr>
          <w:w w:val="100"/>
        </w:rPr>
        <w:t> </w:t>
      </w:r>
      <w:r>
        <w:rPr>
          <w:spacing w:val="-2"/>
        </w:rPr>
        <w:t>表商誉为346,217,394.13元，主要系：2011年9月非同一控制下企业合并烟台华</w:t>
      </w:r>
      <w:r>
        <w:rPr>
          <w:spacing w:val="-97"/>
        </w:rPr>
        <w:t> </w:t>
      </w:r>
      <w:r>
        <w:rPr>
          <w:spacing w:val="-97"/>
        </w:rPr>
      </w:r>
      <w:r>
        <w:rPr/>
        <w:t>东电子软件技术有限公司形成84,135,934.22元的商誉；2017年8月子公司安徽</w:t>
      </w:r>
      <w:r>
        <w:rPr>
          <w:spacing w:val="-40"/>
        </w:rPr>
        <w:t> </w:t>
      </w:r>
      <w:r>
        <w:rPr>
          <w:spacing w:val="-40"/>
        </w:rPr>
      </w:r>
      <w:r>
        <w:rPr>
          <w:spacing w:val="2"/>
        </w:rPr>
        <w:t>行云天下科技有限公司非同一控制下企业合并上海亲益保网络科技有限公司和</w:t>
      </w:r>
      <w:r>
        <w:rPr>
          <w:spacing w:val="-99"/>
        </w:rPr>
        <w:t> </w:t>
      </w:r>
      <w:r>
        <w:rPr>
          <w:spacing w:val="-99"/>
        </w:rPr>
      </w:r>
      <w:r>
        <w:rPr>
          <w:spacing w:val="-2"/>
        </w:rPr>
        <w:t>安徽光大保险代理有限责任公司，分别形成30,517,480.91元和1,800,625.42元</w:t>
      </w:r>
      <w:r>
        <w:rPr>
          <w:spacing w:val="-93"/>
        </w:rPr>
        <w:t> </w:t>
      </w:r>
      <w:r>
        <w:rPr>
          <w:spacing w:val="-93"/>
        </w:rPr>
      </w:r>
      <w:r>
        <w:rPr/>
        <w:t>的</w:t>
      </w:r>
      <w:r>
        <w:rPr>
          <w:spacing w:val="-105"/>
        </w:rPr>
        <w:t> </w:t>
      </w:r>
      <w:r>
        <w:rPr/>
        <w:t>商</w:t>
      </w:r>
      <w:r>
        <w:rPr>
          <w:spacing w:val="-101"/>
        </w:rPr>
        <w:t> </w:t>
      </w:r>
      <w:r>
        <w:rPr/>
        <w:t>誉</w:t>
      </w:r>
      <w:r>
        <w:rPr>
          <w:spacing w:val="-105"/>
        </w:rPr>
        <w:t> </w:t>
      </w:r>
      <w:r>
        <w:rPr/>
        <w:t>；</w:t>
      </w:r>
      <w:r>
        <w:rPr>
          <w:spacing w:val="-101"/>
        </w:rPr>
        <w:t> </w:t>
      </w:r>
      <w:r>
        <w:rPr/>
        <w:t>2018</w:t>
      </w:r>
      <w:r>
        <w:rPr>
          <w:spacing w:val="-103"/>
        </w:rPr>
        <w:t> </w:t>
      </w:r>
      <w:r>
        <w:rPr/>
        <w:t>年</w:t>
      </w:r>
      <w:r>
        <w:rPr>
          <w:spacing w:val="-101"/>
        </w:rPr>
        <w:t> </w:t>
      </w:r>
      <w:r>
        <w:rPr/>
        <w:t>1</w:t>
      </w:r>
      <w:r>
        <w:rPr>
          <w:spacing w:val="-103"/>
        </w:rPr>
        <w:t> </w:t>
      </w:r>
      <w:r>
        <w:rPr/>
        <w:t>月</w:t>
      </w:r>
      <w:r>
        <w:rPr>
          <w:spacing w:val="-105"/>
        </w:rPr>
        <w:t> </w:t>
      </w:r>
      <w:r>
        <w:rPr/>
        <w:t>非</w:t>
      </w:r>
      <w:r>
        <w:rPr>
          <w:spacing w:val="-101"/>
        </w:rPr>
        <w:t> </w:t>
      </w:r>
      <w:r>
        <w:rPr/>
        <w:t>同</w:t>
      </w:r>
      <w:r>
        <w:rPr>
          <w:spacing w:val="-105"/>
        </w:rPr>
        <w:t> </w:t>
      </w:r>
      <w:r>
        <w:rPr/>
        <w:t>一</w:t>
      </w:r>
      <w:r>
        <w:rPr>
          <w:spacing w:val="-101"/>
        </w:rPr>
        <w:t> </w:t>
      </w:r>
      <w:r>
        <w:rPr/>
        <w:t>控</w:t>
      </w:r>
      <w:r>
        <w:rPr>
          <w:spacing w:val="-105"/>
        </w:rPr>
        <w:t> </w:t>
      </w:r>
      <w:r>
        <w:rPr/>
        <w:t>制</w:t>
      </w:r>
      <w:r>
        <w:rPr>
          <w:spacing w:val="-101"/>
        </w:rPr>
        <w:t> </w:t>
      </w:r>
      <w:r>
        <w:rPr/>
        <w:t>下</w:t>
      </w:r>
      <w:r>
        <w:rPr>
          <w:spacing w:val="-105"/>
        </w:rPr>
        <w:t> </w:t>
      </w:r>
      <w:r>
        <w:rPr/>
        <w:t>企</w:t>
      </w:r>
      <w:r>
        <w:rPr>
          <w:spacing w:val="-101"/>
        </w:rPr>
        <w:t> </w:t>
      </w:r>
      <w:r>
        <w:rPr/>
        <w:t>业</w:t>
      </w:r>
      <w:r>
        <w:rPr>
          <w:spacing w:val="-105"/>
        </w:rPr>
        <w:t> </w:t>
      </w:r>
      <w:r>
        <w:rPr/>
        <w:t>合</w:t>
      </w:r>
      <w:r>
        <w:rPr>
          <w:spacing w:val="-105"/>
        </w:rPr>
        <w:t> </w:t>
      </w:r>
      <w:r>
        <w:rPr/>
        <w:t>并</w:t>
      </w:r>
      <w:r>
        <w:rPr>
          <w:spacing w:val="-101"/>
        </w:rPr>
        <w:t> </w:t>
      </w:r>
      <w:r>
        <w:rPr/>
        <w:t>成</w:t>
      </w:r>
      <w:r>
        <w:rPr>
          <w:spacing w:val="-105"/>
        </w:rPr>
        <w:t> </w:t>
      </w:r>
      <w:r>
        <w:rPr/>
        <w:t>都</w:t>
      </w:r>
      <w:r>
        <w:rPr>
          <w:spacing w:val="-101"/>
        </w:rPr>
        <w:t> </w:t>
      </w:r>
      <w:r>
        <w:rPr/>
        <w:t>赛</w:t>
      </w:r>
      <w:r>
        <w:rPr>
          <w:spacing w:val="-105"/>
        </w:rPr>
        <w:t> </w:t>
      </w:r>
      <w:r>
        <w:rPr/>
        <w:t>英</w:t>
      </w:r>
      <w:r>
        <w:rPr>
          <w:spacing w:val="-101"/>
        </w:rPr>
        <w:t> </w:t>
      </w:r>
      <w:r>
        <w:rPr/>
        <w:t>科</w:t>
      </w:r>
      <w:r>
        <w:rPr>
          <w:spacing w:val="-105"/>
        </w:rPr>
        <w:t> </w:t>
      </w:r>
      <w:r>
        <w:rPr/>
        <w:t>技</w:t>
      </w:r>
      <w:r>
        <w:rPr>
          <w:spacing w:val="-101"/>
        </w:rPr>
        <w:t> </w:t>
      </w:r>
      <w:r>
        <w:rPr/>
        <w:t>有</w:t>
      </w:r>
      <w:r>
        <w:rPr>
          <w:spacing w:val="-105"/>
        </w:rPr>
        <w:t> </w:t>
      </w:r>
      <w:r>
        <w:rPr/>
        <w:t>限</w:t>
      </w:r>
      <w:r>
        <w:rPr>
          <w:spacing w:val="-105"/>
        </w:rPr>
        <w:t> </w:t>
      </w:r>
      <w:r>
        <w:rPr/>
        <w:t>公</w:t>
      </w:r>
      <w:r>
        <w:rPr>
          <w:spacing w:val="-101"/>
        </w:rPr>
        <w:t> </w:t>
      </w:r>
      <w:r>
        <w:rPr/>
        <w:t>司</w:t>
      </w:r>
      <w:r>
        <w:rPr>
          <w:spacing w:val="-105"/>
        </w:rPr>
        <w:t> </w:t>
      </w:r>
      <w:r>
        <w:rPr/>
        <w:t>形</w:t>
      </w:r>
      <w:r>
        <w:rPr>
          <w:spacing w:val="-101"/>
        </w:rPr>
        <w:t> </w:t>
      </w:r>
      <w:r>
        <w:rPr/>
        <w:t>成</w:t>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4"/>
        <w:ind w:right="1130" w:firstLine="0"/>
        <w:jc w:val="both"/>
      </w:pPr>
      <w:r>
        <w:rPr/>
        <w:t>225,581,557.33元的商誉。皖通科技需每年按照包含商誉的相关资产组的预计</w:t>
      </w:r>
      <w:r>
        <w:rPr>
          <w:spacing w:val="-37"/>
        </w:rPr>
        <w:t> </w:t>
      </w:r>
      <w:r>
        <w:rPr>
          <w:spacing w:val="-37"/>
        </w:rPr>
      </w:r>
      <w:r>
        <w:rPr>
          <w:spacing w:val="2"/>
        </w:rPr>
        <w:t>未来现金流量及折现率计算现值确定可收回金额进行商誉减值测算。由于商誉</w:t>
      </w:r>
      <w:r>
        <w:rPr>
          <w:spacing w:val="-99"/>
        </w:rPr>
        <w:t> </w:t>
      </w:r>
      <w:r>
        <w:rPr>
          <w:spacing w:val="-99"/>
        </w:rPr>
      </w:r>
      <w:r>
        <w:rPr>
          <w:spacing w:val="2"/>
        </w:rPr>
        <w:t>的减值测试需要评估相关资产组预计未来现金流量的现值，涉及管理层的重大</w:t>
      </w:r>
      <w:r>
        <w:rPr>
          <w:spacing w:val="-99"/>
        </w:rPr>
        <w:t> </w:t>
      </w:r>
      <w:r>
        <w:rPr>
          <w:spacing w:val="-99"/>
        </w:rPr>
      </w:r>
      <w:r>
        <w:rPr/>
        <w:t>判断和估计，故将商誉的减值测试作为关键审计事项。</w:t>
      </w:r>
    </w:p>
    <w:p>
      <w:pPr>
        <w:pStyle w:val="Heading3"/>
        <w:spacing w:line="408" w:lineRule="auto"/>
        <w:ind w:left="674" w:right="2127" w:firstLine="0"/>
        <w:jc w:val="left"/>
      </w:pPr>
      <w:r>
        <w:rPr/>
        <w:t>2.审计应对</w:t>
      </w:r>
      <w:r>
        <w:rPr>
          <w:w w:val="100"/>
        </w:rPr>
        <w:t> </w:t>
      </w:r>
      <w:r>
        <w:rPr>
          <w:spacing w:val="-2"/>
        </w:rPr>
        <w:t>针对商誉减值测试，我们实施的重要审计程序主要包括：</w:t>
      </w:r>
    </w:p>
    <w:p>
      <w:pPr>
        <w:pStyle w:val="Heading3"/>
        <w:spacing w:line="408" w:lineRule="auto"/>
        <w:ind w:right="1132"/>
        <w:jc w:val="both"/>
      </w:pPr>
      <w:r>
        <w:rPr>
          <w:spacing w:val="-3"/>
        </w:rPr>
        <w:t>（1）与公司管理层讨论商誉减值测试过程中所使用的方法、关键评估的假</w:t>
      </w:r>
      <w:r>
        <w:rPr>
          <w:w w:val="100"/>
        </w:rPr>
        <w:t> </w:t>
      </w:r>
      <w:r>
        <w:rPr/>
        <w:t>设、参数的选择、预测未来收入及现金流折现率等的合理性；</w:t>
      </w:r>
    </w:p>
    <w:p>
      <w:pPr>
        <w:pStyle w:val="Heading3"/>
        <w:spacing w:line="408" w:lineRule="auto"/>
        <w:ind w:right="1130"/>
        <w:jc w:val="both"/>
      </w:pPr>
      <w:r>
        <w:rPr>
          <w:spacing w:val="-3"/>
        </w:rPr>
        <w:t>（2）获取公司资产组可收回金额预测的相关资料，评估可收回金额预测的</w:t>
      </w:r>
      <w:r>
        <w:rPr>
          <w:w w:val="100"/>
        </w:rPr>
        <w:t> </w:t>
      </w:r>
      <w:r>
        <w:rPr>
          <w:spacing w:val="2"/>
        </w:rPr>
        <w:t>模式、销售收入增长率、毛利率、费用率以及折现率等关键参数的选择是否合</w:t>
      </w:r>
      <w:r>
        <w:rPr>
          <w:spacing w:val="-99"/>
        </w:rPr>
        <w:t> </w:t>
      </w:r>
      <w:r>
        <w:rPr>
          <w:spacing w:val="-99"/>
        </w:rPr>
      </w:r>
      <w:r>
        <w:rPr/>
        <w:t>理；</w:t>
      </w:r>
    </w:p>
    <w:p>
      <w:pPr>
        <w:pStyle w:val="Heading3"/>
        <w:spacing w:line="408" w:lineRule="auto"/>
        <w:ind w:right="1132"/>
        <w:jc w:val="both"/>
      </w:pPr>
      <w:r>
        <w:rPr>
          <w:spacing w:val="-3"/>
        </w:rPr>
        <w:t>（3）将相关资产组本年的实际经营成果与本年度的预测进行比较，以评价</w:t>
      </w:r>
      <w:r>
        <w:rPr>
          <w:w w:val="100"/>
        </w:rPr>
        <w:t> </w:t>
      </w:r>
      <w:r>
        <w:rPr/>
        <w:t>管理层对资产组可收回现金流量的预测的可靠性；</w:t>
      </w:r>
    </w:p>
    <w:p>
      <w:pPr>
        <w:pStyle w:val="Heading3"/>
        <w:spacing w:line="408" w:lineRule="auto"/>
        <w:ind w:right="1130"/>
        <w:jc w:val="both"/>
      </w:pPr>
      <w:r>
        <w:rPr>
          <w:spacing w:val="-3"/>
        </w:rPr>
        <w:t>（4）重新复核商誉减值测试相关资产组可收回金额的计算过程，并与包括</w:t>
      </w:r>
      <w:r>
        <w:rPr>
          <w:w w:val="100"/>
        </w:rPr>
        <w:t> </w:t>
      </w:r>
      <w:r>
        <w:rPr>
          <w:spacing w:val="2"/>
        </w:rPr>
        <w:t>商誉在内的可辨认资产组的账面价值进行比较，判断是否需要计提商誉减值准</w:t>
      </w:r>
      <w:r>
        <w:rPr>
          <w:spacing w:val="-99"/>
        </w:rPr>
        <w:t> </w:t>
      </w:r>
      <w:r>
        <w:rPr>
          <w:spacing w:val="-99"/>
        </w:rPr>
      </w:r>
      <w:r>
        <w:rPr/>
        <w:t>备；</w:t>
      </w:r>
    </w:p>
    <w:p>
      <w:pPr>
        <w:pStyle w:val="Heading3"/>
        <w:spacing w:line="408" w:lineRule="auto"/>
        <w:ind w:left="674" w:right="0" w:firstLine="0"/>
        <w:jc w:val="left"/>
      </w:pPr>
      <w:r>
        <w:rPr/>
        <w:t>（5）评估管理层对商誉减值的财务报表披露是否恰当。</w:t>
      </w:r>
      <w:r>
        <w:rPr>
          <w:w w:val="100"/>
        </w:rPr>
        <w:t> </w:t>
      </w:r>
      <w:r>
        <w:rPr>
          <w:spacing w:val="2"/>
        </w:rPr>
        <w:t>基于已执行的审计工作，我们认为，皖通科技管理层对商誉确减值测试中</w:t>
      </w:r>
    </w:p>
    <w:p>
      <w:pPr>
        <w:pStyle w:val="Heading3"/>
        <w:spacing w:line="240" w:lineRule="auto"/>
        <w:ind w:right="0" w:firstLine="0"/>
        <w:jc w:val="both"/>
      </w:pPr>
      <w:r>
        <w:rPr/>
        <w:t>的相关判断及估计是合理的。</w:t>
      </w:r>
    </w:p>
    <w:p>
      <w:pPr>
        <w:spacing w:line="240" w:lineRule="auto" w:before="9"/>
        <w:rPr>
          <w:rFonts w:ascii="宋体" w:hAnsi="宋体" w:cs="宋体" w:eastAsia="宋体" w:hint="default"/>
          <w:sz w:val="19"/>
          <w:szCs w:val="19"/>
        </w:rPr>
      </w:pPr>
    </w:p>
    <w:p>
      <w:pPr>
        <w:pStyle w:val="Heading3"/>
        <w:spacing w:line="408" w:lineRule="auto" w:before="0"/>
        <w:ind w:left="674" w:right="8246" w:firstLine="0"/>
        <w:jc w:val="left"/>
      </w:pPr>
      <w:r>
        <w:rPr>
          <w:spacing w:val="-2"/>
        </w:rPr>
        <w:t>（三）收入确认</w:t>
      </w:r>
      <w:r>
        <w:rPr>
          <w:spacing w:val="-129"/>
        </w:rPr>
        <w:t> </w:t>
      </w:r>
      <w:r>
        <w:rPr>
          <w:spacing w:val="-129"/>
        </w:rPr>
      </w:r>
      <w:r>
        <w:rPr/>
        <w:t>1.事项描述</w:t>
      </w:r>
    </w:p>
    <w:p>
      <w:pPr>
        <w:pStyle w:val="Heading3"/>
        <w:spacing w:line="240" w:lineRule="auto"/>
        <w:ind w:left="674" w:right="0" w:firstLine="0"/>
        <w:jc w:val="left"/>
      </w:pPr>
      <w:r>
        <w:rPr>
          <w:spacing w:val="2"/>
        </w:rPr>
        <w:t>皖通科技从事软件和信息技术服务行业。皖通科技收入确认会计政策及账</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4"/>
        <w:ind w:right="1132" w:firstLine="0"/>
        <w:jc w:val="both"/>
      </w:pPr>
      <w:r>
        <w:rPr/>
        <w:t>面金额信息请参阅财务报表附注五注释28、附注七注释52。2018年度，皖通科</w:t>
      </w:r>
      <w:r>
        <w:rPr>
          <w:spacing w:val="-34"/>
        </w:rPr>
        <w:t> </w:t>
      </w:r>
      <w:r>
        <w:rPr>
          <w:spacing w:val="-34"/>
        </w:rPr>
      </w:r>
      <w:r>
        <w:rPr/>
        <w:t>技实现了营业收入1,249,370,240.05元，收入主要来源系统集成及技术服务收</w:t>
      </w:r>
      <w:r>
        <w:rPr>
          <w:spacing w:val="-41"/>
        </w:rPr>
        <w:t> </w:t>
      </w:r>
      <w:r>
        <w:rPr>
          <w:spacing w:val="-41"/>
        </w:rPr>
      </w:r>
      <w:r>
        <w:rPr/>
        <w:t>入。</w:t>
      </w:r>
    </w:p>
    <w:p>
      <w:pPr>
        <w:pStyle w:val="Heading3"/>
        <w:spacing w:line="408" w:lineRule="auto"/>
        <w:ind w:right="1130"/>
        <w:jc w:val="both"/>
      </w:pPr>
      <w:r>
        <w:rPr>
          <w:spacing w:val="2"/>
        </w:rPr>
        <w:t>由于收入是皖通科技的关键业绩指标之一，从而存在管理层为了达到特定</w:t>
      </w:r>
      <w:r>
        <w:rPr>
          <w:w w:val="100"/>
        </w:rPr>
        <w:t> </w:t>
      </w:r>
      <w:r>
        <w:rPr>
          <w:spacing w:val="2"/>
        </w:rPr>
        <w:t>目标或期望而操纵收入确认时点的固有风险，我们将皖通科技收入确认识别为</w:t>
      </w:r>
      <w:r>
        <w:rPr>
          <w:spacing w:val="-99"/>
        </w:rPr>
        <w:t> </w:t>
      </w:r>
      <w:r>
        <w:rPr>
          <w:spacing w:val="-99"/>
        </w:rPr>
      </w:r>
      <w:r>
        <w:rPr/>
        <w:t>关键审计事项。</w:t>
      </w:r>
    </w:p>
    <w:p>
      <w:pPr>
        <w:pStyle w:val="Heading3"/>
        <w:spacing w:line="408" w:lineRule="auto"/>
        <w:ind w:left="674" w:right="2127" w:firstLine="0"/>
        <w:jc w:val="left"/>
      </w:pPr>
      <w:r>
        <w:rPr/>
        <w:t>2.审计应对</w:t>
      </w:r>
      <w:r>
        <w:rPr>
          <w:w w:val="100"/>
        </w:rPr>
        <w:t> </w:t>
      </w:r>
      <w:r>
        <w:rPr>
          <w:spacing w:val="-2"/>
        </w:rPr>
        <w:t>针对营业收入的确认，我们所实施的重要审计程序包括：</w:t>
      </w:r>
    </w:p>
    <w:p>
      <w:pPr>
        <w:pStyle w:val="Heading3"/>
        <w:spacing w:line="408" w:lineRule="auto"/>
        <w:ind w:right="1130"/>
        <w:jc w:val="both"/>
      </w:pPr>
      <w:r>
        <w:rPr>
          <w:spacing w:val="-3"/>
        </w:rPr>
        <w:t>（1）我们了解、评估皖通科技管理层对营业收入确认相关的内部控制的设</w:t>
      </w:r>
      <w:r>
        <w:rPr>
          <w:w w:val="100"/>
        </w:rPr>
        <w:t> </w:t>
      </w:r>
      <w:r>
        <w:rPr/>
        <w:t>计，并测试了关键控制执行的有效性。</w:t>
      </w:r>
    </w:p>
    <w:p>
      <w:pPr>
        <w:pStyle w:val="Heading3"/>
        <w:spacing w:line="408" w:lineRule="auto"/>
        <w:ind w:right="1130"/>
        <w:jc w:val="both"/>
      </w:pPr>
      <w:r>
        <w:rPr>
          <w:spacing w:val="-3"/>
        </w:rPr>
        <w:t>（2）我们通过抽样检查系统集成和技术服务收入合同，接受服务方验收合</w:t>
      </w:r>
      <w:r>
        <w:rPr>
          <w:w w:val="100"/>
        </w:rPr>
        <w:t> </w:t>
      </w:r>
      <w:r>
        <w:rPr>
          <w:spacing w:val="2"/>
        </w:rPr>
        <w:t>格单据或接受服务方并工程监理第三方根据工程进度检验情况确认工程结算报</w:t>
      </w:r>
      <w:r>
        <w:rPr>
          <w:spacing w:val="-99"/>
        </w:rPr>
        <w:t> </w:t>
      </w:r>
      <w:r>
        <w:rPr>
          <w:spacing w:val="-99"/>
        </w:rPr>
      </w:r>
      <w:r>
        <w:rPr>
          <w:spacing w:val="2"/>
        </w:rPr>
        <w:t>告和服务方确认的维护项目服务确认书或结算书及与管理层的访谈，对与系统</w:t>
      </w:r>
      <w:r>
        <w:rPr>
          <w:spacing w:val="-99"/>
        </w:rPr>
        <w:t> </w:t>
      </w:r>
      <w:r>
        <w:rPr>
          <w:spacing w:val="-99"/>
        </w:rPr>
      </w:r>
      <w:r>
        <w:rPr>
          <w:spacing w:val="2"/>
        </w:rPr>
        <w:t>集成及技术服务收入确认有关的重大风险及报酬转移时点进行了分析评估，进</w:t>
      </w:r>
      <w:r>
        <w:rPr>
          <w:spacing w:val="-99"/>
        </w:rPr>
        <w:t> </w:t>
      </w:r>
      <w:r>
        <w:rPr>
          <w:spacing w:val="-99"/>
        </w:rPr>
      </w:r>
      <w:r>
        <w:rPr/>
        <w:t>而评估皖通科技系统集成及技术服务收入的确认政策。</w:t>
      </w:r>
    </w:p>
    <w:p>
      <w:pPr>
        <w:pStyle w:val="Heading3"/>
        <w:spacing w:line="408" w:lineRule="auto"/>
        <w:ind w:right="1130"/>
        <w:jc w:val="both"/>
      </w:pPr>
      <w:r>
        <w:rPr>
          <w:spacing w:val="-3"/>
        </w:rPr>
        <w:t>（3）检查与系统集成和技术服务收入确认相关的支持性文件，包括销售合</w:t>
      </w:r>
      <w:r>
        <w:rPr>
          <w:w w:val="100"/>
        </w:rPr>
        <w:t> </w:t>
      </w:r>
      <w:r>
        <w:rPr>
          <w:spacing w:val="2"/>
        </w:rPr>
        <w:t>同、订单、接受服务方验收合格单据或接受服务方并工程监理第三方根据工程</w:t>
      </w:r>
      <w:r>
        <w:rPr>
          <w:spacing w:val="-99"/>
        </w:rPr>
        <w:t> </w:t>
      </w:r>
      <w:r>
        <w:rPr>
          <w:spacing w:val="-99"/>
        </w:rPr>
      </w:r>
      <w:r>
        <w:rPr>
          <w:spacing w:val="2"/>
        </w:rPr>
        <w:t>进度检验情况确认工程结算报告（即项目验收结算或中期支付证书）和接受服</w:t>
      </w:r>
      <w:r>
        <w:rPr>
          <w:spacing w:val="-99"/>
        </w:rPr>
        <w:t> </w:t>
      </w:r>
      <w:r>
        <w:rPr>
          <w:spacing w:val="-99"/>
        </w:rPr>
      </w:r>
      <w:r>
        <w:rPr/>
        <w:t>务方完工确认书或维护项目确认书或结算书、销售发票等。</w:t>
      </w:r>
    </w:p>
    <w:p>
      <w:pPr>
        <w:pStyle w:val="Heading3"/>
        <w:spacing w:line="408" w:lineRule="auto"/>
        <w:ind w:right="1130"/>
        <w:jc w:val="both"/>
      </w:pPr>
      <w:r>
        <w:rPr>
          <w:spacing w:val="-3"/>
        </w:rPr>
        <w:t>（4）针对资产负债表日前后确认的系统集成和技术服务收入，核对至接受</w:t>
      </w:r>
      <w:r>
        <w:rPr>
          <w:w w:val="100"/>
        </w:rPr>
        <w:t> </w:t>
      </w:r>
      <w:r>
        <w:rPr>
          <w:spacing w:val="2"/>
        </w:rPr>
        <w:t>服务方验收合格单据或接受服务方并工程监理第三方根据工程进度检验情况确</w:t>
      </w:r>
      <w:r>
        <w:rPr>
          <w:spacing w:val="-99"/>
        </w:rPr>
        <w:t> </w:t>
      </w:r>
      <w:r>
        <w:rPr>
          <w:spacing w:val="-99"/>
        </w:rPr>
      </w:r>
      <w:r>
        <w:rPr>
          <w:spacing w:val="2"/>
        </w:rPr>
        <w:t>认工程结算报告等支持性文件的最终签署日期和至接受服务方完工确认书或维</w:t>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4"/>
        <w:ind w:right="0" w:firstLine="0"/>
        <w:jc w:val="left"/>
      </w:pPr>
      <w:r>
        <w:rPr>
          <w:spacing w:val="2"/>
        </w:rPr>
        <w:t>护项目确认书或结算书等支持性文件的最终签署日期，以评估系统集成和技术</w:t>
      </w:r>
      <w:r>
        <w:rPr>
          <w:spacing w:val="-99"/>
        </w:rPr>
        <w:t> </w:t>
      </w:r>
      <w:r>
        <w:rPr>
          <w:spacing w:val="-99"/>
        </w:rPr>
      </w:r>
      <w:r>
        <w:rPr/>
        <w:t>服务收入是否在恰当的期间确认；</w:t>
      </w:r>
    </w:p>
    <w:p>
      <w:pPr>
        <w:pStyle w:val="Heading3"/>
        <w:spacing w:line="408" w:lineRule="auto"/>
        <w:ind w:left="674" w:right="0" w:firstLine="0"/>
        <w:jc w:val="left"/>
      </w:pPr>
      <w:r>
        <w:rPr/>
        <w:t>（5）评估管理层对系统集成和技术服务收入的财务报表披露是否恰当。</w:t>
      </w:r>
      <w:r>
        <w:rPr>
          <w:w w:val="100"/>
        </w:rPr>
        <w:t> </w:t>
      </w:r>
      <w:r>
        <w:rPr>
          <w:spacing w:val="2"/>
        </w:rPr>
        <w:t>基于已执行的审计工作，我们认为皖通科技系统集成收入及技术服务收入</w:t>
      </w:r>
    </w:p>
    <w:p>
      <w:pPr>
        <w:spacing w:line="408" w:lineRule="auto" w:before="61"/>
        <w:ind w:left="674" w:right="6794" w:hanging="562"/>
        <w:jc w:val="left"/>
        <w:rPr>
          <w:rFonts w:ascii="宋体" w:hAnsi="宋体" w:cs="宋体" w:eastAsia="宋体" w:hint="default"/>
          <w:sz w:val="28"/>
          <w:szCs w:val="28"/>
        </w:rPr>
      </w:pPr>
      <w:r>
        <w:rPr>
          <w:rFonts w:ascii="宋体" w:hAnsi="宋体" w:cs="宋体" w:eastAsia="宋体" w:hint="default"/>
          <w:spacing w:val="-2"/>
          <w:sz w:val="28"/>
          <w:szCs w:val="28"/>
        </w:rPr>
        <w:t>符合其收入确认的会计政策。</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b/>
          <w:bCs/>
          <w:sz w:val="28"/>
          <w:szCs w:val="28"/>
        </w:rPr>
        <w:t>四、其他信息</w:t>
      </w:r>
      <w:r>
        <w:rPr>
          <w:rFonts w:ascii="宋体" w:hAnsi="宋体" w:cs="宋体" w:eastAsia="宋体" w:hint="default"/>
          <w:sz w:val="28"/>
          <w:szCs w:val="28"/>
        </w:rPr>
      </w:r>
    </w:p>
    <w:p>
      <w:pPr>
        <w:pStyle w:val="Heading3"/>
        <w:spacing w:line="408" w:lineRule="auto"/>
        <w:ind w:right="1130"/>
        <w:jc w:val="both"/>
      </w:pPr>
      <w:r>
        <w:rPr/>
        <w:t>皖通科技管理层对其他信息负责。其他信息包括公司2018年度报告中涵盖</w:t>
      </w:r>
      <w:r>
        <w:rPr>
          <w:w w:val="100"/>
        </w:rPr>
        <w:t> </w:t>
      </w:r>
      <w:r>
        <w:rPr/>
        <w:t>的信息，但不包括财务报表和我们的审计报告。</w:t>
      </w:r>
    </w:p>
    <w:p>
      <w:pPr>
        <w:pStyle w:val="Heading3"/>
        <w:spacing w:line="408" w:lineRule="auto"/>
        <w:ind w:right="1130"/>
        <w:jc w:val="both"/>
      </w:pPr>
      <w:r>
        <w:rPr>
          <w:spacing w:val="2"/>
        </w:rPr>
        <w:t>我们对财务报表发表的审计意见不涵盖其他信息，我们也不对其他信息发</w:t>
      </w:r>
      <w:r>
        <w:rPr>
          <w:w w:val="100"/>
        </w:rPr>
        <w:t> </w:t>
      </w:r>
      <w:r>
        <w:rPr/>
        <w:t>表任何形式的鉴证结论。</w:t>
      </w:r>
    </w:p>
    <w:p>
      <w:pPr>
        <w:pStyle w:val="Heading3"/>
        <w:spacing w:line="408" w:lineRule="auto"/>
        <w:ind w:right="1130"/>
        <w:jc w:val="both"/>
      </w:pPr>
      <w:r>
        <w:rPr>
          <w:spacing w:val="2"/>
        </w:rPr>
        <w:t>结合我们对财务报表的审计，我们的责任是阅读其他信息，在此过程中，</w:t>
      </w:r>
      <w:r>
        <w:rPr>
          <w:w w:val="100"/>
        </w:rPr>
        <w:t> </w:t>
      </w:r>
      <w:r>
        <w:rPr>
          <w:spacing w:val="2"/>
        </w:rPr>
        <w:t>考虑其他信息是否与财务报表或我们在审计过程中了解的情况存在重大不一致</w:t>
      </w:r>
      <w:r>
        <w:rPr>
          <w:spacing w:val="-99"/>
        </w:rPr>
        <w:t> </w:t>
      </w:r>
      <w:r>
        <w:rPr>
          <w:spacing w:val="-99"/>
        </w:rPr>
      </w:r>
      <w:r>
        <w:rPr/>
        <w:t>或者似乎存在重大错报。</w:t>
      </w:r>
    </w:p>
    <w:p>
      <w:pPr>
        <w:pStyle w:val="Heading3"/>
        <w:spacing w:line="408" w:lineRule="auto"/>
        <w:ind w:right="1130"/>
        <w:jc w:val="both"/>
      </w:pPr>
      <w:r>
        <w:rPr>
          <w:spacing w:val="2"/>
        </w:rPr>
        <w:t>基于我们已执行的工作，如果我们确定其他信息存在重大错报，我们应当</w:t>
      </w:r>
      <w:r>
        <w:rPr>
          <w:w w:val="100"/>
        </w:rPr>
        <w:t> </w:t>
      </w:r>
      <w:r>
        <w:rPr/>
        <w:t>报告该事实。在这方面，我们无任何事项需要报告。</w:t>
      </w:r>
    </w:p>
    <w:p>
      <w:pPr>
        <w:spacing w:line="408" w:lineRule="auto" w:before="61"/>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五、管理层和治理层对财务报表的责任</w:t>
      </w:r>
      <w:r>
        <w:rPr>
          <w:rFonts w:ascii="宋体" w:hAnsi="宋体" w:cs="宋体" w:eastAsia="宋体" w:hint="default"/>
          <w:b/>
          <w:bCs/>
          <w:w w:val="99"/>
          <w:sz w:val="28"/>
          <w:szCs w:val="28"/>
        </w:rPr>
        <w:t> </w:t>
      </w:r>
      <w:r>
        <w:rPr>
          <w:rFonts w:ascii="宋体" w:hAnsi="宋体" w:cs="宋体" w:eastAsia="宋体" w:hint="default"/>
          <w:spacing w:val="2"/>
          <w:sz w:val="28"/>
          <w:szCs w:val="28"/>
        </w:rPr>
        <w:t>皖通科技管理层负责按照企业会计准则的规定编制财务报表，使其实现公</w:t>
      </w:r>
    </w:p>
    <w:p>
      <w:pPr>
        <w:pStyle w:val="Heading3"/>
        <w:spacing w:line="408" w:lineRule="auto"/>
        <w:ind w:right="0" w:firstLine="0"/>
        <w:jc w:val="left"/>
      </w:pPr>
      <w:r>
        <w:rPr>
          <w:spacing w:val="2"/>
        </w:rPr>
        <w:t>允反映，并设计、执行和维护必要的内部控制，以使财务报表不存在由于舞弊</w:t>
      </w:r>
      <w:r>
        <w:rPr>
          <w:spacing w:val="-99"/>
        </w:rPr>
        <w:t> </w:t>
      </w:r>
      <w:r>
        <w:rPr>
          <w:spacing w:val="-99"/>
        </w:rPr>
      </w:r>
      <w:r>
        <w:rPr/>
        <w:t>或错误导致的重大错报。</w:t>
      </w:r>
    </w:p>
    <w:p>
      <w:pPr>
        <w:pStyle w:val="Heading3"/>
        <w:spacing w:line="408" w:lineRule="auto"/>
        <w:ind w:right="1130"/>
        <w:jc w:val="both"/>
      </w:pPr>
      <w:r>
        <w:rPr>
          <w:spacing w:val="2"/>
        </w:rPr>
        <w:t>在编制财务报表时，皖通科技管理层负责评估皖通科技的持续经营能力，</w:t>
      </w:r>
      <w:r>
        <w:rPr>
          <w:w w:val="100"/>
        </w:rPr>
        <w:t> </w:t>
      </w:r>
      <w:r>
        <w:rPr>
          <w:spacing w:val="2"/>
        </w:rPr>
        <w:t>披露与持续经营相关的事项（如适用），并运用持续经营假设，除非管理层计</w:t>
      </w:r>
      <w:r>
        <w:rPr>
          <w:spacing w:val="-99"/>
        </w:rPr>
        <w:t> </w:t>
      </w:r>
      <w:r>
        <w:rPr>
          <w:spacing w:val="-99"/>
        </w:rPr>
      </w:r>
      <w:r>
        <w:rPr/>
        <w:t>划清算皖通科技、终止运营或别无其他现实的选择。</w:t>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14"/>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六、注册会计师对财务报表审计的责任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我们的目标是对财务报表整体是否不存在由于舞弊或错误导致的重大错报</w:t>
      </w:r>
    </w:p>
    <w:p>
      <w:pPr>
        <w:pStyle w:val="Heading3"/>
        <w:spacing w:line="408" w:lineRule="auto"/>
        <w:ind w:right="1132" w:firstLine="0"/>
        <w:jc w:val="both"/>
      </w:pPr>
      <w:r>
        <w:rPr>
          <w:spacing w:val="2"/>
        </w:rPr>
        <w:t>获取合理保证，并出具包含审计意见的审计报告。合理保证是高水平的保证，</w:t>
      </w:r>
      <w:r>
        <w:rPr>
          <w:spacing w:val="-99"/>
        </w:rPr>
        <w:t> </w:t>
      </w:r>
      <w:r>
        <w:rPr>
          <w:spacing w:val="-99"/>
        </w:rPr>
      </w:r>
      <w:r>
        <w:rPr>
          <w:spacing w:val="2"/>
        </w:rPr>
        <w:t>但并不能保证按照审计准则执行的审计在某一重大错报存在时总能发现。错报</w:t>
      </w:r>
      <w:r>
        <w:rPr>
          <w:spacing w:val="-99"/>
        </w:rPr>
        <w:t> </w:t>
      </w:r>
      <w:r>
        <w:rPr>
          <w:spacing w:val="-99"/>
        </w:rPr>
      </w:r>
      <w:r>
        <w:rPr>
          <w:spacing w:val="2"/>
        </w:rPr>
        <w:t>可能由于舞弊或错误导致，如果合理预期错报单独或汇总起来可能影响财务报</w:t>
      </w:r>
      <w:r>
        <w:rPr>
          <w:spacing w:val="-99"/>
        </w:rPr>
        <w:t> </w:t>
      </w:r>
      <w:r>
        <w:rPr>
          <w:spacing w:val="-99"/>
        </w:rPr>
      </w:r>
      <w:r>
        <w:rPr/>
        <w:t>表使用者依据财务报表作出的经济决策，则通常认为错报是重大的。</w:t>
      </w:r>
    </w:p>
    <w:p>
      <w:pPr>
        <w:pStyle w:val="Heading3"/>
        <w:spacing w:line="408" w:lineRule="auto"/>
        <w:ind w:right="1130"/>
        <w:jc w:val="both"/>
      </w:pPr>
      <w:r>
        <w:rPr>
          <w:spacing w:val="2"/>
        </w:rPr>
        <w:t>在按照审计准则执行审计工作的过程中，我们运用职业判断，并保持职业</w:t>
      </w:r>
      <w:r>
        <w:rPr>
          <w:w w:val="100"/>
        </w:rPr>
        <w:t> </w:t>
      </w:r>
      <w:r>
        <w:rPr/>
        <w:t>怀疑。同时，我们也执行以下工作：</w:t>
      </w:r>
    </w:p>
    <w:p>
      <w:pPr>
        <w:pStyle w:val="Heading3"/>
        <w:spacing w:line="408" w:lineRule="auto"/>
        <w:ind w:right="1132"/>
        <w:jc w:val="both"/>
      </w:pPr>
      <w:r>
        <w:rPr/>
        <w:t>1.识别和评估由于舞弊或错误导致的财务报表重大错报风险，设计和实施</w:t>
      </w:r>
      <w:r>
        <w:rPr>
          <w:w w:val="100"/>
        </w:rPr>
        <w:t> </w:t>
      </w:r>
      <w:r>
        <w:rPr>
          <w:spacing w:val="2"/>
        </w:rPr>
        <w:t>审计程序以应对这些风险，并获取充分、适当的审计证据，作为发表审计意见</w:t>
      </w:r>
      <w:r>
        <w:rPr>
          <w:spacing w:val="-99"/>
        </w:rPr>
        <w:t> </w:t>
      </w:r>
      <w:r>
        <w:rPr>
          <w:spacing w:val="-99"/>
        </w:rPr>
      </w:r>
      <w:r>
        <w:rPr>
          <w:spacing w:val="2"/>
        </w:rPr>
        <w:t>的基础。由于舞弊可能涉及串通、伪造、故意遗漏、虚假陈述或凌驾于内部控</w:t>
      </w:r>
      <w:r>
        <w:rPr>
          <w:spacing w:val="-99"/>
        </w:rPr>
        <w:t> </w:t>
      </w:r>
      <w:r>
        <w:rPr>
          <w:spacing w:val="-99"/>
        </w:rPr>
      </w:r>
      <w:r>
        <w:rPr>
          <w:spacing w:val="2"/>
        </w:rPr>
        <w:t>制之上，未能发现由于舞弊导致的重大错报的风险高于未能发现由于错误导致</w:t>
      </w:r>
      <w:r>
        <w:rPr>
          <w:spacing w:val="-99"/>
        </w:rPr>
        <w:t> </w:t>
      </w:r>
      <w:r>
        <w:rPr>
          <w:spacing w:val="-99"/>
        </w:rPr>
      </w:r>
      <w:r>
        <w:rPr/>
        <w:t>的重大错报的风险。</w:t>
      </w:r>
    </w:p>
    <w:p>
      <w:pPr>
        <w:pStyle w:val="Heading3"/>
        <w:spacing w:line="240" w:lineRule="auto"/>
        <w:ind w:left="674" w:right="2127" w:firstLine="0"/>
        <w:jc w:val="left"/>
      </w:pPr>
      <w:r>
        <w:rPr/>
        <w:t>2.了解与审计相关的内部控制，以设计恰当的审计程序。</w:t>
      </w:r>
    </w:p>
    <w:p>
      <w:pPr>
        <w:spacing w:line="240" w:lineRule="auto" w:before="9"/>
        <w:rPr>
          <w:rFonts w:ascii="宋体" w:hAnsi="宋体" w:cs="宋体" w:eastAsia="宋体" w:hint="default"/>
          <w:sz w:val="19"/>
          <w:szCs w:val="19"/>
        </w:rPr>
      </w:pPr>
    </w:p>
    <w:p>
      <w:pPr>
        <w:pStyle w:val="Heading3"/>
        <w:spacing w:line="408" w:lineRule="auto" w:before="0"/>
        <w:ind w:right="1132"/>
        <w:jc w:val="both"/>
      </w:pPr>
      <w:r>
        <w:rPr>
          <w:spacing w:val="10"/>
        </w:rPr>
        <w:t>3.评价管理层选用会计政策的恰当性和作出会计估计及相关披露的合理</w:t>
      </w:r>
      <w:r>
        <w:rPr>
          <w:w w:val="100"/>
        </w:rPr>
        <w:t> </w:t>
      </w:r>
      <w:r>
        <w:rPr/>
        <w:t>性。</w:t>
      </w:r>
    </w:p>
    <w:p>
      <w:pPr>
        <w:pStyle w:val="Heading3"/>
        <w:spacing w:line="408" w:lineRule="auto"/>
        <w:ind w:right="1132"/>
        <w:jc w:val="both"/>
      </w:pPr>
      <w:r>
        <w:rPr/>
        <w:t>4.对管理层使用持续经营假设的恰当性得出结论。同时，根据获取的审计</w:t>
      </w:r>
      <w:r>
        <w:rPr>
          <w:w w:val="100"/>
        </w:rPr>
        <w:t> </w:t>
      </w:r>
      <w:r>
        <w:rPr>
          <w:spacing w:val="2"/>
        </w:rPr>
        <w:t>证据，就可能导致对皖通科技持续经营能力产生重大疑虑的事项或情况是否存</w:t>
      </w:r>
      <w:r>
        <w:rPr>
          <w:spacing w:val="-99"/>
        </w:rPr>
        <w:t> </w:t>
      </w:r>
      <w:r>
        <w:rPr>
          <w:spacing w:val="-99"/>
        </w:rPr>
      </w:r>
      <w:r>
        <w:rPr>
          <w:spacing w:val="2"/>
        </w:rPr>
        <w:t>在重大不确定性得出结论。如果我们得出结论认为存在重大不确定性，审计准</w:t>
      </w:r>
      <w:r>
        <w:rPr>
          <w:spacing w:val="-99"/>
        </w:rPr>
        <w:t> </w:t>
      </w:r>
      <w:r>
        <w:rPr>
          <w:spacing w:val="-99"/>
        </w:rPr>
      </w:r>
      <w:r>
        <w:rPr>
          <w:spacing w:val="2"/>
        </w:rPr>
        <w:t>则要求我们在审计报告中提请报告使用者注意财务报表中的相关披露；如果披</w:t>
      </w:r>
      <w:r>
        <w:rPr>
          <w:spacing w:val="-99"/>
        </w:rPr>
        <w:t> </w:t>
      </w:r>
      <w:r>
        <w:rPr>
          <w:spacing w:val="-99"/>
        </w:rPr>
      </w:r>
      <w:r>
        <w:rPr>
          <w:spacing w:val="2"/>
        </w:rPr>
        <w:t>露不充分，我们应当发表非无保留意见。我们的结论基于截至审计报告日可获</w:t>
      </w:r>
      <w:r>
        <w:rPr>
          <w:spacing w:val="-99"/>
        </w:rPr>
        <w:t> </w:t>
      </w:r>
      <w:r>
        <w:rPr>
          <w:spacing w:val="-99"/>
        </w:rPr>
      </w:r>
      <w:r>
        <w:rPr/>
        <w:t>得的信息。然而，未来的事项或情况可能导致皖通科技不能持续经营。</w:t>
      </w:r>
    </w:p>
    <w:p>
      <w:pPr>
        <w:spacing w:after="0" w:line="408"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4"/>
        <w:ind w:right="1132"/>
        <w:jc w:val="both"/>
      </w:pPr>
      <w:r>
        <w:rPr/>
        <w:t>5.评价财务报表的总体列报、结构和内容（包括披露），并评价财务报表</w:t>
      </w:r>
      <w:r>
        <w:rPr>
          <w:w w:val="100"/>
        </w:rPr>
        <w:t> </w:t>
      </w:r>
      <w:r>
        <w:rPr/>
        <w:t>是否公允反映相关交易和事项。</w:t>
      </w:r>
    </w:p>
    <w:p>
      <w:pPr>
        <w:pStyle w:val="Heading3"/>
        <w:spacing w:line="408" w:lineRule="auto"/>
        <w:ind w:right="1132"/>
        <w:jc w:val="both"/>
      </w:pPr>
      <w:r>
        <w:rPr/>
        <w:t>6.就皖通科技中实体或业务活动的财务信息获取充分、适当的审计证据，</w:t>
      </w:r>
      <w:r>
        <w:rPr>
          <w:w w:val="100"/>
        </w:rPr>
        <w:t> </w:t>
      </w:r>
      <w:r>
        <w:rPr>
          <w:spacing w:val="2"/>
        </w:rPr>
        <w:t>以对财务报表发表意见。我们负责指导、监督和执行集团审计。我们对审计意</w:t>
      </w:r>
      <w:r>
        <w:rPr>
          <w:spacing w:val="-99"/>
        </w:rPr>
        <w:t> </w:t>
      </w:r>
      <w:r>
        <w:rPr>
          <w:spacing w:val="-99"/>
        </w:rPr>
      </w:r>
      <w:r>
        <w:rPr/>
        <w:t>见承担全部责任。</w:t>
      </w:r>
    </w:p>
    <w:p>
      <w:pPr>
        <w:pStyle w:val="Heading3"/>
        <w:spacing w:line="408" w:lineRule="auto"/>
        <w:ind w:right="1130"/>
        <w:jc w:val="both"/>
      </w:pPr>
      <w:r>
        <w:rPr>
          <w:spacing w:val="2"/>
        </w:rPr>
        <w:t>我们与治理层就计划的审计范围、时间安排和重大审计发现等事项进行沟</w:t>
      </w:r>
      <w:r>
        <w:rPr>
          <w:w w:val="100"/>
        </w:rPr>
        <w:t> </w:t>
      </w:r>
      <w:r>
        <w:rPr/>
        <w:t>通，包括沟通我们在审计中识别出的值得关注的内部控制缺陷。</w:t>
      </w:r>
    </w:p>
    <w:p>
      <w:pPr>
        <w:pStyle w:val="Heading3"/>
        <w:spacing w:line="408" w:lineRule="auto"/>
        <w:ind w:right="1130"/>
        <w:jc w:val="both"/>
      </w:pPr>
      <w:r>
        <w:rPr>
          <w:spacing w:val="2"/>
        </w:rPr>
        <w:t>我们还就已遵守与独立性相关的职业道德要求向治理层提供声明，并与治</w:t>
      </w:r>
      <w:r>
        <w:rPr>
          <w:w w:val="100"/>
        </w:rPr>
        <w:t> </w:t>
      </w:r>
      <w:r>
        <w:rPr>
          <w:spacing w:val="2"/>
        </w:rPr>
        <w:t>理层沟通可能被合理认为影响我们独立性的所有关系和其他事项，以及相关的</w:t>
      </w:r>
      <w:r>
        <w:rPr>
          <w:spacing w:val="-99"/>
        </w:rPr>
        <w:t> </w:t>
      </w:r>
      <w:r>
        <w:rPr>
          <w:spacing w:val="-99"/>
        </w:rPr>
      </w:r>
      <w:r>
        <w:rPr/>
        <w:t>防范措施（如适用）。</w:t>
      </w:r>
    </w:p>
    <w:p>
      <w:pPr>
        <w:pStyle w:val="Heading3"/>
        <w:spacing w:line="408" w:lineRule="auto"/>
        <w:ind w:right="1130"/>
        <w:jc w:val="both"/>
      </w:pPr>
      <w:r>
        <w:rPr>
          <w:spacing w:val="2"/>
        </w:rPr>
        <w:t>从与治理层沟通过的事项中，我们确定哪些事项对本期财务报表审计最为</w:t>
      </w:r>
      <w:r>
        <w:rPr>
          <w:w w:val="100"/>
        </w:rPr>
        <w:t> </w:t>
      </w:r>
      <w:r>
        <w:rPr>
          <w:spacing w:val="2"/>
        </w:rPr>
        <w:t>重要，因而构成关键审计事项。我们在审计报告中描述这些事项，除非法律法</w:t>
      </w:r>
      <w:r>
        <w:rPr>
          <w:spacing w:val="-99"/>
        </w:rPr>
        <w:t> </w:t>
      </w:r>
      <w:r>
        <w:rPr>
          <w:spacing w:val="-99"/>
        </w:rPr>
      </w:r>
      <w:r>
        <w:rPr>
          <w:spacing w:val="2"/>
        </w:rPr>
        <w:t>规禁止公开披露这些事项，或在极少数情形下，如果合理预期在审计报告中沟</w:t>
      </w:r>
      <w:r>
        <w:rPr>
          <w:spacing w:val="-99"/>
        </w:rPr>
        <w:t> </w:t>
      </w:r>
      <w:r>
        <w:rPr>
          <w:spacing w:val="-99"/>
        </w:rPr>
      </w:r>
      <w:r>
        <w:rPr>
          <w:spacing w:val="2"/>
        </w:rPr>
        <w:t>通某事项造成的负面后果超过在公众利益方面产生的益处，我们确定不应在审</w:t>
      </w:r>
      <w:r>
        <w:rPr>
          <w:spacing w:val="-99"/>
        </w:rPr>
        <w:t> </w:t>
      </w:r>
      <w:r>
        <w:rPr>
          <w:spacing w:val="-99"/>
        </w:rPr>
      </w:r>
      <w:r>
        <w:rPr/>
        <w:t>计报告中沟通该事项。</w:t>
      </w: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25"/>
          <w:szCs w:val="25"/>
        </w:rPr>
      </w:pPr>
    </w:p>
    <w:p>
      <w:pPr>
        <w:pStyle w:val="Heading3"/>
        <w:tabs>
          <w:tab w:pos="5270" w:val="left" w:leader="none"/>
          <w:tab w:pos="5980" w:val="left" w:leader="none"/>
        </w:tabs>
        <w:spacing w:line="422" w:lineRule="auto" w:before="0"/>
        <w:ind w:left="1776" w:right="2942" w:hanging="1400"/>
        <w:jc w:val="left"/>
      </w:pPr>
      <w:r>
        <w:rPr>
          <w:spacing w:val="-2"/>
        </w:rPr>
        <w:t>大华会计师事务所(特殊普通合伙)</w:t>
        <w:tab/>
        <w:t>中国注册会计师：</w:t>
      </w:r>
      <w:r>
        <w:rPr>
          <w:spacing w:val="-127"/>
        </w:rPr>
        <w:t> </w:t>
      </w:r>
      <w:r>
        <w:rPr>
          <w:spacing w:val="-127"/>
        </w:rPr>
      </w:r>
      <w:r>
        <w:rPr>
          <w:spacing w:val="-2"/>
        </w:rPr>
        <w:t>中国</w:t>
      </w:r>
      <w:r>
        <w:rPr>
          <w:rFonts w:ascii="宋体" w:hAnsi="宋体" w:cs="宋体" w:eastAsia="宋体" w:hint="default"/>
          <w:b/>
          <w:bCs/>
          <w:spacing w:val="-2"/>
        </w:rPr>
        <w:t>·</w:t>
      </w:r>
      <w:r>
        <w:rPr>
          <w:spacing w:val="-2"/>
        </w:rPr>
        <w:t>北京</w:t>
        <w:tab/>
        <w:tab/>
        <w:t>（项目合伙人）</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6"/>
          <w:szCs w:val="26"/>
        </w:rPr>
      </w:pPr>
    </w:p>
    <w:p>
      <w:pPr>
        <w:pStyle w:val="Heading3"/>
        <w:spacing w:line="240" w:lineRule="auto" w:before="0"/>
        <w:ind w:left="4696" w:right="2800" w:firstLine="0"/>
        <w:jc w:val="center"/>
      </w:pPr>
      <w:r>
        <w:rPr/>
        <w:t>中国注册会计师：</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240" w:lineRule="auto" w:before="187"/>
        <w:ind w:left="4696" w:right="2800" w:firstLine="0"/>
        <w:jc w:val="center"/>
      </w:pPr>
      <w:r>
        <w:rPr/>
        <w:t>二〇一九年四月二十二日</w:t>
      </w:r>
    </w:p>
    <w:p>
      <w:pPr>
        <w:spacing w:after="0" w:line="240" w:lineRule="auto"/>
        <w:jc w:val="cente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1"/>
        <w:ind w:right="2127"/>
        <w:jc w:val="left"/>
        <w:rPr>
          <w:b w:val="0"/>
          <w:bCs w:val="0"/>
        </w:rPr>
      </w:pPr>
      <w:bookmarkStart w:name="二、财务报表" w:id="157"/>
      <w:bookmarkEnd w:id="157"/>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合并资产负债表" w:id="158"/>
      <w:bookmarkEnd w:id="158"/>
      <w:r>
        <w:rPr>
          <w:b w:val="0"/>
          <w:bCs w:val="0"/>
        </w:rPr>
      </w:r>
      <w:r>
        <w:rPr/>
        <w:t>1、合并资产负债表</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78" w:top="1060" w:bottom="116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编制单位：安徽皖通科技股份有限公司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12" w:right="-14"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3" w:equalWidth="0">
            <w:col w:w="3173" w:space="904"/>
            <w:col w:w="1599" w:space="3242"/>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885,857,429.84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666,283,227.35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472,817,055.61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302,748,404.79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33,026,210.66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17,490,283.51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439,790,844.95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285,258,121.28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37,277,997.89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35,380,387.23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87,707,125.96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94,503,508.26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880,947.95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434,846,679.10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344,787,126.94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7,327,360.74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5,805,200.46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1,925,833,649.14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1,449,507,855.03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4,862,149.17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3,100,406.48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5,777,990.71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3,541,762.51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2,203,345.93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364,413,457.50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147,176,934.19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106,507,082.25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154,615,258.18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148,601,043.74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35,963,292.14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33,881,307.23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313,899,287.80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120,635,836.80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432,983.92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460,714.31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12,980,223.13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10,427,143.40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17,381,365.95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4,018,375.00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911,190,186.78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584,689,773.56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2,837,023,835.92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2,034,197,628.59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27,000,000.00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490,655,886.06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428,984,330.12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124,649,404.12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85,061,648.46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25,678,899.05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23,372,207.65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20,317,962.79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7,700,033.51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48,394,404.88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40,216,898.48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24,508.33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15,104.17</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736,696,556.90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595,335,118.22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695,206.89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2,681,728.66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3,209,124.08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263,852.59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3,904,330.97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2,945,581.25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740,600,887.87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598,280,699.47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412,135,469.00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350,327,055.00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1,034,339,588.87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544,622,720.15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50,134,527.00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44,348,136.05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518,743,897.74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418,709,463.40</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2,015,353,482.61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1,358,007,374.60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81,069,465.44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77,909,554.52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2,096,422,948.05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1,435,916,929.12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2,837,023,835.92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2,034,197,628.59</w:t>
            </w:r>
          </w:p>
        </w:tc>
      </w:tr>
    </w:tbl>
    <w:p>
      <w:pPr>
        <w:spacing w:line="240" w:lineRule="auto" w:before="1"/>
        <w:rPr>
          <w:rFonts w:ascii="Times New Roman" w:hAnsi="Times New Roman" w:cs="Times New Roman" w:eastAsia="Times New Roman" w:hint="default"/>
          <w:sz w:val="23"/>
          <w:szCs w:val="23"/>
        </w:rPr>
      </w:pPr>
    </w:p>
    <w:p>
      <w:pPr>
        <w:tabs>
          <w:tab w:pos="3419" w:val="left" w:leader="none"/>
          <w:tab w:pos="7559" w:val="left" w:leader="none"/>
        </w:tabs>
        <w:spacing w:before="44"/>
        <w:ind w:left="0" w:right="1231" w:firstLine="0"/>
        <w:jc w:val="right"/>
        <w:rPr>
          <w:rFonts w:ascii="宋体" w:hAnsi="宋体" w:cs="宋体" w:eastAsia="宋体" w:hint="default"/>
          <w:sz w:val="18"/>
          <w:szCs w:val="18"/>
        </w:rPr>
      </w:pPr>
      <w:r>
        <w:rPr>
          <w:rFonts w:ascii="宋体" w:hAnsi="宋体" w:cs="宋体" w:eastAsia="宋体" w:hint="default"/>
          <w:sz w:val="18"/>
          <w:szCs w:val="18"/>
        </w:rPr>
        <w:t>法定代表人：周发展</w:t>
        <w:tab/>
        <w:t>主管会计工作负责人：卢玉平</w:t>
        <w:tab/>
        <w:t>会计机构负责人：诸黎明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母公司资产负债表" w:id="159"/>
      <w:bookmarkEnd w:id="159"/>
      <w:r>
        <w:rPr>
          <w:b w:val="0"/>
          <w:bCs w:val="0"/>
        </w:rPr>
      </w:r>
      <w:r>
        <w:rPr/>
        <w:t>2、母公司资产负债表</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631,235,989.40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447,595,427.82</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176,391,431.30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172,703,214.31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200,821.00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175,991,431.30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172,502,393.31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33,994,082.73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29,852,892.42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84,531,376.42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81,774,760.14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880,947.95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310,813,608.32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227,967,173.53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2,377,889.50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1,239,344,377.67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959,893,468.22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4,862,149.17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3,100,406.48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5,777,990.71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793,041,781.69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443,204,131.41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81,388,317.47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70,319,581.95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978" w:header="746" w:top="1060" w:bottom="1160" w:left="102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69,780,819.29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79,190,590.79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127,826.36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460,714.31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8,505,151.03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7,805,955.98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17,381,365.95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4,018,375.00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978,187,817.44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615,777,340.15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2,217,532,195.11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1,575,670,808.37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301,100,796.31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302,902,819.91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89,014,300.06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52,237,775.20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9,416,569.94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6,915,071.04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776,563.94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2,712,046.83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4,148,278.75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5,708,891.40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404,456,509.00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370,476,604.38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695,206.89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2,681,728.66</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695,206.89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2,681,728.66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405,151,715.89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373,158,333.04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412,135,469.00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350,327,055.00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1,033,963,150.14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543,767,469.75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49,700,707.29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43,914,316.34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316,581,152.79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264,503,634.24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1,812,380,479.22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1,202,512,475.33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2,217,532,195.11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1,575,670,808.37</w:t>
            </w:r>
          </w:p>
        </w:tc>
      </w:tr>
    </w:tbl>
    <w:p>
      <w:pPr>
        <w:spacing w:line="240" w:lineRule="auto" w:before="11"/>
        <w:rPr>
          <w:rFonts w:ascii="Times New Roman" w:hAnsi="Times New Roman" w:cs="Times New Roman" w:eastAsia="Times New Roman" w:hint="default"/>
          <w:sz w:val="21"/>
          <w:szCs w:val="21"/>
        </w:rPr>
      </w:pPr>
    </w:p>
    <w:p>
      <w:pPr>
        <w:pStyle w:val="Heading6"/>
        <w:spacing w:line="240" w:lineRule="auto" w:before="34"/>
        <w:ind w:right="2127"/>
        <w:jc w:val="left"/>
        <w:rPr>
          <w:b w:val="0"/>
          <w:bCs w:val="0"/>
        </w:rPr>
      </w:pPr>
      <w:bookmarkStart w:name="3、合并利润表" w:id="160"/>
      <w:bookmarkEnd w:id="160"/>
      <w:r>
        <w:rPr>
          <w:b w:val="0"/>
          <w:bCs w:val="0"/>
        </w:rPr>
      </w:r>
      <w:r>
        <w:rPr/>
        <w:t>3、合并利润表</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1,249,370,240.05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995,817,238.17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1,249,370,240.05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995,817,238.17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1,143,687,563.53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915,366,820.07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878,389,901.94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750,045,759.65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199.199997pt;margin-top:451.900024pt;width:170.75pt;height:19.7pt;mso-position-horizontal-relative:page;mso-position-vertical-relative:page;z-index:-1108288"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99.199997pt;margin-top:568pt;width:170.75pt;height:19.7pt;mso-position-horizontal-relative:page;mso-position-vertical-relative:page;z-index:-11082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5.199997pt;margin-top:416.200012pt;width:164.75pt;height:55.55pt;mso-position-horizontal-relative:page;mso-position-vertical-relative:page;z-index:-1108240" coordorigin="4104,8324" coordsize="3295,1111">
            <v:group style="position:absolute;left:4104;top:8324;width:3295;height:709" coordorigin="4104,8324" coordsize="3295,709">
              <v:shape style="position:absolute;left:4104;top:8324;width:3295;height:709" coordorigin="4104,8324" coordsize="3295,709" path="m4104,8324l7399,8324,7399,9033,4104,9033,4104,8324xe" filled="true" fillcolor="#ffffff" stroked="false">
                <v:path arrowok="t"/>
                <v:fill type="solid"/>
              </v:shape>
            </v:group>
            <v:group style="position:absolute;left:4104;top:9038;width:3295;height:397" coordorigin="4104,9038" coordsize="3295,397">
              <v:shape style="position:absolute;left:4104;top:9038;width:3295;height:397" coordorigin="4104,9038" coordsize="3295,397" path="m4104,9038l7399,9038,7399,9435,4104,9435,4104,9038xe" filled="true" fillcolor="#ffffff" stroked="false">
                <v:path arrowok="t"/>
                <v:fill type="solid"/>
              </v:shape>
            </v:group>
            <w10:wrap type="none"/>
          </v:group>
        </w:pict>
      </w:r>
      <w:r>
        <w:rPr/>
        <w:pict>
          <v:group style="position:absolute;margin-left:205.199997pt;margin-top:568pt;width:164.75pt;height:19.850pt;mso-position-horizontal-relative:page;mso-position-vertical-relative:page;z-index:-1108216" coordorigin="4104,11360" coordsize="3295,397">
            <v:shape style="position:absolute;left:4104;top:11360;width:3295;height:397" coordorigin="4104,11360" coordsize="3295,397" path="m4104,11360l7399,11360,7399,11757,4104,11757,4104,11360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8,387,052.01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3,572,027.95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41,895,018.19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39,165,418.77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115,784,147.26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76,362,846.48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49,200,074.90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38,354,805.07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-1,937,071.02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-2,410,910.79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1,113,692.67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893,173.42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4,311,747.78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3,499,898.69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51,968,440.25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10,276,872.94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15,296,285.50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26,306,853.76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4,241,935.43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3,229,601.15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1,338,416.58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-307,141.17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pacing w:val="-5"/>
                <w:sz w:val="18"/>
                <w:szCs w:val="18"/>
              </w:rPr>
              <w:t>汇兑收益（损失以“-”号填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7" w:firstLine="720"/>
              <w:jc w:val="left"/>
              <w:rPr>
                <w:rFonts w:ascii="宋体" w:hAnsi="宋体" w:cs="宋体" w:eastAsia="宋体" w:hint="default"/>
                <w:sz w:val="18"/>
                <w:szCs w:val="18"/>
              </w:rPr>
            </w:pPr>
            <w:r>
              <w:rPr>
                <w:rFonts w:ascii="宋体" w:hAnsi="宋体" w:cs="宋体" w:eastAsia="宋体" w:hint="default"/>
                <w:sz w:val="18"/>
                <w:szCs w:val="18"/>
              </w:rPr>
              <w:t>资产处置收益（损失以“-”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591,560.22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24,213.23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125,812,457.67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110,011,086.24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257,532.37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10,835.99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192,345.43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52,103.37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125,877,644.61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109,969,818.86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22,558,095.07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17,951,873.19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103,319,549.54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92,017,945.67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103,319,549.54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92,017,945.67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105,820,825.29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82,717,605.13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-2,501,275.75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9,300,340.54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1.重新计量设定受益计划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900"/>
              <w:jc w:val="left"/>
              <w:rPr>
                <w:rFonts w:ascii="宋体" w:hAnsi="宋体" w:cs="宋体" w:eastAsia="宋体" w:hint="default"/>
                <w:sz w:val="18"/>
                <w:szCs w:val="18"/>
              </w:rPr>
            </w:pPr>
            <w:r>
              <w:rPr>
                <w:rFonts w:ascii="宋体" w:hAnsi="宋体" w:cs="宋体" w:eastAsia="宋体" w:hint="default"/>
                <w:sz w:val="18"/>
                <w:szCs w:val="18"/>
              </w:rPr>
              <w:t>2.权益法下不能转损益的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900"/>
              <w:jc w:val="left"/>
              <w:rPr>
                <w:rFonts w:ascii="宋体" w:hAnsi="宋体" w:cs="宋体" w:eastAsia="宋体" w:hint="default"/>
                <w:sz w:val="18"/>
                <w:szCs w:val="18"/>
              </w:rPr>
            </w:pPr>
            <w:r>
              <w:rPr>
                <w:rFonts w:ascii="宋体" w:hAnsi="宋体" w:cs="宋体" w:eastAsia="宋体" w:hint="default"/>
                <w:sz w:val="18"/>
                <w:szCs w:val="18"/>
              </w:rPr>
              <w:t>1.权益法下可转损益的其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2.可供出售金融资产公允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900"/>
              <w:jc w:val="left"/>
              <w:rPr>
                <w:rFonts w:ascii="宋体" w:hAnsi="宋体" w:cs="宋体" w:eastAsia="宋体" w:hint="default"/>
                <w:sz w:val="18"/>
                <w:szCs w:val="18"/>
              </w:rPr>
            </w:pPr>
            <w:r>
              <w:rPr>
                <w:rFonts w:ascii="宋体" w:hAnsi="宋体" w:cs="宋体" w:eastAsia="宋体" w:hint="default"/>
                <w:sz w:val="18"/>
                <w:szCs w:val="18"/>
              </w:rPr>
              <w:t>3.持有至到期投资重分类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pacing w:val="-1"/>
                <w:sz w:val="18"/>
                <w:szCs w:val="18"/>
              </w:rPr>
              <w:t>5.外币财务报表折算差额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103,319,549.54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92,017,945.67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105,820,825.29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82,717,605.13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-2,501,275.75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9,300,340.54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0.2745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0.2361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0.2745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0.2361</w:t>
            </w:r>
          </w:p>
        </w:tc>
      </w:tr>
    </w:tbl>
    <w:p>
      <w:pPr>
        <w:tabs>
          <w:tab w:pos="3532" w:val="left" w:leader="none"/>
          <w:tab w:pos="7672" w:val="left" w:leader="none"/>
        </w:tabs>
        <w:spacing w:line="612" w:lineRule="auto" w:before="51"/>
        <w:ind w:left="112" w:right="1231"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本期发生同一控制下企业合并的，被合并方在合并前实现的净利润为：元，上期被合并方实现的净利润为：元。 法定代表人：周发展</w:t>
        <w:tab/>
        <w:t>主管会计工作负责人：卢玉平</w:t>
        <w:tab/>
        <w:t>会计机构负责人：诸黎明 </w:t>
      </w:r>
      <w:bookmarkStart w:name="4、母公司利润表" w:id="161"/>
      <w:bookmarkEnd w:id="161"/>
      <w:r>
        <w:rPr>
          <w:rFonts w:ascii="宋体" w:hAnsi="宋体" w:cs="宋体" w:eastAsia="宋体" w:hint="default"/>
          <w:sz w:val="18"/>
          <w:szCs w:val="18"/>
        </w:rPr>
      </w:r>
      <w:r>
        <w:rPr>
          <w:rFonts w:ascii="宋体" w:hAnsi="宋体" w:cs="宋体" w:eastAsia="宋体" w:hint="default"/>
          <w:b/>
          <w:bCs/>
          <w:sz w:val="21"/>
          <w:szCs w:val="21"/>
        </w:rPr>
        <w:t>4、母公司利润表</w:t>
      </w:r>
      <w:r>
        <w:rPr>
          <w:rFonts w:ascii="宋体" w:hAnsi="宋体" w:cs="宋体" w:eastAsia="宋体" w:hint="default"/>
          <w:sz w:val="21"/>
          <w:szCs w:val="21"/>
        </w:rPr>
      </w:r>
    </w:p>
    <w:p>
      <w:pPr>
        <w:spacing w:before="3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599,139,234.09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560,899,955.71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462,857,853.02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432,293,875.65</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1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1,658,993.54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1,457,845.07</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199.080002pt;margin-top:376.000031pt;width:170.9pt;height:19.7pt;mso-position-horizontal-relative:page;mso-position-vertical-relative:page;z-index:-110819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99.080002pt;margin-top:492.100037pt;width:170.9pt;height:19.7pt;mso-position-horizontal-relative:page;mso-position-vertical-relative:page;z-index:-1108168"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5.149994pt;margin-top:340.300018pt;width:164.8pt;height:55.55pt;mso-position-horizontal-relative:page;mso-position-vertical-relative:page;z-index:-1108144" coordorigin="4103,6806" coordsize="3296,1111">
            <v:group style="position:absolute;left:4103;top:6806;width:3296;height:709" coordorigin="4103,6806" coordsize="3296,709">
              <v:shape style="position:absolute;left:4103;top:6806;width:3296;height:709" coordorigin="4103,6806" coordsize="3296,709" path="m4103,6806l7399,6806,7399,7515,4103,7515,4103,6806xe" filled="true" fillcolor="#ffffff" stroked="false">
                <v:path arrowok="t"/>
                <v:fill type="solid"/>
              </v:shape>
            </v:group>
            <v:group style="position:absolute;left:4103;top:7520;width:3296;height:397" coordorigin="4103,7520" coordsize="3296,397">
              <v:shape style="position:absolute;left:4103;top:7520;width:3296;height:397" coordorigin="4103,7520" coordsize="3296,397" path="m4103,7520l7399,7520,7399,7917,4103,7917,4103,7520xe" filled="true" fillcolor="#ffffff" stroked="false">
                <v:path arrowok="t"/>
                <v:fill type="solid"/>
              </v:shape>
            </v:group>
            <w10:wrap type="none"/>
          </v:group>
        </w:pict>
      </w:r>
      <w:r>
        <w:rPr/>
        <w:pict>
          <v:group style="position:absolute;margin-left:205.149994pt;margin-top:492.100037pt;width:164.8pt;height:19.850pt;mso-position-horizontal-relative:page;mso-position-vertical-relative:page;z-index:-1108120" coordorigin="4103,9842" coordsize="3296,397">
            <v:shape style="position:absolute;left:4103;top:9842;width:3296;height:397" coordorigin="4103,9842" coordsize="3296,397" path="m4103,9842l7399,9842,7399,10239,4103,10239,4103,9842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13,040,571.42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13,849,492.13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42,879,612.98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33,526,109.73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23,191,915.00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24,366,051.57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-2,985,927.92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-2,484,491.37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3,100,917.61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2,564,595.97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6,647,822.11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8,189,914.11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2,991,419.58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5,134,527.24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8,534,922.59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8,670,882.60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资产处置收益（损失以“-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63,374,736.11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63,506,568.66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9,769.13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54,397.60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27,353.22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63,320,338.93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63,488,984.57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5,456,429.43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5,861,834.58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57,863,909.50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57,627,149.99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57,863,909.50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57,627,149.99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1.重新计量设定受益计划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900"/>
              <w:jc w:val="left"/>
              <w:rPr>
                <w:rFonts w:ascii="宋体" w:hAnsi="宋体" w:cs="宋体" w:eastAsia="宋体" w:hint="default"/>
                <w:sz w:val="18"/>
                <w:szCs w:val="18"/>
              </w:rPr>
            </w:pPr>
            <w:r>
              <w:rPr>
                <w:rFonts w:ascii="宋体" w:hAnsi="宋体" w:cs="宋体" w:eastAsia="宋体" w:hint="default"/>
                <w:sz w:val="18"/>
                <w:szCs w:val="18"/>
              </w:rPr>
              <w:t>2.权益法下不能转损益的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2" w:right="0"/>
              <w:jc w:val="left"/>
              <w:rPr>
                <w:rFonts w:ascii="宋体" w:hAnsi="宋体" w:cs="宋体" w:eastAsia="宋体" w:hint="default"/>
                <w:sz w:val="18"/>
                <w:szCs w:val="18"/>
              </w:rPr>
            </w:pPr>
            <w:r>
              <w:rPr>
                <w:rFonts w:ascii="宋体" w:hAnsi="宋体" w:cs="宋体" w:eastAsia="宋体" w:hint="default"/>
                <w:sz w:val="18"/>
                <w:szCs w:val="18"/>
              </w:rPr>
              <w:t>1.权益法下可转损益的其</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900"/>
              <w:jc w:val="left"/>
              <w:rPr>
                <w:rFonts w:ascii="宋体" w:hAnsi="宋体" w:cs="宋体" w:eastAsia="宋体" w:hint="default"/>
                <w:sz w:val="18"/>
                <w:szCs w:val="18"/>
              </w:rPr>
            </w:pPr>
            <w:r>
              <w:rPr>
                <w:rFonts w:ascii="宋体" w:hAnsi="宋体" w:cs="宋体" w:eastAsia="宋体" w:hint="default"/>
                <w:sz w:val="18"/>
                <w:szCs w:val="18"/>
              </w:rPr>
              <w:t>2.可供出售金融资产公允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900"/>
              <w:jc w:val="left"/>
              <w:rPr>
                <w:rFonts w:ascii="宋体" w:hAnsi="宋体" w:cs="宋体" w:eastAsia="宋体" w:hint="default"/>
                <w:sz w:val="18"/>
                <w:szCs w:val="18"/>
              </w:rPr>
            </w:pPr>
            <w:r>
              <w:rPr>
                <w:rFonts w:ascii="宋体" w:hAnsi="宋体" w:cs="宋体" w:eastAsia="宋体" w:hint="default"/>
                <w:sz w:val="18"/>
                <w:szCs w:val="18"/>
              </w:rPr>
              <w:t>3.持有至到期投资重分类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9" w:right="0"/>
              <w:jc w:val="left"/>
              <w:rPr>
                <w:rFonts w:ascii="宋体" w:hAnsi="宋体" w:cs="宋体" w:eastAsia="宋体" w:hint="default"/>
                <w:sz w:val="18"/>
                <w:szCs w:val="18"/>
              </w:rPr>
            </w:pPr>
            <w:r>
              <w:rPr>
                <w:rFonts w:ascii="宋体"/>
                <w:sz w:val="18"/>
              </w:rPr>
              <w:t>57,863,909.50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8" w:right="0"/>
              <w:jc w:val="left"/>
              <w:rPr>
                <w:rFonts w:ascii="宋体" w:hAnsi="宋体" w:cs="宋体" w:eastAsia="宋体" w:hint="default"/>
                <w:sz w:val="18"/>
                <w:szCs w:val="18"/>
              </w:rPr>
            </w:pPr>
            <w:r>
              <w:rPr>
                <w:rFonts w:ascii="宋体"/>
                <w:sz w:val="18"/>
              </w:rPr>
              <w:t>57,627,149.99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pStyle w:val="Heading6"/>
        <w:spacing w:line="240" w:lineRule="auto" w:before="34"/>
        <w:ind w:right="2127"/>
        <w:jc w:val="left"/>
        <w:rPr>
          <w:b w:val="0"/>
          <w:bCs w:val="0"/>
        </w:rPr>
      </w:pPr>
      <w:bookmarkStart w:name="5、合并现金流量表" w:id="162"/>
      <w:bookmarkEnd w:id="162"/>
      <w:r>
        <w:rPr>
          <w:b w:val="0"/>
          <w:bCs w:val="0"/>
        </w:rPr>
      </w:r>
      <w:r>
        <w:rPr/>
        <w:t>5、合并现金流量表</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1,303,308,713.39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998,868,738.48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5,322,568.73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4,259,478.90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155,283,274.79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168,363,772.29</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1,463,914,556.91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1,171,491,989.67</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948,411,006.85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772,274,047.02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186,818,051.47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138,515,767.44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63,963,245.10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43,440,044.08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199,397,251.72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187,353,144.31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1,398,589,555.14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1,141,583,002.85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65,325,001.77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29,908,986.82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445,637,850.83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527,500,000.00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2,903,518.85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3,536,742.32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1,099,964.28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967,149.30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8,444,253.87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370,000.00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458,085,587.83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532,373,891.62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72,767,873.75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82,441,525.41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442,500,000.00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535,707,500.00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1,652,052.78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515,267,873.75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619,801,078.19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-57,182,285.92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-87,427,186.57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206,621,584.11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10,750,000.00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15,794,603.68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32,692,131.97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257,416,187.79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42,992,131.97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24,337,780.00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6,671,913.51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23,358,526.17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5,567,625.00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4,949,000.00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26,274,706.88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14,988,072.70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57,284,400.39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48,346,598.87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200,131,787.40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-5,354,466.90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13,065.06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134,031.10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208,287,568.31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-62,738,635.55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651,295,154.65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714,033,790.20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859,582,722.96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651,295,154.65</w:t>
            </w:r>
          </w:p>
        </w:tc>
      </w:tr>
    </w:tbl>
    <w:p>
      <w:pPr>
        <w:spacing w:line="240" w:lineRule="auto" w:before="11"/>
        <w:rPr>
          <w:rFonts w:ascii="Times New Roman" w:hAnsi="Times New Roman" w:cs="Times New Roman" w:eastAsia="Times New Roman" w:hint="default"/>
          <w:sz w:val="21"/>
          <w:szCs w:val="21"/>
        </w:rPr>
      </w:pPr>
    </w:p>
    <w:p>
      <w:pPr>
        <w:pStyle w:val="Heading6"/>
        <w:spacing w:line="240" w:lineRule="auto" w:before="34"/>
        <w:ind w:right="2127"/>
        <w:jc w:val="left"/>
        <w:rPr>
          <w:b w:val="0"/>
          <w:bCs w:val="0"/>
        </w:rPr>
      </w:pPr>
      <w:bookmarkStart w:name="6、母公司现金流量表" w:id="163"/>
      <w:bookmarkEnd w:id="163"/>
      <w:r>
        <w:rPr>
          <w:b w:val="0"/>
          <w:bCs w:val="0"/>
        </w:rPr>
      </w:r>
      <w:r>
        <w:rPr/>
        <w:t>6、母公司现金流量表</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698,069,172.97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525,226,734.88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661,371.81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1,376,150.47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118,173,443.21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120,296,343.43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816,903,987.99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646,899,228.78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580,717,629.42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445,830,811.29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61,806,134.51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51,213,964.16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17,122,893.69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16,895,112.80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132,220,719.67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160,864,755.63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791,867,377.29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674,804,643.88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25,036,610.70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-27,905,415.10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341,137,850.83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495,000,000.00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8,534,922.59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8,670,882.60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22,749.51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349,704,273.42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503,693,632.11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38,817,295.15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7,360,703.91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348,813,996.67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505,300,000.00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387,631,291.82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512,660,703.91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-37,927,018.40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-8,967,071.80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195,871,584.11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9,239,199.92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24,986,881.77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205,110,784.03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24,986,881.77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17,516,352.75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19,994,309.00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8,579,814.75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19,994,309.00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26,096,167.50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185,116,475.03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-1,109,285.73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172,226,067.33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-37,981,772.63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439,015,613.07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476,997,385.70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611,241,680.40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439,015,613.07</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7、合并所有者权益变动表" w:id="164"/>
      <w:bookmarkEnd w:id="164"/>
      <w:r>
        <w:rPr>
          <w:b w:val="0"/>
          <w:bCs w:val="0"/>
        </w:rPr>
      </w:r>
      <w:r>
        <w:rPr/>
        <w:t>7、合并所有者权益变动表</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122.639999pt;margin-top:398.200012pt;width:34pt;height:50.9pt;mso-position-horizontal-relative:page;mso-position-vertical-relative:page;z-index:-1108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8.75pt;margin-top:398.200012pt;width:27.85pt;height:51.05pt;mso-position-horizontal-relative:page;mso-position-vertical-relative:page;z-index:-1108072" coordorigin="2575,7964" coordsize="557,1021">
            <v:shape style="position:absolute;left:2575;top:7964;width:557;height:1021" coordorigin="2575,7964" coordsize="557,1021" path="m2575,7964l3132,7964,3132,8985,2575,8985,2575,796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544,62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2,720.</w:t>
            </w:r>
          </w:p>
          <w:p>
            <w:pPr>
              <w:pStyle w:val="TableParagraph"/>
              <w:spacing w:line="240" w:lineRule="auto" w:before="76"/>
              <w:ind w:right="19"/>
              <w:jc w:val="right"/>
              <w:rPr>
                <w:rFonts w:ascii="宋体" w:hAnsi="宋体" w:cs="宋体" w:eastAsia="宋体" w:hint="default"/>
                <w:sz w:val="18"/>
                <w:szCs w:val="18"/>
              </w:rPr>
            </w:pPr>
            <w:r>
              <w:rPr>
                <w:rFonts w:ascii="宋体"/>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44,348</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,136.0</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418,70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9,463.</w:t>
            </w:r>
          </w:p>
          <w:p>
            <w:pPr>
              <w:pStyle w:val="TableParagraph"/>
              <w:spacing w:line="240" w:lineRule="auto" w:before="76"/>
              <w:ind w:right="19"/>
              <w:jc w:val="right"/>
              <w:rPr>
                <w:rFonts w:ascii="宋体" w:hAnsi="宋体" w:cs="宋体" w:eastAsia="宋体" w:hint="default"/>
                <w:sz w:val="18"/>
                <w:szCs w:val="18"/>
              </w:rPr>
            </w:pPr>
            <w:r>
              <w:rPr>
                <w:rFonts w:ascii="宋体"/>
                <w:sz w:val="18"/>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77,909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,554.5</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宋体" w:hAnsi="宋体" w:cs="宋体" w:eastAsia="宋体" w:hint="default"/>
                <w:sz w:val="18"/>
                <w:szCs w:val="18"/>
              </w:rPr>
            </w:pPr>
            <w:r>
              <w:rPr>
                <w:rFonts w:ascii="宋体"/>
                <w:sz w:val="18"/>
              </w:rPr>
              <w:t>1,435,</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916,92</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9.12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544,62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2,720.</w:t>
            </w:r>
          </w:p>
          <w:p>
            <w:pPr>
              <w:pStyle w:val="TableParagraph"/>
              <w:spacing w:line="240" w:lineRule="auto" w:before="76"/>
              <w:ind w:right="19"/>
              <w:jc w:val="right"/>
              <w:rPr>
                <w:rFonts w:ascii="宋体" w:hAnsi="宋体" w:cs="宋体" w:eastAsia="宋体" w:hint="default"/>
                <w:sz w:val="18"/>
                <w:szCs w:val="18"/>
              </w:rPr>
            </w:pPr>
            <w:r>
              <w:rPr>
                <w:rFonts w:ascii="宋体"/>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44,348</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,136.0</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418,70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9,463.</w:t>
            </w:r>
          </w:p>
          <w:p>
            <w:pPr>
              <w:pStyle w:val="TableParagraph"/>
              <w:spacing w:line="240" w:lineRule="auto" w:before="76"/>
              <w:ind w:right="19"/>
              <w:jc w:val="right"/>
              <w:rPr>
                <w:rFonts w:ascii="宋体" w:hAnsi="宋体" w:cs="宋体" w:eastAsia="宋体" w:hint="default"/>
                <w:sz w:val="18"/>
                <w:szCs w:val="18"/>
              </w:rPr>
            </w:pPr>
            <w:r>
              <w:rPr>
                <w:rFonts w:ascii="宋体"/>
                <w:sz w:val="18"/>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77,909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,554.5</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1,435,</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916,92</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9.12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宋体" w:hAnsi="宋体" w:cs="宋体" w:eastAsia="宋体" w:hint="default"/>
                <w:sz w:val="18"/>
                <w:szCs w:val="18"/>
              </w:rPr>
            </w:pPr>
            <w:r>
              <w:rPr>
                <w:rFonts w:ascii="宋体"/>
                <w:sz w:val="18"/>
              </w:rPr>
              <w:t>61,80</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8,414</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489,71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6,868.</w:t>
            </w:r>
          </w:p>
          <w:p>
            <w:pPr>
              <w:pStyle w:val="TableParagraph"/>
              <w:spacing w:line="240" w:lineRule="auto" w:before="76"/>
              <w:ind w:right="19"/>
              <w:jc w:val="right"/>
              <w:rPr>
                <w:rFonts w:ascii="宋体" w:hAnsi="宋体" w:cs="宋体" w:eastAsia="宋体" w:hint="default"/>
                <w:sz w:val="18"/>
                <w:szCs w:val="18"/>
              </w:rPr>
            </w:pPr>
            <w:r>
              <w:rPr>
                <w:rFonts w:ascii="宋体"/>
                <w:sz w:val="18"/>
              </w:rPr>
              <w:t>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sz w:val="18"/>
              </w:rPr>
              <w:t>5,786,</w:t>
            </w:r>
          </w:p>
          <w:p>
            <w:pPr>
              <w:pStyle w:val="TableParagraph"/>
              <w:spacing w:line="240" w:lineRule="auto" w:before="76"/>
              <w:ind w:left="90" w:right="0"/>
              <w:jc w:val="left"/>
              <w:rPr>
                <w:rFonts w:ascii="宋体" w:hAnsi="宋体" w:cs="宋体" w:eastAsia="宋体" w:hint="default"/>
                <w:sz w:val="18"/>
                <w:szCs w:val="18"/>
              </w:rPr>
            </w:pPr>
            <w:r>
              <w:rPr>
                <w:rFonts w:ascii="宋体"/>
                <w:sz w:val="18"/>
              </w:rPr>
              <w:t>390.95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100,03</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4,434.</w:t>
            </w:r>
          </w:p>
          <w:p>
            <w:pPr>
              <w:pStyle w:val="TableParagraph"/>
              <w:spacing w:line="240" w:lineRule="auto" w:before="76"/>
              <w:ind w:right="19"/>
              <w:jc w:val="right"/>
              <w:rPr>
                <w:rFonts w:ascii="宋体" w:hAnsi="宋体" w:cs="宋体" w:eastAsia="宋体" w:hint="default"/>
                <w:sz w:val="18"/>
                <w:szCs w:val="18"/>
              </w:rPr>
            </w:pPr>
            <w:r>
              <w:rPr>
                <w:rFonts w:ascii="宋体"/>
                <w:sz w:val="18"/>
              </w:rPr>
              <w:t>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sz w:val="18"/>
              </w:rPr>
              <w:t>3,159,</w:t>
            </w:r>
          </w:p>
          <w:p>
            <w:pPr>
              <w:pStyle w:val="TableParagraph"/>
              <w:spacing w:line="240" w:lineRule="auto" w:before="76"/>
              <w:ind w:left="92" w:right="0"/>
              <w:jc w:val="left"/>
              <w:rPr>
                <w:rFonts w:ascii="宋体" w:hAnsi="宋体" w:cs="宋体" w:eastAsia="宋体" w:hint="default"/>
                <w:sz w:val="18"/>
                <w:szCs w:val="18"/>
              </w:rPr>
            </w:pPr>
            <w:r>
              <w:rPr>
                <w:rFonts w:ascii="宋体"/>
                <w:sz w:val="18"/>
              </w:rPr>
              <w:t>910.92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660,50</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6,018.</w:t>
            </w:r>
          </w:p>
          <w:p>
            <w:pPr>
              <w:pStyle w:val="TableParagraph"/>
              <w:spacing w:line="240" w:lineRule="auto" w:before="76"/>
              <w:ind w:right="20"/>
              <w:jc w:val="right"/>
              <w:rPr>
                <w:rFonts w:ascii="宋体" w:hAnsi="宋体" w:cs="宋体" w:eastAsia="宋体" w:hint="default"/>
                <w:sz w:val="18"/>
                <w:szCs w:val="18"/>
              </w:rPr>
            </w:pPr>
            <w:r>
              <w:rPr>
                <w:rFonts w:ascii="宋体"/>
                <w:sz w:val="18"/>
              </w:rPr>
              <w:t>93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105,82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0,825.</w:t>
            </w:r>
          </w:p>
          <w:p>
            <w:pPr>
              <w:pStyle w:val="TableParagraph"/>
              <w:spacing w:line="240" w:lineRule="auto" w:before="76"/>
              <w:ind w:right="19"/>
              <w:jc w:val="right"/>
              <w:rPr>
                <w:rFonts w:ascii="宋体" w:hAnsi="宋体" w:cs="宋体" w:eastAsia="宋体" w:hint="default"/>
                <w:sz w:val="18"/>
                <w:szCs w:val="18"/>
              </w:rPr>
            </w:pPr>
            <w:r>
              <w:rPr>
                <w:rFonts w:ascii="宋体"/>
                <w:sz w:val="18"/>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,275.7</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103,31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9,549.</w:t>
            </w:r>
          </w:p>
          <w:p>
            <w:pPr>
              <w:pStyle w:val="TableParagraph"/>
              <w:spacing w:line="240" w:lineRule="auto" w:before="76"/>
              <w:ind w:right="20"/>
              <w:jc w:val="right"/>
              <w:rPr>
                <w:rFonts w:ascii="宋体" w:hAnsi="宋体" w:cs="宋体" w:eastAsia="宋体" w:hint="default"/>
                <w:sz w:val="18"/>
                <w:szCs w:val="18"/>
              </w:rPr>
            </w:pPr>
            <w:r>
              <w:rPr>
                <w:rFonts w:ascii="宋体"/>
                <w:sz w:val="18"/>
              </w:rPr>
              <w:t>54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宋体" w:hAnsi="宋体" w:cs="宋体" w:eastAsia="宋体" w:hint="default"/>
                <w:sz w:val="18"/>
                <w:szCs w:val="18"/>
              </w:rPr>
            </w:pPr>
            <w:r>
              <w:rPr>
                <w:rFonts w:ascii="宋体"/>
                <w:sz w:val="18"/>
              </w:rPr>
              <w:t>61,80</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8,414</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476,08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6,823.</w:t>
            </w:r>
          </w:p>
          <w:p>
            <w:pPr>
              <w:pStyle w:val="TableParagraph"/>
              <w:spacing w:line="240" w:lineRule="auto" w:before="76"/>
              <w:ind w:right="19"/>
              <w:jc w:val="right"/>
              <w:rPr>
                <w:rFonts w:ascii="宋体" w:hAnsi="宋体" w:cs="宋体" w:eastAsia="宋体" w:hint="default"/>
                <w:sz w:val="18"/>
                <w:szCs w:val="18"/>
              </w:rPr>
            </w:pPr>
            <w:r>
              <w:rPr>
                <w:rFonts w:ascii="宋体"/>
                <w:sz w:val="18"/>
              </w:rPr>
              <w:t>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10,750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548,64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5,237.</w:t>
            </w:r>
          </w:p>
          <w:p>
            <w:pPr>
              <w:pStyle w:val="TableParagraph"/>
              <w:spacing w:line="240" w:lineRule="auto" w:before="76"/>
              <w:ind w:right="20"/>
              <w:jc w:val="right"/>
              <w:rPr>
                <w:rFonts w:ascii="宋体" w:hAnsi="宋体" w:cs="宋体" w:eastAsia="宋体" w:hint="default"/>
                <w:sz w:val="18"/>
                <w:szCs w:val="18"/>
              </w:rPr>
            </w:pPr>
            <w:r>
              <w:rPr>
                <w:rFonts w:ascii="宋体"/>
                <w:sz w:val="18"/>
              </w:rPr>
              <w:t>72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1．所有者投入的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61,80</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8,414</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476,08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6,823.</w:t>
            </w:r>
          </w:p>
          <w:p>
            <w:pPr>
              <w:pStyle w:val="TableParagraph"/>
              <w:spacing w:line="240" w:lineRule="auto" w:before="76"/>
              <w:ind w:right="19"/>
              <w:jc w:val="right"/>
              <w:rPr>
                <w:rFonts w:ascii="宋体" w:hAnsi="宋体" w:cs="宋体" w:eastAsia="宋体" w:hint="default"/>
                <w:sz w:val="18"/>
                <w:szCs w:val="18"/>
              </w:rPr>
            </w:pPr>
            <w:r>
              <w:rPr>
                <w:rFonts w:ascii="宋体"/>
                <w:sz w:val="18"/>
              </w:rPr>
              <w:t>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10,750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548,64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5,237.</w:t>
            </w:r>
          </w:p>
          <w:p>
            <w:pPr>
              <w:pStyle w:val="TableParagraph"/>
              <w:spacing w:line="240" w:lineRule="auto" w:before="76"/>
              <w:ind w:right="20"/>
              <w:jc w:val="right"/>
              <w:rPr>
                <w:rFonts w:ascii="宋体" w:hAnsi="宋体" w:cs="宋体" w:eastAsia="宋体" w:hint="default"/>
                <w:sz w:val="18"/>
                <w:szCs w:val="18"/>
              </w:rPr>
            </w:pPr>
            <w:r>
              <w:rPr>
                <w:rFonts w:ascii="宋体"/>
                <w:sz w:val="18"/>
              </w:rPr>
              <w:t>72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宋体" w:hAnsi="宋体" w:cs="宋体" w:eastAsia="宋体" w:hint="default"/>
                <w:sz w:val="18"/>
                <w:szCs w:val="18"/>
              </w:rPr>
            </w:pPr>
            <w:r>
              <w:rPr>
                <w:rFonts w:ascii="宋体"/>
                <w:sz w:val="18"/>
              </w:rPr>
              <w:t>5,786,</w:t>
            </w:r>
          </w:p>
          <w:p>
            <w:pPr>
              <w:pStyle w:val="TableParagraph"/>
              <w:spacing w:line="240" w:lineRule="auto" w:before="76"/>
              <w:ind w:left="90" w:right="0"/>
              <w:jc w:val="left"/>
              <w:rPr>
                <w:rFonts w:ascii="宋体" w:hAnsi="宋体" w:cs="宋体" w:eastAsia="宋体" w:hint="default"/>
                <w:sz w:val="18"/>
                <w:szCs w:val="18"/>
              </w:rPr>
            </w:pPr>
            <w:r>
              <w:rPr>
                <w:rFonts w:ascii="宋体"/>
                <w:sz w:val="18"/>
              </w:rPr>
              <w:t>390.95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-5,786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,390.9</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-5,567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,625.0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-5,567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,625.0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footerReference w:type="default" r:id="rId27"/>
          <w:pgSz w:w="11910" w:h="16840"/>
          <w:pgMar w:footer="978" w:header="746" w:top="1060" w:bottom="1160" w:left="1020" w:right="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sz w:val="18"/>
              </w:rPr>
              <w:t>5,786,</w:t>
            </w:r>
          </w:p>
          <w:p>
            <w:pPr>
              <w:pStyle w:val="TableParagraph"/>
              <w:spacing w:line="240" w:lineRule="auto" w:before="76"/>
              <w:ind w:left="90" w:right="0"/>
              <w:jc w:val="left"/>
              <w:rPr>
                <w:rFonts w:ascii="宋体" w:hAnsi="宋体" w:cs="宋体" w:eastAsia="宋体" w:hint="default"/>
                <w:sz w:val="18"/>
                <w:szCs w:val="18"/>
              </w:rPr>
            </w:pPr>
            <w:r>
              <w:rPr>
                <w:rFonts w:ascii="宋体"/>
                <w:sz w:val="18"/>
              </w:rPr>
              <w:t>390.95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-5,786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,390.9</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2．提取一般风险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3．对所有者（或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-5,567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,625.0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-5,567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,625.0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4．设定受益计划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13,630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,045.0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71" w:right="0"/>
              <w:jc w:val="center"/>
              <w:rPr>
                <w:rFonts w:ascii="宋体" w:hAnsi="宋体" w:cs="宋体" w:eastAsia="宋体" w:hint="default"/>
                <w:sz w:val="18"/>
                <w:szCs w:val="18"/>
              </w:rPr>
            </w:pPr>
            <w:r>
              <w:rPr>
                <w:rFonts w:ascii="宋体"/>
                <w:sz w:val="18"/>
              </w:rPr>
              <w:t>478,81</w:t>
            </w:r>
          </w:p>
          <w:p>
            <w:pPr>
              <w:pStyle w:val="TableParagraph"/>
              <w:spacing w:line="240" w:lineRule="auto" w:before="76"/>
              <w:ind w:left="251" w:right="0"/>
              <w:jc w:val="center"/>
              <w:rPr>
                <w:rFonts w:ascii="宋体" w:hAnsi="宋体" w:cs="宋体" w:eastAsia="宋体" w:hint="default"/>
                <w:sz w:val="18"/>
                <w:szCs w:val="18"/>
              </w:rPr>
            </w:pPr>
            <w:r>
              <w:rPr>
                <w:rFonts w:ascii="宋体"/>
                <w:sz w:val="18"/>
              </w:rPr>
              <w:t>1.67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14,108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,856.6</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宋体" w:hAnsi="宋体" w:cs="宋体" w:eastAsia="宋体" w:hint="default"/>
                <w:sz w:val="18"/>
                <w:szCs w:val="18"/>
              </w:rPr>
            </w:pPr>
            <w:r>
              <w:rPr>
                <w:rFonts w:ascii="宋体"/>
                <w:sz w:val="18"/>
              </w:rPr>
              <w:t>412,1</w:t>
            </w:r>
          </w:p>
          <w:p>
            <w:pPr>
              <w:pStyle w:val="TableParagraph"/>
              <w:spacing w:line="240" w:lineRule="auto" w:before="76"/>
              <w:ind w:left="80" w:right="0"/>
              <w:jc w:val="left"/>
              <w:rPr>
                <w:rFonts w:ascii="宋体" w:hAnsi="宋体" w:cs="宋体" w:eastAsia="宋体" w:hint="default"/>
                <w:sz w:val="18"/>
                <w:szCs w:val="18"/>
              </w:rPr>
            </w:pPr>
            <w:r>
              <w:rPr>
                <w:rFonts w:ascii="宋体"/>
                <w:sz w:val="18"/>
              </w:rPr>
              <w:t>35,46</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9.00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center"/>
              <w:rPr>
                <w:rFonts w:ascii="宋体" w:hAnsi="宋体" w:cs="宋体" w:eastAsia="宋体" w:hint="default"/>
                <w:sz w:val="18"/>
                <w:szCs w:val="18"/>
              </w:rPr>
            </w:pPr>
            <w:r>
              <w:rPr>
                <w:rFonts w:ascii="宋体"/>
                <w:sz w:val="18"/>
              </w:rPr>
              <w:t>1,034,</w:t>
            </w:r>
          </w:p>
          <w:p>
            <w:pPr>
              <w:pStyle w:val="TableParagraph"/>
              <w:spacing w:line="240" w:lineRule="auto" w:before="76"/>
              <w:ind w:left="71" w:right="0"/>
              <w:jc w:val="center"/>
              <w:rPr>
                <w:rFonts w:ascii="宋体" w:hAnsi="宋体" w:cs="宋体" w:eastAsia="宋体" w:hint="default"/>
                <w:sz w:val="18"/>
                <w:szCs w:val="18"/>
              </w:rPr>
            </w:pPr>
            <w:r>
              <w:rPr>
                <w:rFonts w:ascii="宋体"/>
                <w:sz w:val="18"/>
              </w:rPr>
              <w:t>339,58</w:t>
            </w:r>
          </w:p>
          <w:p>
            <w:pPr>
              <w:pStyle w:val="TableParagraph"/>
              <w:spacing w:line="240" w:lineRule="auto" w:before="76"/>
              <w:ind w:left="251" w:right="0"/>
              <w:jc w:val="center"/>
              <w:rPr>
                <w:rFonts w:ascii="宋体" w:hAnsi="宋体" w:cs="宋体" w:eastAsia="宋体" w:hint="default"/>
                <w:sz w:val="18"/>
                <w:szCs w:val="18"/>
              </w:rPr>
            </w:pPr>
            <w:r>
              <w:rPr>
                <w:rFonts w:ascii="宋体"/>
                <w:sz w:val="18"/>
              </w:rPr>
              <w:t>8.87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50,134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,527.0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518,74</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3,897.</w:t>
            </w:r>
          </w:p>
          <w:p>
            <w:pPr>
              <w:pStyle w:val="TableParagraph"/>
              <w:spacing w:line="240" w:lineRule="auto" w:before="76"/>
              <w:ind w:right="19"/>
              <w:jc w:val="right"/>
              <w:rPr>
                <w:rFonts w:ascii="宋体" w:hAnsi="宋体" w:cs="宋体" w:eastAsia="宋体" w:hint="default"/>
                <w:sz w:val="18"/>
                <w:szCs w:val="18"/>
              </w:rPr>
            </w:pPr>
            <w:r>
              <w:rPr>
                <w:rFonts w:ascii="宋体"/>
                <w:sz w:val="18"/>
              </w:rPr>
              <w:t>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81,069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,465.4</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宋体" w:hAnsi="宋体" w:cs="宋体" w:eastAsia="宋体" w:hint="default"/>
                <w:sz w:val="18"/>
                <w:szCs w:val="18"/>
              </w:rPr>
            </w:pPr>
            <w:r>
              <w:rPr>
                <w:rFonts w:ascii="宋体"/>
                <w:sz w:val="18"/>
              </w:rPr>
              <w:t>2,096,</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422,94</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8.05</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8" w:right="0"/>
              <w:jc w:val="left"/>
              <w:rPr>
                <w:rFonts w:ascii="宋体" w:hAnsi="宋体" w:cs="宋体" w:eastAsia="宋体" w:hint="default"/>
                <w:sz w:val="18"/>
                <w:szCs w:val="18"/>
              </w:rPr>
            </w:pPr>
            <w:r>
              <w:rPr>
                <w:rFonts w:ascii="宋体"/>
                <w:sz w:val="18"/>
              </w:rPr>
              <w:t>350,3</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0" w:right="0"/>
              <w:jc w:val="left"/>
              <w:rPr>
                <w:rFonts w:ascii="宋体" w:hAnsi="宋体" w:cs="宋体" w:eastAsia="宋体" w:hint="default"/>
                <w:sz w:val="18"/>
                <w:szCs w:val="18"/>
              </w:rPr>
            </w:pPr>
            <w:r>
              <w:rPr>
                <w:rFonts w:ascii="宋体"/>
                <w:sz w:val="18"/>
              </w:rPr>
              <w:t>543,76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1" w:right="0"/>
              <w:jc w:val="left"/>
              <w:rPr>
                <w:rFonts w:ascii="宋体" w:hAnsi="宋体" w:cs="宋体" w:eastAsia="宋体" w:hint="default"/>
                <w:sz w:val="18"/>
                <w:szCs w:val="18"/>
              </w:rPr>
            </w:pPr>
            <w:r>
              <w:rPr>
                <w:rFonts w:ascii="宋体"/>
                <w:sz w:val="18"/>
              </w:rPr>
              <w:t>38,585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6" w:right="0"/>
              <w:jc w:val="left"/>
              <w:rPr>
                <w:rFonts w:ascii="宋体" w:hAnsi="宋体" w:cs="宋体" w:eastAsia="宋体" w:hint="default"/>
                <w:sz w:val="18"/>
                <w:szCs w:val="18"/>
              </w:rPr>
            </w:pPr>
            <w:r>
              <w:rPr>
                <w:rFonts w:ascii="宋体"/>
                <w:sz w:val="18"/>
              </w:rPr>
              <w:t>359,27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8" w:right="0"/>
              <w:jc w:val="left"/>
              <w:rPr>
                <w:rFonts w:ascii="宋体" w:hAnsi="宋体" w:cs="宋体" w:eastAsia="宋体" w:hint="default"/>
                <w:sz w:val="18"/>
                <w:szCs w:val="18"/>
              </w:rPr>
            </w:pPr>
            <w:r>
              <w:rPr>
                <w:rFonts w:ascii="宋体"/>
                <w:sz w:val="18"/>
              </w:rPr>
              <w:t>42,088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6" w:right="0"/>
              <w:jc w:val="left"/>
              <w:rPr>
                <w:rFonts w:ascii="宋体" w:hAnsi="宋体" w:cs="宋体" w:eastAsia="宋体" w:hint="default"/>
                <w:sz w:val="18"/>
                <w:szCs w:val="18"/>
              </w:rPr>
            </w:pPr>
            <w:r>
              <w:rPr>
                <w:rFonts w:ascii="宋体"/>
                <w:sz w:val="18"/>
              </w:rPr>
              <w:t>1,334,</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122.639999pt;margin-top:284.600037pt;width:33.950pt;height:50.9pt;mso-position-horizontal-relative:page;mso-position-vertical-relative:page;z-index:-1108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8"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pacing w:val="-1"/>
                <w:sz w:val="18"/>
              </w:rPr>
              <w:t>7,469.</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pacing w:val="-1"/>
                <w:sz w:val="18"/>
              </w:rPr>
              <w:t>,421.0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pacing w:val="-1"/>
                <w:sz w:val="18"/>
              </w:rPr>
              <w:t>0,926.</w:t>
            </w:r>
          </w:p>
          <w:p>
            <w:pPr>
              <w:pStyle w:val="TableParagraph"/>
              <w:spacing w:line="240" w:lineRule="auto" w:before="76"/>
              <w:ind w:right="19"/>
              <w:jc w:val="right"/>
              <w:rPr>
                <w:rFonts w:ascii="宋体" w:hAnsi="宋体" w:cs="宋体" w:eastAsia="宋体" w:hint="default"/>
                <w:sz w:val="18"/>
                <w:szCs w:val="18"/>
              </w:rPr>
            </w:pPr>
            <w:r>
              <w:rPr>
                <w:rFonts w:ascii="宋体"/>
                <w:sz w:val="18"/>
              </w:rPr>
              <w:t>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pacing w:val="-1"/>
                <w:sz w:val="18"/>
              </w:rPr>
              <w:t>,022.4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 w:right="0"/>
              <w:jc w:val="center"/>
              <w:rPr>
                <w:rFonts w:ascii="宋体" w:hAnsi="宋体" w:cs="宋体" w:eastAsia="宋体" w:hint="default"/>
                <w:sz w:val="18"/>
                <w:szCs w:val="18"/>
              </w:rPr>
            </w:pPr>
            <w:r>
              <w:rPr>
                <w:rFonts w:ascii="宋体"/>
                <w:sz w:val="18"/>
              </w:rPr>
              <w:t>038,89</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4.28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78"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543,76</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7,469.</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38,585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,421.0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359,27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0,926.</w:t>
            </w:r>
          </w:p>
          <w:p>
            <w:pPr>
              <w:pStyle w:val="TableParagraph"/>
              <w:spacing w:line="240" w:lineRule="auto" w:before="76"/>
              <w:ind w:right="19"/>
              <w:jc w:val="right"/>
              <w:rPr>
                <w:rFonts w:ascii="宋体" w:hAnsi="宋体" w:cs="宋体" w:eastAsia="宋体" w:hint="default"/>
                <w:sz w:val="18"/>
                <w:szCs w:val="18"/>
              </w:rPr>
            </w:pPr>
            <w:r>
              <w:rPr>
                <w:rFonts w:ascii="宋体"/>
                <w:sz w:val="18"/>
              </w:rPr>
              <w:t>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42,088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,022.4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center"/>
              <w:rPr>
                <w:rFonts w:ascii="宋体" w:hAnsi="宋体" w:cs="宋体" w:eastAsia="宋体" w:hint="default"/>
                <w:sz w:val="18"/>
                <w:szCs w:val="18"/>
              </w:rPr>
            </w:pPr>
            <w:r>
              <w:rPr>
                <w:rFonts w:ascii="宋体"/>
                <w:sz w:val="18"/>
              </w:rPr>
              <w:t>1,334,</w:t>
            </w:r>
          </w:p>
          <w:p>
            <w:pPr>
              <w:pStyle w:val="TableParagraph"/>
              <w:spacing w:line="240" w:lineRule="auto" w:before="76"/>
              <w:ind w:left="64" w:right="0"/>
              <w:jc w:val="center"/>
              <w:rPr>
                <w:rFonts w:ascii="宋体" w:hAnsi="宋体" w:cs="宋体" w:eastAsia="宋体" w:hint="default"/>
                <w:sz w:val="18"/>
                <w:szCs w:val="18"/>
              </w:rPr>
            </w:pPr>
            <w:r>
              <w:rPr>
                <w:rFonts w:ascii="宋体"/>
                <w:sz w:val="18"/>
              </w:rPr>
              <w:t>038,89</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4.28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021"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27.85pt;height:51.05pt;mso-position-horizontal-relative:char;mso-position-vertical-relative:line" coordorigin="0,0" coordsize="557,1021">
                  <v:group style="position:absolute;left:0;top:0;width:557;height:1021" coordorigin="0,0" coordsize="557,1021">
                    <v:shape style="position:absolute;left:0;top:0;width:557;height:1021" coordorigin="0,0" coordsize="557,1021" path="m0,0l557,0,557,1021,0,1021,0,0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8" w:right="0"/>
              <w:jc w:val="center"/>
              <w:rPr>
                <w:rFonts w:ascii="宋体" w:hAnsi="宋体" w:cs="宋体" w:eastAsia="宋体" w:hint="default"/>
                <w:sz w:val="18"/>
                <w:szCs w:val="18"/>
              </w:rPr>
            </w:pPr>
            <w:r>
              <w:rPr>
                <w:rFonts w:ascii="宋体"/>
                <w:sz w:val="18"/>
              </w:rPr>
              <w:t>855,25</w:t>
            </w:r>
          </w:p>
          <w:p>
            <w:pPr>
              <w:pStyle w:val="TableParagraph"/>
              <w:spacing w:line="240" w:lineRule="auto" w:before="76"/>
              <w:ind w:left="248" w:right="0"/>
              <w:jc w:val="center"/>
              <w:rPr>
                <w:rFonts w:ascii="宋体" w:hAnsi="宋体" w:cs="宋体" w:eastAsia="宋体" w:hint="default"/>
                <w:sz w:val="18"/>
                <w:szCs w:val="18"/>
              </w:rPr>
            </w:pPr>
            <w:r>
              <w:rPr>
                <w:rFonts w:ascii="宋体"/>
                <w:sz w:val="18"/>
              </w:rPr>
              <w:t>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5,762,</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59,438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,537.3</w:t>
            </w:r>
          </w:p>
          <w:p>
            <w:pPr>
              <w:pStyle w:val="TableParagraph"/>
              <w:spacing w:line="240" w:lineRule="auto" w:before="76"/>
              <w:ind w:right="21"/>
              <w:jc w:val="right"/>
              <w:rPr>
                <w:rFonts w:ascii="宋体" w:hAnsi="宋体" w:cs="宋体" w:eastAsia="宋体" w:hint="default"/>
                <w:sz w:val="18"/>
                <w:szCs w:val="18"/>
              </w:rPr>
            </w:pPr>
            <w:r>
              <w:rPr>
                <w:rFonts w:ascii="宋体"/>
                <w:sz w:val="18"/>
              </w:rPr>
              <w:t>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35,821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,532.0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101,87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8,034.</w:t>
            </w:r>
          </w:p>
          <w:p>
            <w:pPr>
              <w:pStyle w:val="TableParagraph"/>
              <w:spacing w:line="240" w:lineRule="auto" w:before="76"/>
              <w:ind w:right="19"/>
              <w:jc w:val="right"/>
              <w:rPr>
                <w:rFonts w:ascii="宋体" w:hAnsi="宋体" w:cs="宋体" w:eastAsia="宋体" w:hint="default"/>
                <w:sz w:val="18"/>
                <w:szCs w:val="18"/>
              </w:rPr>
            </w:pPr>
            <w:r>
              <w:rPr>
                <w:rFonts w:ascii="宋体"/>
                <w:sz w:val="18"/>
              </w:rPr>
              <w:t>84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82,717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,605.1</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8" w:right="0"/>
              <w:jc w:val="left"/>
              <w:rPr>
                <w:rFonts w:ascii="宋体" w:hAnsi="宋体" w:cs="宋体" w:eastAsia="宋体" w:hint="default"/>
                <w:sz w:val="18"/>
                <w:szCs w:val="18"/>
              </w:rPr>
            </w:pPr>
            <w:r>
              <w:rPr>
                <w:rFonts w:ascii="宋体"/>
                <w:sz w:val="18"/>
              </w:rPr>
              <w:t>9,300,</w:t>
            </w:r>
          </w:p>
          <w:p>
            <w:pPr>
              <w:pStyle w:val="TableParagraph"/>
              <w:spacing w:line="240" w:lineRule="auto" w:before="76"/>
              <w:ind w:left="78" w:right="0"/>
              <w:jc w:val="left"/>
              <w:rPr>
                <w:rFonts w:ascii="宋体" w:hAnsi="宋体" w:cs="宋体" w:eastAsia="宋体" w:hint="default"/>
                <w:sz w:val="18"/>
                <w:szCs w:val="18"/>
              </w:rPr>
            </w:pPr>
            <w:r>
              <w:rPr>
                <w:rFonts w:ascii="宋体"/>
                <w:sz w:val="18"/>
              </w:rPr>
              <w:t>340.54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92,017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,945.6</w:t>
            </w:r>
          </w:p>
          <w:p>
            <w:pPr>
              <w:pStyle w:val="TableParagraph"/>
              <w:spacing w:line="240" w:lineRule="auto" w:before="76"/>
              <w:ind w:right="22"/>
              <w:jc w:val="right"/>
              <w:rPr>
                <w:rFonts w:ascii="宋体" w:hAnsi="宋体" w:cs="宋体" w:eastAsia="宋体" w:hint="default"/>
                <w:sz w:val="18"/>
                <w:szCs w:val="18"/>
              </w:rPr>
            </w:pPr>
            <w:r>
              <w:rPr>
                <w:rFonts w:ascii="宋体"/>
                <w:sz w:val="18"/>
              </w:rPr>
              <w:t>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32,377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,476.0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32,377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,476.0</w:t>
            </w:r>
          </w:p>
          <w:p>
            <w:pPr>
              <w:pStyle w:val="TableParagraph"/>
              <w:spacing w:line="240" w:lineRule="auto" w:before="76"/>
              <w:ind w:right="22"/>
              <w:jc w:val="right"/>
              <w:rPr>
                <w:rFonts w:ascii="宋体" w:hAnsi="宋体" w:cs="宋体" w:eastAsia="宋体" w:hint="default"/>
                <w:sz w:val="18"/>
                <w:szCs w:val="18"/>
              </w:rPr>
            </w:pPr>
            <w:r>
              <w:rPr>
                <w:rFonts w:ascii="宋体"/>
                <w:sz w:val="18"/>
              </w:rPr>
              <w:t>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1．所有者投入的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32,625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,441.9</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32,625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,441.9</w:t>
            </w:r>
          </w:p>
          <w:p>
            <w:pPr>
              <w:pStyle w:val="TableParagraph"/>
              <w:spacing w:line="240" w:lineRule="auto" w:before="76"/>
              <w:ind w:right="22"/>
              <w:jc w:val="right"/>
              <w:rPr>
                <w:rFonts w:ascii="宋体" w:hAnsi="宋体" w:cs="宋体" w:eastAsia="宋体" w:hint="default"/>
                <w:sz w:val="18"/>
                <w:szCs w:val="18"/>
              </w:rPr>
            </w:pPr>
            <w:r>
              <w:rPr>
                <w:rFonts w:ascii="宋体"/>
                <w:sz w:val="18"/>
              </w:rPr>
              <w:t>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宋体" w:hAnsi="宋体" w:cs="宋体" w:eastAsia="宋体" w:hint="default"/>
                <w:sz w:val="18"/>
                <w:szCs w:val="18"/>
              </w:rPr>
            </w:pPr>
            <w:r>
              <w:rPr>
                <w:rFonts w:ascii="宋体"/>
                <w:sz w:val="18"/>
              </w:rPr>
              <w:t>-247,9</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65.83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-247,9</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65.83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5,762,</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-23,27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9,067.</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-4,949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-22,46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5,352.</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5,762,</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-5,762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,715.0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2．提取一般风险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3．对所有者（或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6,352.</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-4,949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-22,46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5,352.</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4．设定受益计划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 w:right="0"/>
              <w:jc w:val="center"/>
              <w:rPr>
                <w:rFonts w:ascii="宋体" w:hAnsi="宋体" w:cs="宋体" w:eastAsia="宋体" w:hint="default"/>
                <w:sz w:val="18"/>
                <w:szCs w:val="18"/>
              </w:rPr>
            </w:pPr>
            <w:r>
              <w:rPr>
                <w:rFonts w:ascii="宋体"/>
                <w:sz w:val="18"/>
              </w:rPr>
              <w:t>855,25</w:t>
            </w:r>
          </w:p>
          <w:p>
            <w:pPr>
              <w:pStyle w:val="TableParagraph"/>
              <w:spacing w:line="240" w:lineRule="auto" w:before="76"/>
              <w:ind w:left="248" w:right="0"/>
              <w:jc w:val="center"/>
              <w:rPr>
                <w:rFonts w:ascii="宋体" w:hAnsi="宋体" w:cs="宋体" w:eastAsia="宋体" w:hint="default"/>
                <w:sz w:val="18"/>
                <w:szCs w:val="18"/>
              </w:rPr>
            </w:pPr>
            <w:r>
              <w:rPr>
                <w:rFonts w:ascii="宋体"/>
                <w:sz w:val="18"/>
              </w:rPr>
              <w:t>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宋体" w:hAnsi="宋体" w:cs="宋体" w:eastAsia="宋体" w:hint="default"/>
                <w:sz w:val="18"/>
                <w:szCs w:val="18"/>
              </w:rPr>
            </w:pPr>
            <w:r>
              <w:rPr>
                <w:rFonts w:ascii="宋体"/>
                <w:sz w:val="18"/>
              </w:rPr>
              <w:t>-907,2</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84.57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sz w:val="18"/>
              </w:rPr>
              <w:t>-52,03</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4.17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78"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544,62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2,720.</w:t>
            </w:r>
          </w:p>
          <w:p>
            <w:pPr>
              <w:pStyle w:val="TableParagraph"/>
              <w:spacing w:line="240" w:lineRule="auto" w:before="76"/>
              <w:ind w:right="20"/>
              <w:jc w:val="right"/>
              <w:rPr>
                <w:rFonts w:ascii="宋体" w:hAnsi="宋体" w:cs="宋体" w:eastAsia="宋体" w:hint="default"/>
                <w:sz w:val="18"/>
                <w:szCs w:val="18"/>
              </w:rPr>
            </w:pPr>
            <w:r>
              <w:rPr>
                <w:rFonts w:ascii="宋体"/>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44,348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,136.0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418,70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9,463.</w:t>
            </w:r>
          </w:p>
          <w:p>
            <w:pPr>
              <w:pStyle w:val="TableParagraph"/>
              <w:spacing w:line="240" w:lineRule="auto" w:before="76"/>
              <w:ind w:right="19"/>
              <w:jc w:val="right"/>
              <w:rPr>
                <w:rFonts w:ascii="宋体" w:hAnsi="宋体" w:cs="宋体" w:eastAsia="宋体" w:hint="default"/>
                <w:sz w:val="18"/>
                <w:szCs w:val="18"/>
              </w:rPr>
            </w:pPr>
            <w:r>
              <w:rPr>
                <w:rFonts w:ascii="宋体"/>
                <w:sz w:val="18"/>
              </w:rPr>
              <w:t>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77,909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,554.5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center"/>
              <w:rPr>
                <w:rFonts w:ascii="宋体" w:hAnsi="宋体" w:cs="宋体" w:eastAsia="宋体" w:hint="default"/>
                <w:sz w:val="18"/>
                <w:szCs w:val="18"/>
              </w:rPr>
            </w:pPr>
            <w:r>
              <w:rPr>
                <w:rFonts w:ascii="宋体"/>
                <w:sz w:val="18"/>
              </w:rPr>
              <w:t>1,435,</w:t>
            </w:r>
          </w:p>
          <w:p>
            <w:pPr>
              <w:pStyle w:val="TableParagraph"/>
              <w:spacing w:line="240" w:lineRule="auto" w:before="76"/>
              <w:ind w:left="64" w:right="0"/>
              <w:jc w:val="center"/>
              <w:rPr>
                <w:rFonts w:ascii="宋体" w:hAnsi="宋体" w:cs="宋体" w:eastAsia="宋体" w:hint="default"/>
                <w:sz w:val="18"/>
                <w:szCs w:val="18"/>
              </w:rPr>
            </w:pPr>
            <w:r>
              <w:rPr>
                <w:rFonts w:ascii="宋体"/>
                <w:sz w:val="18"/>
              </w:rPr>
              <w:t>916,92</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9.12</w:t>
            </w:r>
          </w:p>
        </w:tc>
      </w:tr>
    </w:tbl>
    <w:p>
      <w:pPr>
        <w:spacing w:line="240" w:lineRule="auto" w:before="11"/>
        <w:rPr>
          <w:rFonts w:ascii="Times New Roman" w:hAnsi="Times New Roman" w:cs="Times New Roman" w:eastAsia="Times New Roman" w:hint="default"/>
          <w:sz w:val="21"/>
          <w:szCs w:val="21"/>
        </w:rPr>
      </w:pPr>
    </w:p>
    <w:p>
      <w:pPr>
        <w:pStyle w:val="Heading6"/>
        <w:spacing w:line="240" w:lineRule="auto" w:before="34"/>
        <w:ind w:right="2127"/>
        <w:jc w:val="left"/>
        <w:rPr>
          <w:b w:val="0"/>
          <w:bCs w:val="0"/>
        </w:rPr>
      </w:pPr>
      <w:bookmarkStart w:name="8、母公司所有者权益变动表" w:id="165"/>
      <w:bookmarkEnd w:id="165"/>
      <w:r>
        <w:rPr>
          <w:b w:val="0"/>
          <w:bCs w:val="0"/>
        </w:rPr>
      </w:r>
      <w:r>
        <w:rPr/>
        <w:t>8、母公司所有者权益变动表</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43,914,3</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16.34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264,50</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3,634.</w:t>
            </w:r>
          </w:p>
          <w:p>
            <w:pPr>
              <w:pStyle w:val="TableParagraph"/>
              <w:spacing w:line="240" w:lineRule="auto" w:before="76"/>
              <w:ind w:right="20"/>
              <w:jc w:val="right"/>
              <w:rPr>
                <w:rFonts w:ascii="宋体" w:hAnsi="宋体" w:cs="宋体" w:eastAsia="宋体" w:hint="default"/>
                <w:sz w:val="18"/>
                <w:szCs w:val="18"/>
              </w:rPr>
            </w:pPr>
            <w:r>
              <w:rPr>
                <w:rFonts w:ascii="宋体"/>
                <w:sz w:val="18"/>
              </w:rPr>
              <w:t>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1,202,51</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2,475.33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122.879997pt;margin-top:143.800018pt;width:40.35pt;height:50.9pt;mso-position-horizontal-relative:page;mso-position-vertical-relative:page;z-index:-1108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8.899994pt;margin-top:143.800018pt;width:34.3pt;height:51.05pt;mso-position-horizontal-relative:page;mso-position-vertical-relative:page;z-index:-1107976" coordorigin="2578,2876" coordsize="686,1021">
            <v:shape style="position:absolute;left:2578;top:2876;width:686;height:1021" coordorigin="2578,2876" coordsize="686,1021" path="m2578,2876l3264,2876,3264,3897,2578,3897,2578,2876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43,914,3</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16.34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264,50</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3,634.</w:t>
            </w:r>
          </w:p>
          <w:p>
            <w:pPr>
              <w:pStyle w:val="TableParagraph"/>
              <w:spacing w:line="240" w:lineRule="auto" w:before="76"/>
              <w:ind w:right="20"/>
              <w:jc w:val="right"/>
              <w:rPr>
                <w:rFonts w:ascii="宋体" w:hAnsi="宋体" w:cs="宋体" w:eastAsia="宋体" w:hint="default"/>
                <w:sz w:val="18"/>
                <w:szCs w:val="18"/>
              </w:rPr>
            </w:pPr>
            <w:r>
              <w:rPr>
                <w:rFonts w:ascii="宋体"/>
                <w:sz w:val="18"/>
              </w:rPr>
              <w:t>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1,202,51</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2,475.33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61,808,</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414.00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sz w:val="18"/>
              </w:rPr>
              <w:t>490,195,</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680.39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5,786,39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52,077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,518.5</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609,868,</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003.89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57,863</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,909.5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57,863,9</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09.50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sz w:val="18"/>
              </w:rPr>
              <w:t>61,808,</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414.00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18"/>
                <w:szCs w:val="18"/>
              </w:rPr>
            </w:pPr>
            <w:r>
              <w:rPr>
                <w:rFonts w:ascii="宋体"/>
                <w:sz w:val="18"/>
              </w:rPr>
              <w:t>476,086,</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823.72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18"/>
                <w:szCs w:val="18"/>
              </w:rPr>
            </w:pPr>
            <w:r>
              <w:rPr>
                <w:rFonts w:ascii="宋体"/>
                <w:sz w:val="18"/>
              </w:rPr>
              <w:t>537,895,</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237.72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1．所有者投入的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61,808,</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414.00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sz w:val="18"/>
              </w:rPr>
              <w:t>476,086,</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823.72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537,895,</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237.72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5,786,39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-5,786</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,390.9</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5,786,39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-5,786</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,390.9</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2．对所有者（或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4．设定受益计划 变动额结转留存</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122.879997pt;margin-top:550pt;width:40.35pt;height:50.9pt;mso-position-horizontal-relative:page;mso-position-vertical-relative:page;z-index:-1107928"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 w:right="0"/>
              <w:jc w:val="left"/>
              <w:rPr>
                <w:rFonts w:ascii="宋体" w:hAnsi="宋体" w:cs="宋体" w:eastAsia="宋体" w:hint="default"/>
                <w:sz w:val="18"/>
                <w:szCs w:val="18"/>
              </w:rPr>
            </w:pPr>
            <w:r>
              <w:rPr>
                <w:rFonts w:ascii="宋体"/>
                <w:sz w:val="18"/>
              </w:rPr>
              <w:t>14,108,8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56.67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sz w:val="18"/>
              </w:rPr>
              <w:t>14,108,8</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56.67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412,135</w:t>
            </w:r>
          </w:p>
          <w:p>
            <w:pPr>
              <w:pStyle w:val="TableParagraph"/>
              <w:spacing w:line="240" w:lineRule="auto" w:before="76"/>
              <w:ind w:left="28" w:right="0"/>
              <w:jc w:val="left"/>
              <w:rPr>
                <w:rFonts w:ascii="宋体" w:hAnsi="宋体" w:cs="宋体" w:eastAsia="宋体" w:hint="default"/>
                <w:sz w:val="18"/>
                <w:szCs w:val="18"/>
              </w:rPr>
            </w:pPr>
            <w:r>
              <w:rPr>
                <w:rFonts w:ascii="宋体"/>
                <w:sz w:val="18"/>
              </w:rPr>
              <w:t>,469.00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2" w:right="0"/>
              <w:jc w:val="left"/>
              <w:rPr>
                <w:rFonts w:ascii="宋体" w:hAnsi="宋体" w:cs="宋体" w:eastAsia="宋体" w:hint="default"/>
                <w:sz w:val="18"/>
                <w:szCs w:val="18"/>
              </w:rPr>
            </w:pPr>
            <w:r>
              <w:rPr>
                <w:rFonts w:ascii="宋体"/>
                <w:sz w:val="18"/>
              </w:rPr>
              <w:t>1,033,96</w:t>
            </w:r>
          </w:p>
          <w:p>
            <w:pPr>
              <w:pStyle w:val="TableParagraph"/>
              <w:spacing w:line="240" w:lineRule="auto" w:before="76"/>
              <w:ind w:left="42" w:right="0"/>
              <w:jc w:val="left"/>
              <w:rPr>
                <w:rFonts w:ascii="宋体" w:hAnsi="宋体" w:cs="宋体" w:eastAsia="宋体" w:hint="default"/>
                <w:sz w:val="18"/>
                <w:szCs w:val="18"/>
              </w:rPr>
            </w:pPr>
            <w:r>
              <w:rPr>
                <w:rFonts w:ascii="宋体"/>
                <w:sz w:val="18"/>
              </w:rPr>
              <w:t>3,150.14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49,700,7</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07.29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316,58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1,152.</w:t>
            </w:r>
          </w:p>
          <w:p>
            <w:pPr>
              <w:pStyle w:val="TableParagraph"/>
              <w:spacing w:line="240" w:lineRule="auto" w:before="76"/>
              <w:ind w:right="20"/>
              <w:jc w:val="right"/>
              <w:rPr>
                <w:rFonts w:ascii="宋体" w:hAnsi="宋体" w:cs="宋体" w:eastAsia="宋体" w:hint="default"/>
                <w:sz w:val="18"/>
                <w:szCs w:val="18"/>
              </w:rPr>
            </w:pPr>
            <w:r>
              <w:rPr>
                <w:rFonts w:ascii="宋体"/>
                <w:sz w:val="18"/>
              </w:rPr>
              <w:t>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1,812,38</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0,479.22</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38,151,6</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01.34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230,15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5,552.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1,162,40</w:t>
            </w:r>
          </w:p>
          <w:p>
            <w:pPr>
              <w:pStyle w:val="TableParagraph"/>
              <w:spacing w:line="240" w:lineRule="auto" w:before="76"/>
              <w:ind w:left="28" w:right="0"/>
              <w:jc w:val="left"/>
              <w:rPr>
                <w:rFonts w:ascii="宋体" w:hAnsi="宋体" w:cs="宋体" w:eastAsia="宋体" w:hint="default"/>
                <w:sz w:val="18"/>
                <w:szCs w:val="18"/>
              </w:rPr>
            </w:pPr>
            <w:r>
              <w:rPr>
                <w:rFonts w:ascii="宋体"/>
                <w:sz w:val="18"/>
              </w:rPr>
              <w:t>1,678.09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38,151,6</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01.34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230,15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5,552.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1,162,40</w:t>
            </w:r>
          </w:p>
          <w:p>
            <w:pPr>
              <w:pStyle w:val="TableParagraph"/>
              <w:spacing w:line="240" w:lineRule="auto" w:before="76"/>
              <w:ind w:left="28" w:right="0"/>
              <w:jc w:val="left"/>
              <w:rPr>
                <w:rFonts w:ascii="宋体" w:hAnsi="宋体" w:cs="宋体" w:eastAsia="宋体" w:hint="default"/>
                <w:sz w:val="18"/>
                <w:szCs w:val="18"/>
              </w:rPr>
            </w:pPr>
            <w:r>
              <w:rPr>
                <w:rFonts w:ascii="宋体"/>
                <w:sz w:val="18"/>
              </w:rPr>
              <w:t>1,678.09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021" w:lineRule="exact"/>
              <w:ind w:left="-2" w:right="-53"/>
              <w:jc w:val="left"/>
              <w:rPr>
                <w:rFonts w:ascii="宋体" w:hAnsi="宋体" w:cs="宋体" w:eastAsia="宋体" w:hint="default"/>
                <w:sz w:val="20"/>
                <w:szCs w:val="20"/>
              </w:rPr>
            </w:pPr>
            <w:r>
              <w:rPr>
                <w:rFonts w:ascii="宋体" w:hAnsi="宋体" w:cs="宋体" w:eastAsia="宋体" w:hint="default"/>
                <w:position w:val="-19"/>
                <w:sz w:val="20"/>
                <w:szCs w:val="20"/>
              </w:rPr>
              <w:pict>
                <v:group style="width:34.3pt;height:51.05pt;mso-position-horizontal-relative:char;mso-position-vertical-relative:line" coordorigin="0,0" coordsize="686,1021">
                  <v:group style="position:absolute;left:0;top:0;width:686;height:1021" coordorigin="0,0" coordsize="686,1021">
                    <v:shape style="position:absolute;left:0;top:0;width:686;height:1021" coordorigin="0,0" coordsize="686,1021" path="m0,0l686,0,686,1021,0,1021,0,0xe" filled="true" fillcolor="#ffffff" stroked="false">
                      <v:path arrowok="t"/>
                      <v:fill type="solid"/>
                    </v:shape>
                  </v:group>
                </v:group>
              </w:pict>
            </w:r>
            <w:r>
              <w:rPr>
                <w:rFonts w:ascii="宋体" w:hAnsi="宋体" w:cs="宋体" w:eastAsia="宋体" w:hint="default"/>
                <w:position w:val="-19"/>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34,348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,082.2</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40,110,7</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97.24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57,627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,149.9</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49.99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1．所有者投入的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-23,27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9,067.</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-17,516,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352.75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-5,762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,715.0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2．对所有者（或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6,352.</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-17,516,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352.75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4．设定受益计划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43,914,3</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16.34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264,50</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3,634.</w:t>
            </w:r>
          </w:p>
          <w:p>
            <w:pPr>
              <w:pStyle w:val="TableParagraph"/>
              <w:spacing w:line="240" w:lineRule="auto" w:before="76"/>
              <w:ind w:right="20"/>
              <w:jc w:val="right"/>
              <w:rPr>
                <w:rFonts w:ascii="宋体" w:hAnsi="宋体" w:cs="宋体" w:eastAsia="宋体" w:hint="default"/>
                <w:sz w:val="18"/>
                <w:szCs w:val="18"/>
              </w:rPr>
            </w:pPr>
            <w:r>
              <w:rPr>
                <w:rFonts w:ascii="宋体"/>
                <w:sz w:val="18"/>
              </w:rPr>
              <w:t>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1,202,51</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2,475.33</w:t>
            </w:r>
          </w:p>
        </w:tc>
      </w:tr>
    </w:tbl>
    <w:p>
      <w:pPr>
        <w:spacing w:line="240" w:lineRule="auto" w:before="0"/>
        <w:rPr>
          <w:rFonts w:ascii="宋体" w:hAnsi="宋体" w:cs="宋体" w:eastAsia="宋体" w:hint="default"/>
          <w:sz w:val="18"/>
          <w:szCs w:val="18"/>
        </w:rPr>
      </w:pPr>
    </w:p>
    <w:p>
      <w:pPr>
        <w:pStyle w:val="Heading4"/>
        <w:spacing w:line="240" w:lineRule="auto" w:before="26"/>
        <w:ind w:right="2127"/>
        <w:jc w:val="left"/>
        <w:rPr>
          <w:b w:val="0"/>
          <w:bCs w:val="0"/>
        </w:rPr>
      </w:pPr>
      <w:bookmarkStart w:name="三、公司基本情况" w:id="166"/>
      <w:bookmarkEnd w:id="166"/>
      <w:r>
        <w:rPr>
          <w:b w:val="0"/>
          <w:bCs w:val="0"/>
        </w:rPr>
      </w:r>
      <w:r>
        <w:rPr/>
        <w:t>三、公司基本情况</w:t>
      </w:r>
      <w:r>
        <w:rPr>
          <w:b w:val="0"/>
          <w:bCs w:val="0"/>
        </w:rPr>
      </w:r>
    </w:p>
    <w:p>
      <w:pPr>
        <w:spacing w:line="240" w:lineRule="auto" w:before="9"/>
        <w:rPr>
          <w:rFonts w:ascii="宋体" w:hAnsi="宋体" w:cs="宋体" w:eastAsia="宋体" w:hint="default"/>
          <w:b/>
          <w:bCs/>
          <w:sz w:val="24"/>
          <w:szCs w:val="24"/>
        </w:rPr>
      </w:pPr>
    </w:p>
    <w:p>
      <w:pPr>
        <w:spacing w:line="273" w:lineRule="auto" w:before="0"/>
        <w:ind w:left="532" w:right="1125" w:hanging="420"/>
        <w:jc w:val="left"/>
        <w:rPr>
          <w:rFonts w:ascii="宋体" w:hAnsi="宋体" w:cs="宋体" w:eastAsia="宋体" w:hint="default"/>
          <w:sz w:val="21"/>
          <w:szCs w:val="21"/>
        </w:rPr>
      </w:pPr>
      <w:r>
        <w:rPr>
          <w:rFonts w:ascii="宋体" w:hAnsi="宋体" w:cs="宋体" w:eastAsia="宋体" w:hint="default"/>
          <w:b/>
          <w:bCs/>
          <w:sz w:val="21"/>
          <w:szCs w:val="21"/>
        </w:rPr>
        <w:t>（一）公司注册地、组织形式和总部地址</w:t>
      </w:r>
      <w:r>
        <w:rPr>
          <w:rFonts w:ascii="宋体" w:hAnsi="宋体" w:cs="宋体" w:eastAsia="宋体" w:hint="default"/>
          <w:b/>
          <w:bCs/>
          <w:w w:val="99"/>
          <w:sz w:val="21"/>
          <w:szCs w:val="21"/>
        </w:rPr>
        <w:t> </w:t>
      </w:r>
      <w:r>
        <w:rPr>
          <w:rFonts w:ascii="宋体" w:hAnsi="宋体" w:cs="宋体" w:eastAsia="宋体" w:hint="default"/>
          <w:sz w:val="21"/>
          <w:szCs w:val="21"/>
        </w:rPr>
        <w:t>安徽皖通科技股份有限公司（以下简称“公司”或“本公司”）</w:t>
      </w:r>
      <w:r>
        <w:rPr>
          <w:rFonts w:ascii="宋体" w:hAnsi="宋体" w:cs="宋体" w:eastAsia="宋体" w:hint="default"/>
          <w:spacing w:val="-44"/>
          <w:sz w:val="21"/>
          <w:szCs w:val="21"/>
        </w:rPr>
        <w:t> </w:t>
      </w:r>
      <w:r>
        <w:rPr>
          <w:rFonts w:ascii="宋体" w:hAnsi="宋体" w:cs="宋体" w:eastAsia="宋体" w:hint="default"/>
          <w:sz w:val="21"/>
          <w:szCs w:val="21"/>
        </w:rPr>
        <w:t>前身为安徽皖通科技发展有限公司,</w:t>
      </w:r>
    </w:p>
    <w:p>
      <w:pPr>
        <w:pStyle w:val="BodyText"/>
        <w:spacing w:line="240" w:lineRule="auto"/>
        <w:ind w:right="0"/>
        <w:jc w:val="left"/>
      </w:pPr>
      <w:r>
        <w:rPr/>
        <w:t>于1999年5月经合肥市高新技术产业开发区管委会合高管（1999)19 号文批准，2007 年 5</w:t>
      </w:r>
      <w:r>
        <w:rPr>
          <w:spacing w:val="-22"/>
        </w:rPr>
        <w:t> </w:t>
      </w:r>
      <w:r>
        <w:rPr/>
        <w:t>月，经安徽皖</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left="132" w:right="1132"/>
        <w:jc w:val="both"/>
      </w:pPr>
      <w:r>
        <w:rPr>
          <w:w w:val="95"/>
        </w:rPr>
        <w:t>通科技发展有限公司股东会决议决定，整体变更为股份有限公司。公司于2010年1月6日在深圳证券交易所</w:t>
      </w:r>
      <w:r>
        <w:rPr>
          <w:spacing w:val="40"/>
          <w:w w:val="95"/>
        </w:rPr>
        <w:t> </w:t>
      </w:r>
      <w:r>
        <w:rPr>
          <w:spacing w:val="40"/>
          <w:w w:val="95"/>
        </w:rPr>
      </w:r>
      <w:r>
        <w:rPr/>
        <w:t>上市，现持有统一社会信用代码为91340100711761244Q(1-5)的营业执照。</w:t>
      </w:r>
    </w:p>
    <w:p>
      <w:pPr>
        <w:pStyle w:val="BodyText"/>
        <w:spacing w:line="273" w:lineRule="auto"/>
        <w:ind w:left="132" w:right="540" w:firstLine="420"/>
        <w:jc w:val="left"/>
      </w:pPr>
      <w:r>
        <w:rPr>
          <w:w w:val="95"/>
        </w:rPr>
        <w:t>经过历年的派送红股、配售新股、转增股本及增发新股，截止2018年12月31日，本公司累计发行股本</w:t>
      </w:r>
      <w:r>
        <w:rPr>
          <w:w w:val="99"/>
        </w:rPr>
        <w:t> </w:t>
      </w:r>
      <w:r>
        <w:rPr/>
        <w:t>总数41,213.55万股，注册资本为41,213.55万元，注册地址：合肥市高新区皖水路589号，总部地址：合</w:t>
      </w:r>
      <w:r>
        <w:rPr>
          <w:w w:val="99"/>
        </w:rPr>
        <w:t> </w:t>
      </w:r>
      <w:r>
        <w:rPr/>
        <w:t>肥市高新区皖水路589号，实际控制人为王中胜、杨世宁、杨新子。</w:t>
      </w:r>
    </w:p>
    <w:p>
      <w:pPr>
        <w:pStyle w:val="BodyText"/>
        <w:spacing w:line="273" w:lineRule="auto" w:before="127"/>
        <w:ind w:left="552" w:right="540" w:hanging="420"/>
        <w:jc w:val="left"/>
      </w:pPr>
      <w:r>
        <w:rPr>
          <w:rFonts w:ascii="宋体" w:hAnsi="宋体" w:cs="宋体" w:eastAsia="宋体" w:hint="default"/>
          <w:b/>
          <w:bCs/>
        </w:rPr>
        <w:t>（二）经营范围</w:t>
      </w:r>
      <w:r>
        <w:rPr>
          <w:rFonts w:ascii="宋体" w:hAnsi="宋体" w:cs="宋体" w:eastAsia="宋体" w:hint="default"/>
          <w:b/>
          <w:bCs/>
          <w:w w:val="99"/>
        </w:rPr>
        <w:t> </w:t>
      </w:r>
      <w:r>
        <w:rPr>
          <w:w w:val="95"/>
        </w:rPr>
        <w:t>计算机软件、硬件的开发、生产与销售；信息系统集成、信息处理与技术服务、技术转让与咨询；光</w:t>
      </w:r>
      <w:r>
        <w:rPr/>
      </w:r>
    </w:p>
    <w:p>
      <w:pPr>
        <w:pStyle w:val="BodyText"/>
        <w:spacing w:line="273" w:lineRule="auto"/>
        <w:ind w:left="132" w:right="1135"/>
        <w:jc w:val="both"/>
      </w:pPr>
      <w:r>
        <w:rPr>
          <w:w w:val="95"/>
        </w:rPr>
        <w:t>机电一体化、视频网络与通讯系统工程，电视监控系统及交通机电工程的设计、施工、安装、维修；计算</w:t>
      </w:r>
      <w:r>
        <w:rPr>
          <w:spacing w:val="37"/>
          <w:w w:val="95"/>
        </w:rPr>
        <w:t> </w:t>
      </w:r>
      <w:r>
        <w:rPr>
          <w:spacing w:val="37"/>
          <w:w w:val="95"/>
        </w:rPr>
      </w:r>
      <w:r>
        <w:rPr/>
        <w:t>机修理；仪器仪表、电子产品、计算机及外围设备、文化办公用品、家用电器的销售。</w:t>
      </w:r>
    </w:p>
    <w:p>
      <w:pPr>
        <w:spacing w:line="273" w:lineRule="auto" w:before="127"/>
        <w:ind w:left="552" w:right="540" w:hanging="420"/>
        <w:jc w:val="left"/>
        <w:rPr>
          <w:rFonts w:ascii="宋体" w:hAnsi="宋体" w:cs="宋体" w:eastAsia="宋体" w:hint="default"/>
          <w:sz w:val="21"/>
          <w:szCs w:val="21"/>
        </w:rPr>
      </w:pPr>
      <w:r>
        <w:rPr>
          <w:rFonts w:ascii="宋体" w:hAnsi="宋体" w:cs="宋体" w:eastAsia="宋体" w:hint="default"/>
          <w:b/>
          <w:bCs/>
          <w:sz w:val="21"/>
          <w:szCs w:val="21"/>
        </w:rPr>
        <w:t>（三）公司业务性质和主要经营活动</w:t>
      </w:r>
      <w:r>
        <w:rPr>
          <w:rFonts w:ascii="宋体" w:hAnsi="宋体" w:cs="宋体" w:eastAsia="宋体" w:hint="default"/>
          <w:b/>
          <w:bCs/>
          <w:w w:val="99"/>
          <w:sz w:val="21"/>
          <w:szCs w:val="21"/>
        </w:rPr>
        <w:t> </w:t>
      </w:r>
      <w:r>
        <w:rPr>
          <w:rFonts w:ascii="宋体" w:hAnsi="宋体" w:cs="宋体" w:eastAsia="宋体" w:hint="default"/>
          <w:w w:val="95"/>
          <w:sz w:val="21"/>
          <w:szCs w:val="21"/>
        </w:rPr>
        <w:t>公司业务主要分为：1.系统集成：高速公路机电工程系统集成及其他信息系统集成项目，即为新建或</w:t>
      </w:r>
      <w:r>
        <w:rPr>
          <w:rFonts w:ascii="宋体" w:hAnsi="宋体" w:cs="宋体" w:eastAsia="宋体" w:hint="default"/>
          <w:sz w:val="21"/>
          <w:szCs w:val="21"/>
        </w:rPr>
      </w:r>
    </w:p>
    <w:p>
      <w:pPr>
        <w:pStyle w:val="BodyText"/>
        <w:spacing w:line="273" w:lineRule="auto"/>
        <w:ind w:left="132" w:right="1129"/>
        <w:jc w:val="both"/>
      </w:pPr>
      <w:r>
        <w:rPr>
          <w:w w:val="95"/>
        </w:rPr>
        <w:t>改扩建高速公路、港口等机电等各类信息系统项目提供工程建设、安装及相关软件的开发、安装服务。2.</w:t>
      </w:r>
      <w:r>
        <w:rPr>
          <w:spacing w:val="43"/>
          <w:w w:val="95"/>
        </w:rPr>
        <w:t> </w:t>
      </w:r>
      <w:r>
        <w:rPr>
          <w:spacing w:val="43"/>
          <w:w w:val="95"/>
        </w:rPr>
      </w:r>
      <w:r>
        <w:rPr>
          <w:w w:val="95"/>
        </w:rPr>
        <w:t>技术服务：为各类系统集成项目提供后续的维护、改造及支持服务。3.技术转让：公司自主或联合研发的</w:t>
      </w:r>
      <w:r>
        <w:rPr>
          <w:spacing w:val="44"/>
          <w:w w:val="95"/>
        </w:rPr>
        <w:t> </w:t>
      </w:r>
      <w:r>
        <w:rPr>
          <w:spacing w:val="44"/>
          <w:w w:val="95"/>
        </w:rPr>
      </w:r>
      <w:r>
        <w:rPr/>
        <w:t>系统软件转让项目。4.商品销售：公司生产销售的光通讯教学仪器等。</w:t>
      </w:r>
    </w:p>
    <w:p>
      <w:pPr>
        <w:pStyle w:val="BodyText"/>
        <w:spacing w:line="240" w:lineRule="auto"/>
        <w:ind w:left="552" w:right="540"/>
        <w:jc w:val="left"/>
      </w:pPr>
      <w:r>
        <w:rPr/>
        <w:t>本公司属软件和信息技术服务行业，主要产品和服务为系统集成、技术服务、技术转让、商品销售。</w:t>
      </w:r>
    </w:p>
    <w:p>
      <w:pPr>
        <w:spacing w:line="273" w:lineRule="auto" w:before="157"/>
        <w:ind w:left="552" w:right="3376" w:hanging="420"/>
        <w:jc w:val="left"/>
        <w:rPr>
          <w:rFonts w:ascii="宋体" w:hAnsi="宋体" w:cs="宋体" w:eastAsia="宋体" w:hint="default"/>
          <w:sz w:val="21"/>
          <w:szCs w:val="21"/>
        </w:rPr>
      </w:pPr>
      <w:r>
        <w:rPr>
          <w:rFonts w:ascii="宋体" w:hAnsi="宋体" w:cs="宋体" w:eastAsia="宋体" w:hint="default"/>
          <w:b/>
          <w:bCs/>
          <w:sz w:val="21"/>
          <w:szCs w:val="21"/>
        </w:rPr>
        <w:t>（四）财务报表的批准报出</w:t>
      </w:r>
      <w:r>
        <w:rPr>
          <w:rFonts w:ascii="宋体" w:hAnsi="宋体" w:cs="宋体" w:eastAsia="宋体" w:hint="default"/>
          <w:b/>
          <w:bCs/>
          <w:w w:val="99"/>
          <w:sz w:val="21"/>
          <w:szCs w:val="21"/>
        </w:rPr>
        <w:t> </w:t>
      </w:r>
      <w:r>
        <w:rPr>
          <w:rFonts w:ascii="宋体" w:hAnsi="宋体" w:cs="宋体" w:eastAsia="宋体" w:hint="default"/>
          <w:w w:val="95"/>
          <w:sz w:val="21"/>
          <w:szCs w:val="21"/>
        </w:rPr>
        <w:t>本财务报表业经公司董事会于2019年4月22日批准报出。</w:t>
      </w:r>
      <w:r>
        <w:rPr>
          <w:rFonts w:ascii="宋体" w:hAnsi="宋体" w:cs="宋体" w:eastAsia="宋体" w:hint="default"/>
          <w:sz w:val="21"/>
          <w:szCs w:val="21"/>
        </w:rPr>
      </w:r>
    </w:p>
    <w:p>
      <w:pPr>
        <w:spacing w:line="240" w:lineRule="auto" w:before="6"/>
        <w:rPr>
          <w:rFonts w:ascii="宋体" w:hAnsi="宋体" w:cs="宋体" w:eastAsia="宋体" w:hint="default"/>
          <w:sz w:val="24"/>
          <w:szCs w:val="24"/>
        </w:rPr>
      </w:pPr>
    </w:p>
    <w:p>
      <w:pPr>
        <w:pStyle w:val="BodyText"/>
        <w:spacing w:line="240" w:lineRule="auto" w:before="0"/>
        <w:ind w:left="552" w:right="540"/>
        <w:jc w:val="left"/>
      </w:pPr>
      <w:r>
        <w:rPr/>
        <w:t>本期纳入合并财务报表范围的主体共16户，具体包括</w:t>
      </w:r>
      <w:r>
        <w:rPr>
          <w:color w:val="0000CC"/>
        </w:rPr>
        <w:t>：</w:t>
      </w:r>
      <w:r>
        <w:rPr/>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369"/>
        <w:gridCol w:w="1401"/>
        <w:gridCol w:w="725"/>
        <w:gridCol w:w="1516"/>
        <w:gridCol w:w="1517"/>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1．天津市金飞博光通讯技术有限公司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b/>
                <w:sz w:val="18"/>
              </w:rPr>
              <w:t>100.00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2．天津市天安怡和信息技术有限公司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b/>
                <w:sz w:val="18"/>
              </w:rPr>
              <w:t>100.00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83" w:right="0"/>
              <w:jc w:val="left"/>
              <w:rPr>
                <w:rFonts w:ascii="宋体" w:hAnsi="宋体" w:cs="宋体" w:eastAsia="宋体" w:hint="default"/>
                <w:sz w:val="18"/>
                <w:szCs w:val="18"/>
              </w:rPr>
            </w:pPr>
            <w:r>
              <w:rPr>
                <w:rFonts w:ascii="宋体" w:hAnsi="宋体" w:cs="宋体" w:eastAsia="宋体" w:hint="default"/>
                <w:sz w:val="18"/>
                <w:szCs w:val="18"/>
              </w:rPr>
              <w:t>1）天津信息港甲子科技有限公司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sz w:val="18"/>
              </w:rPr>
              <w:t>100.00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3．烟台华东电子软件技术有限公司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b/>
                <w:sz w:val="18"/>
              </w:rPr>
              <w:t>100.00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00"/>
              <w:jc w:val="right"/>
              <w:rPr>
                <w:rFonts w:ascii="宋体" w:hAnsi="宋体" w:cs="宋体" w:eastAsia="宋体" w:hint="default"/>
                <w:sz w:val="18"/>
                <w:szCs w:val="18"/>
              </w:rPr>
            </w:pPr>
            <w:r>
              <w:rPr>
                <w:rFonts w:ascii="宋体" w:hAnsi="宋体" w:cs="宋体" w:eastAsia="宋体" w:hint="default"/>
                <w:spacing w:val="-1"/>
                <w:sz w:val="18"/>
                <w:szCs w:val="18"/>
              </w:rPr>
              <w:t>1）宁波拖柜宝物流科技有限责任公司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sz w:val="18"/>
              </w:rPr>
              <w:t>100.00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2）烟台华东数据科技有限公司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sz w:val="18"/>
              </w:rPr>
              <w:t>100.00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3）烟台华东电子科技有限公司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100.00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4）上海舶云供应链管理有限公司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控股重孙公司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52.50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52.50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00"/>
              <w:jc w:val="right"/>
              <w:rPr>
                <w:rFonts w:ascii="宋体" w:hAnsi="宋体" w:cs="宋体" w:eastAsia="宋体" w:hint="default"/>
                <w:sz w:val="18"/>
                <w:szCs w:val="18"/>
              </w:rPr>
            </w:pPr>
            <w:r>
              <w:rPr>
                <w:rFonts w:ascii="宋体" w:hAnsi="宋体" w:cs="宋体" w:eastAsia="宋体" w:hint="default"/>
                <w:spacing w:val="-1"/>
                <w:sz w:val="18"/>
                <w:szCs w:val="18"/>
              </w:rPr>
              <w:t>5）浙江自贸区舶云智慧物流有限公司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控股玄孙公司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sz w:val="18"/>
              </w:rPr>
              <w:t>100.00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4．安徽汉高信息科技有限公司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b/>
                <w:sz w:val="18"/>
              </w:rPr>
              <w:t>51.00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b/>
                <w:sz w:val="18"/>
              </w:rPr>
              <w:t>51.00</w:t>
            </w:r>
            <w:r>
              <w:rPr>
                <w:rFonts w:ascii="宋体"/>
                <w:sz w:val="18"/>
              </w:rPr>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5．安徽皖通城市智能交通科技有限公司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b/>
                <w:sz w:val="18"/>
              </w:rPr>
              <w:t>51.00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b/>
                <w:sz w:val="18"/>
              </w:rPr>
              <w:t>51.00</w:t>
            </w:r>
            <w:r>
              <w:rPr>
                <w:rFonts w:ascii="宋体"/>
                <w:sz w:val="18"/>
              </w:rPr>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6．重庆皖通科技有限责任公司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b/>
                <w:sz w:val="18"/>
              </w:rPr>
              <w:t>85.00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b/>
                <w:sz w:val="18"/>
              </w:rPr>
              <w:t>85.00</w:t>
            </w:r>
            <w:r>
              <w:rPr>
                <w:rFonts w:ascii="宋体"/>
                <w:sz w:val="18"/>
              </w:rPr>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7．安徽行云天下科技有限公司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b/>
                <w:sz w:val="18"/>
              </w:rPr>
              <w:t>50.90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b/>
                <w:sz w:val="18"/>
              </w:rPr>
              <w:t>50.90</w:t>
            </w:r>
            <w:r>
              <w:rPr>
                <w:rFonts w:ascii="宋体"/>
                <w:sz w:val="18"/>
              </w:rPr>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1）安徽光大保险代理有限责任公司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100.00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83" w:right="0"/>
              <w:jc w:val="left"/>
              <w:rPr>
                <w:rFonts w:ascii="宋体" w:hAnsi="宋体" w:cs="宋体" w:eastAsia="宋体" w:hint="default"/>
                <w:sz w:val="18"/>
                <w:szCs w:val="18"/>
              </w:rPr>
            </w:pPr>
            <w:r>
              <w:rPr>
                <w:rFonts w:ascii="宋体" w:hAnsi="宋体" w:cs="宋体" w:eastAsia="宋体" w:hint="default"/>
                <w:sz w:val="18"/>
                <w:szCs w:val="18"/>
              </w:rPr>
              <w:t>2）上海亲益保网络科技有限公司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sz w:val="18"/>
              </w:rPr>
              <w:t>100.00</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8．成都赛英科技有限公司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b/>
                <w:sz w:val="18"/>
              </w:rPr>
              <w:t>100.00</w:t>
            </w:r>
            <w:r>
              <w:rPr>
                <w:rFonts w:ascii="宋体"/>
                <w:sz w:val="18"/>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2"/>
        <w:rPr>
          <w:rFonts w:ascii="宋体" w:hAnsi="宋体" w:cs="宋体" w:eastAsia="宋体" w:hint="default"/>
          <w:sz w:val="20"/>
          <w:szCs w:val="20"/>
        </w:rPr>
      </w:pPr>
    </w:p>
    <w:p>
      <w:pPr>
        <w:pStyle w:val="BodyText"/>
        <w:spacing w:line="273" w:lineRule="auto" w:before="34"/>
        <w:ind w:left="132" w:right="540" w:firstLine="420"/>
        <w:jc w:val="left"/>
      </w:pPr>
      <w:r>
        <w:rPr/>
        <w:t>本期纳入合并财务报表范围的主体较上期相比，增加1户，减少0户，其中：</w:t>
      </w:r>
      <w:r>
        <w:rPr>
          <w:w w:val="99"/>
        </w:rPr>
        <w:t> </w:t>
      </w:r>
      <w:r>
        <w:rPr>
          <w:w w:val="95"/>
        </w:rPr>
        <w:t>1.本期新纳入合并范围的子公司、特殊目的主体、通过受托经营或承租等方式形成控制权的经营实体</w:t>
      </w:r>
      <w:r>
        <w:rPr/>
      </w:r>
    </w:p>
    <w:p>
      <w:pPr>
        <w:spacing w:line="381"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2pt;height:19.05pt;mso-position-horizontal-relative:char;mso-position-vertical-relative:line" coordorigin="0,0" coordsize="8564,381">
            <v:group style="position:absolute;left:14;top:14;width:8536;height:2" coordorigin="14,14" coordsize="8536,2">
              <v:shape style="position:absolute;left:14;top:14;width:8536;height:2" coordorigin="14,14" coordsize="8536,0" path="m14,14l8550,14e" filled="false" stroked="true" strokeweight=".72pt" strokecolor="#000000">
                <v:path arrowok="t"/>
              </v:shape>
            </v:group>
            <v:group style="position:absolute;left:14;top:367;width:8536;height:2" coordorigin="14,367" coordsize="8536,2">
              <v:shape style="position:absolute;left:14;top:367;width:8536;height:2" coordorigin="14,367" coordsize="8536,0" path="m14,367l8550,367e" filled="false" stroked="true" strokeweight="1.44pt" strokecolor="#000000">
                <v:path arrowok="t"/>
              </v:shape>
            </v:group>
            <v:group style="position:absolute;left:22;top:7;width:2;height:345" coordorigin="22,7" coordsize="2,345">
              <v:shape style="position:absolute;left:22;top:7;width:2;height:345" coordorigin="22,7" coordsize="0,345" path="m22,7l22,352e" filled="false" stroked="true" strokeweight=".72pt" strokecolor="#000000">
                <v:path arrowok="t"/>
              </v:shape>
            </v:group>
            <v:group style="position:absolute;left:3391;top:7;width:2;height:345" coordorigin="3391,7" coordsize="2,345">
              <v:shape style="position:absolute;left:3391;top:7;width:2;height:345" coordorigin="3391,7" coordsize="0,345" path="m3391,7l3391,352e" filled="false" stroked="true" strokeweight=".72pt" strokecolor="#000000">
                <v:path arrowok="t"/>
              </v:shape>
              <v:shape style="position:absolute;left:22;top:14;width:3369;height:353" type="#_x0000_t202" filled="false" stroked="false">
                <v:textbox inset="0,0,0,0">
                  <w:txbxContent>
                    <w:p>
                      <w:pPr>
                        <w:spacing w:before="27"/>
                        <w:ind w:left="0" w:right="1" w:firstLine="0"/>
                        <w:jc w:val="center"/>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5610;top:9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变更原因</w:t>
                      </w:r>
                    </w:p>
                  </w:txbxContent>
                </v:textbox>
                <w10:wrap type="none"/>
              </v:shape>
            </v:group>
          </v:group>
        </w:pict>
      </w:r>
      <w:r>
        <w:rPr>
          <w:rFonts w:ascii="宋体" w:hAnsi="宋体" w:cs="宋体" w:eastAsia="宋体" w:hint="default"/>
          <w:position w:val="-7"/>
          <w:sz w:val="20"/>
          <w:szCs w:val="20"/>
        </w:rPr>
      </w:r>
    </w:p>
    <w:p>
      <w:pPr>
        <w:spacing w:after="0" w:line="381" w:lineRule="exact"/>
        <w:rPr>
          <w:rFonts w:ascii="宋体" w:hAnsi="宋体" w:cs="宋体" w:eastAsia="宋体" w:hint="default"/>
          <w:sz w:val="20"/>
          <w:szCs w:val="20"/>
        </w:rPr>
        <w:sectPr>
          <w:pgSz w:w="11910" w:h="16840"/>
          <w:pgMar w:header="746" w:footer="978" w:top="1060" w:bottom="1160" w:left="1000" w:right="0"/>
        </w:sectPr>
      </w:pPr>
    </w:p>
    <w:p>
      <w:pPr>
        <w:spacing w:line="240" w:lineRule="auto" w:before="11"/>
        <w:rPr>
          <w:rFonts w:ascii="宋体" w:hAnsi="宋体" w:cs="宋体" w:eastAsia="宋体" w:hint="default"/>
          <w:sz w:val="27"/>
          <w:szCs w:val="27"/>
        </w:rPr>
      </w:pPr>
    </w:p>
    <w:p>
      <w:pPr>
        <w:spacing w:line="398"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2pt;height:19.9pt;mso-position-horizontal-relative:char;mso-position-vertical-relative:line" coordorigin="0,0" coordsize="8564,398">
            <v:group style="position:absolute;left:14;top:14;width:8536;height:2" coordorigin="14,14" coordsize="8536,2">
              <v:shape style="position:absolute;left:14;top:14;width:8536;height:2" coordorigin="14,14" coordsize="8536,0" path="m14,14l8550,14e" filled="false" stroked="true" strokeweight=".72pt" strokecolor="#000000">
                <v:path arrowok="t"/>
              </v:shape>
            </v:group>
            <v:group style="position:absolute;left:14;top:384;width:8536;height:2" coordorigin="14,384" coordsize="8536,2">
              <v:shape style="position:absolute;left:14;top:384;width:8536;height:2" coordorigin="14,384" coordsize="8536,0" path="m14,384l8550,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3391;top:7;width:2;height:362" coordorigin="3391,7" coordsize="2,362">
              <v:shape style="position:absolute;left:3391;top:7;width:2;height:362" coordorigin="3391,7" coordsize="0,362" path="m3391,7l3391,369e" filled="false" stroked="true" strokeweight=".72pt" strokecolor="#000000">
                <v:path arrowok="t"/>
              </v:shape>
              <v:shape style="position:absolute;left:22;top:14;width:3369;height:370" type="#_x0000_t202" filled="false" stroked="false">
                <v:textbox inset="0,0,0,0">
                  <w:txbxContent>
                    <w:p>
                      <w:pPr>
                        <w:spacing w:before="42"/>
                        <w:ind w:left="10" w:right="0" w:firstLine="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xbxContent>
                </v:textbox>
                <w10:wrap type="none"/>
              </v:shape>
              <v:shape style="position:absolute;left:5790;top:11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购并</w:t>
                      </w:r>
                    </w:p>
                  </w:txbxContent>
                </v:textbox>
                <w10:wrap type="none"/>
              </v:shape>
            </v:group>
          </v:group>
        </w:pict>
      </w:r>
      <w:r>
        <w:rPr>
          <w:rFonts w:ascii="宋体" w:hAnsi="宋体" w:cs="宋体" w:eastAsia="宋体" w:hint="default"/>
          <w:position w:val="-7"/>
          <w:sz w:val="20"/>
          <w:szCs w:val="20"/>
        </w:rPr>
      </w:r>
    </w:p>
    <w:p>
      <w:pPr>
        <w:spacing w:before="83"/>
        <w:ind w:left="612" w:right="540" w:firstLine="0"/>
        <w:jc w:val="left"/>
        <w:rPr>
          <w:rFonts w:ascii="宋体" w:hAnsi="宋体" w:cs="宋体" w:eastAsia="宋体" w:hint="default"/>
          <w:sz w:val="24"/>
          <w:szCs w:val="24"/>
        </w:rPr>
      </w:pPr>
      <w:r>
        <w:rPr>
          <w:rFonts w:ascii="宋体" w:hAnsi="宋体" w:cs="宋体" w:eastAsia="宋体" w:hint="default"/>
          <w:sz w:val="24"/>
          <w:szCs w:val="24"/>
        </w:rPr>
        <w:t>合并范围变更主体的具体信息详见“附注八、合并范围的变更”。</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left="132" w:right="54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32" w:right="540"/>
        <w:jc w:val="left"/>
        <w:rPr>
          <w:b w:val="0"/>
          <w:bCs w:val="0"/>
        </w:rPr>
      </w:pPr>
      <w:bookmarkStart w:name="1、编制基础" w:id="168"/>
      <w:bookmarkEnd w:id="168"/>
      <w:r>
        <w:rPr>
          <w:b w:val="0"/>
          <w:bCs w:val="0"/>
        </w:rPr>
      </w:r>
      <w:r>
        <w:rPr/>
        <w:t>1、编制基础</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132" w:right="1132" w:firstLine="420"/>
        <w:jc w:val="both"/>
      </w:pPr>
      <w:r>
        <w:rPr>
          <w:w w:val="95"/>
        </w:rPr>
        <w:t>本公司根据实际发生的交易和事项，按照财政部颁布的《企业会计准则——基本准则》和具体企业会</w:t>
      </w:r>
      <w:r>
        <w:rPr>
          <w:w w:val="99"/>
        </w:rPr>
        <w:t> </w:t>
      </w:r>
      <w:r>
        <w:rPr>
          <w:w w:val="95"/>
        </w:rPr>
        <w:t>计准则、企业会计准则应用指南、企业会计准则解释及其他相关规定（以下合称“企业会计准则”）进行</w:t>
      </w:r>
      <w:r>
        <w:rPr>
          <w:spacing w:val="36"/>
          <w:w w:val="95"/>
        </w:rPr>
        <w:t> </w:t>
      </w:r>
      <w:r>
        <w:rPr>
          <w:spacing w:val="36"/>
          <w:w w:val="95"/>
        </w:rPr>
      </w:r>
      <w:r>
        <w:rPr>
          <w:w w:val="95"/>
        </w:rPr>
        <w:t>确认和计量，在此基础上，结合中国证券监督管理委员会《公开发行证券的公司信息披露编报规则第15号</w:t>
      </w:r>
      <w:r>
        <w:rPr/>
      </w:r>
    </w:p>
    <w:p>
      <w:pPr>
        <w:pStyle w:val="BodyText"/>
        <w:spacing w:line="240" w:lineRule="auto"/>
        <w:ind w:left="132" w:right="540"/>
        <w:jc w:val="left"/>
      </w:pPr>
      <w:r>
        <w:rPr/>
        <w:t>——财务报告的一般规定》（2014年修订）的规定，编制财务报表。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left="132" w:right="540"/>
        <w:jc w:val="left"/>
        <w:rPr>
          <w:b w:val="0"/>
          <w:bCs w:val="0"/>
        </w:rPr>
      </w:pPr>
      <w:bookmarkStart w:name="2、持续经营" w:id="169"/>
      <w:bookmarkEnd w:id="169"/>
      <w:r>
        <w:rPr>
          <w:b w:val="0"/>
          <w:bCs w:val="0"/>
        </w:rPr>
      </w:r>
      <w:r>
        <w:rPr/>
        <w:t>2、持续经营</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132" w:right="540" w:firstLine="420"/>
        <w:jc w:val="left"/>
      </w:pPr>
      <w:r>
        <w:rPr>
          <w:w w:val="95"/>
        </w:rPr>
        <w:t>本公司对报告期末起12个月的持续经营能力进行了评价，未发现对持续经营能力产生重大怀疑的事项</w:t>
      </w:r>
      <w:r>
        <w:rPr>
          <w:w w:val="99"/>
        </w:rPr>
        <w:t> </w:t>
      </w:r>
      <w:r>
        <w:rPr/>
        <w:t>或情况。因此，本财务报表系在持续经营假设的基础上编制。</w:t>
      </w:r>
    </w:p>
    <w:p>
      <w:pPr>
        <w:spacing w:line="240" w:lineRule="auto" w:before="10"/>
        <w:rPr>
          <w:rFonts w:ascii="宋体" w:hAnsi="宋体" w:cs="宋体" w:eastAsia="宋体" w:hint="default"/>
          <w:sz w:val="21"/>
          <w:szCs w:val="21"/>
        </w:rPr>
      </w:pPr>
    </w:p>
    <w:p>
      <w:pPr>
        <w:pStyle w:val="Heading4"/>
        <w:spacing w:line="240" w:lineRule="auto"/>
        <w:ind w:left="132" w:right="54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spacing w:line="360" w:lineRule="auto" w:before="0"/>
        <w:ind w:left="13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60" w:lineRule="auto" w:before="25"/>
        <w:ind w:left="132" w:right="809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 无</w:t>
      </w:r>
    </w:p>
    <w:p>
      <w:pPr>
        <w:spacing w:line="612" w:lineRule="exact" w:before="16"/>
        <w:ind w:left="552" w:right="540" w:hanging="420"/>
        <w:jc w:val="left"/>
        <w:rPr>
          <w:rFonts w:ascii="宋体" w:hAnsi="宋体" w:cs="宋体" w:eastAsia="宋体" w:hint="default"/>
          <w:sz w:val="21"/>
          <w:szCs w:val="21"/>
        </w:rPr>
      </w:pPr>
      <w:bookmarkStart w:name="1、遵循企业会计准则的声明" w:id="171"/>
      <w:bookmarkEnd w:id="171"/>
      <w:r>
        <w:rPr/>
      </w:r>
      <w:r>
        <w:rPr>
          <w:rFonts w:ascii="宋体" w:hAnsi="宋体" w:cs="宋体" w:eastAsia="宋体" w:hint="default"/>
          <w:b/>
          <w:bCs/>
          <w:sz w:val="21"/>
          <w:szCs w:val="21"/>
        </w:rPr>
        <w:t>1、遵循企业会计准则的声明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本公司所编制的财务报表符合企业会计准则的要求，真实、完整地反映了报告期公司的财务状况、经</w:t>
      </w:r>
      <w:r>
        <w:rPr>
          <w:rFonts w:ascii="宋体" w:hAnsi="宋体" w:cs="宋体" w:eastAsia="宋体" w:hint="default"/>
          <w:sz w:val="21"/>
          <w:szCs w:val="21"/>
        </w:rPr>
      </w:r>
    </w:p>
    <w:p>
      <w:pPr>
        <w:pStyle w:val="BodyText"/>
        <w:spacing w:line="219" w:lineRule="exact" w:before="0"/>
        <w:ind w:left="132" w:right="540"/>
        <w:jc w:val="left"/>
      </w:pPr>
      <w:r>
        <w:rPr/>
        <w:t>营成果、现金流量等有关信息。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left="132" w:right="540"/>
        <w:jc w:val="left"/>
        <w:rPr>
          <w:b w:val="0"/>
          <w:bCs w:val="0"/>
        </w:rPr>
      </w:pPr>
      <w:bookmarkStart w:name="2、会计期间" w:id="172"/>
      <w:bookmarkEnd w:id="172"/>
      <w:r>
        <w:rPr>
          <w:b w:val="0"/>
          <w:bCs w:val="0"/>
        </w:rPr>
      </w:r>
      <w:r>
        <w:rPr/>
        <w:t>2、会计期间</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52" w:right="540"/>
        <w:jc w:val="left"/>
      </w:pPr>
      <w:r>
        <w:rPr/>
        <w:t>自公历1月1日至12月31日止为一个会计年度。</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left="132" w:right="540"/>
        <w:jc w:val="left"/>
        <w:rPr>
          <w:b w:val="0"/>
          <w:bCs w:val="0"/>
        </w:rPr>
      </w:pPr>
      <w:bookmarkStart w:name="3、营业周期" w:id="173"/>
      <w:bookmarkEnd w:id="173"/>
      <w:r>
        <w:rPr>
          <w:b w:val="0"/>
          <w:bCs w:val="0"/>
        </w:rPr>
      </w:r>
      <w:r>
        <w:rPr/>
        <w:t>3、营业周期</w:t>
      </w:r>
      <w:r>
        <w:rPr>
          <w:b w:val="0"/>
          <w:bCs w:val="0"/>
        </w:rPr>
      </w:r>
    </w:p>
    <w:p>
      <w:pPr>
        <w:spacing w:line="240" w:lineRule="auto" w:before="9"/>
        <w:rPr>
          <w:rFonts w:ascii="宋体" w:hAnsi="宋体" w:cs="宋体" w:eastAsia="宋体" w:hint="default"/>
          <w:b/>
          <w:bCs/>
          <w:sz w:val="27"/>
          <w:szCs w:val="27"/>
        </w:rPr>
      </w:pPr>
    </w:p>
    <w:p>
      <w:pPr>
        <w:spacing w:before="0"/>
        <w:ind w:left="132" w:right="540" w:firstLine="0"/>
        <w:jc w:val="left"/>
        <w:rPr>
          <w:rFonts w:ascii="宋体" w:hAnsi="宋体" w:cs="宋体" w:eastAsia="宋体" w:hint="default"/>
          <w:sz w:val="18"/>
          <w:szCs w:val="18"/>
        </w:rPr>
      </w:pPr>
      <w:r>
        <w:rPr>
          <w:rFonts w:ascii="宋体" w:hAnsi="宋体" w:cs="宋体" w:eastAsia="宋体" w:hint="default"/>
          <w:sz w:val="18"/>
          <w:szCs w:val="18"/>
        </w:rPr>
        <w:t>12个月</w:t>
      </w:r>
    </w:p>
    <w:p>
      <w:pPr>
        <w:spacing w:after="0"/>
        <w:jc w:val="left"/>
        <w:rPr>
          <w:rFonts w:ascii="宋体" w:hAnsi="宋体" w:cs="宋体" w:eastAsia="宋体" w:hint="default"/>
          <w:sz w:val="18"/>
          <w:szCs w:val="18"/>
        </w:rPr>
        <w:sectPr>
          <w:pgSz w:w="11910" w:h="16840"/>
          <w:pgMar w:header="746" w:footer="978" w:top="1060" w:bottom="1160" w:left="100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4、记账本位币" w:id="174"/>
      <w:bookmarkEnd w:id="174"/>
      <w:r>
        <w:rPr>
          <w:b w:val="0"/>
          <w:bCs w:val="0"/>
        </w:rPr>
      </w:r>
      <w:r>
        <w:rPr/>
        <w:t>4、记账本位币</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32" w:right="2127"/>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2127"/>
        <w:jc w:val="left"/>
        <w:rPr>
          <w:b w:val="0"/>
          <w:bCs w:val="0"/>
        </w:rPr>
      </w:pPr>
      <w:bookmarkStart w:name="5、同一控制下和非同一控制下企业合并的会计处理方法" w:id="175"/>
      <w:bookmarkEnd w:id="175"/>
      <w:r>
        <w:rPr>
          <w:b w:val="0"/>
          <w:bCs w:val="0"/>
        </w:rPr>
      </w:r>
      <w:r>
        <w:rPr/>
        <w:t>5、同一控制下和非同一控制下企业合并的会计处理方法</w:t>
      </w:r>
      <w:r>
        <w:rPr>
          <w:b w:val="0"/>
          <w:bCs w:val="0"/>
        </w:rPr>
      </w:r>
    </w:p>
    <w:p>
      <w:pPr>
        <w:spacing w:line="240" w:lineRule="auto" w:before="10"/>
        <w:rPr>
          <w:rFonts w:ascii="宋体" w:hAnsi="宋体" w:cs="宋体" w:eastAsia="宋体" w:hint="default"/>
          <w:b/>
          <w:bCs/>
          <w:sz w:val="25"/>
          <w:szCs w:val="25"/>
        </w:rPr>
      </w:pPr>
    </w:p>
    <w:p>
      <w:pPr>
        <w:pStyle w:val="Heading6"/>
        <w:spacing w:line="273" w:lineRule="auto"/>
        <w:ind w:right="0"/>
        <w:jc w:val="left"/>
        <w:rPr>
          <w:b w:val="0"/>
          <w:bCs w:val="0"/>
        </w:rPr>
      </w:pPr>
      <w:r>
        <w:rPr>
          <w:w w:val="95"/>
        </w:rPr>
        <w:t>（1）分步实现企业合并过程中的各项交易的条款、条件以及经济影响符合以下一种或多种情况，将多次</w:t>
      </w:r>
      <w:r>
        <w:rPr>
          <w:spacing w:val="61"/>
          <w:w w:val="95"/>
        </w:rPr>
        <w:t> </w:t>
      </w:r>
      <w:r>
        <w:rPr>
          <w:spacing w:val="61"/>
          <w:w w:val="95"/>
        </w:rPr>
      </w:r>
      <w:r>
        <w:rPr/>
        <w:t>交易事项作为一揽子交易进行会计处理</w:t>
      </w:r>
      <w:r>
        <w:rPr>
          <w:b w:val="0"/>
          <w:bCs w:val="0"/>
        </w:rPr>
      </w:r>
    </w:p>
    <w:p>
      <w:pPr>
        <w:pStyle w:val="BodyText"/>
        <w:spacing w:line="240" w:lineRule="auto"/>
        <w:ind w:left="532" w:right="2127"/>
        <w:jc w:val="left"/>
      </w:pPr>
      <w:r>
        <w:rPr/>
        <w:t>1）这些交易是同时或者在考虑了彼此影响的情况下订立的；</w:t>
      </w:r>
    </w:p>
    <w:p>
      <w:pPr>
        <w:pStyle w:val="BodyText"/>
        <w:spacing w:line="240" w:lineRule="auto" w:before="37"/>
        <w:ind w:left="532" w:right="2127"/>
        <w:jc w:val="left"/>
      </w:pPr>
      <w:r>
        <w:rPr/>
        <w:t>2）这些交易整体才能达成一项完整的商业结果；</w:t>
      </w:r>
    </w:p>
    <w:p>
      <w:pPr>
        <w:pStyle w:val="BodyText"/>
        <w:spacing w:line="240" w:lineRule="auto" w:before="37"/>
        <w:ind w:left="532" w:right="2127"/>
        <w:jc w:val="left"/>
      </w:pPr>
      <w:r>
        <w:rPr/>
        <w:t>3）一项交易的发生取决于其他至少一项交易的发生；</w:t>
      </w:r>
    </w:p>
    <w:p>
      <w:pPr>
        <w:pStyle w:val="BodyText"/>
        <w:spacing w:line="240" w:lineRule="auto" w:before="37"/>
        <w:ind w:left="532" w:right="2127"/>
        <w:jc w:val="left"/>
      </w:pPr>
      <w:r>
        <w:rPr/>
        <w:t>4）一项交易单独看是不经济的，但是和其他交易一并考虑时是经济的。</w:t>
      </w:r>
    </w:p>
    <w:p>
      <w:pPr>
        <w:spacing w:line="273"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本公司在企业合并中取得的资产和负债，按照合并日在被合并方资产、负债（包括最终控制方收购被</w:t>
      </w:r>
      <w:r>
        <w:rPr>
          <w:rFonts w:ascii="宋体" w:hAnsi="宋体" w:cs="宋体" w:eastAsia="宋体" w:hint="default"/>
          <w:sz w:val="21"/>
          <w:szCs w:val="21"/>
        </w:rPr>
      </w:r>
    </w:p>
    <w:p>
      <w:pPr>
        <w:pStyle w:val="BodyText"/>
        <w:spacing w:line="273" w:lineRule="auto"/>
        <w:ind w:right="1132"/>
        <w:jc w:val="both"/>
      </w:pPr>
      <w:r>
        <w:rPr>
          <w:w w:val="95"/>
        </w:rPr>
        <w:t>合并方而形成的商誉）在最终控制方合并财务报表中的账面价值计量。在合并中取得的净资产账面价值与</w:t>
      </w:r>
      <w:r>
        <w:rPr>
          <w:spacing w:val="40"/>
          <w:w w:val="95"/>
        </w:rPr>
        <w:t> </w:t>
      </w:r>
      <w:r>
        <w:rPr>
          <w:spacing w:val="40"/>
          <w:w w:val="95"/>
        </w:rPr>
      </w:r>
      <w:r>
        <w:rPr>
          <w:w w:val="95"/>
        </w:rPr>
        <w:t>支付的合并对价账面价值（或发行股份面值总额）的差额，调整资本公积中的股本溢价，资本公积中的股</w:t>
      </w:r>
      <w:r>
        <w:rPr>
          <w:spacing w:val="39"/>
          <w:w w:val="95"/>
        </w:rPr>
        <w:t> </w:t>
      </w:r>
      <w:r>
        <w:rPr>
          <w:spacing w:val="39"/>
          <w:w w:val="95"/>
        </w:rPr>
      </w:r>
      <w:r>
        <w:rPr/>
        <w:t>本溢价不足冲减的，调整留存收益。</w:t>
      </w:r>
    </w:p>
    <w:p>
      <w:pPr>
        <w:pStyle w:val="BodyText"/>
        <w:spacing w:line="273" w:lineRule="auto"/>
        <w:ind w:right="0" w:firstLine="420"/>
        <w:jc w:val="left"/>
      </w:pPr>
      <w:r>
        <w:rPr>
          <w:w w:val="95"/>
        </w:rPr>
        <w:t>如果存在或有对价并需要确认预计负债或资产，该预计负债或资产金额与后续或有对价结算金额的差</w:t>
      </w:r>
      <w:r>
        <w:rPr>
          <w:w w:val="99"/>
        </w:rPr>
        <w:t> </w:t>
      </w:r>
      <w:r>
        <w:rPr/>
        <w:t>额，调整资本公积（资本溢价或股本溢价），资本公积不足的，调整留存收益。</w:t>
      </w:r>
    </w:p>
    <w:p>
      <w:pPr>
        <w:pStyle w:val="BodyText"/>
        <w:spacing w:line="273" w:lineRule="auto"/>
        <w:ind w:right="1112" w:firstLine="420"/>
        <w:jc w:val="both"/>
      </w:pPr>
      <w:r>
        <w:rPr>
          <w:w w:val="95"/>
        </w:rPr>
        <w:t>对于通过多次交易最终实现企业合并的，属于一揽子交易的，将各项交易作为一项取得控制权的交易</w:t>
      </w:r>
      <w:r>
        <w:rPr>
          <w:w w:val="99"/>
        </w:rPr>
        <w:t> </w:t>
      </w:r>
      <w:r>
        <w:rPr>
          <w:w w:val="95"/>
        </w:rPr>
        <w:t>进行会计处理；不属于一揽子交易的，在取得控制权日，长期股权投资初始投资成本，与达到合并前的长</w:t>
      </w:r>
      <w:r>
        <w:rPr>
          <w:spacing w:val="39"/>
          <w:w w:val="95"/>
        </w:rPr>
        <w:t> </w:t>
      </w:r>
      <w:r>
        <w:rPr>
          <w:spacing w:val="39"/>
          <w:w w:val="95"/>
        </w:rPr>
      </w:r>
      <w:r>
        <w:rPr>
          <w:w w:val="95"/>
        </w:rPr>
        <w:t>期股权投资账面价值加上合并日进一步取得股份新支付对价的账面价值之和的差额，调整资本公积；资本</w:t>
      </w:r>
      <w:r>
        <w:rPr>
          <w:spacing w:val="37"/>
          <w:w w:val="95"/>
        </w:rPr>
        <w:t> </w:t>
      </w:r>
      <w:r>
        <w:rPr>
          <w:spacing w:val="37"/>
          <w:w w:val="95"/>
        </w:rPr>
      </w:r>
      <w:r>
        <w:rPr>
          <w:w w:val="95"/>
        </w:rPr>
        <w:t>公积不足冲减的，调整留存收益。对于合并日之前持有的股权投资，因采用权益法核算或金融工具确认和</w:t>
      </w:r>
      <w:r>
        <w:rPr>
          <w:spacing w:val="37"/>
          <w:w w:val="95"/>
        </w:rPr>
        <w:t> </w:t>
      </w:r>
      <w:r>
        <w:rPr>
          <w:spacing w:val="37"/>
          <w:w w:val="95"/>
        </w:rPr>
      </w:r>
      <w:r>
        <w:rPr>
          <w:w w:val="95"/>
        </w:rPr>
        <w:t>计量准则核算而确认的其他综合收益，暂不进行会计处理，直至处置该项投资时采用与被投资单位直接处</w:t>
      </w:r>
      <w:r>
        <w:rPr>
          <w:spacing w:val="37"/>
          <w:w w:val="95"/>
        </w:rPr>
        <w:t> </w:t>
      </w:r>
      <w:r>
        <w:rPr>
          <w:spacing w:val="37"/>
          <w:w w:val="95"/>
        </w:rPr>
      </w:r>
      <w:r>
        <w:rPr>
          <w:w w:val="95"/>
        </w:rPr>
        <w:t>置相关资产或负债相同的基础进行会计处理；因采用权益法核算而确认的被投资单位净资产中除净损益、</w:t>
      </w:r>
      <w:r>
        <w:rPr>
          <w:spacing w:val="61"/>
          <w:w w:val="95"/>
        </w:rPr>
        <w:t> </w:t>
      </w:r>
      <w:r>
        <w:rPr>
          <w:spacing w:val="61"/>
          <w:w w:val="95"/>
        </w:rPr>
      </w:r>
      <w:r>
        <w:rPr>
          <w:w w:val="95"/>
        </w:rPr>
        <w:t>其他综合收益和利润分配以外的所有者权益其他变动，暂不进行会计处理，直至处置该项投资时转入当期  </w:t>
      </w:r>
      <w:r>
        <w:rPr>
          <w:spacing w:val="40"/>
          <w:w w:val="95"/>
        </w:rPr>
        <w:t> </w:t>
      </w:r>
      <w:r>
        <w:rPr>
          <w:spacing w:val="40"/>
          <w:w w:val="95"/>
        </w:rPr>
      </w:r>
      <w:r>
        <w:rPr/>
        <w:t>损益。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（3）非同一控制下的企业合并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购买日是指本公司实际取得对被购买方控制权的日期，即被购买方的净资产或生产经营决策的控制权</w:t>
      </w:r>
      <w:r>
        <w:rPr>
          <w:rFonts w:ascii="宋体" w:hAnsi="宋体" w:cs="宋体" w:eastAsia="宋体" w:hint="default"/>
          <w:sz w:val="21"/>
          <w:szCs w:val="21"/>
        </w:rPr>
      </w:r>
    </w:p>
    <w:p>
      <w:pPr>
        <w:pStyle w:val="BodyText"/>
        <w:spacing w:line="273" w:lineRule="auto"/>
        <w:ind w:left="532" w:right="2127" w:hanging="420"/>
        <w:jc w:val="left"/>
      </w:pPr>
      <w:r>
        <w:rPr>
          <w:w w:val="95"/>
        </w:rPr>
        <w:t>转移给本公司的日期。同时满足下列条件时，本公司一般认为实现了控制权的转移：</w:t>
      </w:r>
      <w:r>
        <w:rPr>
          <w:spacing w:val="70"/>
          <w:w w:val="95"/>
        </w:rPr>
        <w:t> </w:t>
      </w:r>
      <w:r>
        <w:rPr>
          <w:spacing w:val="70"/>
          <w:w w:val="95"/>
        </w:rPr>
      </w:r>
      <w:r>
        <w:rPr/>
        <w:t>1）企业合并合同或协议已获本公司内部权力机构通过。</w:t>
      </w:r>
    </w:p>
    <w:p>
      <w:pPr>
        <w:pStyle w:val="BodyText"/>
        <w:spacing w:line="240" w:lineRule="auto"/>
        <w:ind w:left="532" w:right="2127"/>
        <w:jc w:val="left"/>
      </w:pPr>
      <w:r>
        <w:rPr/>
        <w:t>2）企业合并事项需要经过国家有关主管部门审批的，已获得批准。</w:t>
      </w:r>
    </w:p>
    <w:p>
      <w:pPr>
        <w:pStyle w:val="BodyText"/>
        <w:spacing w:line="240" w:lineRule="auto" w:before="37"/>
        <w:ind w:left="532" w:right="2127"/>
        <w:jc w:val="left"/>
      </w:pPr>
      <w:r>
        <w:rPr/>
        <w:t>3）已办理了必要的财产权转移手续。</w:t>
      </w:r>
    </w:p>
    <w:p>
      <w:pPr>
        <w:pStyle w:val="BodyText"/>
        <w:spacing w:line="240" w:lineRule="auto" w:before="37"/>
        <w:ind w:left="532" w:right="2127"/>
        <w:jc w:val="left"/>
      </w:pPr>
      <w:r>
        <w:rPr/>
        <w:t>4）本公司已支付了合并价款的大部分，并且有能力、有计划支付剩余款项。</w:t>
      </w:r>
    </w:p>
    <w:p>
      <w:pPr>
        <w:pStyle w:val="BodyText"/>
        <w:spacing w:line="273" w:lineRule="auto" w:before="37"/>
        <w:ind w:left="532" w:right="0"/>
        <w:jc w:val="left"/>
      </w:pPr>
      <w:r>
        <w:rPr/>
        <w:t>5）本公司实际上已经控制了被购买方的财务和经营政策，并享有相应的利益、承担相应的风险。</w:t>
      </w:r>
      <w:r>
        <w:rPr>
          <w:w w:val="99"/>
        </w:rPr>
        <w:t> </w:t>
      </w:r>
      <w:r>
        <w:rPr>
          <w:w w:val="95"/>
        </w:rPr>
        <w:t>本公司在购买日对作为企业合并对价付出的资产、发生或承担的负债按照公允价值计量，公允价值与</w:t>
      </w:r>
      <w:r>
        <w:rPr/>
      </w:r>
    </w:p>
    <w:p>
      <w:pPr>
        <w:pStyle w:val="BodyText"/>
        <w:spacing w:line="273" w:lineRule="auto"/>
        <w:ind w:left="532" w:right="0" w:hanging="420"/>
        <w:jc w:val="left"/>
      </w:pPr>
      <w:r>
        <w:rPr/>
        <w:t>其账面价值的差额，计入当期损益。</w:t>
      </w:r>
      <w:r>
        <w:rPr>
          <w:w w:val="99"/>
        </w:rPr>
        <w:t> </w:t>
      </w:r>
      <w:r>
        <w:rPr>
          <w:w w:val="95"/>
        </w:rPr>
        <w:t>本公司对合并成本大于合并中取得的被购买方可辨认净资产公允价值份额的差额，确认为商誉；合并</w:t>
      </w:r>
      <w:r>
        <w:rPr/>
      </w:r>
    </w:p>
    <w:p>
      <w:pPr>
        <w:pStyle w:val="BodyText"/>
        <w:spacing w:line="273" w:lineRule="auto"/>
        <w:ind w:left="532" w:right="0" w:hanging="420"/>
        <w:jc w:val="left"/>
      </w:pPr>
      <w:r>
        <w:rPr/>
        <w:t>成本小于合并中取得的被购买方可辨认净资产公允价值份额的差额，经复核后，计入当期损益。</w:t>
      </w:r>
      <w:r>
        <w:rPr>
          <w:w w:val="99"/>
        </w:rPr>
        <w:t> </w:t>
      </w:r>
      <w:r>
        <w:rPr>
          <w:w w:val="95"/>
        </w:rPr>
        <w:t>通过多次交换交易分步实现的非同一控制下企业合并，属于一揽子交易的，将各项交易作为一项取得</w:t>
      </w:r>
      <w:r>
        <w:rPr/>
      </w:r>
    </w:p>
    <w:p>
      <w:pPr>
        <w:pStyle w:val="BodyText"/>
        <w:spacing w:line="273" w:lineRule="auto"/>
        <w:ind w:right="0"/>
        <w:jc w:val="left"/>
      </w:pPr>
      <w:r>
        <w:rPr>
          <w:w w:val="95"/>
        </w:rPr>
        <w:t>控制权的交易进行会计处理；不属于一揽子交易的，合并日之前持有的股权投资采用权益法核算的，以购</w:t>
      </w:r>
      <w:r>
        <w:rPr>
          <w:spacing w:val="37"/>
          <w:w w:val="95"/>
        </w:rPr>
        <w:t> </w:t>
      </w:r>
      <w:r>
        <w:rPr>
          <w:spacing w:val="37"/>
          <w:w w:val="95"/>
        </w:rPr>
      </w:r>
      <w:r>
        <w:rPr/>
        <w:t>买日之前所持被购买方的股权投资的账面价值与购买日新增投资成本之和，作为该项投资的初始投资成</w:t>
      </w:r>
      <w:r>
        <w:rPr>
          <w:w w:val="99"/>
        </w:rPr>
        <w:t> </w:t>
      </w:r>
      <w:r>
        <w:rPr>
          <w:w w:val="95"/>
        </w:rPr>
        <w:t>本；购买日之前持有的股权投资因采用权益法核算而确认的其他综合收益，在处置该项投资时采用与被投</w:t>
      </w:r>
      <w:r>
        <w:rPr/>
      </w:r>
    </w:p>
    <w:p>
      <w:pPr>
        <w:spacing w:after="0" w:line="273"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2"/>
        <w:jc w:val="both"/>
      </w:pPr>
      <w:r>
        <w:rPr>
          <w:w w:val="95"/>
        </w:rPr>
        <w:t>资单位直接处置相关资产或负债相同的基础进行会计处理。合并日之前持有的股权投资采用金融工具确认</w:t>
      </w:r>
      <w:r>
        <w:rPr>
          <w:spacing w:val="37"/>
          <w:w w:val="95"/>
        </w:rPr>
        <w:t> </w:t>
      </w:r>
      <w:r>
        <w:rPr>
          <w:spacing w:val="37"/>
          <w:w w:val="95"/>
        </w:rPr>
      </w:r>
      <w:r>
        <w:rPr>
          <w:w w:val="95"/>
        </w:rPr>
        <w:t>和计量准则核算的，以该股权投资在合并日的公允价值加上新增投资成本之和，作为合并日的初始投资成</w:t>
      </w:r>
      <w:r>
        <w:rPr>
          <w:spacing w:val="40"/>
          <w:w w:val="95"/>
        </w:rPr>
        <w:t> </w:t>
      </w:r>
      <w:r>
        <w:rPr>
          <w:spacing w:val="40"/>
          <w:w w:val="95"/>
        </w:rPr>
      </w:r>
      <w:r>
        <w:rPr>
          <w:w w:val="95"/>
        </w:rPr>
        <w:t>本。原持有股权的公允价值与账面价值之间的差额以及原计入其他综合收益的累计公允价值变动应全部转</w:t>
      </w:r>
      <w:r>
        <w:rPr>
          <w:spacing w:val="37"/>
          <w:w w:val="95"/>
        </w:rPr>
        <w:t> </w:t>
      </w:r>
      <w:r>
        <w:rPr>
          <w:spacing w:val="37"/>
          <w:w w:val="95"/>
        </w:rPr>
      </w:r>
      <w:r>
        <w:rPr/>
        <w:t>入合并日当期的投资收益。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（4）为合并发生的相关费用</w:t>
      </w:r>
      <w:r>
        <w:rPr>
          <w:rFonts w:ascii="宋体" w:hAnsi="宋体" w:cs="宋体" w:eastAsia="宋体" w:hint="default"/>
          <w:b/>
          <w:bCs/>
          <w:w w:val="99"/>
          <w:sz w:val="21"/>
          <w:szCs w:val="21"/>
        </w:rPr>
        <w:t> </w:t>
      </w:r>
      <w:r>
        <w:rPr>
          <w:rFonts w:ascii="宋体" w:hAnsi="宋体" w:cs="宋体" w:eastAsia="宋体" w:hint="default"/>
          <w:w w:val="95"/>
          <w:sz w:val="21"/>
          <w:szCs w:val="21"/>
        </w:rPr>
        <w:t>为企业合并发生的审计、法律服务、评估咨询等中介费用以及其他直接相关费用，于发生时计入当期</w:t>
      </w:r>
      <w:r>
        <w:rPr>
          <w:rFonts w:ascii="宋体" w:hAnsi="宋体" w:cs="宋体" w:eastAsia="宋体" w:hint="default"/>
          <w:sz w:val="21"/>
          <w:szCs w:val="21"/>
        </w:rPr>
      </w:r>
    </w:p>
    <w:p>
      <w:pPr>
        <w:pStyle w:val="BodyText"/>
        <w:spacing w:line="240" w:lineRule="auto"/>
        <w:ind w:right="0"/>
        <w:jc w:val="both"/>
      </w:pPr>
      <w:r>
        <w:rPr/>
        <w:t>损益；为企业合并而发行权益性证券的交易费用，可直接归属于权益性交易的从权益中扣减。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76"/>
        <w:ind w:right="0"/>
        <w:jc w:val="both"/>
        <w:rPr>
          <w:b w:val="0"/>
          <w:bCs w:val="0"/>
        </w:rPr>
      </w:pPr>
      <w:bookmarkStart w:name="6、合并财务报表的编制方法" w:id="176"/>
      <w:bookmarkEnd w:id="176"/>
      <w:r>
        <w:rPr>
          <w:b w:val="0"/>
          <w:bCs w:val="0"/>
        </w:rPr>
      </w:r>
      <w:r>
        <w:rPr/>
        <w:t>6、合并财务报表的编制方法</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0"/>
        <w:jc w:val="both"/>
        <w:rPr>
          <w:b w:val="0"/>
          <w:bCs w:val="0"/>
        </w:rPr>
      </w:pPr>
      <w:r>
        <w:rPr/>
        <w:t>（1）合并范围</w:t>
      </w:r>
      <w:r>
        <w:rPr>
          <w:b w:val="0"/>
          <w:bCs w:val="0"/>
        </w:rPr>
      </w:r>
    </w:p>
    <w:p>
      <w:pPr>
        <w:pStyle w:val="BodyText"/>
        <w:spacing w:line="273" w:lineRule="auto" w:before="37"/>
        <w:ind w:right="1132" w:firstLine="420"/>
        <w:jc w:val="both"/>
      </w:pPr>
      <w:r>
        <w:rPr>
          <w:w w:val="95"/>
        </w:rPr>
        <w:t>本公司合并财务报表的合并范围以控制为基础确定，所有子公司（包括本公司所控制的单独主体）均</w:t>
      </w:r>
      <w:r>
        <w:rPr>
          <w:w w:val="99"/>
        </w:rPr>
        <w:t> </w:t>
      </w:r>
      <w:r>
        <w:rPr/>
        <w:t>纳入合并财务报表。</w:t>
      </w:r>
    </w:p>
    <w:p>
      <w:pPr>
        <w:pStyle w:val="Heading6"/>
        <w:spacing w:line="240" w:lineRule="auto" w:before="7"/>
        <w:ind w:right="0"/>
        <w:jc w:val="both"/>
        <w:rPr>
          <w:b w:val="0"/>
          <w:bCs w:val="0"/>
        </w:rPr>
      </w:pPr>
      <w:r>
        <w:rPr/>
        <w:t>（2）合并程序</w:t>
      </w:r>
      <w:r>
        <w:rPr>
          <w:b w:val="0"/>
          <w:bCs w:val="0"/>
        </w:rPr>
      </w:r>
    </w:p>
    <w:p>
      <w:pPr>
        <w:pStyle w:val="BodyText"/>
        <w:spacing w:line="273" w:lineRule="auto" w:before="37"/>
        <w:ind w:right="1135" w:firstLine="420"/>
        <w:jc w:val="both"/>
      </w:pPr>
      <w:r>
        <w:rPr>
          <w:w w:val="95"/>
        </w:rPr>
        <w:t>本公司以自身和各子公司的财务报表为基础，根据其他有关资料，编制合并财务报表。本公司编制合</w:t>
      </w:r>
      <w:r>
        <w:rPr>
          <w:w w:val="99"/>
        </w:rPr>
        <w:t> </w:t>
      </w:r>
      <w:r>
        <w:rPr>
          <w:w w:val="95"/>
        </w:rPr>
        <w:t>并财务报表，将整个企业集团视为一个会计主体，依据相关企业会计准则的确认、计量和列报要求，按照</w:t>
      </w:r>
      <w:r>
        <w:rPr>
          <w:spacing w:val="38"/>
          <w:w w:val="95"/>
        </w:rPr>
        <w:t> </w:t>
      </w:r>
      <w:r>
        <w:rPr>
          <w:spacing w:val="38"/>
          <w:w w:val="95"/>
        </w:rPr>
      </w:r>
      <w:r>
        <w:rPr/>
        <w:t>统一的会计政策，反映本企业集团整体财务状况、经营成果和现金流量。</w:t>
      </w:r>
    </w:p>
    <w:p>
      <w:pPr>
        <w:pStyle w:val="BodyText"/>
        <w:spacing w:line="273" w:lineRule="auto" w:before="8"/>
        <w:ind w:right="1135" w:firstLine="420"/>
        <w:jc w:val="both"/>
      </w:pPr>
      <w:r>
        <w:rPr>
          <w:w w:val="95"/>
        </w:rPr>
        <w:t>所有纳入合并财务报表合并范围的子公司所采用的会计政策、会计期间与本公司一致，如子公司采用</w:t>
      </w:r>
      <w:r>
        <w:rPr>
          <w:w w:val="99"/>
        </w:rPr>
        <w:t> </w:t>
      </w:r>
      <w:r>
        <w:rPr>
          <w:w w:val="95"/>
        </w:rPr>
        <w:t>的会计政策、会计期间与本公司不一致的，在编制合并财务报表时，按本公司的会计政策、会计期间进行</w:t>
      </w:r>
      <w:r>
        <w:rPr>
          <w:spacing w:val="39"/>
          <w:w w:val="95"/>
        </w:rPr>
        <w:t> </w:t>
      </w:r>
      <w:r>
        <w:rPr>
          <w:spacing w:val="39"/>
          <w:w w:val="95"/>
        </w:rPr>
      </w:r>
      <w:r>
        <w:rPr/>
        <w:t>必要的调整。</w:t>
      </w:r>
    </w:p>
    <w:p>
      <w:pPr>
        <w:pStyle w:val="BodyText"/>
        <w:spacing w:line="273" w:lineRule="auto"/>
        <w:ind w:right="1135" w:firstLine="420"/>
        <w:jc w:val="both"/>
      </w:pPr>
      <w:r>
        <w:rPr>
          <w:w w:val="95"/>
        </w:rPr>
        <w:t>合并财务报表时抵销本公司与各子公司、各子公司相互之间发生的内部交易对合并资产负债表、合并</w:t>
      </w:r>
      <w:r>
        <w:rPr>
          <w:w w:val="99"/>
        </w:rPr>
        <w:t> </w:t>
      </w:r>
      <w:r>
        <w:rPr>
          <w:w w:val="95"/>
        </w:rPr>
        <w:t>利润表、合并现金流量表、合并股东权益变动表的影响。如果站在企业集团合并财务报表角度与以本公司</w:t>
      </w:r>
      <w:r>
        <w:rPr>
          <w:spacing w:val="37"/>
          <w:w w:val="95"/>
        </w:rPr>
        <w:t> </w:t>
      </w:r>
      <w:r>
        <w:rPr>
          <w:spacing w:val="37"/>
          <w:w w:val="95"/>
        </w:rPr>
      </w:r>
      <w:r>
        <w:rPr/>
        <w:t>或子公司为会计主体对同一交易的认定不同时，从企业集团的角度对该交易予以调整。</w:t>
      </w:r>
    </w:p>
    <w:p>
      <w:pPr>
        <w:pStyle w:val="BodyText"/>
        <w:spacing w:line="273" w:lineRule="auto"/>
        <w:ind w:right="1132" w:firstLine="420"/>
        <w:jc w:val="both"/>
      </w:pPr>
      <w:r>
        <w:rPr>
          <w:w w:val="95"/>
        </w:rPr>
        <w:t>子公司所有者权益、当期净损益和当期综合收益中属于少数股东的份额分别在合并资产负债表中所有</w:t>
      </w:r>
      <w:r>
        <w:rPr>
          <w:w w:val="99"/>
        </w:rPr>
        <w:t> </w:t>
      </w:r>
      <w:r>
        <w:rPr>
          <w:w w:val="95"/>
        </w:rPr>
        <w:t>者权益项目下、合并利润表中净利润项目下和综合收益总额项目下单独列示。子公司少数股东分担的当期</w:t>
      </w:r>
      <w:r>
        <w:rPr>
          <w:spacing w:val="37"/>
          <w:w w:val="95"/>
        </w:rPr>
        <w:t> </w:t>
      </w:r>
      <w:r>
        <w:rPr>
          <w:spacing w:val="37"/>
          <w:w w:val="95"/>
        </w:rPr>
      </w:r>
      <w:r>
        <w:rPr/>
        <w:t>亏损超过了少数股东在该子公司期初所有者权益中所享有份额而形成的余额，冲减少数股东权益。</w:t>
      </w:r>
    </w:p>
    <w:p>
      <w:pPr>
        <w:pStyle w:val="BodyText"/>
        <w:spacing w:line="273" w:lineRule="auto"/>
        <w:ind w:right="1135" w:firstLine="420"/>
        <w:jc w:val="both"/>
      </w:pPr>
      <w:r>
        <w:rPr>
          <w:w w:val="95"/>
        </w:rPr>
        <w:t>对于同一控制下企业合并取得的子公司，以其资产、负债（包括最终控制方收购该子公司而形成的商</w:t>
      </w:r>
      <w:r>
        <w:rPr>
          <w:w w:val="99"/>
        </w:rPr>
        <w:t> </w:t>
      </w:r>
      <w:r>
        <w:rPr/>
        <w:t>誉）在最终控制方财务报表中的账面价值为基础对其财务报表进行调整。</w:t>
      </w:r>
    </w:p>
    <w:p>
      <w:pPr>
        <w:pStyle w:val="BodyText"/>
        <w:spacing w:line="240" w:lineRule="auto" w:before="8"/>
        <w:ind w:left="532" w:right="0"/>
        <w:jc w:val="left"/>
      </w:pPr>
      <w:r>
        <w:rPr/>
        <w:t>对于非同一控制下企业合并取得的子公司，以购买日可辨认净资产公允价值为基础对其财务报表进行</w:t>
      </w:r>
    </w:p>
    <w:p>
      <w:pPr>
        <w:pStyle w:val="BodyText"/>
        <w:spacing w:line="240" w:lineRule="auto" w:before="37"/>
        <w:ind w:right="2127"/>
        <w:jc w:val="left"/>
      </w:pPr>
      <w:r>
        <w:rPr/>
        <w:t>调整</w:t>
      </w:r>
    </w:p>
    <w:p>
      <w:pPr>
        <w:pStyle w:val="BodyText"/>
        <w:spacing w:line="273" w:lineRule="auto" w:before="37"/>
        <w:ind w:left="532" w:right="0" w:firstLine="31"/>
        <w:jc w:val="left"/>
      </w:pPr>
      <w:r>
        <w:rPr/>
        <w:t>1）增加子公司或业务</w:t>
      </w:r>
      <w:r>
        <w:rPr>
          <w:w w:val="99"/>
        </w:rPr>
        <w:t> </w:t>
      </w:r>
      <w:r>
        <w:rPr>
          <w:w w:val="95"/>
        </w:rPr>
        <w:t>在报告期内，若因同一控制下企业合并增加子公司或业务的，则调整合并资产负债表的期初数；将子</w:t>
      </w:r>
      <w:r>
        <w:rPr/>
      </w:r>
    </w:p>
    <w:p>
      <w:pPr>
        <w:pStyle w:val="BodyText"/>
        <w:spacing w:line="273" w:lineRule="auto"/>
        <w:ind w:right="1132"/>
        <w:jc w:val="both"/>
      </w:pPr>
      <w:r>
        <w:rPr>
          <w:w w:val="95"/>
        </w:rPr>
        <w:t>公司或业务合并当期期初至报告期末的收入、费用、利润纳入合并利润表；将子公司或业务合并当期期初</w:t>
      </w:r>
      <w:r>
        <w:rPr>
          <w:spacing w:val="37"/>
          <w:w w:val="95"/>
        </w:rPr>
        <w:t> </w:t>
      </w:r>
      <w:r>
        <w:rPr>
          <w:spacing w:val="37"/>
          <w:w w:val="95"/>
        </w:rPr>
      </w:r>
      <w:r>
        <w:rPr>
          <w:w w:val="95"/>
        </w:rPr>
        <w:t>至报告期末的现金流量纳入合并现金流量表，同时对比较报表的相关项目进行调整，视同合并后的报告主</w:t>
      </w:r>
      <w:r>
        <w:rPr>
          <w:spacing w:val="40"/>
          <w:w w:val="95"/>
        </w:rPr>
        <w:t> </w:t>
      </w:r>
      <w:r>
        <w:rPr>
          <w:spacing w:val="40"/>
          <w:w w:val="95"/>
        </w:rPr>
      </w:r>
      <w:r>
        <w:rPr/>
        <w:t>体自最终控制方开始控制时点起一直存在。</w:t>
      </w:r>
    </w:p>
    <w:p>
      <w:pPr>
        <w:pStyle w:val="BodyText"/>
        <w:spacing w:line="273" w:lineRule="auto"/>
        <w:ind w:right="1132" w:firstLine="420"/>
        <w:jc w:val="both"/>
      </w:pPr>
      <w:r>
        <w:rPr>
          <w:w w:val="95"/>
        </w:rPr>
        <w:t>因追加投资等原因能够对同一控制下的被投资方实施控制的，视同参与合并的各方在最终控制方开始</w:t>
      </w:r>
      <w:r>
        <w:rPr>
          <w:w w:val="99"/>
        </w:rPr>
        <w:t> </w:t>
      </w:r>
      <w:r>
        <w:rPr>
          <w:w w:val="95"/>
        </w:rPr>
        <w:t>控制时即以目前的状态存在进行调整。在取得被合并方控制权之前持有的股权投资，在取得原股权之日与</w:t>
      </w:r>
      <w:r>
        <w:rPr>
          <w:spacing w:val="40"/>
          <w:w w:val="95"/>
        </w:rPr>
        <w:t> </w:t>
      </w:r>
      <w:r>
        <w:rPr>
          <w:spacing w:val="40"/>
          <w:w w:val="95"/>
        </w:rPr>
      </w:r>
      <w:r>
        <w:rPr>
          <w:w w:val="95"/>
        </w:rPr>
        <w:t>合并方和被合并方同处于同一控制之日孰晚日起至合并日之间已确认有关损益、其他综合收益以及其他净</w:t>
      </w:r>
      <w:r>
        <w:rPr>
          <w:spacing w:val="39"/>
          <w:w w:val="95"/>
        </w:rPr>
        <w:t> </w:t>
      </w:r>
      <w:r>
        <w:rPr>
          <w:spacing w:val="39"/>
          <w:w w:val="95"/>
        </w:rPr>
      </w:r>
      <w:r>
        <w:rPr/>
        <w:t>资产变动，分别冲减比较报表期间的期初留存收益或当期损益。</w:t>
      </w:r>
    </w:p>
    <w:p>
      <w:pPr>
        <w:pStyle w:val="BodyText"/>
        <w:spacing w:line="273" w:lineRule="auto"/>
        <w:ind w:right="1132" w:firstLine="420"/>
        <w:jc w:val="both"/>
      </w:pPr>
      <w:r>
        <w:rPr>
          <w:w w:val="95"/>
        </w:rPr>
        <w:t>在报告期内，若因非同一控制下企业合并增加子公司或业务的，则不调整合并资产负债表期初数；将</w:t>
      </w:r>
      <w:r>
        <w:rPr>
          <w:w w:val="99"/>
        </w:rPr>
        <w:t> </w:t>
      </w:r>
      <w:r>
        <w:rPr>
          <w:w w:val="95"/>
        </w:rPr>
        <w:t>该子公司或业务自购买日至报告期末的收入、费用、利润纳入合并利润表；该子公司或业务自购买日至报</w:t>
      </w:r>
      <w:r>
        <w:rPr>
          <w:spacing w:val="37"/>
          <w:w w:val="95"/>
        </w:rPr>
        <w:t> </w:t>
      </w:r>
      <w:r>
        <w:rPr>
          <w:spacing w:val="37"/>
          <w:w w:val="95"/>
        </w:rPr>
      </w:r>
      <w:r>
        <w:rPr/>
        <w:t>告期末的现金流量纳入合并现金流量表。</w:t>
      </w:r>
    </w:p>
    <w:p>
      <w:pPr>
        <w:spacing w:after="0" w:line="273" w:lineRule="auto"/>
        <w:jc w:val="both"/>
        <w:sectPr>
          <w:footerReference w:type="default" r:id="rId28"/>
          <w:pgSz w:w="11910" w:h="16840"/>
          <w:pgMar w:footer="978" w:header="746" w:top="1060" w:bottom="1160" w:left="1020" w:right="0"/>
          <w:pgNumType w:start="110"/>
        </w:sectPr>
      </w:pPr>
    </w:p>
    <w:p>
      <w:pPr>
        <w:spacing w:line="240" w:lineRule="auto" w:before="10"/>
        <w:rPr>
          <w:rFonts w:ascii="宋体" w:hAnsi="宋体" w:cs="宋体" w:eastAsia="宋体" w:hint="default"/>
          <w:sz w:val="24"/>
          <w:szCs w:val="24"/>
        </w:rPr>
      </w:pPr>
    </w:p>
    <w:p>
      <w:pPr>
        <w:pStyle w:val="BodyText"/>
        <w:spacing w:line="273" w:lineRule="auto" w:before="34"/>
        <w:ind w:right="1132" w:firstLine="420"/>
        <w:jc w:val="both"/>
      </w:pPr>
      <w:r>
        <w:rPr>
          <w:w w:val="95"/>
        </w:rPr>
        <w:t>因追加投资等原因能够对非同一控制下的被投资方实施控制的，对于购买日之前持有的被购买方的股</w:t>
      </w:r>
      <w:r>
        <w:rPr>
          <w:w w:val="99"/>
        </w:rPr>
        <w:t> </w:t>
      </w:r>
      <w:r>
        <w:rPr>
          <w:w w:val="95"/>
        </w:rPr>
        <w:t>权，本公司按照该股权在购买日的公允价值进行重新计量，公允价值与其账面价值的差额计入当期投资收</w:t>
      </w:r>
      <w:r>
        <w:rPr>
          <w:spacing w:val="38"/>
          <w:w w:val="95"/>
        </w:rPr>
        <w:t> </w:t>
      </w:r>
      <w:r>
        <w:rPr>
          <w:spacing w:val="38"/>
          <w:w w:val="95"/>
        </w:rPr>
      </w:r>
      <w:r>
        <w:rPr>
          <w:w w:val="95"/>
        </w:rPr>
        <w:t>益。购买日之前持有的被购买方的股权涉及权益法核算下的其他综合收益以及除净损益、其他综合收益和</w:t>
      </w:r>
      <w:r>
        <w:rPr>
          <w:spacing w:val="40"/>
          <w:w w:val="95"/>
        </w:rPr>
        <w:t> </w:t>
      </w:r>
      <w:r>
        <w:rPr>
          <w:spacing w:val="40"/>
          <w:w w:val="95"/>
        </w:rPr>
      </w:r>
      <w:r>
        <w:rPr>
          <w:w w:val="95"/>
        </w:rPr>
        <w:t>利润分配之外的其他所有者权益变动的，与其相关的其他综合收益、其他所有者权益变动转为购买日所属</w:t>
      </w:r>
      <w:r>
        <w:rPr>
          <w:spacing w:val="37"/>
          <w:w w:val="95"/>
        </w:rPr>
        <w:t> </w:t>
      </w:r>
      <w:r>
        <w:rPr>
          <w:spacing w:val="37"/>
          <w:w w:val="95"/>
        </w:rPr>
      </w:r>
      <w:r>
        <w:rPr/>
        <w:t>当期投资收益，由于被投资方重新计量设定受益计划净负债或净资产变动而产生的其他综合收益除外。</w:t>
      </w:r>
    </w:p>
    <w:p>
      <w:pPr>
        <w:pStyle w:val="BodyText"/>
        <w:spacing w:line="240" w:lineRule="auto"/>
        <w:ind w:left="564" w:right="2127"/>
        <w:jc w:val="left"/>
      </w:pPr>
      <w:r>
        <w:rPr/>
        <w:t>2）处置子公司或业务</w:t>
      </w:r>
    </w:p>
    <w:p>
      <w:pPr>
        <w:pStyle w:val="BodyText"/>
        <w:spacing w:line="273" w:lineRule="auto" w:before="37"/>
        <w:ind w:left="532" w:right="1125"/>
        <w:jc w:val="left"/>
      </w:pPr>
      <w:r>
        <w:rPr/>
        <w:t>①一般处理方法</w:t>
      </w:r>
      <w:r>
        <w:rPr>
          <w:w w:val="99"/>
        </w:rPr>
        <w:t> </w:t>
      </w:r>
      <w:r>
        <w:rPr>
          <w:w w:val="95"/>
        </w:rPr>
        <w:t>在报告期内，本公司处置子公司或业务，则该子公司或业务期初至处置日的收入、费用、利润纳入合</w:t>
      </w:r>
      <w:r>
        <w:rPr/>
      </w:r>
    </w:p>
    <w:p>
      <w:pPr>
        <w:pStyle w:val="BodyText"/>
        <w:spacing w:line="273" w:lineRule="auto"/>
        <w:ind w:left="532" w:right="0" w:hanging="420"/>
        <w:jc w:val="left"/>
      </w:pPr>
      <w:r>
        <w:rPr/>
        <w:t>并利润表；该子公司或业务期初至处置日的现金流量纳入合并现金流量表。</w:t>
      </w:r>
      <w:r>
        <w:rPr>
          <w:w w:val="99"/>
        </w:rPr>
        <w:t> </w:t>
      </w:r>
      <w:r>
        <w:rPr>
          <w:w w:val="95"/>
        </w:rPr>
        <w:t>因处置部分股权投资或其他原因丧失了对被投资方控制权时，对于处置后的剩余股权投资，本公司按</w:t>
      </w:r>
      <w:r>
        <w:rPr/>
      </w:r>
    </w:p>
    <w:p>
      <w:pPr>
        <w:pStyle w:val="BodyText"/>
        <w:spacing w:line="273" w:lineRule="auto"/>
        <w:ind w:right="1135"/>
        <w:jc w:val="both"/>
      </w:pPr>
      <w:r>
        <w:rPr>
          <w:w w:val="95"/>
        </w:rPr>
        <w:t>照其在丧失控制权日的公允价值进行重新计量。处置股权取得的对价与剩余股权公允价值之和，减去按原</w:t>
      </w:r>
      <w:r>
        <w:rPr>
          <w:spacing w:val="37"/>
          <w:w w:val="95"/>
        </w:rPr>
        <w:t> </w:t>
      </w:r>
      <w:r>
        <w:rPr>
          <w:spacing w:val="37"/>
          <w:w w:val="95"/>
        </w:rPr>
      </w:r>
      <w:r>
        <w:rPr>
          <w:w w:val="95"/>
        </w:rPr>
        <w:t>持股比例计算应享有原有子公司自购买日或合并日开始持续计算的净资产的份额与商誉之和的差额，计入</w:t>
      </w:r>
      <w:r>
        <w:rPr>
          <w:spacing w:val="37"/>
          <w:w w:val="95"/>
        </w:rPr>
        <w:t> </w:t>
      </w:r>
      <w:r>
        <w:rPr>
          <w:spacing w:val="37"/>
          <w:w w:val="95"/>
        </w:rPr>
      </w:r>
      <w:r>
        <w:rPr>
          <w:w w:val="95"/>
        </w:rPr>
        <w:t>丧失控制权当期的投资收益。与原有子公司股权投资相关的其他综合收益或除净损益、其他综合收益及利</w:t>
      </w:r>
      <w:r>
        <w:rPr>
          <w:spacing w:val="37"/>
          <w:w w:val="95"/>
        </w:rPr>
        <w:t> </w:t>
      </w:r>
      <w:r>
        <w:rPr>
          <w:spacing w:val="37"/>
          <w:w w:val="95"/>
        </w:rPr>
      </w:r>
      <w:r>
        <w:rPr>
          <w:w w:val="95"/>
        </w:rPr>
        <w:t>润分配之外的其他所有者权益变动，在丧失控制权时转为当期投资收益，由于被投资方重新计量设定受益</w:t>
      </w:r>
      <w:r>
        <w:rPr>
          <w:spacing w:val="37"/>
          <w:w w:val="95"/>
        </w:rPr>
        <w:t> </w:t>
      </w:r>
      <w:r>
        <w:rPr>
          <w:spacing w:val="37"/>
          <w:w w:val="95"/>
        </w:rPr>
      </w:r>
      <w:r>
        <w:rPr/>
        <w:t>计划净负债或净资产变动而产生的其他综合收益除外。</w:t>
      </w:r>
    </w:p>
    <w:p>
      <w:pPr>
        <w:pStyle w:val="BodyText"/>
        <w:spacing w:line="273" w:lineRule="auto"/>
        <w:ind w:left="532" w:right="0"/>
        <w:jc w:val="left"/>
      </w:pPr>
      <w:r>
        <w:rPr/>
        <w:t>②分步处置子公司</w:t>
      </w:r>
      <w:r>
        <w:rPr>
          <w:w w:val="99"/>
        </w:rPr>
        <w:t> </w:t>
      </w:r>
      <w:r>
        <w:rPr>
          <w:w w:val="95"/>
        </w:rPr>
        <w:t>通过多次交易分步处置对子公司股权投资直至丧失控制权的，处置对子公司股权投资的各项交易的条</w:t>
      </w:r>
      <w:r>
        <w:rPr/>
      </w:r>
    </w:p>
    <w:p>
      <w:pPr>
        <w:pStyle w:val="BodyText"/>
        <w:spacing w:line="273" w:lineRule="auto" w:before="8"/>
        <w:ind w:right="1135"/>
        <w:jc w:val="both"/>
      </w:pPr>
      <w:r>
        <w:rPr>
          <w:w w:val="95"/>
        </w:rPr>
        <w:t>款、条件以及经济影响符合以下一种或多种情况，通常表明应将多次交易事项作为一揽子交易进行会计处   </w:t>
      </w:r>
      <w:r>
        <w:rPr>
          <w:spacing w:val="37"/>
          <w:w w:val="95"/>
        </w:rPr>
        <w:t> </w:t>
      </w:r>
      <w:r>
        <w:rPr>
          <w:spacing w:val="37"/>
          <w:w w:val="95"/>
        </w:rPr>
      </w:r>
      <w:r>
        <w:rPr/>
        <w:t>理：</w:t>
      </w:r>
    </w:p>
    <w:p>
      <w:pPr>
        <w:pStyle w:val="BodyText"/>
        <w:spacing w:line="273" w:lineRule="auto"/>
        <w:ind w:left="532" w:right="1156"/>
        <w:jc w:val="left"/>
      </w:pPr>
      <w:r>
        <w:rPr/>
        <w:t>a.这些交易是同时或者在考虑了彼此影响的情况下订立的；</w:t>
      </w:r>
      <w:r>
        <w:rPr>
          <w:w w:val="99"/>
        </w:rPr>
        <w:t> </w:t>
      </w:r>
      <w:r>
        <w:rPr/>
        <w:t>b.这些交易整体才能达成一项完整的商业结果；</w:t>
      </w:r>
      <w:r>
        <w:rPr>
          <w:w w:val="99"/>
        </w:rPr>
        <w:t> </w:t>
      </w:r>
      <w:r>
        <w:rPr/>
        <w:t>c.一项交易的发生取决于其他至少一项交易的发生；</w:t>
      </w:r>
      <w:r>
        <w:rPr>
          <w:w w:val="99"/>
        </w:rPr>
        <w:t> </w:t>
      </w:r>
      <w:r>
        <w:rPr/>
        <w:t>d.一项交易单独看是不经济的，但是和其他交易一并考虑时是经济的。</w:t>
      </w:r>
      <w:r>
        <w:rPr>
          <w:w w:val="99"/>
        </w:rPr>
        <w:t> </w:t>
      </w:r>
      <w:r>
        <w:rPr>
          <w:w w:val="95"/>
        </w:rPr>
        <w:t>处置对子公司股权投资直至丧失控制权的各项交易属于一揽子交易的，本公司将各项交易作为一项处</w:t>
      </w:r>
      <w:r>
        <w:rPr/>
      </w:r>
    </w:p>
    <w:p>
      <w:pPr>
        <w:pStyle w:val="BodyText"/>
        <w:spacing w:line="273" w:lineRule="auto"/>
        <w:ind w:right="1132"/>
        <w:jc w:val="both"/>
      </w:pPr>
      <w:r>
        <w:rPr>
          <w:w w:val="95"/>
        </w:rPr>
        <w:t>置子公司并丧失控制权的交易进行会计处理；但是，在丧失控制权之前每一次处置价款与处置投资对应的</w:t>
      </w:r>
      <w:r>
        <w:rPr>
          <w:spacing w:val="40"/>
          <w:w w:val="95"/>
        </w:rPr>
        <w:t> </w:t>
      </w:r>
      <w:r>
        <w:rPr>
          <w:spacing w:val="40"/>
          <w:w w:val="95"/>
        </w:rPr>
      </w:r>
      <w:r>
        <w:rPr>
          <w:w w:val="95"/>
        </w:rPr>
        <w:t>享有该子公司净资产份额的差额，在合并财务报表中确认为其他综合收益，在丧失控制权时一并转入丧失</w:t>
      </w:r>
      <w:r>
        <w:rPr>
          <w:spacing w:val="40"/>
          <w:w w:val="95"/>
        </w:rPr>
        <w:t> </w:t>
      </w:r>
      <w:r>
        <w:rPr>
          <w:spacing w:val="40"/>
          <w:w w:val="95"/>
        </w:rPr>
      </w:r>
      <w:r>
        <w:rPr/>
        <w:t>控制权当期的损益。</w:t>
      </w:r>
    </w:p>
    <w:p>
      <w:pPr>
        <w:pStyle w:val="BodyText"/>
        <w:spacing w:line="273" w:lineRule="auto" w:before="8"/>
        <w:ind w:right="1132" w:firstLine="420"/>
        <w:jc w:val="both"/>
      </w:pPr>
      <w:r>
        <w:rPr>
          <w:w w:val="95"/>
        </w:rPr>
        <w:t>处置对子公司股权投资直至丧失控制权的各项交易不属于一揽子交易的，在丧失控制权之前，按不丧</w:t>
      </w:r>
      <w:r>
        <w:rPr>
          <w:w w:val="99"/>
        </w:rPr>
        <w:t> </w:t>
      </w:r>
      <w:r>
        <w:rPr>
          <w:w w:val="95"/>
        </w:rPr>
        <w:t>失控制权的情况下部分处置对子公司的股权投资的相关政策进行会计处理；在丧失控制权时，按处置子公</w:t>
      </w:r>
      <w:r>
        <w:rPr>
          <w:spacing w:val="40"/>
          <w:w w:val="95"/>
        </w:rPr>
        <w:t> </w:t>
      </w:r>
      <w:r>
        <w:rPr>
          <w:spacing w:val="40"/>
          <w:w w:val="95"/>
        </w:rPr>
      </w:r>
      <w:r>
        <w:rPr/>
        <w:t>司一般处理方法进行会计处理。</w:t>
      </w:r>
    </w:p>
    <w:p>
      <w:pPr>
        <w:pStyle w:val="BodyText"/>
        <w:spacing w:line="273" w:lineRule="auto"/>
        <w:ind w:left="532" w:right="0" w:firstLine="31"/>
        <w:jc w:val="left"/>
      </w:pPr>
      <w:r>
        <w:rPr/>
        <w:t>3）购买子公司少数股权</w:t>
      </w:r>
      <w:r>
        <w:rPr>
          <w:w w:val="99"/>
        </w:rPr>
        <w:t> </w:t>
      </w:r>
      <w:r>
        <w:rPr>
          <w:w w:val="95"/>
        </w:rPr>
        <w:t>本公司因购买少数股权新取得的长期股权投资与按照新增持股比例计算应享有子公司自购买日（或合</w:t>
      </w:r>
      <w:r>
        <w:rPr/>
      </w:r>
    </w:p>
    <w:p>
      <w:pPr>
        <w:pStyle w:val="BodyText"/>
        <w:spacing w:line="273" w:lineRule="auto"/>
        <w:ind w:right="1132"/>
        <w:jc w:val="both"/>
      </w:pPr>
      <w:r>
        <w:rPr>
          <w:w w:val="95"/>
        </w:rPr>
        <w:t>并日）开始持续计算的净资产份额之间的差额，调整合并资产负债表中的资本公积中的股本溢价，资本公</w:t>
      </w:r>
      <w:r>
        <w:rPr>
          <w:spacing w:val="40"/>
          <w:w w:val="95"/>
        </w:rPr>
        <w:t> </w:t>
      </w:r>
      <w:r>
        <w:rPr>
          <w:spacing w:val="40"/>
          <w:w w:val="95"/>
        </w:rPr>
      </w:r>
      <w:r>
        <w:rPr/>
        <w:t>积中的股本溢价不足冲减的，调整留存收益。</w:t>
      </w:r>
    </w:p>
    <w:p>
      <w:pPr>
        <w:pStyle w:val="BodyText"/>
        <w:spacing w:line="273" w:lineRule="auto"/>
        <w:ind w:left="532" w:right="0"/>
        <w:jc w:val="left"/>
      </w:pPr>
      <w:r>
        <w:rPr/>
        <w:t>4）不丧失控制权的情况下部分处置对子公司的股权投资</w:t>
      </w:r>
      <w:r>
        <w:rPr>
          <w:w w:val="99"/>
        </w:rPr>
        <w:t> </w:t>
      </w:r>
      <w:r>
        <w:rPr>
          <w:w w:val="95"/>
        </w:rPr>
        <w:t>在不丧失控制权的情况下因部分处置对子公司的长期股权投资而取得的处置价款与处置长期股权投</w:t>
      </w:r>
      <w:r>
        <w:rPr/>
      </w:r>
    </w:p>
    <w:p>
      <w:pPr>
        <w:pStyle w:val="BodyText"/>
        <w:spacing w:line="273" w:lineRule="auto"/>
        <w:ind w:right="1132"/>
        <w:jc w:val="both"/>
      </w:pPr>
      <w:r>
        <w:rPr>
          <w:w w:val="95"/>
        </w:rPr>
        <w:t>资相对应享有子公司自购买日或合并日开始持续计算的净资产份额之间的差额，调整合并资产负债表中的</w:t>
      </w:r>
      <w:r>
        <w:rPr>
          <w:spacing w:val="39"/>
          <w:w w:val="95"/>
        </w:rPr>
        <w:t> </w:t>
      </w:r>
      <w:r>
        <w:rPr>
          <w:spacing w:val="39"/>
          <w:w w:val="95"/>
        </w:rPr>
      </w:r>
      <w:r>
        <w:rPr/>
        <w:t>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both"/>
        <w:rPr>
          <w:b w:val="0"/>
          <w:bCs w:val="0"/>
        </w:rPr>
      </w:pPr>
      <w:bookmarkStart w:name="7、合营安排分类及共同经营会计处理方法" w:id="177"/>
      <w:bookmarkEnd w:id="177"/>
      <w:r>
        <w:rPr>
          <w:b w:val="0"/>
          <w:bCs w:val="0"/>
        </w:rPr>
      </w:r>
      <w:r>
        <w:rPr/>
        <w:t>7、合营安排分类及共同经营会计处理方法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1125" w:hanging="420"/>
        <w:jc w:val="left"/>
      </w:pPr>
      <w:r>
        <w:rPr>
          <w:rFonts w:ascii="宋体" w:hAnsi="宋体" w:cs="宋体" w:eastAsia="宋体" w:hint="default"/>
          <w:b/>
          <w:bCs/>
        </w:rPr>
        <w:t>（1）合营安排的分类</w:t>
      </w:r>
      <w:r>
        <w:rPr>
          <w:rFonts w:ascii="宋体" w:hAnsi="宋体" w:cs="宋体" w:eastAsia="宋体" w:hint="default"/>
          <w:b/>
          <w:bCs/>
          <w:w w:val="99"/>
        </w:rPr>
        <w:t> </w:t>
      </w:r>
      <w:r>
        <w:rPr>
          <w:w w:val="95"/>
        </w:rPr>
        <w:t>本公司根据合营安排的结构、法律形式以及合营安排中约定的条款、其他相关事实和情况等因素，将</w:t>
      </w:r>
      <w:r>
        <w:rPr/>
      </w:r>
    </w:p>
    <w:p>
      <w:pPr>
        <w:spacing w:after="0" w:line="273"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left="532" w:right="0" w:hanging="420"/>
        <w:jc w:val="left"/>
      </w:pPr>
      <w:r>
        <w:rPr/>
        <w:t>合营安排分为共同经营和合营企业。</w:t>
      </w:r>
      <w:r>
        <w:rPr>
          <w:w w:val="99"/>
        </w:rPr>
        <w:t> </w:t>
      </w:r>
      <w:r>
        <w:rPr>
          <w:w w:val="95"/>
        </w:rPr>
        <w:t>未通过单独主体达成的合营安排，划分为共同经营；通过单独主体达成的合营安排，通常划分为合营</w:t>
      </w:r>
      <w:r>
        <w:rPr/>
      </w:r>
    </w:p>
    <w:p>
      <w:pPr>
        <w:pStyle w:val="BodyText"/>
        <w:spacing w:line="273" w:lineRule="auto"/>
        <w:ind w:left="532" w:right="0" w:hanging="420"/>
        <w:jc w:val="left"/>
      </w:pPr>
      <w:r>
        <w:rPr>
          <w:w w:val="95"/>
        </w:rPr>
        <w:t>企业；但有确凿证据表明满足下列任一条件并且符合相关法律法规规定的合营安排划分为共同经营：</w:t>
      </w:r>
      <w:r>
        <w:rPr>
          <w:spacing w:val="38"/>
          <w:w w:val="95"/>
        </w:rPr>
        <w:t> </w:t>
      </w:r>
      <w:r>
        <w:rPr>
          <w:spacing w:val="38"/>
          <w:w w:val="95"/>
        </w:rPr>
      </w:r>
      <w:r>
        <w:rPr/>
        <w:t>1）合营安排的法律形式表明，合营方对该安排中的相关资产和负债分别享有权利和承担义务。</w:t>
      </w:r>
    </w:p>
    <w:p>
      <w:pPr>
        <w:pStyle w:val="BodyText"/>
        <w:spacing w:line="240" w:lineRule="auto"/>
        <w:ind w:left="532" w:right="0"/>
        <w:jc w:val="left"/>
      </w:pPr>
      <w:r>
        <w:rPr/>
        <w:t>2）合营安排的合同条款约定，合营方对该安排中的相关资产和负债分别享有权利和承担义务。</w:t>
      </w:r>
    </w:p>
    <w:p>
      <w:pPr>
        <w:pStyle w:val="BodyText"/>
        <w:spacing w:line="273" w:lineRule="auto" w:before="37"/>
        <w:ind w:right="0" w:firstLine="420"/>
        <w:jc w:val="left"/>
      </w:pPr>
      <w:r>
        <w:rPr>
          <w:w w:val="95"/>
        </w:rPr>
        <w:t>3）其他相关事实和情况表明，合营方对该安排中的相关资产和负债分别享有权利和承担义务，如合</w:t>
      </w:r>
      <w:r>
        <w:rPr>
          <w:spacing w:val="-85"/>
          <w:w w:val="95"/>
        </w:rPr>
        <w:t> </w:t>
      </w:r>
      <w:r>
        <w:rPr>
          <w:spacing w:val="-85"/>
          <w:w w:val="95"/>
        </w:rPr>
      </w:r>
      <w:r>
        <w:rPr/>
        <w:t>营方享有与合营安排相关的几乎所有产出，并且该安排中负债的清偿持续依赖于合营方的支持。</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（2）共同经营会计处理方法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本公司确认共同经营中利益份额中与本公司相关的下列项目，并按照相关企业会计准则的规定进行会</w:t>
      </w:r>
      <w:r>
        <w:rPr>
          <w:rFonts w:ascii="宋体" w:hAnsi="宋体" w:cs="宋体" w:eastAsia="宋体" w:hint="default"/>
          <w:sz w:val="21"/>
          <w:szCs w:val="21"/>
        </w:rPr>
      </w:r>
    </w:p>
    <w:p>
      <w:pPr>
        <w:pStyle w:val="BodyText"/>
        <w:spacing w:line="240" w:lineRule="auto"/>
        <w:ind w:right="2127"/>
        <w:jc w:val="left"/>
      </w:pPr>
      <w:r>
        <w:rPr/>
        <w:t>计处理：</w:t>
      </w:r>
    </w:p>
    <w:p>
      <w:pPr>
        <w:pStyle w:val="BodyText"/>
        <w:spacing w:line="240" w:lineRule="auto" w:before="37"/>
        <w:ind w:left="532" w:right="2127"/>
        <w:jc w:val="left"/>
      </w:pPr>
      <w:r>
        <w:rPr/>
        <w:t>1）确认单独所持有的资产，以及按其份额确认共同持有的资产；</w:t>
      </w:r>
    </w:p>
    <w:p>
      <w:pPr>
        <w:pStyle w:val="BodyText"/>
        <w:spacing w:line="240" w:lineRule="auto" w:before="37"/>
        <w:ind w:left="532" w:right="2127"/>
        <w:jc w:val="left"/>
      </w:pPr>
      <w:r>
        <w:rPr/>
        <w:t>2）确认单独所承担的负债，以及按其份额确认共同承担的负债；</w:t>
      </w:r>
    </w:p>
    <w:p>
      <w:pPr>
        <w:pStyle w:val="BodyText"/>
        <w:spacing w:line="240" w:lineRule="auto" w:before="37"/>
        <w:ind w:left="532" w:right="2127"/>
        <w:jc w:val="left"/>
      </w:pPr>
      <w:r>
        <w:rPr/>
        <w:t>3）确认出售其享有的共同经营产出份额所产生的收入；</w:t>
      </w:r>
    </w:p>
    <w:p>
      <w:pPr>
        <w:pStyle w:val="BodyText"/>
        <w:spacing w:line="240" w:lineRule="auto" w:before="37"/>
        <w:ind w:left="532" w:right="2127"/>
        <w:jc w:val="left"/>
      </w:pPr>
      <w:r>
        <w:rPr/>
        <w:t>4）按其份额确认共同经营因出售产出所产生的收入；</w:t>
      </w:r>
    </w:p>
    <w:p>
      <w:pPr>
        <w:pStyle w:val="BodyText"/>
        <w:spacing w:line="273" w:lineRule="auto" w:before="37"/>
        <w:ind w:left="532" w:right="0"/>
        <w:jc w:val="left"/>
      </w:pPr>
      <w:r>
        <w:rPr/>
        <w:t>5）确认单独所发生的费用，以及按其份额确认共同经营发生的费用。</w:t>
      </w:r>
      <w:r>
        <w:rPr>
          <w:w w:val="99"/>
        </w:rPr>
        <w:t> </w:t>
      </w:r>
      <w:r>
        <w:rPr>
          <w:w w:val="95"/>
        </w:rPr>
        <w:t>本公司向共同经营投出或出售资产等（该资产构成业务的除外），在该资产等由共同经营出售给第三</w:t>
      </w:r>
      <w:r>
        <w:rPr/>
      </w:r>
    </w:p>
    <w:p>
      <w:pPr>
        <w:pStyle w:val="BodyText"/>
        <w:spacing w:line="273" w:lineRule="auto"/>
        <w:ind w:right="1132"/>
        <w:jc w:val="both"/>
      </w:pPr>
      <w:r>
        <w:rPr>
          <w:spacing w:val="-5"/>
        </w:rPr>
        <w:t>方之前，仅确认因该交易产生的损益中归属于共同经营其他参与方的部分。投出或出售的资产发生符合《企</w:t>
      </w:r>
      <w:r>
        <w:rPr>
          <w:w w:val="99"/>
        </w:rPr>
        <w:t> </w:t>
      </w:r>
      <w:r>
        <w:rPr/>
        <w:t>业会计准则第8号——资产减值》等规定的资产减值损失的，本公司全额确认该损失。</w:t>
      </w:r>
    </w:p>
    <w:p>
      <w:pPr>
        <w:pStyle w:val="BodyText"/>
        <w:spacing w:line="273" w:lineRule="auto"/>
        <w:ind w:right="0" w:firstLine="420"/>
        <w:jc w:val="left"/>
      </w:pPr>
      <w:r>
        <w:rPr>
          <w:w w:val="95"/>
        </w:rPr>
        <w:t>本公司自共同经营购买资产等（该资产构成业务的除外），在将该资产等出售给第三方之前，仅确认</w:t>
      </w:r>
      <w:r>
        <w:rPr>
          <w:w w:val="99"/>
        </w:rPr>
        <w:t> </w:t>
      </w:r>
      <w:r>
        <w:rPr/>
        <w:t>因该交易产生的损益中归属于共同经营其他参与方的部分。购入的资产发生符合《企业会计准则第8号—</w:t>
      </w:r>
    </w:p>
    <w:p>
      <w:pPr>
        <w:pStyle w:val="BodyText"/>
        <w:spacing w:line="273" w:lineRule="auto"/>
        <w:ind w:left="532" w:right="0" w:hanging="420"/>
        <w:jc w:val="left"/>
      </w:pPr>
      <w:r>
        <w:rPr/>
        <w:t>—资产减值》等规定的资产减值损失的，本公司按承担的份额确认该部分损失。</w:t>
      </w:r>
      <w:r>
        <w:rPr>
          <w:w w:val="99"/>
        </w:rPr>
        <w:t> </w:t>
      </w:r>
      <w:r>
        <w:rPr>
          <w:w w:val="95"/>
        </w:rPr>
        <w:t>本公司对共同经营不享有共同控制，如果本公司享有该共同经营相关资产且承担该共同经营相关负债</w:t>
      </w:r>
      <w:r>
        <w:rPr/>
      </w:r>
    </w:p>
    <w:p>
      <w:pPr>
        <w:pStyle w:val="BodyText"/>
        <w:spacing w:line="240" w:lineRule="auto" w:before="8"/>
        <w:ind w:right="2127"/>
        <w:jc w:val="left"/>
      </w:pPr>
      <w:r>
        <w:rPr/>
        <w:t>的，仍按上述原则进行会计处理，否则，应当按照相关企业会计准则的规定进行会计处理。</w:t>
      </w:r>
    </w:p>
    <w:p>
      <w:pPr>
        <w:spacing w:line="240" w:lineRule="auto" w:before="13"/>
        <w:rPr>
          <w:rFonts w:ascii="宋体" w:hAnsi="宋体" w:cs="宋体" w:eastAsia="宋体" w:hint="default"/>
          <w:sz w:val="23"/>
          <w:szCs w:val="23"/>
        </w:rPr>
      </w:pPr>
    </w:p>
    <w:p>
      <w:pPr>
        <w:spacing w:line="610" w:lineRule="atLeast" w:before="0"/>
        <w:ind w:left="532" w:right="0" w:hanging="420"/>
        <w:jc w:val="left"/>
        <w:rPr>
          <w:rFonts w:ascii="宋体" w:hAnsi="宋体" w:cs="宋体" w:eastAsia="宋体" w:hint="default"/>
          <w:sz w:val="21"/>
          <w:szCs w:val="21"/>
        </w:rPr>
      </w:pPr>
      <w:bookmarkStart w:name="8、现金及现金等价物的确定标准" w:id="178"/>
      <w:bookmarkEnd w:id="178"/>
      <w:r>
        <w:rPr/>
      </w:r>
      <w:r>
        <w:rPr>
          <w:rFonts w:ascii="宋体" w:hAnsi="宋体" w:cs="宋体" w:eastAsia="宋体" w:hint="default"/>
          <w:b/>
          <w:bCs/>
          <w:sz w:val="21"/>
          <w:szCs w:val="21"/>
        </w:rPr>
        <w:t>8、现金及现金等价物的确定标准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在编制现金流量表时，将本公司库存现金以及可以随时用于支付的存款确认为现金。将同时具备期限</w:t>
      </w:r>
      <w:r>
        <w:rPr>
          <w:rFonts w:ascii="宋体" w:hAnsi="宋体" w:cs="宋体" w:eastAsia="宋体" w:hint="default"/>
          <w:sz w:val="21"/>
          <w:szCs w:val="21"/>
        </w:rPr>
      </w:r>
    </w:p>
    <w:p>
      <w:pPr>
        <w:pStyle w:val="BodyText"/>
        <w:spacing w:line="273" w:lineRule="auto" w:before="37"/>
        <w:ind w:right="1132"/>
        <w:jc w:val="both"/>
      </w:pPr>
      <w:r>
        <w:rPr>
          <w:w w:val="95"/>
        </w:rPr>
        <w:t>短（一般从购买日起三个月内到期）、流动性强、易于转换为已知金额的现金、价值变动风险很小四个条</w:t>
      </w:r>
      <w:r>
        <w:rPr>
          <w:spacing w:val="40"/>
          <w:w w:val="95"/>
        </w:rPr>
        <w:t> </w:t>
      </w:r>
      <w:r>
        <w:rPr>
          <w:spacing w:val="40"/>
          <w:w w:val="95"/>
        </w:rPr>
      </w:r>
      <w:r>
        <w:rPr/>
        <w:t>件的投资，确定为现金等价物。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2127"/>
        <w:jc w:val="left"/>
        <w:rPr>
          <w:b w:val="0"/>
          <w:bCs w:val="0"/>
        </w:rPr>
      </w:pPr>
      <w:bookmarkStart w:name="9、外币业务和外币报表折算" w:id="179"/>
      <w:bookmarkEnd w:id="179"/>
      <w:r>
        <w:rPr>
          <w:b w:val="0"/>
          <w:bCs w:val="0"/>
        </w:rPr>
      </w:r>
      <w:r>
        <w:rPr/>
        <w:t>9、外币业务和外币报表折算</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jc w:val="left"/>
      </w:pPr>
      <w:r>
        <w:rPr/>
        <w:t>外币业务交易在初始确认时，采用交易发生日的即期汇率作为折算汇率折合成人民币记账。</w:t>
      </w:r>
      <w:r>
        <w:rPr>
          <w:w w:val="99"/>
        </w:rPr>
        <w:t> </w:t>
      </w:r>
      <w:r>
        <w:rPr>
          <w:w w:val="95"/>
        </w:rPr>
        <w:t>资产负债表日，外币货币性项目按资产负债表日即期汇率折算，由此产生的汇兑差额，除属于与购建</w:t>
      </w:r>
      <w:r>
        <w:rPr/>
      </w:r>
    </w:p>
    <w:p>
      <w:pPr>
        <w:pStyle w:val="BodyText"/>
        <w:spacing w:line="273" w:lineRule="auto"/>
        <w:ind w:right="1132"/>
        <w:jc w:val="both"/>
      </w:pPr>
      <w:r>
        <w:rPr>
          <w:w w:val="95"/>
        </w:rPr>
        <w:t>符合资本化条件的资产相关的外币专门借款产生的汇兑差额按照借款费用资本化的原则处理外，均计入当</w:t>
      </w:r>
      <w:r>
        <w:rPr>
          <w:spacing w:val="37"/>
          <w:w w:val="95"/>
        </w:rPr>
        <w:t> </w:t>
      </w:r>
      <w:r>
        <w:rPr>
          <w:spacing w:val="37"/>
          <w:w w:val="95"/>
        </w:rPr>
      </w:r>
      <w:r>
        <w:rPr>
          <w:w w:val="95"/>
        </w:rPr>
        <w:t>期损益。以历史成本计量的外币非货币性项目，仍采用交易发生日的即期汇率折算，不改变其记账本位币  </w:t>
      </w:r>
      <w:r>
        <w:rPr>
          <w:spacing w:val="40"/>
          <w:w w:val="95"/>
        </w:rPr>
        <w:t> </w:t>
      </w:r>
      <w:r>
        <w:rPr>
          <w:spacing w:val="40"/>
          <w:w w:val="95"/>
        </w:rPr>
      </w:r>
      <w:r>
        <w:rPr/>
        <w:t>金额。</w:t>
      </w:r>
    </w:p>
    <w:p>
      <w:pPr>
        <w:pStyle w:val="BodyText"/>
        <w:spacing w:line="273" w:lineRule="auto"/>
        <w:ind w:right="1132" w:firstLine="420"/>
        <w:jc w:val="both"/>
      </w:pPr>
      <w:r>
        <w:rPr>
          <w:w w:val="95"/>
        </w:rPr>
        <w:t>以公允价值计量的外币非货币性项目，采用公允价值确定日的即期汇率折算，由此产生的汇兑差额作</w:t>
      </w:r>
      <w:r>
        <w:rPr>
          <w:w w:val="99"/>
        </w:rPr>
        <w:t> </w:t>
      </w:r>
      <w:r>
        <w:rPr>
          <w:w w:val="95"/>
        </w:rPr>
        <w:t>为公允价值变动损益计入当期损益。如属于可供出售外币非货币性项目的，形成的汇兑差额计入其他综合  </w:t>
      </w:r>
      <w:r>
        <w:rPr>
          <w:spacing w:val="40"/>
          <w:w w:val="95"/>
        </w:rPr>
        <w:t> </w:t>
      </w:r>
      <w:r>
        <w:rPr>
          <w:spacing w:val="40"/>
          <w:w w:val="95"/>
        </w:rPr>
      </w:r>
      <w:r>
        <w:rPr/>
        <w:t>收益。</w:t>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10、金融工具" w:id="180"/>
      <w:bookmarkEnd w:id="180"/>
      <w:r>
        <w:rPr>
          <w:b w:val="0"/>
          <w:bCs w:val="0"/>
        </w:rPr>
      </w:r>
      <w:r>
        <w:rPr/>
        <w:t>10、金融工具</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32" w:right="2127"/>
        <w:jc w:val="left"/>
      </w:pPr>
      <w:r>
        <w:rPr/>
        <w:t>金融工具包括金融资产、金融负债和权益工具。</w:t>
      </w:r>
    </w:p>
    <w:p>
      <w:pPr>
        <w:pStyle w:val="BodyText"/>
        <w:spacing w:line="273" w:lineRule="auto" w:before="37"/>
        <w:ind w:left="532" w:right="1125" w:hanging="420"/>
        <w:jc w:val="left"/>
      </w:pPr>
      <w:r>
        <w:rPr>
          <w:rFonts w:ascii="宋体" w:hAnsi="宋体" w:cs="宋体" w:eastAsia="宋体" w:hint="default"/>
          <w:b/>
          <w:bCs/>
        </w:rPr>
        <w:t>（1）金融工具的分类</w:t>
      </w:r>
      <w:r>
        <w:rPr>
          <w:rFonts w:ascii="宋体" w:hAnsi="宋体" w:cs="宋体" w:eastAsia="宋体" w:hint="default"/>
          <w:b/>
          <w:bCs/>
          <w:w w:val="99"/>
        </w:rPr>
        <w:t> </w:t>
      </w:r>
      <w:r>
        <w:rPr>
          <w:w w:val="95"/>
        </w:rPr>
        <w:t>本公司根据所发行金融工具的合同条款及其所反映的经济实质而非仅以法律形式，结合取得持有金融</w:t>
      </w:r>
      <w:r>
        <w:rPr/>
      </w:r>
    </w:p>
    <w:p>
      <w:pPr>
        <w:pStyle w:val="BodyText"/>
        <w:spacing w:line="273" w:lineRule="auto"/>
        <w:ind w:right="1135"/>
        <w:jc w:val="both"/>
      </w:pPr>
      <w:r>
        <w:rPr>
          <w:w w:val="95"/>
        </w:rPr>
        <w:t>资产和承担金融负债的目的，在初始确认时将金融资产和金融负债分为不同类别：以公允价值计量且其变</w:t>
      </w:r>
      <w:r>
        <w:rPr>
          <w:spacing w:val="37"/>
          <w:w w:val="95"/>
        </w:rPr>
        <w:t> </w:t>
      </w:r>
      <w:r>
        <w:rPr>
          <w:spacing w:val="37"/>
          <w:w w:val="95"/>
        </w:rPr>
      </w:r>
      <w:r>
        <w:rPr>
          <w:w w:val="95"/>
        </w:rPr>
        <w:t>动计入当期损益的金融资产（或金融负债）；持有至到期投资；应收款项；可供出售金融资产；其他金融</w:t>
      </w:r>
      <w:r>
        <w:rPr>
          <w:spacing w:val="36"/>
          <w:w w:val="95"/>
        </w:rPr>
        <w:t> </w:t>
      </w:r>
      <w:r>
        <w:rPr>
          <w:spacing w:val="36"/>
          <w:w w:val="95"/>
        </w:rPr>
      </w:r>
      <w:r>
        <w:rPr/>
        <w:t>负债等。</w:t>
      </w:r>
    </w:p>
    <w:p>
      <w:pPr>
        <w:spacing w:line="273" w:lineRule="auto" w:before="7"/>
        <w:ind w:left="952" w:right="2127" w:hanging="840"/>
        <w:jc w:val="left"/>
        <w:rPr>
          <w:rFonts w:ascii="宋体" w:hAnsi="宋体" w:cs="宋体" w:eastAsia="宋体" w:hint="default"/>
          <w:sz w:val="21"/>
          <w:szCs w:val="21"/>
        </w:rPr>
      </w:pPr>
      <w:r>
        <w:rPr>
          <w:rFonts w:ascii="宋体" w:hAnsi="宋体" w:cs="宋体" w:eastAsia="宋体" w:hint="default"/>
          <w:b/>
          <w:bCs/>
          <w:sz w:val="21"/>
          <w:szCs w:val="21"/>
        </w:rPr>
        <w:t>（2）金融工具的确认依据和计量方法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1）以公允价值计量且其变动计入当期损益的金融资产（金融负债）</w:t>
      </w:r>
      <w:r>
        <w:rPr>
          <w:rFonts w:ascii="宋体" w:hAnsi="宋体" w:cs="宋体" w:eastAsia="宋体" w:hint="default"/>
          <w:sz w:val="21"/>
          <w:szCs w:val="21"/>
        </w:rPr>
      </w:r>
    </w:p>
    <w:p>
      <w:pPr>
        <w:pStyle w:val="BodyText"/>
        <w:spacing w:line="273" w:lineRule="auto"/>
        <w:ind w:right="0" w:firstLine="420"/>
        <w:jc w:val="left"/>
      </w:pPr>
      <w:r>
        <w:rPr>
          <w:w w:val="95"/>
        </w:rPr>
        <w:t>以公允价值计量且其变动计入当期损益的金融资产或金融负债，包括交易性金融资产或金融负债和直</w:t>
      </w:r>
      <w:r>
        <w:rPr>
          <w:w w:val="99"/>
        </w:rPr>
        <w:t> </w:t>
      </w:r>
      <w:r>
        <w:rPr/>
        <w:t>接指定为以公允价值计量且其变动计入当期损益的金融资产或金融负债。</w:t>
      </w:r>
    </w:p>
    <w:p>
      <w:pPr>
        <w:pStyle w:val="BodyText"/>
        <w:spacing w:line="240" w:lineRule="auto"/>
        <w:ind w:left="532" w:right="2127"/>
        <w:jc w:val="left"/>
      </w:pPr>
      <w:r>
        <w:rPr/>
        <w:t>交易性金融资产或金融负债是指满足下列条件之一的金融资产或金融负债：</w:t>
      </w:r>
    </w:p>
    <w:p>
      <w:pPr>
        <w:pStyle w:val="BodyText"/>
        <w:spacing w:line="240" w:lineRule="auto" w:before="37"/>
        <w:ind w:left="532" w:right="2127"/>
        <w:jc w:val="left"/>
      </w:pPr>
      <w:r>
        <w:rPr/>
        <w:t>①取得该金融资产或金融负债的目的是为了在短期内出售、回购或赎回；</w:t>
      </w:r>
    </w:p>
    <w:p>
      <w:pPr>
        <w:pStyle w:val="BodyText"/>
        <w:spacing w:line="273" w:lineRule="auto" w:before="37"/>
        <w:ind w:right="0" w:firstLine="420"/>
        <w:jc w:val="left"/>
      </w:pPr>
      <w:r>
        <w:rPr>
          <w:w w:val="95"/>
        </w:rPr>
        <w:t>②属于进行集中管理的可辨认金融工具组合的一部分，且有客观证据表明本公司近期采用短期获利方</w:t>
      </w:r>
      <w:r>
        <w:rPr>
          <w:w w:val="99"/>
        </w:rPr>
        <w:t> </w:t>
      </w:r>
      <w:r>
        <w:rPr/>
        <w:t>式对该组合进行管理；</w:t>
      </w:r>
    </w:p>
    <w:p>
      <w:pPr>
        <w:pStyle w:val="BodyText"/>
        <w:spacing w:line="273" w:lineRule="auto"/>
        <w:ind w:right="1125" w:firstLine="420"/>
        <w:jc w:val="left"/>
      </w:pPr>
      <w:r>
        <w:rPr>
          <w:w w:val="95"/>
        </w:rPr>
        <w:t>③属于衍生金融工具，但是被指定为有效套期工具的衍生工具、属于财务担保合同的衍生工具、与在</w:t>
      </w:r>
      <w:r>
        <w:rPr>
          <w:w w:val="99"/>
        </w:rPr>
        <w:t> </w:t>
      </w:r>
      <w:r>
        <w:rPr/>
        <w:t>活跃市场中没有报价且其公允价值不能可靠计量的权益工具投资挂钩并须通过交付该权益工具结算的衍</w:t>
      </w:r>
      <w:r>
        <w:rPr>
          <w:w w:val="99"/>
        </w:rPr>
        <w:t> </w:t>
      </w:r>
      <w:r>
        <w:rPr/>
        <w:t>生工具除外。</w:t>
      </w:r>
    </w:p>
    <w:p>
      <w:pPr>
        <w:pStyle w:val="BodyText"/>
        <w:spacing w:line="273" w:lineRule="auto"/>
        <w:ind w:right="0" w:firstLine="420"/>
        <w:jc w:val="left"/>
      </w:pPr>
      <w:r>
        <w:rPr>
          <w:w w:val="95"/>
        </w:rPr>
        <w:t>只有符合以下条件之一，金融资产或金融负债才可在初始计量时指定为以公允价值计量且其变动计入</w:t>
      </w:r>
      <w:r>
        <w:rPr>
          <w:w w:val="99"/>
        </w:rPr>
        <w:t> </w:t>
      </w:r>
      <w:r>
        <w:rPr/>
        <w:t>损益的金融资产或金融负债：</w:t>
      </w:r>
    </w:p>
    <w:p>
      <w:pPr>
        <w:pStyle w:val="BodyText"/>
        <w:spacing w:line="273" w:lineRule="auto"/>
        <w:ind w:right="0" w:firstLine="420"/>
        <w:jc w:val="left"/>
      </w:pPr>
      <w:r>
        <w:rPr>
          <w:w w:val="95"/>
        </w:rPr>
        <w:t>①该项指定可以消除或明显减少由于金融资产或金融负债的计量基础不同所导致的相关利得或损失</w:t>
      </w:r>
      <w:r>
        <w:rPr>
          <w:spacing w:val="-91"/>
          <w:w w:val="95"/>
        </w:rPr>
        <w:t> </w:t>
      </w:r>
      <w:r>
        <w:rPr>
          <w:spacing w:val="-91"/>
          <w:w w:val="95"/>
        </w:rPr>
      </w:r>
      <w:r>
        <w:rPr/>
        <w:t>在确认或计量方面不一致的情况；</w:t>
      </w:r>
    </w:p>
    <w:p>
      <w:pPr>
        <w:pStyle w:val="BodyText"/>
        <w:spacing w:line="273" w:lineRule="auto" w:before="8"/>
        <w:ind w:right="0" w:firstLine="420"/>
        <w:jc w:val="left"/>
      </w:pPr>
      <w:r>
        <w:rPr>
          <w:w w:val="95"/>
        </w:rPr>
        <w:t>②风险管理或投资策略的正式书面文件已载明，该金融资产组合、该金融负债组合、或该金融资产和</w:t>
      </w:r>
      <w:r>
        <w:rPr>
          <w:w w:val="99"/>
        </w:rPr>
        <w:t> </w:t>
      </w:r>
      <w:r>
        <w:rPr/>
        <w:t>金融负债组合，以公允价值为基础进行管理、评价并向关键管理人员报告；</w:t>
      </w:r>
    </w:p>
    <w:p>
      <w:pPr>
        <w:pStyle w:val="BodyText"/>
        <w:spacing w:line="273" w:lineRule="auto"/>
        <w:ind w:right="0" w:firstLine="420"/>
        <w:jc w:val="left"/>
      </w:pPr>
      <w:r>
        <w:rPr>
          <w:w w:val="95"/>
        </w:rPr>
        <w:t>③包含一项或多项嵌入衍生工具的混合工具，除非嵌入衍生工具对混合工具的现金流量没有重大改</w:t>
      </w:r>
      <w:r>
        <w:rPr>
          <w:spacing w:val="-91"/>
          <w:w w:val="95"/>
        </w:rPr>
        <w:t> </w:t>
      </w:r>
      <w:r>
        <w:rPr>
          <w:spacing w:val="-91"/>
          <w:w w:val="95"/>
        </w:rPr>
      </w:r>
      <w:r>
        <w:rPr/>
        <w:t>变，或所嵌入的衍生工具明显不应当从相关混合工具中分拆；</w:t>
      </w:r>
    </w:p>
    <w:p>
      <w:pPr>
        <w:pStyle w:val="BodyText"/>
        <w:spacing w:line="240" w:lineRule="auto"/>
        <w:ind w:left="532" w:right="0"/>
        <w:jc w:val="left"/>
      </w:pPr>
      <w:r>
        <w:rPr/>
        <w:t>④包含需要分拆但无法在取得时或后续的资产负债表日对其进行单独计量的嵌入衍生工具的混合工</w:t>
      </w:r>
    </w:p>
    <w:p>
      <w:pPr>
        <w:pStyle w:val="BodyText"/>
        <w:spacing w:line="240" w:lineRule="auto" w:before="37"/>
        <w:ind w:right="2127"/>
        <w:jc w:val="left"/>
      </w:pPr>
      <w:r>
        <w:rPr/>
        <w:t>具。</w:t>
      </w:r>
    </w:p>
    <w:p>
      <w:pPr>
        <w:pStyle w:val="BodyText"/>
        <w:spacing w:line="240" w:lineRule="auto" w:before="37"/>
        <w:ind w:left="532" w:right="0"/>
        <w:jc w:val="left"/>
      </w:pPr>
      <w:r>
        <w:rPr/>
        <w:t>本公司对以公允价值计量且其变动计入当期损益的金融资产或金融负债，在取得时以公允价值（扣除</w:t>
      </w:r>
    </w:p>
    <w:p>
      <w:pPr>
        <w:pStyle w:val="BodyText"/>
        <w:spacing w:line="273" w:lineRule="auto" w:before="37"/>
        <w:ind w:right="1112"/>
        <w:jc w:val="both"/>
      </w:pPr>
      <w:r>
        <w:rPr>
          <w:w w:val="95"/>
        </w:rPr>
        <w:t>已宣告但尚未发放的现金股利或已到付息期但尚未领取的债券利息）作为初始确认金额，相关的交易费用</w:t>
      </w:r>
      <w:r>
        <w:rPr>
          <w:spacing w:val="40"/>
          <w:w w:val="95"/>
        </w:rPr>
        <w:t> </w:t>
      </w:r>
      <w:r>
        <w:rPr>
          <w:spacing w:val="40"/>
          <w:w w:val="95"/>
        </w:rPr>
      </w:r>
      <w:r>
        <w:rPr>
          <w:w w:val="95"/>
        </w:rPr>
        <w:t>计入当期损益。持有期间将取得的利息或现金股利确认为投资收益，期末将公允价值变动计入当期损益。</w:t>
      </w:r>
      <w:r>
        <w:rPr>
          <w:spacing w:val="61"/>
          <w:w w:val="95"/>
        </w:rPr>
        <w:t> </w:t>
      </w:r>
      <w:r>
        <w:rPr>
          <w:spacing w:val="61"/>
          <w:w w:val="95"/>
        </w:rPr>
      </w:r>
      <w:r>
        <w:rPr/>
        <w:t>处置时，其公允价值与初始入账金额之间的差额确认为投资收益，同时调整公允价值变动损益。</w:t>
      </w:r>
    </w:p>
    <w:p>
      <w:pPr>
        <w:pStyle w:val="BodyText"/>
        <w:spacing w:line="273" w:lineRule="auto"/>
        <w:ind w:left="532" w:right="2127" w:firstLine="420"/>
        <w:jc w:val="left"/>
      </w:pPr>
      <w:r>
        <w:rPr/>
        <w:t>2）应收款项</w:t>
      </w:r>
      <w:r>
        <w:rPr>
          <w:w w:val="99"/>
        </w:rPr>
        <w:t> </w:t>
      </w:r>
      <w:r>
        <w:rPr>
          <w:w w:val="95"/>
        </w:rPr>
        <w:t>应收款项是指在活跃市场中没有报价、回收金额固定或可确定的非衍生金融资产。</w:t>
      </w:r>
      <w:r>
        <w:rPr/>
      </w:r>
    </w:p>
    <w:p>
      <w:pPr>
        <w:pStyle w:val="BodyText"/>
        <w:spacing w:line="273" w:lineRule="auto"/>
        <w:ind w:right="1132" w:firstLine="420"/>
        <w:jc w:val="both"/>
      </w:pPr>
      <w:r>
        <w:rPr>
          <w:w w:val="95"/>
        </w:rPr>
        <w:t>本公司对外销售商品或提供劳务形成的应收债权，以及公司持有的其他企业的债权（不包括在活跃市</w:t>
      </w:r>
      <w:r>
        <w:rPr>
          <w:w w:val="99"/>
        </w:rPr>
        <w:t> </w:t>
      </w:r>
      <w:r>
        <w:rPr>
          <w:w w:val="95"/>
        </w:rPr>
        <w:t>场上有报价的债务工具），包括应收账款、其他应收款、应收票据、长期应收款等，以向购货方应收的合</w:t>
      </w:r>
      <w:r>
        <w:rPr>
          <w:spacing w:val="40"/>
          <w:w w:val="95"/>
        </w:rPr>
        <w:t> </w:t>
      </w:r>
      <w:r>
        <w:rPr>
          <w:spacing w:val="40"/>
          <w:w w:val="95"/>
        </w:rPr>
      </w:r>
      <w:r>
        <w:rPr/>
        <w:t>同或协议价款作为初始确认金额；具有融资性质的，按其现值进行初始确认。</w:t>
      </w:r>
    </w:p>
    <w:p>
      <w:pPr>
        <w:pStyle w:val="BodyText"/>
        <w:spacing w:line="273" w:lineRule="auto"/>
        <w:ind w:left="952" w:right="2127" w:hanging="420"/>
        <w:jc w:val="left"/>
      </w:pPr>
      <w:r>
        <w:rPr>
          <w:w w:val="95"/>
        </w:rPr>
        <w:t>收回或处置时，将取得的价款与该应收款项账面价值之间的差额计入当期损益。</w:t>
      </w:r>
      <w:r>
        <w:rPr>
          <w:spacing w:val="50"/>
          <w:w w:val="95"/>
        </w:rPr>
        <w:t> </w:t>
      </w:r>
      <w:r>
        <w:rPr>
          <w:spacing w:val="50"/>
          <w:w w:val="95"/>
        </w:rPr>
      </w:r>
      <w:r>
        <w:rPr/>
        <w:t>3）持有至到期投资</w:t>
      </w:r>
    </w:p>
    <w:p>
      <w:pPr>
        <w:pStyle w:val="BodyText"/>
        <w:spacing w:line="273" w:lineRule="auto"/>
        <w:ind w:right="1135" w:firstLine="420"/>
        <w:jc w:val="both"/>
      </w:pPr>
      <w:r>
        <w:rPr>
          <w:w w:val="95"/>
        </w:rPr>
        <w:t>持有至到期投资是指到期日固定、回收金额固定或可确定，且本公司有明确意图和能力持有至到期的</w:t>
      </w:r>
      <w:r>
        <w:rPr>
          <w:w w:val="99"/>
        </w:rPr>
        <w:t> </w:t>
      </w:r>
      <w:r>
        <w:rPr/>
        <w:t>非衍生性金融资产。</w:t>
      </w:r>
    </w:p>
    <w:p>
      <w:pPr>
        <w:pStyle w:val="BodyText"/>
        <w:spacing w:line="273" w:lineRule="auto"/>
        <w:ind w:right="1132" w:firstLine="420"/>
        <w:jc w:val="both"/>
      </w:pPr>
      <w:r>
        <w:rPr>
          <w:w w:val="95"/>
        </w:rPr>
        <w:t>本公司对持有至到期投资，在取得时按公允价值（扣除已到付息期但尚未领取的债券利息）和相关交</w:t>
      </w:r>
      <w:r>
        <w:rPr>
          <w:w w:val="99"/>
        </w:rPr>
        <w:t> </w:t>
      </w:r>
      <w:r>
        <w:rPr>
          <w:w w:val="95"/>
        </w:rPr>
        <w:t>易费用之和作为初始确认金额。持有期间按照摊余成本和实际利率计算确认利息收入，计入投资收益。实</w:t>
      </w:r>
      <w:r>
        <w:rPr/>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0"/>
        <w:jc w:val="left"/>
      </w:pPr>
      <w:r>
        <w:rPr>
          <w:w w:val="95"/>
        </w:rPr>
        <w:t>际利率在取得时确定，在该预期存续期间或适用的更短期间内保持不变。处置时，将所取得价款与该投资</w:t>
      </w:r>
      <w:r>
        <w:rPr>
          <w:spacing w:val="37"/>
          <w:w w:val="95"/>
        </w:rPr>
        <w:t> </w:t>
      </w:r>
      <w:r>
        <w:rPr>
          <w:spacing w:val="37"/>
          <w:w w:val="95"/>
        </w:rPr>
      </w:r>
      <w:r>
        <w:rPr/>
        <w:t>账面价值之间的差额计入投资收益。</w:t>
      </w:r>
    </w:p>
    <w:p>
      <w:pPr>
        <w:pStyle w:val="BodyText"/>
        <w:spacing w:line="273" w:lineRule="auto"/>
        <w:ind w:right="1132" w:firstLine="420"/>
        <w:jc w:val="both"/>
      </w:pPr>
      <w:r>
        <w:rPr>
          <w:w w:val="95"/>
        </w:rPr>
        <w:t>如果持有至到期投资处置或重分类为其他类金融资产的金额，相对于本公司全部持有至到期投资在出</w:t>
      </w:r>
      <w:r>
        <w:rPr>
          <w:w w:val="99"/>
        </w:rPr>
        <w:t> </w:t>
      </w:r>
      <w:r>
        <w:rPr>
          <w:w w:val="95"/>
        </w:rPr>
        <w:t>售或重分类前的总额较大，在处置或重分类后应立即将其剩余的持有至到期投资重分类为可供出售金融资</w:t>
      </w:r>
      <w:r>
        <w:rPr>
          <w:spacing w:val="37"/>
          <w:w w:val="95"/>
        </w:rPr>
        <w:t> </w:t>
      </w:r>
      <w:r>
        <w:rPr>
          <w:spacing w:val="37"/>
          <w:w w:val="95"/>
        </w:rPr>
      </w:r>
      <w:r>
        <w:rPr>
          <w:w w:val="95"/>
        </w:rPr>
        <w:t>产；重分类日，该投资的账面价值与其公允价值之间的差额计入其他综合收益，在该可供出售金融资产发</w:t>
      </w:r>
      <w:r>
        <w:rPr>
          <w:spacing w:val="40"/>
          <w:w w:val="95"/>
        </w:rPr>
        <w:t> </w:t>
      </w:r>
      <w:r>
        <w:rPr>
          <w:spacing w:val="40"/>
          <w:w w:val="95"/>
        </w:rPr>
      </w:r>
      <w:r>
        <w:rPr/>
        <w:t>生减值或终止确认时转出，计入当期损益。但是，遇到下列情况可以除外：</w:t>
      </w:r>
    </w:p>
    <w:p>
      <w:pPr>
        <w:pStyle w:val="BodyText"/>
        <w:spacing w:line="273" w:lineRule="auto"/>
        <w:ind w:right="1135" w:firstLine="420"/>
        <w:jc w:val="both"/>
      </w:pPr>
      <w:r>
        <w:rPr>
          <w:w w:val="95"/>
        </w:rPr>
        <w:t>①出售日或重分类日距离该项投资到期日或赎回日较近(如到期前三个月内)，且市场利率变化对该项</w:t>
      </w:r>
      <w:r>
        <w:rPr>
          <w:w w:val="99"/>
        </w:rPr>
        <w:t> </w:t>
      </w:r>
      <w:r>
        <w:rPr/>
        <w:t>投资的公允价值没有显著影响。</w:t>
      </w:r>
    </w:p>
    <w:p>
      <w:pPr>
        <w:pStyle w:val="BodyText"/>
        <w:spacing w:line="240" w:lineRule="auto"/>
        <w:ind w:left="532" w:right="2127"/>
        <w:jc w:val="left"/>
      </w:pPr>
      <w:r>
        <w:rPr/>
        <w:t>②根据合同约定的偿付方式，企业已收回几乎所有初始本金。</w:t>
      </w:r>
    </w:p>
    <w:p>
      <w:pPr>
        <w:pStyle w:val="BodyText"/>
        <w:spacing w:line="273" w:lineRule="auto" w:before="37"/>
        <w:ind w:left="952" w:right="2127" w:hanging="420"/>
        <w:jc w:val="left"/>
      </w:pPr>
      <w:r>
        <w:rPr>
          <w:w w:val="95"/>
        </w:rPr>
        <w:t>③出售或重分类是由于企业无法控制、预期不会重复发生且难以合理预计的独立事件所引起。</w:t>
      </w:r>
      <w:r>
        <w:rPr>
          <w:spacing w:val="10"/>
          <w:w w:val="95"/>
        </w:rPr>
        <w:t> </w:t>
      </w:r>
      <w:r>
        <w:rPr>
          <w:spacing w:val="10"/>
          <w:w w:val="95"/>
        </w:rPr>
      </w:r>
      <w:r>
        <w:rPr/>
        <w:t>4）可供出售金融资产</w:t>
      </w:r>
    </w:p>
    <w:p>
      <w:pPr>
        <w:pStyle w:val="BodyText"/>
        <w:spacing w:line="273" w:lineRule="auto"/>
        <w:ind w:right="1132" w:firstLine="420"/>
        <w:jc w:val="both"/>
      </w:pPr>
      <w:r>
        <w:rPr>
          <w:w w:val="95"/>
        </w:rPr>
        <w:t>可供出售金融资产，是指初始确认时即指定为可供出售的非衍生金融资产，以及除其他金融资产类别</w:t>
      </w:r>
      <w:r>
        <w:rPr>
          <w:w w:val="99"/>
        </w:rPr>
        <w:t> </w:t>
      </w:r>
      <w:r>
        <w:rPr/>
        <w:t>以外的金融资产。</w:t>
      </w:r>
    </w:p>
    <w:p>
      <w:pPr>
        <w:pStyle w:val="BodyText"/>
        <w:spacing w:line="273" w:lineRule="auto"/>
        <w:ind w:right="1132" w:firstLine="420"/>
        <w:jc w:val="both"/>
      </w:pPr>
      <w:r>
        <w:rPr>
          <w:w w:val="95"/>
        </w:rPr>
        <w:t>本公司对可供出售金融资产，在取得时按公允价值（扣除已宣告但尚未发放的现金股利或已到付息期</w:t>
      </w:r>
      <w:r>
        <w:rPr>
          <w:w w:val="99"/>
        </w:rPr>
        <w:t> </w:t>
      </w:r>
      <w:r>
        <w:rPr>
          <w:w w:val="95"/>
        </w:rPr>
        <w:t>但尚未领取的债券利息）和相关交易费用之和作为初始确认金额。持有期间将取得的利息或现金股利确认</w:t>
      </w:r>
      <w:r>
        <w:rPr>
          <w:spacing w:val="40"/>
          <w:w w:val="95"/>
        </w:rPr>
        <w:t> </w:t>
      </w:r>
      <w:r>
        <w:rPr>
          <w:spacing w:val="40"/>
          <w:w w:val="95"/>
        </w:rPr>
      </w:r>
      <w:r>
        <w:rPr>
          <w:w w:val="95"/>
        </w:rPr>
        <w:t>为投资收益。可供出售金融资产的公允价值变动形成的利得或损失，除减值损失和外币货币性金融资产形</w:t>
      </w:r>
      <w:r>
        <w:rPr>
          <w:spacing w:val="38"/>
          <w:w w:val="95"/>
        </w:rPr>
        <w:t> </w:t>
      </w:r>
      <w:r>
        <w:rPr>
          <w:spacing w:val="38"/>
          <w:w w:val="95"/>
        </w:rPr>
      </w:r>
      <w:r>
        <w:rPr>
          <w:w w:val="95"/>
        </w:rPr>
        <w:t>成的汇兑差额外，直接计入其他综合收益。处置可供出售金融资产时，将取得的价款与该金融资产账面价</w:t>
      </w:r>
      <w:r>
        <w:rPr>
          <w:spacing w:val="40"/>
          <w:w w:val="95"/>
        </w:rPr>
        <w:t> </w:t>
      </w:r>
      <w:r>
        <w:rPr>
          <w:spacing w:val="40"/>
          <w:w w:val="95"/>
        </w:rPr>
      </w:r>
      <w:r>
        <w:rPr>
          <w:w w:val="95"/>
        </w:rPr>
        <w:t>值之间的差额，计入投资损益；同时，将原直接计入其他综合收益的公允价值变动累计额对应处置部分的</w:t>
      </w:r>
      <w:r>
        <w:rPr>
          <w:spacing w:val="40"/>
          <w:w w:val="95"/>
        </w:rPr>
        <w:t> </w:t>
      </w:r>
      <w:r>
        <w:rPr>
          <w:spacing w:val="40"/>
          <w:w w:val="95"/>
        </w:rPr>
      </w:r>
      <w:r>
        <w:rPr/>
        <w:t>金额转出，计入投资损益。</w:t>
      </w:r>
    </w:p>
    <w:p>
      <w:pPr>
        <w:pStyle w:val="BodyText"/>
        <w:spacing w:line="273" w:lineRule="auto"/>
        <w:ind w:right="1135" w:firstLine="420"/>
        <w:jc w:val="both"/>
      </w:pPr>
      <w:r>
        <w:rPr>
          <w:w w:val="95"/>
        </w:rPr>
        <w:t>本公司对在活跃市场中没有报价且其公允价值不能可靠计量的权益工具投资，以及与该权益工具挂钩</w:t>
      </w:r>
      <w:r>
        <w:rPr>
          <w:w w:val="99"/>
        </w:rPr>
        <w:t> </w:t>
      </w:r>
      <w:r>
        <w:rPr/>
        <w:t>并须通过交付该权益工具结算的衍生金融资产，按照成本计量。</w:t>
      </w:r>
    </w:p>
    <w:p>
      <w:pPr>
        <w:pStyle w:val="BodyText"/>
        <w:spacing w:line="273" w:lineRule="auto"/>
        <w:ind w:left="532" w:right="2127" w:firstLine="420"/>
        <w:jc w:val="left"/>
      </w:pPr>
      <w:r>
        <w:rPr/>
        <w:t>5）其他金融负债</w:t>
      </w:r>
      <w:r>
        <w:rPr>
          <w:w w:val="99"/>
        </w:rPr>
        <w:t> </w:t>
      </w:r>
      <w:r>
        <w:rPr>
          <w:w w:val="95"/>
        </w:rPr>
        <w:t>按其公允价值和相关交易费用之和作为初始确认金额。采用摊余成本进行后续计量。</w:t>
      </w:r>
      <w:r>
        <w:rPr/>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（3）金融资产转移的确认依据和计量方法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公司发生金融资产转移时，如已将金融资产所有权上几乎所有的风险和报酬转移给转入方，则终止确</w:t>
      </w:r>
      <w:r>
        <w:rPr>
          <w:rFonts w:ascii="宋体" w:hAnsi="宋体" w:cs="宋体" w:eastAsia="宋体" w:hint="default"/>
          <w:sz w:val="21"/>
          <w:szCs w:val="21"/>
        </w:rPr>
      </w:r>
    </w:p>
    <w:p>
      <w:pPr>
        <w:pStyle w:val="BodyText"/>
        <w:spacing w:line="273" w:lineRule="auto"/>
        <w:ind w:left="532" w:right="0" w:hanging="420"/>
        <w:jc w:val="left"/>
      </w:pPr>
      <w:r>
        <w:rPr/>
        <w:t>认该金融资产；如保留了金融资产所有权上几乎所有的风险和报酬的，则不终止确认该金融资产。</w:t>
      </w:r>
      <w:r>
        <w:rPr>
          <w:w w:val="99"/>
        </w:rPr>
        <w:t> </w:t>
      </w:r>
      <w:r>
        <w:rPr>
          <w:w w:val="95"/>
        </w:rPr>
        <w:t>在判断金融资产转移是否满足上述金融资产终止确认条件时，采用实质重于形式的原则。公司将金融</w:t>
      </w:r>
      <w:r>
        <w:rPr/>
      </w:r>
    </w:p>
    <w:p>
      <w:pPr>
        <w:pStyle w:val="BodyText"/>
        <w:spacing w:line="273" w:lineRule="auto" w:before="8"/>
        <w:ind w:right="0"/>
        <w:jc w:val="left"/>
      </w:pPr>
      <w:r>
        <w:rPr>
          <w:w w:val="95"/>
        </w:rPr>
        <w:t>资产转移区分为金融资产整体转移和部分转移。金融资产整体转移满足终止确认条件的，将下列两项金额</w:t>
      </w:r>
      <w:r>
        <w:rPr>
          <w:spacing w:val="40"/>
          <w:w w:val="95"/>
        </w:rPr>
        <w:t> </w:t>
      </w:r>
      <w:r>
        <w:rPr>
          <w:spacing w:val="40"/>
          <w:w w:val="95"/>
        </w:rPr>
      </w:r>
      <w:r>
        <w:rPr/>
        <w:t>的差额计入当期损益：</w:t>
      </w:r>
    </w:p>
    <w:p>
      <w:pPr>
        <w:pStyle w:val="BodyText"/>
        <w:spacing w:line="240" w:lineRule="auto"/>
        <w:ind w:left="532" w:right="2127"/>
        <w:jc w:val="left"/>
      </w:pPr>
      <w:r>
        <w:rPr/>
        <w:t>1）所转移金融资产的账面价值；</w:t>
      </w:r>
    </w:p>
    <w:p>
      <w:pPr>
        <w:pStyle w:val="BodyText"/>
        <w:spacing w:line="273" w:lineRule="auto" w:before="37"/>
        <w:ind w:right="1216" w:firstLine="420"/>
        <w:jc w:val="both"/>
      </w:pPr>
      <w:r>
        <w:rPr>
          <w:w w:val="95"/>
        </w:rPr>
        <w:t>2）因转移而收到的对价，与原直接计入所有者权益的公允价值变动累计额（涉及转移的金融资产为</w:t>
      </w:r>
      <w:r>
        <w:rPr>
          <w:spacing w:val="-85"/>
          <w:w w:val="95"/>
        </w:rPr>
        <w:t> </w:t>
      </w:r>
      <w:r>
        <w:rPr>
          <w:spacing w:val="-85"/>
          <w:w w:val="95"/>
        </w:rPr>
      </w:r>
      <w:r>
        <w:rPr/>
        <w:t>可供出售金融资产的情形）之和。</w:t>
      </w:r>
    </w:p>
    <w:p>
      <w:pPr>
        <w:pStyle w:val="BodyText"/>
        <w:spacing w:line="273" w:lineRule="auto"/>
        <w:ind w:right="1135" w:firstLine="420"/>
        <w:jc w:val="both"/>
      </w:pPr>
      <w:r>
        <w:rPr>
          <w:w w:val="95"/>
        </w:rPr>
        <w:t>金融资产部分转移满足终止确认条件的，将所转移金融资产整体的账面价值，在终止确认部分和未终</w:t>
      </w:r>
      <w:r>
        <w:rPr>
          <w:w w:val="99"/>
        </w:rPr>
        <w:t> </w:t>
      </w:r>
      <w:r>
        <w:rPr/>
        <w:t>止确认部分之间，按照各自的相对公允价值进行分摊，并将下列两项金额的差额计入当期损益：</w:t>
      </w:r>
    </w:p>
    <w:p>
      <w:pPr>
        <w:pStyle w:val="BodyText"/>
        <w:spacing w:line="240" w:lineRule="auto"/>
        <w:ind w:left="532" w:right="2127"/>
        <w:jc w:val="left"/>
      </w:pPr>
      <w:r>
        <w:rPr/>
        <w:t>1）终止确认部分的账面价值；</w:t>
      </w:r>
    </w:p>
    <w:p>
      <w:pPr>
        <w:pStyle w:val="BodyText"/>
        <w:spacing w:line="273" w:lineRule="auto" w:before="37"/>
        <w:ind w:right="1216" w:firstLine="420"/>
        <w:jc w:val="both"/>
      </w:pPr>
      <w:r>
        <w:rPr>
          <w:w w:val="95"/>
        </w:rPr>
        <w:t>2）终止确认部分的对价，与原直接计入所有者权益的公允价值变动累计额中对应终止确认部分的金</w:t>
      </w:r>
      <w:r>
        <w:rPr>
          <w:spacing w:val="-85"/>
          <w:w w:val="95"/>
        </w:rPr>
        <w:t> </w:t>
      </w:r>
      <w:r>
        <w:rPr>
          <w:spacing w:val="-85"/>
          <w:w w:val="95"/>
        </w:rPr>
      </w:r>
      <w:r>
        <w:rPr/>
        <w:t>额（涉及转移的金融资产为可供出售金融资产的情形）之和。</w:t>
      </w:r>
    </w:p>
    <w:p>
      <w:pPr>
        <w:pStyle w:val="BodyText"/>
        <w:spacing w:line="240" w:lineRule="auto"/>
        <w:ind w:left="532" w:right="0"/>
        <w:jc w:val="left"/>
      </w:pPr>
      <w:r>
        <w:rPr/>
        <w:t>金融资产转移不满足终止确认条件的，继续确认该金融资产，所收到的对价确认为一项金融负债。</w:t>
      </w:r>
    </w:p>
    <w:p>
      <w:pPr>
        <w:spacing w:line="273"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w w:val="95"/>
          <w:sz w:val="21"/>
          <w:szCs w:val="21"/>
        </w:rPr>
        <w:t>金融负债的现时义务全部或部分已经解除的，则终止确认该金融负债或其一部分；本公司若与债权人</w:t>
      </w:r>
      <w:r>
        <w:rPr>
          <w:rFonts w:ascii="宋体" w:hAnsi="宋体" w:cs="宋体" w:eastAsia="宋体" w:hint="default"/>
          <w:sz w:val="21"/>
          <w:szCs w:val="21"/>
        </w:rPr>
      </w:r>
    </w:p>
    <w:p>
      <w:pPr>
        <w:pStyle w:val="BodyText"/>
        <w:spacing w:line="273" w:lineRule="auto"/>
        <w:ind w:right="0"/>
        <w:jc w:val="left"/>
      </w:pPr>
      <w:r>
        <w:rPr>
          <w:w w:val="95"/>
        </w:rPr>
        <w:t>签定协议，以承担新金融负债方式替换现存金融负债，且新金融负债与现存金融负债的合同条款实质上不</w:t>
      </w:r>
      <w:r>
        <w:rPr>
          <w:spacing w:val="37"/>
          <w:w w:val="95"/>
        </w:rPr>
        <w:t> </w:t>
      </w:r>
      <w:r>
        <w:rPr>
          <w:spacing w:val="37"/>
          <w:w w:val="95"/>
        </w:rPr>
      </w:r>
      <w:r>
        <w:rPr/>
        <w:t>同的，则终止确认现存金融负债，并同时确认新金融负债。</w:t>
      </w:r>
    </w:p>
    <w:p>
      <w:pPr>
        <w:pStyle w:val="BodyText"/>
        <w:spacing w:line="273" w:lineRule="auto"/>
        <w:ind w:right="1135" w:firstLine="420"/>
        <w:jc w:val="both"/>
      </w:pPr>
      <w:r>
        <w:rPr>
          <w:w w:val="95"/>
        </w:rPr>
        <w:t>对现存金融负债全部或部分合同条款作出实质性修改的，则终止确认现存金融负债或其一部分，同时</w:t>
      </w:r>
      <w:r>
        <w:rPr>
          <w:w w:val="99"/>
        </w:rPr>
        <w:t> </w:t>
      </w:r>
      <w:r>
        <w:rPr/>
        <w:t>将修改条款后的金融负债确认为一项新金融负债。</w:t>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5" w:firstLine="420"/>
        <w:jc w:val="both"/>
      </w:pPr>
      <w:r>
        <w:rPr>
          <w:w w:val="95"/>
        </w:rPr>
        <w:t>金融负债全部或部分终止确认时，终止确认的金融负债账面价值与支付对价（包括转出的非现金资产</w:t>
      </w:r>
      <w:r>
        <w:rPr>
          <w:w w:val="99"/>
        </w:rPr>
        <w:t> </w:t>
      </w:r>
      <w:r>
        <w:rPr/>
        <w:t>或承担的新金融负债）之间的差额，计入当期损益。</w:t>
      </w:r>
    </w:p>
    <w:p>
      <w:pPr>
        <w:pStyle w:val="BodyText"/>
        <w:spacing w:line="273" w:lineRule="auto"/>
        <w:ind w:right="1132" w:firstLine="420"/>
        <w:jc w:val="both"/>
      </w:pPr>
      <w:r>
        <w:rPr>
          <w:w w:val="95"/>
        </w:rPr>
        <w:t>本公司若回购部分金融负债的，在回购日按照继续确认部分与终止确认部分的相对公允价值，将该金</w:t>
      </w:r>
      <w:r>
        <w:rPr>
          <w:w w:val="99"/>
        </w:rPr>
        <w:t> </w:t>
      </w:r>
      <w:r>
        <w:rPr>
          <w:w w:val="95"/>
        </w:rPr>
        <w:t>融负债整体的账面价值进行分配。分配给终止确认部分的账面价值与支付的对价（包括转出的非现金资产</w:t>
      </w:r>
      <w:r>
        <w:rPr>
          <w:spacing w:val="36"/>
          <w:w w:val="95"/>
        </w:rPr>
        <w:t> </w:t>
      </w:r>
      <w:r>
        <w:rPr>
          <w:spacing w:val="36"/>
          <w:w w:val="95"/>
        </w:rPr>
      </w:r>
      <w:r>
        <w:rPr/>
        <w:t>或承担的新金融负债）之间的差额，计入当期损益。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（5）金融资产和金融负债公允价值的确定方法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存在活跃市场的金融资产或金融负债，以活跃市场的报价确定其公允价值；活跃市场的报价包括易于</w:t>
      </w:r>
      <w:r>
        <w:rPr>
          <w:rFonts w:ascii="宋体" w:hAnsi="宋体" w:cs="宋体" w:eastAsia="宋体" w:hint="default"/>
          <w:sz w:val="21"/>
          <w:szCs w:val="21"/>
        </w:rPr>
      </w:r>
    </w:p>
    <w:p>
      <w:pPr>
        <w:pStyle w:val="BodyText"/>
        <w:spacing w:line="273" w:lineRule="auto"/>
        <w:ind w:right="1132"/>
        <w:jc w:val="both"/>
      </w:pPr>
      <w:r>
        <w:rPr>
          <w:w w:val="95"/>
        </w:rPr>
        <w:t>且可定期从交易所、交易商、经纪人、行业集团、定价机构或监管机构等获得相关资产或负债的报价，且</w:t>
      </w:r>
      <w:r>
        <w:rPr>
          <w:spacing w:val="40"/>
          <w:w w:val="95"/>
        </w:rPr>
        <w:t> </w:t>
      </w:r>
      <w:r>
        <w:rPr>
          <w:spacing w:val="40"/>
          <w:w w:val="95"/>
        </w:rPr>
      </w:r>
      <w:r>
        <w:rPr/>
        <w:t>能代表在公平交易基础上实际并经常发生的市场交易。</w:t>
      </w:r>
    </w:p>
    <w:p>
      <w:pPr>
        <w:pStyle w:val="BodyText"/>
        <w:spacing w:line="273" w:lineRule="auto"/>
        <w:ind w:left="532" w:right="0"/>
        <w:jc w:val="left"/>
      </w:pPr>
      <w:r>
        <w:rPr/>
        <w:t>初始取得或衍生的金融资产或承担的金融负债，以市场交易价格作为确定其公允价值的基础。</w:t>
      </w:r>
      <w:r>
        <w:rPr>
          <w:w w:val="99"/>
        </w:rPr>
        <w:t> </w:t>
      </w:r>
      <w:r>
        <w:rPr>
          <w:w w:val="95"/>
        </w:rPr>
        <w:t>不存在活跃市场的金融资产或金融负债，采用估值技术确定其公允价值。在估值时，本公司采用在当</w:t>
      </w:r>
      <w:r>
        <w:rPr/>
      </w:r>
    </w:p>
    <w:p>
      <w:pPr>
        <w:pStyle w:val="BodyText"/>
        <w:spacing w:line="273" w:lineRule="auto"/>
        <w:ind w:right="1132"/>
        <w:jc w:val="both"/>
      </w:pPr>
      <w:r>
        <w:rPr>
          <w:w w:val="95"/>
        </w:rPr>
        <w:t>前情况下适用并且有足够可利用数据和其他信息支持的估值技术，选择与市场参与者在相关资产或负债的</w:t>
      </w:r>
      <w:r>
        <w:rPr>
          <w:spacing w:val="39"/>
          <w:w w:val="95"/>
        </w:rPr>
        <w:t> </w:t>
      </w:r>
      <w:r>
        <w:rPr>
          <w:spacing w:val="39"/>
          <w:w w:val="95"/>
        </w:rPr>
      </w:r>
      <w:r>
        <w:rPr>
          <w:w w:val="95"/>
        </w:rPr>
        <w:t>交易中所考虑的资产或负债特征相一致的输入值，并尽可能优先使用相关可观察输入值。在相关可观察输</w:t>
      </w:r>
      <w:r>
        <w:rPr>
          <w:spacing w:val="40"/>
          <w:w w:val="95"/>
        </w:rPr>
        <w:t> </w:t>
      </w:r>
      <w:r>
        <w:rPr>
          <w:spacing w:val="40"/>
          <w:w w:val="95"/>
        </w:rPr>
      </w:r>
      <w:r>
        <w:rPr/>
        <w:t>入值无法取得或取得不切实可行的情况下，使用不可观察输入值。</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（6）金融资产（不含应收款项）减值准备计提</w:t>
      </w:r>
      <w:r>
        <w:rPr>
          <w:rFonts w:ascii="宋体" w:hAnsi="宋体" w:cs="宋体" w:eastAsia="宋体" w:hint="default"/>
          <w:b/>
          <w:bCs/>
          <w:w w:val="99"/>
          <w:sz w:val="21"/>
          <w:szCs w:val="21"/>
        </w:rPr>
        <w:t> </w:t>
      </w:r>
      <w:r>
        <w:rPr>
          <w:rFonts w:ascii="宋体" w:hAnsi="宋体" w:cs="宋体" w:eastAsia="宋体" w:hint="default"/>
          <w:w w:val="95"/>
          <w:sz w:val="21"/>
          <w:szCs w:val="21"/>
        </w:rPr>
        <w:t>资产负债表日对以公允价值计量且其变动计入当期损益的金融资产以外的金融资产的账面价值进行</w:t>
      </w:r>
      <w:r>
        <w:rPr>
          <w:rFonts w:ascii="宋体" w:hAnsi="宋体" w:cs="宋体" w:eastAsia="宋体" w:hint="default"/>
          <w:sz w:val="21"/>
          <w:szCs w:val="21"/>
        </w:rPr>
      </w:r>
    </w:p>
    <w:p>
      <w:pPr>
        <w:pStyle w:val="BodyText"/>
        <w:spacing w:line="273" w:lineRule="auto"/>
        <w:ind w:left="532" w:right="2127" w:hanging="420"/>
        <w:jc w:val="left"/>
      </w:pPr>
      <w:r>
        <w:rPr>
          <w:w w:val="95"/>
        </w:rPr>
        <w:t>检查，如有客观证据表明该金融资产发生减值的，计提减值准备。</w:t>
      </w:r>
      <w:r>
        <w:rPr>
          <w:spacing w:val="89"/>
          <w:w w:val="95"/>
        </w:rPr>
        <w:t> </w:t>
      </w:r>
      <w:r>
        <w:rPr>
          <w:spacing w:val="89"/>
          <w:w w:val="95"/>
        </w:rPr>
      </w:r>
      <w:r>
        <w:rPr/>
        <w:t>金融资产发生减值的客观证据，包括但不限于：</w:t>
      </w:r>
    </w:p>
    <w:p>
      <w:pPr>
        <w:pStyle w:val="BodyText"/>
        <w:spacing w:line="240" w:lineRule="auto"/>
        <w:ind w:left="952" w:right="2127"/>
        <w:jc w:val="left"/>
      </w:pPr>
      <w:r>
        <w:rPr/>
        <w:t>1）发行方或债务人发生严重财务困难；</w:t>
      </w:r>
    </w:p>
    <w:p>
      <w:pPr>
        <w:pStyle w:val="BodyText"/>
        <w:spacing w:line="240" w:lineRule="auto" w:before="37"/>
        <w:ind w:left="952" w:right="2127"/>
        <w:jc w:val="left"/>
      </w:pPr>
      <w:r>
        <w:rPr/>
        <w:t>2）债务人违反了合同条款，如偿付利息或本金发生违约或逾期等；</w:t>
      </w:r>
    </w:p>
    <w:p>
      <w:pPr>
        <w:pStyle w:val="BodyText"/>
        <w:spacing w:line="240" w:lineRule="auto" w:before="37"/>
        <w:ind w:left="952" w:right="2127"/>
        <w:jc w:val="left"/>
      </w:pPr>
      <w:r>
        <w:rPr/>
        <w:t>3）债权人出于经济或法律等方面因素的考虑，对发生财务困难的债务人作出让步；</w:t>
      </w:r>
    </w:p>
    <w:p>
      <w:pPr>
        <w:pStyle w:val="BodyText"/>
        <w:spacing w:line="240" w:lineRule="auto" w:before="37"/>
        <w:ind w:left="952" w:right="2127"/>
        <w:jc w:val="left"/>
      </w:pPr>
      <w:r>
        <w:rPr/>
        <w:t>4）债务人很可能倒闭或进行其他财务重组；</w:t>
      </w:r>
    </w:p>
    <w:p>
      <w:pPr>
        <w:pStyle w:val="BodyText"/>
        <w:spacing w:line="240" w:lineRule="auto" w:before="37"/>
        <w:ind w:left="952" w:right="2127"/>
        <w:jc w:val="left"/>
      </w:pPr>
      <w:r>
        <w:rPr/>
        <w:t>5）因发行方发生重大财务困难，该金融资产无法在活跃市场继续交易；</w:t>
      </w:r>
    </w:p>
    <w:p>
      <w:pPr>
        <w:pStyle w:val="BodyText"/>
        <w:spacing w:line="273" w:lineRule="auto" w:before="37"/>
        <w:ind w:right="1025" w:firstLine="840"/>
        <w:jc w:val="left"/>
      </w:pPr>
      <w:r>
        <w:rPr/>
        <w:t>6）无法辨认一组金融资产中的某项资产的现金流量是否已经减少，但根据公开的数据对其进行</w:t>
      </w:r>
      <w:r>
        <w:rPr>
          <w:w w:val="99"/>
        </w:rPr>
        <w:t> </w:t>
      </w:r>
      <w:r>
        <w:rPr/>
        <w:t>总体评价后发现，该组金融资产自初始确认以来的预计未来现金流量确已减少且可计量，如该组金融资产</w:t>
      </w:r>
      <w:r>
        <w:rPr>
          <w:w w:val="99"/>
        </w:rPr>
        <w:t> </w:t>
      </w:r>
      <w:r>
        <w:rPr>
          <w:spacing w:val="-3"/>
        </w:rPr>
        <w:t>的债务人支付能力逐步恶化，或债务人所在国家或地区失业率提高、担保物在其所在地区的价格明显下降、</w:t>
      </w:r>
      <w:r>
        <w:rPr>
          <w:w w:val="99"/>
        </w:rPr>
        <w:t> </w:t>
      </w:r>
      <w:r>
        <w:rPr/>
        <w:t>所处行业不景气等；</w:t>
      </w:r>
    </w:p>
    <w:p>
      <w:pPr>
        <w:pStyle w:val="BodyText"/>
        <w:spacing w:line="273" w:lineRule="auto" w:before="8"/>
        <w:ind w:right="0" w:firstLine="840"/>
        <w:jc w:val="left"/>
      </w:pPr>
      <w:r>
        <w:rPr>
          <w:w w:val="95"/>
        </w:rPr>
        <w:t>7）权益工具发行方经营所处的技术、市场、经济或法律环境等发生重大不利变化，使权益工具</w:t>
      </w:r>
      <w:r>
        <w:rPr>
          <w:w w:val="99"/>
        </w:rPr>
        <w:t> </w:t>
      </w:r>
      <w:r>
        <w:rPr/>
        <w:t>投资人可能无法收回投资成本；</w:t>
      </w:r>
    </w:p>
    <w:p>
      <w:pPr>
        <w:pStyle w:val="BodyText"/>
        <w:spacing w:line="273" w:lineRule="auto"/>
        <w:ind w:left="532" w:right="4994" w:firstLine="420"/>
        <w:jc w:val="left"/>
      </w:pPr>
      <w:r>
        <w:rPr>
          <w:w w:val="95"/>
        </w:rPr>
        <w:t>8）权益工具投资的公允价值发生严重或非暂时性下跌；</w:t>
      </w:r>
      <w:r>
        <w:rPr>
          <w:w w:val="99"/>
        </w:rPr>
        <w:t> </w:t>
      </w:r>
      <w:r>
        <w:rPr/>
        <w:t>金融资产的具体减值方法如下：</w:t>
      </w:r>
      <w:r>
        <w:rPr>
          <w:w w:val="99"/>
        </w:rPr>
        <w:t> </w:t>
      </w:r>
      <w:r>
        <w:rPr/>
        <w:t>1）可供出售金融资产减值准备</w:t>
      </w:r>
    </w:p>
    <w:p>
      <w:pPr>
        <w:pStyle w:val="BodyText"/>
        <w:spacing w:line="273" w:lineRule="auto"/>
        <w:ind w:right="0" w:firstLine="420"/>
        <w:jc w:val="left"/>
      </w:pPr>
      <w:r>
        <w:rPr>
          <w:w w:val="95"/>
        </w:rPr>
        <w:t>本公司于资产负债表日对各项可供出售权益工具投资单独进行检查，若该权益工具投资于资产负债表</w:t>
      </w:r>
      <w:r>
        <w:rPr>
          <w:w w:val="99"/>
        </w:rPr>
        <w:t> </w:t>
      </w:r>
      <w:r>
        <w:rPr>
          <w:w w:val="95"/>
        </w:rPr>
        <w:t>日的公允价值低于其成本超过50%（含50%）或低于其成本持续时间超过一年（含一年）的，则表明其发生</w:t>
      </w:r>
      <w:r>
        <w:rPr>
          <w:spacing w:val="35"/>
          <w:w w:val="95"/>
        </w:rPr>
        <w:t> </w:t>
      </w:r>
      <w:r>
        <w:rPr>
          <w:spacing w:val="35"/>
          <w:w w:val="95"/>
        </w:rPr>
      </w:r>
      <w:r>
        <w:rPr/>
        <w:t>减值；若该权益工具投资于资产负债表日的公允价值低于其成本超过20%（含20%）但尚未达到50%的，本</w:t>
      </w:r>
      <w:r>
        <w:rPr>
          <w:w w:val="99"/>
        </w:rPr>
        <w:t> </w:t>
      </w:r>
      <w:r>
        <w:rPr/>
        <w:t>公司会综合考虑其他相关因素诸如价格波动率等，判断该权益工具投资是否发生减值。</w:t>
      </w:r>
    </w:p>
    <w:p>
      <w:pPr>
        <w:pStyle w:val="BodyText"/>
        <w:spacing w:line="273" w:lineRule="auto"/>
        <w:ind w:right="1132" w:firstLine="420"/>
        <w:jc w:val="both"/>
      </w:pPr>
      <w:r>
        <w:rPr>
          <w:w w:val="95"/>
        </w:rPr>
        <w:t>上段所述成本按照可供出售权益工具投资的初始取得成本扣除已收回本金和已摊销金额、原已计入损</w:t>
      </w:r>
      <w:r>
        <w:rPr>
          <w:w w:val="99"/>
        </w:rPr>
        <w:t> </w:t>
      </w:r>
      <w:r>
        <w:rPr>
          <w:w w:val="95"/>
        </w:rPr>
        <w:t>益的减值损失确定；不存在活跃市场的可供出售权益工具投资的公允价值，按照类似金融资产当时市场收</w:t>
      </w:r>
      <w:r>
        <w:rPr>
          <w:spacing w:val="40"/>
          <w:w w:val="95"/>
        </w:rPr>
        <w:t> </w:t>
      </w:r>
      <w:r>
        <w:rPr>
          <w:spacing w:val="40"/>
          <w:w w:val="95"/>
        </w:rPr>
      </w:r>
      <w:r>
        <w:rPr>
          <w:w w:val="95"/>
        </w:rPr>
        <w:t>益率对未来现金流量折现确定的现值确定；在活跃市场有报价的可供出售权益工具投资的公允价值根据证</w:t>
      </w:r>
      <w:r>
        <w:rPr>
          <w:spacing w:val="39"/>
          <w:w w:val="95"/>
        </w:rPr>
        <w:t> </w:t>
      </w:r>
      <w:r>
        <w:rPr>
          <w:spacing w:val="39"/>
          <w:w w:val="95"/>
        </w:rPr>
      </w:r>
      <w:r>
        <w:rPr>
          <w:w w:val="95"/>
        </w:rPr>
        <w:t>券交易所期末收盘价确定，除非该项可供出售权益工具投资存在限售期。对于存在限售期的可供出售权益</w:t>
      </w:r>
      <w:r>
        <w:rPr>
          <w:spacing w:val="37"/>
          <w:w w:val="95"/>
        </w:rPr>
        <w:t> </w:t>
      </w:r>
      <w:r>
        <w:rPr>
          <w:spacing w:val="37"/>
          <w:w w:val="95"/>
        </w:rPr>
      </w:r>
      <w:r>
        <w:rPr>
          <w:w w:val="95"/>
        </w:rPr>
        <w:t>工具投资，按照证券交易所期末收盘价扣除市场参与者因承担指定期间内无法在公开市场上出售该权益工</w:t>
      </w:r>
      <w:r>
        <w:rPr>
          <w:spacing w:val="39"/>
          <w:w w:val="95"/>
        </w:rPr>
        <w:t> </w:t>
      </w:r>
      <w:r>
        <w:rPr>
          <w:spacing w:val="39"/>
          <w:w w:val="95"/>
        </w:rPr>
      </w:r>
      <w:r>
        <w:rPr/>
        <w:t>具的风险而要求获得的补偿金额后确定。</w:t>
      </w:r>
    </w:p>
    <w:p>
      <w:pPr>
        <w:pStyle w:val="BodyText"/>
        <w:spacing w:line="273" w:lineRule="auto"/>
        <w:ind w:right="1135" w:firstLine="420"/>
        <w:jc w:val="both"/>
      </w:pPr>
      <w:r>
        <w:rPr>
          <w:w w:val="95"/>
        </w:rPr>
        <w:t>可供出售金融资产发生减值时，即使该金融资产没有终止确认，本公司将原直接计入其他综合收益的</w:t>
      </w:r>
      <w:r>
        <w:rPr>
          <w:w w:val="99"/>
        </w:rPr>
        <w:t> </w:t>
      </w:r>
      <w:r>
        <w:rPr>
          <w:w w:val="95"/>
        </w:rPr>
        <w:t>因公允价值下降形成的累计损失从其他综合收益转出，计入当期损益。该转出的累计损失，等于可供出售</w:t>
      </w:r>
      <w:r>
        <w:rPr/>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394"/>
        <w:jc w:val="left"/>
      </w:pPr>
      <w:r>
        <w:rPr>
          <w:w w:val="95"/>
        </w:rPr>
        <w:t>金融资产的初始取得成本扣除已收回本金和已摊余金额、当前公允价值和原已计入损益的减值损失后的余   </w:t>
      </w:r>
      <w:r>
        <w:rPr>
          <w:spacing w:val="39"/>
          <w:w w:val="95"/>
        </w:rPr>
        <w:t> </w:t>
      </w:r>
      <w:r>
        <w:rPr>
          <w:spacing w:val="39"/>
          <w:w w:val="95"/>
        </w:rPr>
      </w:r>
      <w:r>
        <w:rPr/>
        <w:t>额。</w:t>
      </w:r>
    </w:p>
    <w:p>
      <w:pPr>
        <w:pStyle w:val="BodyText"/>
        <w:spacing w:line="273" w:lineRule="auto"/>
        <w:ind w:right="1132" w:firstLine="420"/>
        <w:jc w:val="both"/>
      </w:pPr>
      <w:r>
        <w:rPr>
          <w:w w:val="95"/>
        </w:rPr>
        <w:t>对于已确认减值损失的可供出售债务工具，在随后的会计期间公允价值已上升且客观上与确认原减值</w:t>
      </w:r>
      <w:r>
        <w:rPr>
          <w:w w:val="99"/>
        </w:rPr>
        <w:t> </w:t>
      </w:r>
      <w:r>
        <w:rPr>
          <w:w w:val="95"/>
        </w:rPr>
        <w:t>损失后发生的事项有关的，原确认的减值损失予以转回计入当期损益；对于可供出售权益工具投资发生的</w:t>
      </w:r>
      <w:r>
        <w:rPr>
          <w:spacing w:val="40"/>
          <w:w w:val="95"/>
        </w:rPr>
        <w:t> </w:t>
      </w:r>
      <w:r>
        <w:rPr>
          <w:spacing w:val="40"/>
          <w:w w:val="95"/>
        </w:rPr>
      </w:r>
      <w:r>
        <w:rPr>
          <w:w w:val="95"/>
        </w:rPr>
        <w:t>减值损失，在该权益工具价值回升时通过权益转回；但在活跃市场中没有报价且其公允价值不能可靠计量</w:t>
      </w:r>
      <w:r>
        <w:rPr>
          <w:spacing w:val="40"/>
          <w:w w:val="95"/>
        </w:rPr>
        <w:t> </w:t>
      </w:r>
      <w:r>
        <w:rPr>
          <w:spacing w:val="40"/>
          <w:w w:val="95"/>
        </w:rPr>
      </w:r>
      <w:r>
        <w:rPr>
          <w:w w:val="95"/>
        </w:rPr>
        <w:t>的权益工具投资，或与该权益工具挂钩并须通过交付该权益工具结算的衍生金融资产发生的减值损失，不</w:t>
      </w:r>
      <w:r>
        <w:rPr>
          <w:spacing w:val="40"/>
          <w:w w:val="95"/>
        </w:rPr>
        <w:t> </w:t>
      </w:r>
      <w:r>
        <w:rPr>
          <w:spacing w:val="40"/>
          <w:w w:val="95"/>
        </w:rPr>
      </w:r>
      <w:r>
        <w:rPr/>
        <w:t>得转回。</w:t>
      </w:r>
    </w:p>
    <w:p>
      <w:pPr>
        <w:pStyle w:val="BodyText"/>
        <w:spacing w:line="273" w:lineRule="auto"/>
        <w:ind w:left="532" w:right="0"/>
        <w:jc w:val="left"/>
      </w:pPr>
      <w:r>
        <w:rPr/>
        <w:t>2）持有至到期投资减值准备</w:t>
      </w:r>
      <w:r>
        <w:rPr>
          <w:w w:val="99"/>
        </w:rPr>
        <w:t> </w:t>
      </w:r>
      <w:r>
        <w:rPr>
          <w:w w:val="95"/>
        </w:rPr>
        <w:t>对于持有至到期投资，有客观证据表明其发生了减值的，根据其账面价值与预计未来现金流量现值之</w:t>
      </w:r>
      <w:r>
        <w:rPr/>
      </w:r>
    </w:p>
    <w:p>
      <w:pPr>
        <w:pStyle w:val="BodyText"/>
        <w:spacing w:line="273" w:lineRule="auto"/>
        <w:ind w:right="0"/>
        <w:jc w:val="left"/>
      </w:pPr>
      <w:r>
        <w:rPr>
          <w:w w:val="95"/>
        </w:rPr>
        <w:t>间差额计算确认减值损失；计提后如有证据表明其价值已恢复，原确认的减值损失可予以转回，记入当期</w:t>
      </w:r>
      <w:r>
        <w:rPr>
          <w:spacing w:val="37"/>
          <w:w w:val="95"/>
        </w:rPr>
        <w:t> </w:t>
      </w:r>
      <w:r>
        <w:rPr>
          <w:spacing w:val="37"/>
          <w:w w:val="95"/>
        </w:rPr>
      </w:r>
      <w:r>
        <w:rPr/>
        <w:t>损益，但该转回的账面价值不超过假定不计提减值准备情况下该金融资产在转回日的摊余成本。</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（7）金融资产及金融负债的抵销</w:t>
      </w:r>
      <w:r>
        <w:rPr>
          <w:rFonts w:ascii="宋体" w:hAnsi="宋体" w:cs="宋体" w:eastAsia="宋体" w:hint="default"/>
          <w:b/>
          <w:bCs/>
          <w:w w:val="99"/>
          <w:sz w:val="21"/>
          <w:szCs w:val="21"/>
        </w:rPr>
        <w:t> </w:t>
      </w:r>
      <w:r>
        <w:rPr>
          <w:rFonts w:ascii="宋体" w:hAnsi="宋体" w:cs="宋体" w:eastAsia="宋体" w:hint="default"/>
          <w:w w:val="95"/>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73" w:lineRule="auto"/>
        <w:ind w:left="532" w:right="2127" w:hanging="420"/>
        <w:jc w:val="left"/>
      </w:pPr>
      <w:r>
        <w:rPr/>
        <w:t>抵销后的净额在资产负债表内列示：</w:t>
      </w:r>
      <w:r>
        <w:rPr>
          <w:w w:val="99"/>
        </w:rPr>
        <w:t> </w:t>
      </w:r>
      <w:r>
        <w:rPr>
          <w:w w:val="95"/>
        </w:rPr>
        <w:t>1）本公司具有抵销已确认金额的法定权利，且该种法定权利是当前可执行的；</w:t>
      </w:r>
      <w:r>
        <w:rPr/>
      </w:r>
    </w:p>
    <w:p>
      <w:pPr>
        <w:pStyle w:val="BodyText"/>
        <w:spacing w:line="240" w:lineRule="auto"/>
        <w:ind w:left="532" w:right="2127"/>
        <w:jc w:val="left"/>
      </w:pPr>
      <w:r>
        <w:rPr/>
        <w:t>2）本公司计划以净额结算，或同时变现该金融资产和清偿该金融负债。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2127"/>
        <w:jc w:val="left"/>
        <w:rPr>
          <w:b w:val="0"/>
          <w:bCs w:val="0"/>
        </w:rPr>
      </w:pPr>
      <w:bookmarkStart w:name="11、应收票据及应收账款" w:id="181"/>
      <w:bookmarkEnd w:id="181"/>
      <w:r>
        <w:rPr>
          <w:b w:val="0"/>
          <w:bCs w:val="0"/>
        </w:rPr>
      </w:r>
      <w:r>
        <w:rPr/>
        <w:t>11、应收票据及应收账款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单项金额重大并单独计提坏账准备的应收款项" w:id="182"/>
      <w:bookmarkEnd w:id="182"/>
      <w:r>
        <w:rPr>
          <w:b w:val="0"/>
          <w:bCs w:val="0"/>
        </w:rPr>
      </w:r>
      <w:r>
        <w:rPr/>
        <w:t>（1）单项金额重大并单独计提坏账准备的应收款项</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万元的应收账款和其他应收款，</w:t>
            </w:r>
            <w:r>
              <w:rPr>
                <w:rFonts w:ascii="宋体" w:hAnsi="宋体" w:cs="宋体" w:eastAsia="宋体" w:hint="default"/>
                <w:sz w:val="18"/>
                <w:szCs w:val="18"/>
              </w:rPr>
              <w:t> 确定为单项金额重大的应收款项。</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0"/>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6"/>
        <w:spacing w:line="240" w:lineRule="auto" w:before="34"/>
        <w:ind w:right="2127"/>
        <w:jc w:val="left"/>
        <w:rPr>
          <w:b w:val="0"/>
          <w:bCs w:val="0"/>
        </w:rPr>
      </w:pPr>
      <w:bookmarkStart w:name="（2）按信用风险特征组合计提坏账准备的应收款项" w:id="183"/>
      <w:bookmarkEnd w:id="183"/>
      <w:r>
        <w:rPr>
          <w:b w:val="0"/>
          <w:bCs w:val="0"/>
        </w:rPr>
      </w:r>
      <w:r>
        <w:rPr/>
        <w:t>（2）按信用风险特征组合计提坏账准备的应收款项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40.00%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12" w:right="751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单项金额不重大但单独计提坏账准备的应收款项" w:id="184"/>
      <w:bookmarkEnd w:id="184"/>
      <w:r>
        <w:rPr>
          <w:b w:val="0"/>
          <w:bCs w:val="0"/>
        </w:rPr>
      </w:r>
      <w:r>
        <w:rPr/>
        <w:t>（3）单项金额不重大但单独计提坏账准备的应收款项</w:t>
      </w:r>
      <w:r>
        <w:rPr>
          <w:b w:val="0"/>
          <w:bCs w:val="0"/>
        </w:rPr>
      </w:r>
    </w:p>
    <w:p>
      <w:pPr>
        <w:spacing w:line="240" w:lineRule="auto" w:before="10"/>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4"/>
        <w:rPr>
          <w:rFonts w:ascii="宋体" w:hAnsi="宋体" w:cs="宋体" w:eastAsia="宋体" w:hint="default"/>
          <w:b/>
          <w:bCs/>
          <w:sz w:val="19"/>
          <w:szCs w:val="19"/>
        </w:rPr>
      </w:pPr>
    </w:p>
    <w:p>
      <w:pPr>
        <w:pStyle w:val="Heading6"/>
        <w:spacing w:line="240" w:lineRule="auto" w:before="34"/>
        <w:ind w:right="2127"/>
        <w:jc w:val="left"/>
        <w:rPr>
          <w:b w:val="0"/>
          <w:bCs w:val="0"/>
        </w:rPr>
      </w:pPr>
      <w:bookmarkStart w:name="12、存货" w:id="185"/>
      <w:bookmarkEnd w:id="185"/>
      <w:r>
        <w:rPr>
          <w:b w:val="0"/>
          <w:bCs w:val="0"/>
        </w:rPr>
      </w:r>
      <w:r>
        <w:rPr/>
        <w:t>12、存货</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12" w:right="2127"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73" w:lineRule="auto" w:before="92"/>
        <w:ind w:left="532" w:right="1125" w:hanging="420"/>
        <w:jc w:val="left"/>
      </w:pPr>
      <w:r>
        <w:rPr>
          <w:rFonts w:ascii="宋体" w:hAnsi="宋体" w:cs="宋体" w:eastAsia="宋体" w:hint="default"/>
          <w:b/>
          <w:bCs/>
        </w:rPr>
        <w:t>（1）存货的分类</w:t>
      </w:r>
      <w:r>
        <w:rPr>
          <w:rFonts w:ascii="宋体" w:hAnsi="宋体" w:cs="宋体" w:eastAsia="宋体" w:hint="default"/>
          <w:b/>
          <w:bCs/>
          <w:w w:val="99"/>
        </w:rPr>
        <w:t> </w:t>
      </w:r>
      <w:r>
        <w:rPr>
          <w:w w:val="95"/>
        </w:rPr>
        <w:t>存货是指本公司在日常活动中持有以备出售的产成品或商品、处在生产过程中的在产品、在生产过程</w:t>
      </w:r>
      <w:r>
        <w:rPr/>
      </w:r>
    </w:p>
    <w:p>
      <w:pPr>
        <w:pStyle w:val="BodyText"/>
        <w:spacing w:line="273" w:lineRule="auto"/>
        <w:ind w:right="0"/>
        <w:jc w:val="left"/>
      </w:pPr>
      <w:r>
        <w:rPr>
          <w:w w:val="95"/>
        </w:rPr>
        <w:t>或提供劳务过程中耗用的材料和物料等。主要包括原材料、周转材料、委托加工材料、在产品、自制半成</w:t>
      </w:r>
      <w:r>
        <w:rPr>
          <w:spacing w:val="38"/>
          <w:w w:val="95"/>
        </w:rPr>
        <w:t> </w:t>
      </w:r>
      <w:r>
        <w:rPr>
          <w:spacing w:val="38"/>
          <w:w w:val="95"/>
        </w:rPr>
      </w:r>
      <w:r>
        <w:rPr/>
        <w:t>品、产成品（库存商品）、工程成本等。</w:t>
      </w:r>
    </w:p>
    <w:p>
      <w:pPr>
        <w:pStyle w:val="BodyText"/>
        <w:spacing w:line="273" w:lineRule="auto"/>
        <w:ind w:left="532" w:right="1125" w:hanging="420"/>
        <w:jc w:val="left"/>
      </w:pPr>
      <w:r>
        <w:rPr>
          <w:rFonts w:ascii="宋体" w:hAnsi="宋体" w:cs="宋体" w:eastAsia="宋体" w:hint="default"/>
          <w:b/>
          <w:bCs/>
        </w:rPr>
        <w:t>（2）存货的计价方法</w:t>
      </w:r>
      <w:r>
        <w:rPr>
          <w:rFonts w:ascii="宋体" w:hAnsi="宋体" w:cs="宋体" w:eastAsia="宋体" w:hint="default"/>
          <w:b/>
          <w:bCs/>
          <w:w w:val="99"/>
        </w:rPr>
        <w:t> </w:t>
      </w:r>
      <w:r>
        <w:rPr>
          <w:w w:val="95"/>
        </w:rPr>
        <w:t>存货在取得时，按成本进行初始计量，包括采购成本、加工成本和其他成本。能直接对应工程成本项</w:t>
      </w:r>
      <w:r>
        <w:rPr/>
      </w:r>
    </w:p>
    <w:p>
      <w:pPr>
        <w:pStyle w:val="BodyText"/>
        <w:spacing w:line="273" w:lineRule="auto"/>
        <w:ind w:right="0"/>
        <w:jc w:val="left"/>
      </w:pPr>
      <w:r>
        <w:rPr>
          <w:w w:val="95"/>
        </w:rPr>
        <w:t>目的原材料、库存商品按个别计价法，其余按加权平均法；低值易耗品领用时采用一次摊销法；工程成本</w:t>
      </w:r>
      <w:r>
        <w:rPr>
          <w:spacing w:val="39"/>
          <w:w w:val="95"/>
        </w:rPr>
        <w:t> </w:t>
      </w:r>
      <w:r>
        <w:rPr>
          <w:spacing w:val="39"/>
          <w:w w:val="95"/>
        </w:rPr>
      </w:r>
      <w:r>
        <w:rPr/>
        <w:t>按工程结算进度相应结转成本。</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（3）存货可变现净值的确定依据及存货跌价准备的计提方法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w w:val="95"/>
          <w:sz w:val="21"/>
          <w:szCs w:val="21"/>
        </w:rPr>
        <w:t>期末对存货进行全面清查后，按存货的成本与可变现净值孰低提取或调整存货跌价准备。产成品、库</w:t>
      </w:r>
      <w:r>
        <w:rPr>
          <w:rFonts w:ascii="宋体" w:hAnsi="宋体" w:cs="宋体" w:eastAsia="宋体" w:hint="default"/>
          <w:sz w:val="21"/>
          <w:szCs w:val="21"/>
        </w:rPr>
      </w:r>
    </w:p>
    <w:p>
      <w:pPr>
        <w:pStyle w:val="BodyText"/>
        <w:spacing w:line="273" w:lineRule="auto"/>
        <w:ind w:right="1132"/>
        <w:jc w:val="both"/>
      </w:pPr>
      <w:r>
        <w:rPr>
          <w:w w:val="95"/>
        </w:rPr>
        <w:t>存商品和用于出售的材料等直接用于出售的商品存货，在正常生产经营过程中，以该存货的估计售价减去</w:t>
      </w:r>
      <w:r>
        <w:rPr>
          <w:spacing w:val="40"/>
          <w:w w:val="95"/>
        </w:rPr>
        <w:t> </w:t>
      </w:r>
      <w:r>
        <w:rPr>
          <w:spacing w:val="40"/>
          <w:w w:val="95"/>
        </w:rPr>
      </w:r>
      <w:r>
        <w:rPr>
          <w:w w:val="95"/>
        </w:rPr>
        <w:t>估计的销售费用和相关税费后的金额，确定其可变现净值；需要经过加工的材料存货，在正常生产经营过</w:t>
      </w:r>
      <w:r>
        <w:rPr>
          <w:spacing w:val="37"/>
          <w:w w:val="95"/>
        </w:rPr>
        <w:t> </w:t>
      </w:r>
      <w:r>
        <w:rPr>
          <w:spacing w:val="37"/>
          <w:w w:val="95"/>
        </w:rPr>
      </w:r>
      <w:r>
        <w:rPr>
          <w:w w:val="95"/>
        </w:rPr>
        <w:t>程中，以所生产的产成品的估计售价减去至完工时估计将要发生的成本、估计的销售费用和相关税费后的</w:t>
      </w:r>
      <w:r>
        <w:rPr>
          <w:spacing w:val="37"/>
          <w:w w:val="95"/>
        </w:rPr>
        <w:t> </w:t>
      </w:r>
      <w:r>
        <w:rPr>
          <w:spacing w:val="37"/>
          <w:w w:val="95"/>
        </w:rPr>
      </w:r>
      <w:r>
        <w:rPr>
          <w:w w:val="95"/>
        </w:rPr>
        <w:t>金额，确定其可变现净值；为执行销售合同或者劳务合同而持有的存货，其可变现净值以合同价格为基础</w:t>
      </w:r>
      <w:r>
        <w:rPr>
          <w:spacing w:val="37"/>
          <w:w w:val="95"/>
        </w:rPr>
        <w:t> </w:t>
      </w:r>
      <w:r>
        <w:rPr>
          <w:spacing w:val="37"/>
          <w:w w:val="95"/>
        </w:rPr>
      </w:r>
      <w:r>
        <w:rPr>
          <w:w w:val="95"/>
        </w:rPr>
        <w:t>计算，若持有存货的数量多于销售合同订购数量的，超出部分的存货的可变现净值以一般销售价格为基础  </w:t>
      </w:r>
      <w:r>
        <w:rPr>
          <w:spacing w:val="40"/>
          <w:w w:val="95"/>
        </w:rPr>
        <w:t> </w:t>
      </w:r>
      <w:r>
        <w:rPr>
          <w:spacing w:val="40"/>
          <w:w w:val="95"/>
        </w:rPr>
      </w:r>
      <w:r>
        <w:rPr/>
        <w:t>计算。</w:t>
      </w:r>
    </w:p>
    <w:p>
      <w:pPr>
        <w:pStyle w:val="BodyText"/>
        <w:spacing w:line="273" w:lineRule="auto"/>
        <w:ind w:right="1132" w:firstLine="420"/>
        <w:jc w:val="both"/>
      </w:pPr>
      <w:r>
        <w:rPr>
          <w:w w:val="95"/>
        </w:rPr>
        <w:t>期末按照单个存货项目计提存货跌价准备；但对于数量繁多、单价较低的存货，按照存货类别计提存</w:t>
      </w:r>
      <w:r>
        <w:rPr>
          <w:w w:val="99"/>
        </w:rPr>
        <w:t> </w:t>
      </w:r>
      <w:r>
        <w:rPr>
          <w:w w:val="95"/>
        </w:rPr>
        <w:t>货跌价准备；与在同一地区生产和销售的产品系列相关、具有相同或类似最终用途或目的，且难以与其他</w:t>
      </w:r>
      <w:r>
        <w:rPr>
          <w:spacing w:val="37"/>
          <w:w w:val="95"/>
        </w:rPr>
        <w:t> </w:t>
      </w:r>
      <w:r>
        <w:rPr>
          <w:spacing w:val="37"/>
          <w:w w:val="95"/>
        </w:rPr>
      </w:r>
      <w:r>
        <w:rPr/>
        <w:t>项目分开计量的存货，则合并计提存货跌价准备。</w:t>
      </w:r>
    </w:p>
    <w:p>
      <w:pPr>
        <w:pStyle w:val="BodyText"/>
        <w:spacing w:line="273" w:lineRule="auto"/>
        <w:ind w:right="1132" w:firstLine="420"/>
        <w:jc w:val="both"/>
      </w:pPr>
      <w:r>
        <w:rPr>
          <w:w w:val="95"/>
        </w:rPr>
        <w:t>以前减记存货价值的影响因素已经消失的，减记的金额予以恢复，并在原已计提的存货跌价准备金额</w:t>
      </w:r>
      <w:r>
        <w:rPr>
          <w:w w:val="99"/>
        </w:rPr>
        <w:t> </w:t>
      </w:r>
      <w:r>
        <w:rPr/>
        <w:t>内转回，转回的金额计入当期损益。</w:t>
      </w:r>
    </w:p>
    <w:p>
      <w:pPr>
        <w:spacing w:line="273" w:lineRule="auto" w:before="7"/>
        <w:ind w:left="532" w:right="8654" w:hanging="420"/>
        <w:jc w:val="left"/>
        <w:rPr>
          <w:rFonts w:ascii="宋体" w:hAnsi="宋体" w:cs="宋体" w:eastAsia="宋体" w:hint="default"/>
          <w:sz w:val="21"/>
          <w:szCs w:val="21"/>
        </w:rPr>
      </w:pPr>
      <w:r>
        <w:rPr>
          <w:rFonts w:ascii="宋体" w:hAnsi="宋体" w:cs="宋体" w:eastAsia="宋体" w:hint="default"/>
          <w:b/>
          <w:bCs/>
          <w:sz w:val="21"/>
          <w:szCs w:val="21"/>
        </w:rPr>
        <w:t>（4）存货的盘存制度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73" w:lineRule="auto" w:before="7"/>
        <w:ind w:left="532" w:right="7275" w:hanging="420"/>
        <w:jc w:val="left"/>
        <w:rPr>
          <w:rFonts w:ascii="宋体" w:hAnsi="宋体" w:cs="宋体" w:eastAsia="宋体" w:hint="default"/>
          <w:sz w:val="21"/>
          <w:szCs w:val="21"/>
        </w:rPr>
      </w:pPr>
      <w:r>
        <w:rPr>
          <w:rFonts w:ascii="宋体" w:hAnsi="宋体" w:cs="宋体" w:eastAsia="宋体" w:hint="default"/>
          <w:b/>
          <w:bCs/>
          <w:sz w:val="21"/>
          <w:szCs w:val="21"/>
        </w:rPr>
        <w:t>（5）低值易耗品和包装物的摊销方法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1）低值易耗品采用一次转销法；</w:t>
      </w:r>
    </w:p>
    <w:p>
      <w:pPr>
        <w:spacing w:after="0" w:line="273" w:lineRule="auto"/>
        <w:jc w:val="left"/>
        <w:rPr>
          <w:rFonts w:ascii="宋体" w:hAnsi="宋体" w:cs="宋体" w:eastAsia="宋体" w:hint="default"/>
          <w:sz w:val="21"/>
          <w:szCs w:val="21"/>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40" w:lineRule="auto" w:before="34"/>
        <w:ind w:left="532" w:right="2127"/>
        <w:jc w:val="left"/>
      </w:pPr>
      <w:r>
        <w:rPr/>
        <w:t>2）包装物采用一次转销法。</w:t>
      </w:r>
    </w:p>
    <w:p>
      <w:pPr>
        <w:pStyle w:val="BodyText"/>
        <w:spacing w:line="240" w:lineRule="auto" w:before="37"/>
        <w:ind w:left="532" w:right="2127"/>
        <w:jc w:val="left"/>
      </w:pPr>
      <w:r>
        <w:rPr/>
        <w:t>3）其他周转材料采用一次转销法摊销。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2127"/>
        <w:jc w:val="left"/>
        <w:rPr>
          <w:b w:val="0"/>
          <w:bCs w:val="0"/>
        </w:rPr>
      </w:pPr>
      <w:bookmarkStart w:name="13、持有待售资产" w:id="186"/>
      <w:bookmarkEnd w:id="186"/>
      <w:r>
        <w:rPr>
          <w:b w:val="0"/>
          <w:bCs w:val="0"/>
        </w:rPr>
      </w:r>
      <w:r>
        <w:rPr/>
        <w:t>13、持有待售资产</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2127" w:hanging="420"/>
        <w:jc w:val="left"/>
      </w:pPr>
      <w:r>
        <w:rPr>
          <w:rFonts w:ascii="宋体" w:hAnsi="宋体" w:cs="宋体" w:eastAsia="宋体" w:hint="default"/>
          <w:b/>
          <w:bCs/>
        </w:rPr>
        <w:t>（1）划分为持有待售确认标准</w:t>
      </w:r>
      <w:r>
        <w:rPr>
          <w:rFonts w:ascii="宋体" w:hAnsi="宋体" w:cs="宋体" w:eastAsia="宋体" w:hint="default"/>
          <w:b/>
          <w:bCs/>
          <w:w w:val="99"/>
        </w:rPr>
        <w:t> </w:t>
      </w:r>
      <w:r>
        <w:rPr/>
        <w:t>本公司将同时满足下列条件的非流动资产或处置组确认为持有待售组成部分：</w:t>
      </w:r>
      <w:r>
        <w:rPr>
          <w:w w:val="99"/>
        </w:rPr>
        <w:t> </w:t>
      </w:r>
      <w:r>
        <w:rPr>
          <w:w w:val="95"/>
        </w:rPr>
        <w:t>1）根据类似交易中出售此类资产或处置组的惯例，在当前状况下即可立即出售；</w:t>
      </w:r>
      <w:r>
        <w:rPr/>
      </w:r>
    </w:p>
    <w:p>
      <w:pPr>
        <w:pStyle w:val="BodyText"/>
        <w:spacing w:line="273" w:lineRule="auto"/>
        <w:ind w:right="1216" w:firstLine="420"/>
        <w:jc w:val="both"/>
      </w:pPr>
      <w:r>
        <w:rPr>
          <w:w w:val="95"/>
        </w:rPr>
        <w:t>2）出售极可能发生，即本公司已经就一项出售计划作出决议，且获得确定的购买承诺，预计出售将</w:t>
      </w:r>
      <w:r>
        <w:rPr>
          <w:spacing w:val="-85"/>
          <w:w w:val="95"/>
        </w:rPr>
        <w:t> </w:t>
      </w:r>
      <w:r>
        <w:rPr>
          <w:spacing w:val="-85"/>
          <w:w w:val="95"/>
        </w:rPr>
      </w:r>
      <w:r>
        <w:rPr/>
        <w:t>在一年内完成。</w:t>
      </w:r>
    </w:p>
    <w:p>
      <w:pPr>
        <w:pStyle w:val="BodyText"/>
        <w:spacing w:line="273" w:lineRule="auto"/>
        <w:ind w:right="1132" w:firstLine="420"/>
        <w:jc w:val="both"/>
      </w:pPr>
      <w:r>
        <w:rPr>
          <w:w w:val="95"/>
        </w:rPr>
        <w:t>确定的购买承诺，是指本公司与其他方签订的具有法律约束力的购买协议，该协议包含交易价格、时</w:t>
      </w:r>
      <w:r>
        <w:rPr>
          <w:w w:val="99"/>
        </w:rPr>
        <w:t> </w:t>
      </w:r>
      <w:r>
        <w:rPr/>
        <w:t>间和足够严厉的违约惩罚等重要条款，使协议出现重大调整或者撤销的可能性极小。</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（2）持有待售核算方法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本公司对于持有待售的非流动资产或处置组不计提折旧或摊销，其账面价值高于公允价值减去出售费</w:t>
      </w:r>
      <w:r>
        <w:rPr>
          <w:rFonts w:ascii="宋体" w:hAnsi="宋体" w:cs="宋体" w:eastAsia="宋体" w:hint="default"/>
          <w:sz w:val="21"/>
          <w:szCs w:val="21"/>
        </w:rPr>
      </w:r>
    </w:p>
    <w:p>
      <w:pPr>
        <w:pStyle w:val="BodyText"/>
        <w:spacing w:line="273" w:lineRule="auto"/>
        <w:ind w:right="1025"/>
        <w:jc w:val="left"/>
      </w:pPr>
      <w:r>
        <w:rPr>
          <w:spacing w:val="-3"/>
        </w:rPr>
        <w:t>用后的净额的，应当将账面价值减记至公允价值减去出售费用后的净额，减记的金额确认为资产减值损失，</w:t>
      </w:r>
      <w:r>
        <w:rPr>
          <w:w w:val="99"/>
        </w:rPr>
        <w:t> </w:t>
      </w:r>
      <w:r>
        <w:rPr/>
        <w:t>计入当期损益，同时计提持有待售资产减值准备。</w:t>
      </w:r>
    </w:p>
    <w:p>
      <w:pPr>
        <w:pStyle w:val="BodyText"/>
        <w:spacing w:line="273" w:lineRule="auto"/>
        <w:ind w:right="1132" w:firstLine="420"/>
        <w:jc w:val="both"/>
      </w:pPr>
      <w:r>
        <w:rPr>
          <w:w w:val="95"/>
        </w:rPr>
        <w:t>对于取得日划分为持有待售类别的非流动资产或处置组，在初始计量时比较假定其不划分为持有待售</w:t>
      </w:r>
      <w:r>
        <w:rPr>
          <w:w w:val="99"/>
        </w:rPr>
        <w:t> </w:t>
      </w:r>
      <w:r>
        <w:rPr/>
        <w:t>类别情况下的初始计量金额和公允价值减去出售费用后的净额，以两者孰低计量。</w:t>
      </w:r>
    </w:p>
    <w:p>
      <w:pPr>
        <w:pStyle w:val="BodyText"/>
        <w:spacing w:line="273" w:lineRule="auto" w:before="8"/>
        <w:ind w:right="1132" w:firstLine="420"/>
        <w:jc w:val="both"/>
      </w:pPr>
      <w:r>
        <w:rPr>
          <w:w w:val="95"/>
        </w:rPr>
        <w:t>上述原则适用于所有非流动资产，但不包括采用公允价值模式进行后续计量的投资性房地产、采用公</w:t>
      </w:r>
      <w:r>
        <w:rPr>
          <w:w w:val="99"/>
        </w:rPr>
        <w:t> </w:t>
      </w:r>
      <w:r>
        <w:rPr>
          <w:w w:val="95"/>
        </w:rPr>
        <w:t>允价值减去出售费用后的净额计量的生物资产、职工薪酬形成的资产、递延所得税资产、由金融工具相关</w:t>
      </w:r>
      <w:r>
        <w:rPr>
          <w:spacing w:val="40"/>
          <w:w w:val="95"/>
        </w:rPr>
        <w:t> </w:t>
      </w:r>
      <w:r>
        <w:rPr>
          <w:spacing w:val="40"/>
          <w:w w:val="95"/>
        </w:rPr>
      </w:r>
      <w:r>
        <w:rPr/>
        <w:t>会计准则规范的金融资产、由保险合同相关会计准则规范的保险合同所产生的权利。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2127"/>
        <w:jc w:val="left"/>
        <w:rPr>
          <w:b w:val="0"/>
          <w:bCs w:val="0"/>
        </w:rPr>
      </w:pPr>
      <w:bookmarkStart w:name="14、长期股权投资" w:id="187"/>
      <w:bookmarkEnd w:id="187"/>
      <w:r>
        <w:rPr>
          <w:b w:val="0"/>
          <w:bCs w:val="0"/>
        </w:rPr>
      </w:r>
      <w:r>
        <w:rPr/>
        <w:t>14、长期股权投资</w:t>
      </w:r>
      <w:r>
        <w:rPr>
          <w:b w:val="0"/>
          <w:bCs w:val="0"/>
        </w:rPr>
      </w:r>
    </w:p>
    <w:p>
      <w:pPr>
        <w:spacing w:line="240" w:lineRule="auto" w:before="10"/>
        <w:rPr>
          <w:rFonts w:ascii="宋体" w:hAnsi="宋体" w:cs="宋体" w:eastAsia="宋体" w:hint="default"/>
          <w:b/>
          <w:bCs/>
          <w:sz w:val="25"/>
          <w:szCs w:val="25"/>
        </w:rPr>
      </w:pPr>
    </w:p>
    <w:p>
      <w:pPr>
        <w:spacing w:line="273" w:lineRule="auto" w:before="0"/>
        <w:ind w:left="638" w:right="0" w:hanging="526"/>
        <w:jc w:val="left"/>
        <w:rPr>
          <w:rFonts w:ascii="宋体" w:hAnsi="宋体" w:cs="宋体" w:eastAsia="宋体" w:hint="default"/>
          <w:sz w:val="21"/>
          <w:szCs w:val="21"/>
        </w:rPr>
      </w:pPr>
      <w:r>
        <w:rPr>
          <w:rFonts w:ascii="宋体" w:hAnsi="宋体" w:cs="宋体" w:eastAsia="宋体" w:hint="default"/>
          <w:b/>
          <w:bCs/>
          <w:sz w:val="21"/>
          <w:szCs w:val="21"/>
        </w:rPr>
        <w:t>（1）初始投资成本的确定</w:t>
      </w:r>
      <w:r>
        <w:rPr>
          <w:rFonts w:ascii="宋体" w:hAnsi="宋体" w:cs="宋体" w:eastAsia="宋体" w:hint="default"/>
          <w:b/>
          <w:bCs/>
          <w:w w:val="99"/>
          <w:sz w:val="21"/>
          <w:szCs w:val="21"/>
        </w:rPr>
        <w:t> </w:t>
      </w:r>
      <w:r>
        <w:rPr>
          <w:rFonts w:ascii="宋体" w:hAnsi="宋体" w:cs="宋体" w:eastAsia="宋体" w:hint="default"/>
          <w:w w:val="95"/>
          <w:sz w:val="21"/>
          <w:szCs w:val="21"/>
        </w:rPr>
        <w:t>1）企业合并形成的长期股权投资，具体会计政策详见本附注五.5同一控制下和非同一控制下企业合</w:t>
      </w:r>
      <w:r>
        <w:rPr>
          <w:rFonts w:ascii="宋体" w:hAnsi="宋体" w:cs="宋体" w:eastAsia="宋体" w:hint="default"/>
          <w:sz w:val="21"/>
          <w:szCs w:val="21"/>
        </w:rPr>
      </w:r>
    </w:p>
    <w:p>
      <w:pPr>
        <w:pStyle w:val="BodyText"/>
        <w:spacing w:line="273" w:lineRule="auto"/>
        <w:ind w:left="638" w:right="7183" w:hanging="526"/>
        <w:jc w:val="left"/>
      </w:pPr>
      <w:r>
        <w:rPr/>
        <w:t>并的会计处理方法。</w:t>
      </w:r>
      <w:r>
        <w:rPr>
          <w:w w:val="99"/>
        </w:rPr>
        <w:t> </w:t>
      </w:r>
      <w:r>
        <w:rPr/>
        <w:t>2）其他方式取得的长期股权投资</w:t>
      </w:r>
    </w:p>
    <w:p>
      <w:pPr>
        <w:pStyle w:val="BodyText"/>
        <w:spacing w:line="273" w:lineRule="auto"/>
        <w:ind w:right="1132" w:firstLine="420"/>
        <w:jc w:val="both"/>
      </w:pPr>
      <w:r>
        <w:rPr>
          <w:w w:val="95"/>
        </w:rPr>
        <w:t>以支付现金方式取得的长期股权投资，按照实际支付的购买价款作为初始投资成本。初始投资成本包</w:t>
      </w:r>
      <w:r>
        <w:rPr>
          <w:w w:val="99"/>
        </w:rPr>
        <w:t> </w:t>
      </w:r>
      <w:r>
        <w:rPr/>
        <w:t>括与取得长期股权投资直接相关的费用、税金及其他必要支出。</w:t>
      </w:r>
    </w:p>
    <w:p>
      <w:pPr>
        <w:pStyle w:val="BodyText"/>
        <w:spacing w:line="273" w:lineRule="auto"/>
        <w:ind w:right="1132" w:firstLine="420"/>
        <w:jc w:val="both"/>
      </w:pPr>
      <w:r>
        <w:rPr>
          <w:w w:val="95"/>
        </w:rPr>
        <w:t>以发行权益性证券取得的长期股权投资，按照发行权益性证券的公允价值作为初始投资成本；发行或</w:t>
      </w:r>
      <w:r>
        <w:rPr>
          <w:w w:val="99"/>
        </w:rPr>
        <w:t> </w:t>
      </w:r>
      <w:r>
        <w:rPr/>
        <w:t>取得自身权益工具时发生的交易费用，可直接归属于权益性交易的从权益中扣减。</w:t>
      </w:r>
    </w:p>
    <w:p>
      <w:pPr>
        <w:pStyle w:val="BodyText"/>
        <w:spacing w:line="273" w:lineRule="auto"/>
        <w:ind w:right="1132" w:firstLine="420"/>
        <w:jc w:val="both"/>
      </w:pPr>
      <w:r>
        <w:rPr>
          <w:w w:val="95"/>
        </w:rPr>
        <w:t>在非货币性资产交换具备商业实质和换入资产或换出资产的公允价值能够可靠计量的前提下，非货币</w:t>
      </w:r>
      <w:r>
        <w:rPr>
          <w:w w:val="99"/>
        </w:rPr>
        <w:t> </w:t>
      </w:r>
      <w:r>
        <w:rPr>
          <w:w w:val="95"/>
        </w:rPr>
        <w:t>性资产交换换入的长期股权投资以换出资产的公允价值为基础确定其初始投资成本，除非有确凿证据表明</w:t>
      </w:r>
      <w:r>
        <w:rPr>
          <w:spacing w:val="39"/>
          <w:w w:val="95"/>
        </w:rPr>
        <w:t> </w:t>
      </w:r>
      <w:r>
        <w:rPr>
          <w:spacing w:val="39"/>
          <w:w w:val="95"/>
        </w:rPr>
      </w:r>
      <w:r>
        <w:rPr>
          <w:w w:val="95"/>
        </w:rPr>
        <w:t>换入资产的公允价值更加可靠；不满足上述前提的非货币性资产交换，以换出资产的账面价值和应支付的</w:t>
      </w:r>
      <w:r>
        <w:rPr>
          <w:spacing w:val="40"/>
          <w:w w:val="95"/>
        </w:rPr>
        <w:t> </w:t>
      </w:r>
      <w:r>
        <w:rPr>
          <w:spacing w:val="40"/>
          <w:w w:val="95"/>
        </w:rPr>
      </w:r>
      <w:r>
        <w:rPr/>
        <w:t>相关税费作为换入长期股权投资的初始投资成本。</w:t>
      </w:r>
    </w:p>
    <w:p>
      <w:pPr>
        <w:pStyle w:val="BodyText"/>
        <w:spacing w:line="240" w:lineRule="auto"/>
        <w:ind w:left="532" w:right="2127"/>
        <w:jc w:val="left"/>
      </w:pPr>
      <w:r>
        <w:rPr/>
        <w:t>通过债务重组取得的长期股权投资，其初始投资成本按照公允价值为基础确定。</w:t>
      </w:r>
    </w:p>
    <w:p>
      <w:pPr>
        <w:spacing w:line="273" w:lineRule="auto" w:before="37"/>
        <w:ind w:left="638" w:right="8329" w:hanging="526"/>
        <w:jc w:val="left"/>
        <w:rPr>
          <w:rFonts w:ascii="宋体" w:hAnsi="宋体" w:cs="宋体" w:eastAsia="宋体" w:hint="default"/>
          <w:sz w:val="21"/>
          <w:szCs w:val="21"/>
        </w:rPr>
      </w:pPr>
      <w:r>
        <w:rPr>
          <w:rFonts w:ascii="宋体" w:hAnsi="宋体" w:cs="宋体" w:eastAsia="宋体" w:hint="default"/>
          <w:b/>
          <w:bCs/>
          <w:sz w:val="21"/>
          <w:szCs w:val="21"/>
        </w:rPr>
        <w:t>（2）后续计量及损益确认</w:t>
      </w:r>
      <w:r>
        <w:rPr>
          <w:rFonts w:ascii="宋体" w:hAnsi="宋体" w:cs="宋体" w:eastAsia="宋体" w:hint="default"/>
          <w:b/>
          <w:bCs/>
          <w:w w:val="99"/>
          <w:sz w:val="21"/>
          <w:szCs w:val="21"/>
        </w:rPr>
        <w:t> </w:t>
      </w:r>
      <w:r>
        <w:rPr>
          <w:rFonts w:ascii="宋体" w:hAnsi="宋体" w:cs="宋体" w:eastAsia="宋体" w:hint="default"/>
          <w:sz w:val="21"/>
          <w:szCs w:val="21"/>
        </w:rPr>
        <w:t>1）成本法</w:t>
      </w:r>
    </w:p>
    <w:p>
      <w:pPr>
        <w:pStyle w:val="BodyText"/>
        <w:spacing w:line="273" w:lineRule="auto"/>
        <w:ind w:right="1135" w:firstLine="420"/>
        <w:jc w:val="both"/>
      </w:pPr>
      <w:r>
        <w:rPr>
          <w:w w:val="95"/>
        </w:rPr>
        <w:t>本公司能够对被投资单位实施控制的长期股权投资采用成本法核算，并按照初始投资成本计价，追加</w:t>
      </w:r>
      <w:r>
        <w:rPr>
          <w:w w:val="99"/>
        </w:rPr>
        <w:t> </w:t>
      </w:r>
      <w:r>
        <w:rPr/>
        <w:t>或收回投资调整长期股权投资的成本。</w:t>
      </w:r>
    </w:p>
    <w:p>
      <w:pPr>
        <w:pStyle w:val="BodyText"/>
        <w:spacing w:line="240" w:lineRule="auto"/>
        <w:ind w:left="532" w:right="0"/>
        <w:jc w:val="left"/>
      </w:pPr>
      <w:r>
        <w:rPr/>
        <w:t>除取得投资时实际支付的价款或对价中包含的已宣告但尚未发放的现金股利或利润外，本公司按照享</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left="532" w:right="4994" w:hanging="420"/>
        <w:jc w:val="left"/>
      </w:pPr>
      <w:r>
        <w:rPr>
          <w:w w:val="95"/>
        </w:rPr>
        <w:t>有被投资单位宣告分派的现金股利或利润确认为当期投资收益。</w:t>
      </w:r>
      <w:r>
        <w:rPr>
          <w:spacing w:val="78"/>
          <w:w w:val="95"/>
        </w:rPr>
        <w:t> </w:t>
      </w:r>
      <w:r>
        <w:rPr>
          <w:spacing w:val="78"/>
          <w:w w:val="95"/>
        </w:rPr>
      </w:r>
      <w:r>
        <w:rPr/>
        <w:t>2）权益法</w:t>
      </w:r>
    </w:p>
    <w:p>
      <w:pPr>
        <w:pStyle w:val="BodyText"/>
        <w:spacing w:line="273" w:lineRule="auto"/>
        <w:ind w:right="1112" w:firstLine="420"/>
        <w:jc w:val="both"/>
      </w:pPr>
      <w:r>
        <w:rPr>
          <w:w w:val="95"/>
        </w:rPr>
        <w:t>本公司对联营企业和合营企业的长期股权投资采用权益法核算；对于其中一部分通过风险投资机构、</w:t>
      </w:r>
      <w:r>
        <w:rPr>
          <w:spacing w:val="-79"/>
          <w:w w:val="95"/>
        </w:rPr>
        <w:t> </w:t>
      </w:r>
      <w:r>
        <w:rPr>
          <w:spacing w:val="-79"/>
          <w:w w:val="95"/>
        </w:rPr>
      </w:r>
      <w:r>
        <w:rPr>
          <w:w w:val="95"/>
        </w:rPr>
        <w:t>共同基金、信托公司或包括投连险基金在内的类似主体间接持有的联营企业的权益性投资，采用公允价值</w:t>
      </w:r>
      <w:r>
        <w:rPr>
          <w:spacing w:val="37"/>
          <w:w w:val="95"/>
        </w:rPr>
        <w:t> </w:t>
      </w:r>
      <w:r>
        <w:rPr>
          <w:spacing w:val="37"/>
          <w:w w:val="95"/>
        </w:rPr>
      </w:r>
      <w:r>
        <w:rPr/>
        <w:t>计量且其变动计入损益。</w:t>
      </w:r>
    </w:p>
    <w:p>
      <w:pPr>
        <w:pStyle w:val="BodyText"/>
        <w:spacing w:line="273" w:lineRule="auto"/>
        <w:ind w:right="1132" w:firstLine="420"/>
        <w:jc w:val="both"/>
      </w:pPr>
      <w:r>
        <w:rPr>
          <w:w w:val="95"/>
        </w:rPr>
        <w:t>长期股权投资的初始投资成本大于投资时应享有被投资单位可辨认净资产公允价值份额的差额，不调</w:t>
      </w:r>
      <w:r>
        <w:rPr>
          <w:w w:val="99"/>
        </w:rPr>
        <w:t> </w:t>
      </w:r>
      <w:r>
        <w:rPr>
          <w:w w:val="95"/>
        </w:rPr>
        <w:t>整长期股权投资的初始投资成本；初始投资成本小于投资时应享有被投资单位可辨认净资产公允价值份额</w:t>
      </w:r>
      <w:r>
        <w:rPr>
          <w:spacing w:val="39"/>
          <w:w w:val="95"/>
        </w:rPr>
        <w:t> </w:t>
      </w:r>
      <w:r>
        <w:rPr>
          <w:spacing w:val="39"/>
          <w:w w:val="95"/>
        </w:rPr>
      </w:r>
      <w:r>
        <w:rPr/>
        <w:t>的差额，计入当期损益。</w:t>
      </w:r>
    </w:p>
    <w:p>
      <w:pPr>
        <w:pStyle w:val="BodyText"/>
        <w:spacing w:line="273" w:lineRule="auto"/>
        <w:ind w:right="0" w:firstLine="420"/>
        <w:jc w:val="left"/>
      </w:pPr>
      <w:r>
        <w:rPr/>
        <w:t>本公司取得长期股权投资后，按照应享有或应分担的被投资单位实现的净损益和其他综合收益的份</w:t>
      </w:r>
      <w:r>
        <w:rPr>
          <w:w w:val="99"/>
        </w:rPr>
        <w:t> </w:t>
      </w:r>
      <w:r>
        <w:rPr>
          <w:w w:val="95"/>
        </w:rPr>
        <w:t>额，分别确认投资收益和其他综合收益，同时调整长期股权投资的账面价值；并按照被投资单位宣告分派</w:t>
      </w:r>
      <w:r>
        <w:rPr>
          <w:spacing w:val="37"/>
          <w:w w:val="95"/>
        </w:rPr>
        <w:t> </w:t>
      </w:r>
      <w:r>
        <w:rPr>
          <w:spacing w:val="37"/>
          <w:w w:val="95"/>
        </w:rPr>
      </w:r>
      <w:r>
        <w:rPr>
          <w:w w:val="95"/>
        </w:rPr>
        <w:t>的利润或现金股利计算应享有的部分，相应减少长期股权投资的账面价值；对于被投资单位除净损益、其</w:t>
      </w:r>
      <w:r>
        <w:rPr>
          <w:spacing w:val="40"/>
          <w:w w:val="95"/>
        </w:rPr>
        <w:t> </w:t>
      </w:r>
      <w:r>
        <w:rPr>
          <w:spacing w:val="40"/>
          <w:w w:val="95"/>
        </w:rPr>
      </w:r>
      <w:r>
        <w:rPr/>
        <w:t>他综合收益和利润分配以外所有者权益的其他变动，调整长期股权投资的账面价值并计入所有者权益。</w:t>
      </w:r>
    </w:p>
    <w:p>
      <w:pPr>
        <w:pStyle w:val="BodyText"/>
        <w:spacing w:line="273" w:lineRule="auto"/>
        <w:ind w:right="1132" w:firstLine="420"/>
        <w:jc w:val="both"/>
      </w:pPr>
      <w:r>
        <w:rPr>
          <w:w w:val="95"/>
        </w:rPr>
        <w:t>本公司在确认应享有被投资单位净损益的份额时，以取得投资时被投资单位各项可辨认资产等的公允</w:t>
      </w:r>
      <w:r>
        <w:rPr>
          <w:w w:val="99"/>
        </w:rPr>
        <w:t> </w:t>
      </w:r>
      <w:r>
        <w:rPr>
          <w:w w:val="95"/>
        </w:rPr>
        <w:t>价值为基础，对被投资单位的净利润进行调整后确认。本公司与联营企业、合营企业之间发生的未实现内</w:t>
      </w:r>
      <w:r>
        <w:rPr>
          <w:spacing w:val="40"/>
          <w:w w:val="95"/>
        </w:rPr>
        <w:t> </w:t>
      </w:r>
      <w:r>
        <w:rPr>
          <w:spacing w:val="40"/>
          <w:w w:val="95"/>
        </w:rPr>
      </w:r>
      <w:r>
        <w:rPr/>
        <w:t>部交易损益按照应享有的比例计算归属于本公司的部分予以抵销，在此基础上确认投资损益。</w:t>
      </w:r>
    </w:p>
    <w:p>
      <w:pPr>
        <w:pStyle w:val="BodyText"/>
        <w:spacing w:line="273" w:lineRule="auto"/>
        <w:ind w:right="1132" w:firstLine="420"/>
        <w:jc w:val="both"/>
      </w:pPr>
      <w:r>
        <w:rPr>
          <w:w w:val="95"/>
        </w:rPr>
        <w:t>本公司确认应分担被投资单位发生的亏损时，按照以下顺序进行处理：首先，冲减长期股权投资的账</w:t>
      </w:r>
      <w:r>
        <w:rPr>
          <w:w w:val="99"/>
        </w:rPr>
        <w:t> </w:t>
      </w:r>
      <w:r>
        <w:rPr>
          <w:w w:val="95"/>
        </w:rPr>
        <w:t>面价值。其次，长期股权投资的账面价值不足以冲减的，以其他实质上构成对被投资单位净投资的长期权</w:t>
      </w:r>
      <w:r>
        <w:rPr>
          <w:spacing w:val="37"/>
          <w:w w:val="95"/>
        </w:rPr>
        <w:t> </w:t>
      </w:r>
      <w:r>
        <w:rPr>
          <w:spacing w:val="37"/>
          <w:w w:val="95"/>
        </w:rPr>
      </w:r>
      <w:r>
        <w:rPr>
          <w:w w:val="95"/>
        </w:rPr>
        <w:t>益账面价值为限继续确认投资损失，冲减长期应收项目等的账面价值。最后，经过上述处理，按照投资合</w:t>
      </w:r>
      <w:r>
        <w:rPr>
          <w:spacing w:val="41"/>
          <w:w w:val="95"/>
        </w:rPr>
        <w:t> </w:t>
      </w:r>
      <w:r>
        <w:rPr>
          <w:spacing w:val="41"/>
          <w:w w:val="95"/>
        </w:rPr>
      </w:r>
      <w:r>
        <w:rPr/>
        <w:t>同或协议约定企业仍承担额外义务的，按预计承担的义务确认预计负债，计入当期投资损失。</w:t>
      </w:r>
    </w:p>
    <w:p>
      <w:pPr>
        <w:pStyle w:val="BodyText"/>
        <w:spacing w:line="273" w:lineRule="auto"/>
        <w:ind w:right="1132" w:firstLine="420"/>
        <w:jc w:val="both"/>
      </w:pPr>
      <w:r>
        <w:rPr>
          <w:w w:val="95"/>
        </w:rPr>
        <w:t>被投资单位以后期间实现盈利的，公司在扣除未确认的亏损分担额后，按与上述相反的顺序处理，减</w:t>
      </w:r>
      <w:r>
        <w:rPr>
          <w:w w:val="99"/>
        </w:rPr>
        <w:t> </w:t>
      </w:r>
      <w:r>
        <w:rPr>
          <w:w w:val="95"/>
        </w:rPr>
        <w:t>记已确认预计负债的账面余额、恢复其他实质上构成对被投资单位净投资的长期权益及长期股权投资的账</w:t>
      </w:r>
      <w:r>
        <w:rPr>
          <w:spacing w:val="37"/>
          <w:w w:val="95"/>
        </w:rPr>
        <w:t> </w:t>
      </w:r>
      <w:r>
        <w:rPr>
          <w:spacing w:val="37"/>
          <w:w w:val="95"/>
        </w:rPr>
      </w:r>
      <w:r>
        <w:rPr/>
        <w:t>面价值后，恢复确认投资收益。</w:t>
      </w:r>
    </w:p>
    <w:p>
      <w:pPr>
        <w:spacing w:line="273" w:lineRule="auto" w:before="8"/>
        <w:ind w:left="638" w:right="7393" w:hanging="526"/>
        <w:jc w:val="left"/>
        <w:rPr>
          <w:rFonts w:ascii="宋体" w:hAnsi="宋体" w:cs="宋体" w:eastAsia="宋体" w:hint="default"/>
          <w:sz w:val="21"/>
          <w:szCs w:val="21"/>
        </w:rPr>
      </w:pPr>
      <w:r>
        <w:rPr>
          <w:rFonts w:ascii="宋体" w:hAnsi="宋体" w:cs="宋体" w:eastAsia="宋体" w:hint="default"/>
          <w:b/>
          <w:bCs/>
          <w:sz w:val="21"/>
          <w:szCs w:val="21"/>
        </w:rPr>
        <w:t>（3）长期股权投资核算方法的转换</w:t>
      </w:r>
      <w:r>
        <w:rPr>
          <w:rFonts w:ascii="宋体" w:hAnsi="宋体" w:cs="宋体" w:eastAsia="宋体" w:hint="default"/>
          <w:b/>
          <w:bCs/>
          <w:w w:val="99"/>
          <w:sz w:val="21"/>
          <w:szCs w:val="21"/>
        </w:rPr>
        <w:t> </w:t>
      </w:r>
      <w:r>
        <w:rPr>
          <w:rFonts w:ascii="宋体" w:hAnsi="宋体" w:cs="宋体" w:eastAsia="宋体" w:hint="default"/>
          <w:sz w:val="21"/>
          <w:szCs w:val="21"/>
        </w:rPr>
        <w:t>1）公允价值计量转权益法核算</w:t>
      </w:r>
    </w:p>
    <w:p>
      <w:pPr>
        <w:pStyle w:val="BodyText"/>
        <w:spacing w:line="273" w:lineRule="auto"/>
        <w:ind w:right="0" w:firstLine="420"/>
        <w:jc w:val="left"/>
      </w:pPr>
      <w:r>
        <w:rPr>
          <w:w w:val="95"/>
        </w:rPr>
        <w:t>本公司原持有的对被投资单位不具有控制、共同控制或重大影响的按金融工具确认和计量准则进行会</w:t>
      </w:r>
      <w:r>
        <w:rPr>
          <w:w w:val="99"/>
        </w:rPr>
        <w:t> </w:t>
      </w:r>
      <w:r>
        <w:rPr/>
        <w:t>计处理的权益性投资，因追加投资等原因能够对被投资单位施加重大影响或实施共同控制但不构成控制</w:t>
      </w:r>
      <w:r>
        <w:rPr>
          <w:w w:val="99"/>
        </w:rPr>
        <w:t> </w:t>
      </w:r>
      <w:r>
        <w:rPr>
          <w:w w:val="95"/>
        </w:rPr>
        <w:t>的，按照《企业会计准则第22号——金融工具确认和计量》确定的原持有的股权投资的公允价值加上新增</w:t>
      </w:r>
      <w:r>
        <w:rPr>
          <w:spacing w:val="37"/>
          <w:w w:val="95"/>
        </w:rPr>
        <w:t> </w:t>
      </w:r>
      <w:r>
        <w:rPr>
          <w:spacing w:val="37"/>
          <w:w w:val="95"/>
        </w:rPr>
      </w:r>
      <w:r>
        <w:rPr/>
        <w:t>投资成本之和，作为改按权益法核算的初始投资成本。</w:t>
      </w:r>
    </w:p>
    <w:p>
      <w:pPr>
        <w:pStyle w:val="BodyText"/>
        <w:spacing w:line="273" w:lineRule="auto"/>
        <w:ind w:right="1132" w:firstLine="420"/>
        <w:jc w:val="both"/>
      </w:pPr>
      <w:r>
        <w:rPr>
          <w:w w:val="95"/>
        </w:rPr>
        <w:t>原持有的股权投资分类为可供出售金融资产的，其公允价值与账面价值之间的差额，以及原计入其他</w:t>
      </w:r>
      <w:r>
        <w:rPr>
          <w:w w:val="99"/>
        </w:rPr>
        <w:t> </w:t>
      </w:r>
      <w:r>
        <w:rPr/>
        <w:t>综合收益的累计公允价值变动转入改按权益法核算的当期损益。</w:t>
      </w:r>
    </w:p>
    <w:p>
      <w:pPr>
        <w:pStyle w:val="BodyText"/>
        <w:spacing w:line="273" w:lineRule="auto"/>
        <w:ind w:right="1177" w:firstLine="420"/>
        <w:jc w:val="left"/>
      </w:pPr>
      <w:r>
        <w:rPr/>
        <w:t>按权益法核算的初始投资成本小于按照追加投资后全新的持股比例计算确定的应享有被投资单位在</w:t>
      </w:r>
      <w:r>
        <w:rPr>
          <w:w w:val="99"/>
        </w:rPr>
        <w:t> </w:t>
      </w:r>
      <w:r>
        <w:rPr>
          <w:w w:val="95"/>
        </w:rPr>
        <w:t>追加投资日可辨认净资产公允价值份额之间的差额，调整长期股权投资的账面价值，并计入当期营业外收   </w:t>
      </w:r>
      <w:r>
        <w:rPr>
          <w:spacing w:val="40"/>
          <w:w w:val="95"/>
        </w:rPr>
        <w:t> </w:t>
      </w:r>
      <w:r>
        <w:rPr>
          <w:spacing w:val="40"/>
          <w:w w:val="95"/>
        </w:rPr>
      </w:r>
      <w:r>
        <w:rPr/>
        <w:t>入。</w:t>
      </w:r>
    </w:p>
    <w:p>
      <w:pPr>
        <w:pStyle w:val="BodyText"/>
        <w:spacing w:line="273" w:lineRule="auto" w:before="8"/>
        <w:ind w:left="532" w:right="0" w:firstLine="105"/>
        <w:jc w:val="left"/>
      </w:pPr>
      <w:r>
        <w:rPr/>
        <w:t>2）公允价值计量或权益法核算转成本法核算</w:t>
      </w:r>
      <w:r>
        <w:rPr>
          <w:w w:val="99"/>
        </w:rPr>
        <w:t> </w:t>
      </w:r>
      <w:r>
        <w:rPr>
          <w:w w:val="95"/>
        </w:rPr>
        <w:t>本公司原持有的对被投资单位不具有控制、共同控制或重大影响的按金融工具确认和计量准则进行会</w:t>
      </w:r>
      <w:r>
        <w:rPr/>
      </w:r>
    </w:p>
    <w:p>
      <w:pPr>
        <w:pStyle w:val="BodyText"/>
        <w:spacing w:line="273" w:lineRule="auto"/>
        <w:ind w:right="1135"/>
        <w:jc w:val="both"/>
      </w:pPr>
      <w:r>
        <w:rPr>
          <w:w w:val="95"/>
        </w:rPr>
        <w:t>计处理的权益性投资，或原持有对联营企业、合营企业的长期股权投资，因追加投资等原因能够对非同一</w:t>
      </w:r>
      <w:r>
        <w:rPr>
          <w:spacing w:val="37"/>
          <w:w w:val="95"/>
        </w:rPr>
        <w:t> </w:t>
      </w:r>
      <w:r>
        <w:rPr>
          <w:spacing w:val="37"/>
          <w:w w:val="95"/>
        </w:rPr>
      </w:r>
      <w:r>
        <w:rPr>
          <w:w w:val="95"/>
        </w:rPr>
        <w:t>控制下的被投资单位实施控制的，在编制个别财务报表时，按照原持有的股权投资账面价值加上新增投资</w:t>
      </w:r>
      <w:r>
        <w:rPr>
          <w:spacing w:val="37"/>
          <w:w w:val="95"/>
        </w:rPr>
        <w:t> </w:t>
      </w:r>
      <w:r>
        <w:rPr>
          <w:spacing w:val="37"/>
          <w:w w:val="95"/>
        </w:rPr>
      </w:r>
      <w:r>
        <w:rPr/>
        <w:t>成本之和，作为改按成本法核算的初始投资成本。</w:t>
      </w:r>
    </w:p>
    <w:p>
      <w:pPr>
        <w:pStyle w:val="BodyText"/>
        <w:spacing w:line="273" w:lineRule="auto" w:before="8"/>
        <w:ind w:right="0" w:firstLine="420"/>
        <w:jc w:val="left"/>
      </w:pPr>
      <w:r>
        <w:rPr>
          <w:w w:val="95"/>
        </w:rPr>
        <w:t>购买日之前持有的股权投资因采用权益法核算而确认的其他综合收益，在处置该项投资时采用与被投</w:t>
      </w:r>
      <w:r>
        <w:rPr>
          <w:w w:val="99"/>
        </w:rPr>
        <w:t> </w:t>
      </w:r>
      <w:r>
        <w:rPr/>
        <w:t>资单位直接处置相关资产或负债相同的基础进行会计处理。</w:t>
      </w:r>
    </w:p>
    <w:p>
      <w:pPr>
        <w:pStyle w:val="BodyText"/>
        <w:spacing w:line="273" w:lineRule="auto"/>
        <w:ind w:right="0" w:firstLine="420"/>
        <w:jc w:val="left"/>
      </w:pPr>
      <w:r>
        <w:rPr>
          <w:w w:val="95"/>
        </w:rPr>
        <w:t>购买日之前持有的股权投资按照《企业会计准则第22号——金融工具确认和计量》的有关规定进行会</w:t>
      </w:r>
      <w:r>
        <w:rPr>
          <w:w w:val="99"/>
        </w:rPr>
        <w:t> </w:t>
      </w:r>
      <w:r>
        <w:rPr/>
        <w:t>计处理的，原计入其他综合收益的累计公允价值变动在改按成本法核算时转入当期损益。</w:t>
      </w:r>
    </w:p>
    <w:p>
      <w:pPr>
        <w:pStyle w:val="BodyText"/>
        <w:spacing w:line="273" w:lineRule="auto"/>
        <w:ind w:left="532" w:right="0" w:firstLine="105"/>
        <w:jc w:val="left"/>
      </w:pPr>
      <w:r>
        <w:rPr/>
        <w:t>3）权益法核算转公允价值计量</w:t>
      </w:r>
      <w:r>
        <w:rPr>
          <w:w w:val="99"/>
        </w:rPr>
        <w:t> </w:t>
      </w:r>
      <w:r>
        <w:rPr>
          <w:w w:val="95"/>
        </w:rPr>
        <w:t>本公司因处置部分股权投资等原因丧失了对被投资单位的共同控制或重大影响的，处置后的剩余股权</w:t>
      </w:r>
      <w:r>
        <w:rPr/>
      </w:r>
    </w:p>
    <w:p>
      <w:pPr>
        <w:spacing w:after="0" w:line="273"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5"/>
        <w:jc w:val="both"/>
      </w:pPr>
      <w:r>
        <w:rPr>
          <w:w w:val="95"/>
        </w:rPr>
        <w:t>改按《企业会计准则第22号——金融工具确认和计量》核算，其在丧失共同控制或重大影响之日的公允价</w:t>
      </w:r>
      <w:r>
        <w:rPr>
          <w:spacing w:val="36"/>
          <w:w w:val="95"/>
        </w:rPr>
        <w:t> </w:t>
      </w:r>
      <w:r>
        <w:rPr>
          <w:spacing w:val="36"/>
          <w:w w:val="95"/>
        </w:rPr>
      </w:r>
      <w:r>
        <w:rPr/>
        <w:t>值与账面价值之间的差额计入当期损益。</w:t>
      </w:r>
    </w:p>
    <w:p>
      <w:pPr>
        <w:pStyle w:val="BodyText"/>
        <w:spacing w:line="273" w:lineRule="auto"/>
        <w:ind w:right="0" w:firstLine="420"/>
        <w:jc w:val="left"/>
      </w:pPr>
      <w:r>
        <w:rPr>
          <w:w w:val="95"/>
        </w:rPr>
        <w:t>原股权投资因采用权益法核算而确认的其他综合收益，在终止采用权益法核算时采用与被投资单位直</w:t>
      </w:r>
      <w:r>
        <w:rPr>
          <w:w w:val="99"/>
        </w:rPr>
        <w:t> </w:t>
      </w:r>
      <w:r>
        <w:rPr/>
        <w:t>接处置相关资产或负债相同的基础进行会计处理。</w:t>
      </w:r>
    </w:p>
    <w:p>
      <w:pPr>
        <w:pStyle w:val="BodyText"/>
        <w:spacing w:line="273" w:lineRule="auto"/>
        <w:ind w:left="532" w:right="0" w:firstLine="105"/>
        <w:jc w:val="left"/>
      </w:pPr>
      <w:r>
        <w:rPr/>
        <w:t>4）成本法转权益法</w:t>
      </w:r>
      <w:r>
        <w:rPr>
          <w:w w:val="99"/>
        </w:rPr>
        <w:t> </w:t>
      </w:r>
      <w:r>
        <w:rPr>
          <w:w w:val="95"/>
        </w:rPr>
        <w:t>本公司因处置部分权益性投资等原因丧失了对被投资单位的控制的，在编制个别财务报表时，处置后</w:t>
      </w:r>
      <w:r>
        <w:rPr/>
      </w:r>
    </w:p>
    <w:p>
      <w:pPr>
        <w:pStyle w:val="BodyText"/>
        <w:spacing w:line="273" w:lineRule="auto"/>
        <w:ind w:right="1135"/>
        <w:jc w:val="both"/>
      </w:pPr>
      <w:r>
        <w:rPr>
          <w:w w:val="95"/>
        </w:rPr>
        <w:t>的剩余股权能够对被投资单位实施共同控制或施加重大影响的，改按权益法核算，并对该剩余股权视同自</w:t>
      </w:r>
      <w:r>
        <w:rPr>
          <w:spacing w:val="37"/>
          <w:w w:val="95"/>
        </w:rPr>
        <w:t> </w:t>
      </w:r>
      <w:r>
        <w:rPr>
          <w:spacing w:val="37"/>
          <w:w w:val="95"/>
        </w:rPr>
      </w:r>
      <w:r>
        <w:rPr/>
        <w:t>取得时即采用权益法核算进行调整。</w:t>
      </w:r>
    </w:p>
    <w:p>
      <w:pPr>
        <w:pStyle w:val="BodyText"/>
        <w:spacing w:line="273" w:lineRule="auto"/>
        <w:ind w:left="532" w:right="0" w:firstLine="105"/>
        <w:jc w:val="left"/>
      </w:pPr>
      <w:r>
        <w:rPr/>
        <w:t>5）成本法转公允价值计量</w:t>
      </w:r>
      <w:r>
        <w:rPr>
          <w:w w:val="99"/>
        </w:rPr>
        <w:t> </w:t>
      </w:r>
      <w:r>
        <w:rPr>
          <w:w w:val="95"/>
        </w:rPr>
        <w:t>本公司因处置部分权益性投资等原因丧失了对被投资单位的控制的，在编制个别财务报表时，处置后</w:t>
      </w:r>
      <w:r>
        <w:rPr/>
      </w:r>
    </w:p>
    <w:p>
      <w:pPr>
        <w:pStyle w:val="BodyText"/>
        <w:spacing w:line="273" w:lineRule="auto"/>
        <w:ind w:right="1025"/>
        <w:jc w:val="left"/>
      </w:pPr>
      <w:r>
        <w:rPr/>
        <w:t>的剩余股权不能对被投资单位实施共同控制或施加重大影响的，改按《企业会计准则第22号——金融工具</w:t>
      </w:r>
      <w:r>
        <w:rPr>
          <w:w w:val="99"/>
        </w:rPr>
        <w:t> </w:t>
      </w:r>
      <w:r>
        <w:rPr>
          <w:spacing w:val="-3"/>
        </w:rPr>
        <w:t>确认和计量》的有关规定进行会计处理，其在丧失控制之日的公允价值与账面价值间的差额计入当期损益。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（4）长期股权投资的处置</w:t>
      </w:r>
      <w:r>
        <w:rPr>
          <w:rFonts w:ascii="宋体" w:hAnsi="宋体" w:cs="宋体" w:eastAsia="宋体" w:hint="default"/>
          <w:b/>
          <w:bCs/>
          <w:w w:val="99"/>
          <w:sz w:val="21"/>
          <w:szCs w:val="21"/>
        </w:rPr>
        <w:t> </w:t>
      </w:r>
      <w:r>
        <w:rPr>
          <w:rFonts w:ascii="宋体" w:hAnsi="宋体" w:cs="宋体" w:eastAsia="宋体" w:hint="default"/>
          <w:w w:val="95"/>
          <w:sz w:val="21"/>
          <w:szCs w:val="21"/>
        </w:rPr>
        <w:t>处置长期股权投资，其账面价值与实际取得价款之间的差额，应当计入当期损益。采用权益法核算的</w:t>
      </w:r>
      <w:r>
        <w:rPr>
          <w:rFonts w:ascii="宋体" w:hAnsi="宋体" w:cs="宋体" w:eastAsia="宋体" w:hint="default"/>
          <w:sz w:val="21"/>
          <w:szCs w:val="21"/>
        </w:rPr>
      </w:r>
    </w:p>
    <w:p>
      <w:pPr>
        <w:pStyle w:val="BodyText"/>
        <w:spacing w:line="273" w:lineRule="auto"/>
        <w:ind w:right="1132"/>
        <w:jc w:val="both"/>
      </w:pPr>
      <w:r>
        <w:rPr>
          <w:w w:val="95"/>
        </w:rPr>
        <w:t>长期股权投资，在处置该项投资时，采用与被投资单位直接处置相关资产或负债相同的基础，按相应比例</w:t>
      </w:r>
      <w:r>
        <w:rPr>
          <w:spacing w:val="40"/>
          <w:w w:val="95"/>
        </w:rPr>
        <w:t> </w:t>
      </w:r>
      <w:r>
        <w:rPr>
          <w:spacing w:val="40"/>
          <w:w w:val="95"/>
        </w:rPr>
      </w:r>
      <w:r>
        <w:rPr/>
        <w:t>对原计入其他综合收益的部分进行会计处理。</w:t>
      </w:r>
    </w:p>
    <w:p>
      <w:pPr>
        <w:pStyle w:val="BodyText"/>
        <w:spacing w:line="273" w:lineRule="auto"/>
        <w:ind w:right="0" w:firstLine="420"/>
        <w:jc w:val="left"/>
      </w:pPr>
      <w:r>
        <w:rPr>
          <w:w w:val="95"/>
        </w:rPr>
        <w:t>处置对子公司股权投资的各项交易的条款、条件以及经济影响符合以下一种或多种情况，将多次交易</w:t>
      </w:r>
      <w:r>
        <w:rPr>
          <w:w w:val="99"/>
        </w:rPr>
        <w:t> </w:t>
      </w:r>
      <w:r>
        <w:rPr/>
        <w:t>事项作为一揽子交易进行会计处理：</w:t>
      </w:r>
    </w:p>
    <w:p>
      <w:pPr>
        <w:pStyle w:val="BodyText"/>
        <w:spacing w:line="240" w:lineRule="auto"/>
        <w:ind w:left="638" w:right="2127"/>
        <w:jc w:val="left"/>
      </w:pPr>
      <w:r>
        <w:rPr/>
        <w:t>1）这些交易是同时或者在考虑了彼此影响的情况下订立的；</w:t>
      </w:r>
    </w:p>
    <w:p>
      <w:pPr>
        <w:pStyle w:val="BodyText"/>
        <w:spacing w:line="240" w:lineRule="auto" w:before="37"/>
        <w:ind w:left="638" w:right="2127"/>
        <w:jc w:val="left"/>
      </w:pPr>
      <w:r>
        <w:rPr/>
        <w:t>2）这些交易整体才能达成一项完整的商业结果；</w:t>
      </w:r>
    </w:p>
    <w:p>
      <w:pPr>
        <w:pStyle w:val="BodyText"/>
        <w:spacing w:line="240" w:lineRule="auto" w:before="37"/>
        <w:ind w:left="638" w:right="2127"/>
        <w:jc w:val="left"/>
      </w:pPr>
      <w:r>
        <w:rPr/>
        <w:t>3）一项交易的发生取决于其他至少一项交易的发生；</w:t>
      </w:r>
    </w:p>
    <w:p>
      <w:pPr>
        <w:pStyle w:val="BodyText"/>
        <w:spacing w:line="273" w:lineRule="auto" w:before="37"/>
        <w:ind w:left="532" w:right="0" w:firstLine="105"/>
        <w:jc w:val="left"/>
      </w:pPr>
      <w:r>
        <w:rPr/>
        <w:t>4）一项交易单独看是不经济的，但是和其他交易一并考虑时是经济的。</w:t>
      </w:r>
      <w:r>
        <w:rPr>
          <w:w w:val="99"/>
        </w:rPr>
        <w:t> </w:t>
      </w:r>
      <w:r>
        <w:rPr>
          <w:w w:val="95"/>
        </w:rPr>
        <w:t>因处置部分股权投资或其他原因丧失了对原有子公司控制权的，不属于一揽子交易的，区分个别财务</w:t>
      </w:r>
      <w:r>
        <w:rPr/>
      </w:r>
    </w:p>
    <w:p>
      <w:pPr>
        <w:pStyle w:val="BodyText"/>
        <w:spacing w:line="273" w:lineRule="auto"/>
        <w:ind w:left="532" w:right="0" w:hanging="420"/>
        <w:jc w:val="left"/>
      </w:pPr>
      <w:r>
        <w:rPr/>
        <w:t>报表和合并财务报表进行相关会计处理：</w:t>
      </w:r>
      <w:r>
        <w:rPr>
          <w:w w:val="99"/>
        </w:rPr>
        <w:t> </w:t>
      </w:r>
      <w:r>
        <w:rPr>
          <w:w w:val="95"/>
        </w:rPr>
        <w:t>1）在个别财务报表中，对于处置的股权，其账面价值与实际取得价款之间的差额计入当期损益。处</w:t>
      </w:r>
      <w:r>
        <w:rPr/>
      </w:r>
    </w:p>
    <w:p>
      <w:pPr>
        <w:pStyle w:val="BodyText"/>
        <w:spacing w:line="273" w:lineRule="auto"/>
        <w:ind w:right="1132"/>
        <w:jc w:val="both"/>
      </w:pPr>
      <w:r>
        <w:rPr>
          <w:w w:val="95"/>
        </w:rPr>
        <w:t>置后的剩余股权能够对被投资单位实施共同控制或施加重大影响的，改按权益法核算，并对该剩余股权视</w:t>
      </w:r>
      <w:r>
        <w:rPr>
          <w:spacing w:val="37"/>
          <w:w w:val="95"/>
        </w:rPr>
        <w:t> </w:t>
      </w:r>
      <w:r>
        <w:rPr>
          <w:spacing w:val="37"/>
          <w:w w:val="95"/>
        </w:rPr>
      </w:r>
      <w:r>
        <w:rPr>
          <w:w w:val="95"/>
        </w:rPr>
        <w:t>同自取得时即采用权益法核算进行调整；处置后的剩余股权不能对被投资单位实施共同控制或施加重大影</w:t>
      </w:r>
      <w:r>
        <w:rPr>
          <w:spacing w:val="37"/>
          <w:w w:val="95"/>
        </w:rPr>
        <w:t> </w:t>
      </w:r>
      <w:r>
        <w:rPr>
          <w:spacing w:val="37"/>
          <w:w w:val="95"/>
        </w:rPr>
      </w:r>
      <w:r>
        <w:rPr>
          <w:w w:val="95"/>
        </w:rPr>
        <w:t>响的，改按《企业会计准则第22号——金融工具确认和计量》的有关规定进行会计处理，其在丧失控制之</w:t>
      </w:r>
      <w:r>
        <w:rPr>
          <w:spacing w:val="40"/>
          <w:w w:val="95"/>
        </w:rPr>
        <w:t> </w:t>
      </w:r>
      <w:r>
        <w:rPr>
          <w:spacing w:val="40"/>
          <w:w w:val="95"/>
        </w:rPr>
      </w:r>
      <w:r>
        <w:rPr/>
        <w:t>日的公允价值与账面价值间的差额计入当期损益。</w:t>
      </w:r>
    </w:p>
    <w:p>
      <w:pPr>
        <w:pStyle w:val="BodyText"/>
        <w:spacing w:line="273" w:lineRule="auto"/>
        <w:ind w:right="0" w:firstLine="420"/>
        <w:jc w:val="left"/>
      </w:pPr>
      <w:r>
        <w:rPr/>
        <w:t>2）在合并财务报表中，对于在丧失对子公司控制权以前的各项交易，处置价款与处置长期股权投资</w:t>
      </w:r>
      <w:r>
        <w:rPr>
          <w:w w:val="99"/>
        </w:rPr>
        <w:t> </w:t>
      </w:r>
      <w:r>
        <w:rPr>
          <w:spacing w:val="-2"/>
          <w:w w:val="95"/>
        </w:rPr>
        <w:t>相应对享有子公司自购买日或合并日开始持续计算的净资产份额之间的差额，调整资本公积（股本溢价），</w:t>
      </w:r>
      <w:r>
        <w:rPr>
          <w:spacing w:val="62"/>
          <w:w w:val="95"/>
        </w:rPr>
        <w:t> </w:t>
      </w:r>
      <w:r>
        <w:rPr>
          <w:spacing w:val="62"/>
          <w:w w:val="95"/>
        </w:rPr>
      </w:r>
      <w:r>
        <w:rPr/>
        <w:t>资本公积不足冲减的，调整留存收益；在丧失对子公司控制权时，对于剩余股权，按照其在丧失控制权日</w:t>
      </w:r>
      <w:r>
        <w:rPr>
          <w:w w:val="99"/>
        </w:rPr>
        <w:t> </w:t>
      </w:r>
      <w:r>
        <w:rPr/>
        <w:t>的公允价值进行重新计量。处置股权取得的对价与剩余股权公允价值之和，减去按原持股比例计算应享有</w:t>
      </w:r>
      <w:r>
        <w:rPr>
          <w:w w:val="99"/>
        </w:rPr>
        <w:t> </w:t>
      </w:r>
      <w:r>
        <w:rPr/>
        <w:t>原有子公司自购买日开始持续计算的净资产的份额之间的差额，计入丧失控制权当期的投资收益，同时冲</w:t>
      </w:r>
      <w:r>
        <w:rPr>
          <w:w w:val="99"/>
        </w:rPr>
        <w:t> </w:t>
      </w:r>
      <w:r>
        <w:rPr/>
        <w:t>减商誉。与原有子公司股权投资相关的其他综合收益等，在丧失控制权时转为当期投资收益。</w:t>
      </w:r>
    </w:p>
    <w:p>
      <w:pPr>
        <w:pStyle w:val="BodyText"/>
        <w:spacing w:line="273" w:lineRule="auto"/>
        <w:ind w:right="0" w:firstLine="420"/>
        <w:jc w:val="left"/>
      </w:pPr>
      <w:r>
        <w:rPr>
          <w:w w:val="95"/>
        </w:rPr>
        <w:t>处置对子公司股权投资直至丧失控制权的各项交易属于一揽子交易的，将各项交易作为一项处置子公</w:t>
      </w:r>
      <w:r>
        <w:rPr>
          <w:w w:val="99"/>
        </w:rPr>
        <w:t> </w:t>
      </w:r>
      <w:r>
        <w:rPr/>
        <w:t>司股权投资并丧失控制权的交易进行会计处理，区分个别财务报表和合并财务报表进行相关会计处理：</w:t>
      </w:r>
    </w:p>
    <w:p>
      <w:pPr>
        <w:pStyle w:val="BodyText"/>
        <w:spacing w:line="273" w:lineRule="auto"/>
        <w:ind w:right="0" w:firstLine="420"/>
        <w:jc w:val="left"/>
      </w:pPr>
      <w:r>
        <w:rPr>
          <w:w w:val="95"/>
        </w:rPr>
        <w:t>1）在个别财务报表中，在丧失控制权之前每一次处置价款与处置的股权对应的长期股权投资账面价</w:t>
      </w:r>
      <w:r>
        <w:rPr>
          <w:spacing w:val="-85"/>
          <w:w w:val="95"/>
        </w:rPr>
        <w:t> </w:t>
      </w:r>
      <w:r>
        <w:rPr>
          <w:spacing w:val="-85"/>
          <w:w w:val="95"/>
        </w:rPr>
      </w:r>
      <w:r>
        <w:rPr/>
        <w:t>值之间的差额，确认为其他综合收益，在丧失控制权时一并转入丧失控制权当期的损益。</w:t>
      </w:r>
    </w:p>
    <w:p>
      <w:pPr>
        <w:pStyle w:val="BodyText"/>
        <w:spacing w:line="273" w:lineRule="auto"/>
        <w:ind w:right="0" w:firstLine="420"/>
        <w:jc w:val="left"/>
      </w:pPr>
      <w:r>
        <w:rPr>
          <w:w w:val="95"/>
        </w:rPr>
        <w:t>2）在合并财务报表中，在丧失控制权之前每一次处置价款与处置投资对应的享有该子公司净资产份</w:t>
      </w:r>
      <w:r>
        <w:rPr>
          <w:spacing w:val="-85"/>
          <w:w w:val="95"/>
        </w:rPr>
        <w:t> </w:t>
      </w:r>
      <w:r>
        <w:rPr>
          <w:spacing w:val="-85"/>
          <w:w w:val="95"/>
        </w:rPr>
      </w:r>
      <w:r>
        <w:rPr/>
        <w:t>额的差额，确认为其他综合收益，在丧失控制权时一并转入丧失控制权当期的损益。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（5）共同控制、重大影响的判断标准</w:t>
      </w:r>
      <w:r>
        <w:rPr>
          <w:rFonts w:ascii="宋体" w:hAnsi="宋体" w:cs="宋体" w:eastAsia="宋体" w:hint="default"/>
          <w:b/>
          <w:bCs/>
          <w:w w:val="99"/>
          <w:sz w:val="21"/>
          <w:szCs w:val="21"/>
        </w:rPr>
        <w:t> </w:t>
      </w:r>
      <w:r>
        <w:rPr>
          <w:rFonts w:ascii="宋体" w:hAnsi="宋体" w:cs="宋体" w:eastAsia="宋体" w:hint="default"/>
          <w:w w:val="95"/>
          <w:sz w:val="21"/>
          <w:szCs w:val="21"/>
        </w:rPr>
        <w:t>如果本公司按照相关约定与其他参与方集体控制某项安排，并且对该安排回报具有重大影响的活动决</w:t>
      </w:r>
      <w:r>
        <w:rPr>
          <w:rFonts w:ascii="宋体" w:hAnsi="宋体" w:cs="宋体" w:eastAsia="宋体" w:hint="default"/>
          <w:sz w:val="21"/>
          <w:szCs w:val="21"/>
        </w:rPr>
      </w:r>
    </w:p>
    <w:p>
      <w:pPr>
        <w:pStyle w:val="BodyText"/>
        <w:spacing w:line="240" w:lineRule="auto"/>
        <w:ind w:right="0"/>
        <w:jc w:val="left"/>
      </w:pPr>
      <w:r>
        <w:rPr/>
        <w:t>策，需要经过分享控制权的参与方一致同意时才存在，则视为本公司与其他参与方共同控制某项安排，该</w:t>
      </w:r>
    </w:p>
    <w:p>
      <w:pPr>
        <w:spacing w:after="0" w:line="240" w:lineRule="auto"/>
        <w:jc w:val="left"/>
        <w:sectPr>
          <w:footerReference w:type="default" r:id="rId29"/>
          <w:pgSz w:w="11910" w:h="16840"/>
          <w:pgMar w:footer="978" w:header="746" w:top="1060" w:bottom="1160" w:left="1020" w:right="0"/>
          <w:pgNumType w:start="120"/>
        </w:sectPr>
      </w:pPr>
    </w:p>
    <w:p>
      <w:pPr>
        <w:spacing w:line="240" w:lineRule="auto" w:before="10"/>
        <w:rPr>
          <w:rFonts w:ascii="宋体" w:hAnsi="宋体" w:cs="宋体" w:eastAsia="宋体" w:hint="default"/>
          <w:sz w:val="24"/>
          <w:szCs w:val="24"/>
        </w:rPr>
      </w:pPr>
    </w:p>
    <w:p>
      <w:pPr>
        <w:pStyle w:val="BodyText"/>
        <w:spacing w:line="273" w:lineRule="auto" w:before="34"/>
        <w:ind w:left="532" w:right="0" w:hanging="420"/>
        <w:jc w:val="left"/>
      </w:pPr>
      <w:r>
        <w:rPr/>
        <w:t>安排即属于合营安排。</w:t>
      </w:r>
      <w:r>
        <w:rPr>
          <w:w w:val="99"/>
        </w:rPr>
        <w:t> </w:t>
      </w:r>
      <w:r>
        <w:rPr>
          <w:w w:val="95"/>
        </w:rPr>
        <w:t>合营安排通过单独主体达成的，根据相关约定判断本公司对该单独主体的净资产享有权利时，将该单</w:t>
      </w:r>
      <w:r>
        <w:rPr/>
      </w:r>
    </w:p>
    <w:p>
      <w:pPr>
        <w:pStyle w:val="BodyText"/>
        <w:spacing w:line="273" w:lineRule="auto"/>
        <w:ind w:right="1135"/>
        <w:jc w:val="both"/>
      </w:pPr>
      <w:r>
        <w:rPr>
          <w:w w:val="95"/>
        </w:rPr>
        <w:t>独主体作为合营企业，采用权益法核算。若根据相关约定判断本公司并非对该单独主体的净资产享有权利</w:t>
      </w:r>
      <w:r>
        <w:rPr>
          <w:spacing w:val="37"/>
          <w:w w:val="95"/>
        </w:rPr>
        <w:t> </w:t>
      </w:r>
      <w:r>
        <w:rPr>
          <w:spacing w:val="37"/>
          <w:w w:val="95"/>
        </w:rPr>
      </w:r>
      <w:r>
        <w:rPr>
          <w:w w:val="95"/>
        </w:rPr>
        <w:t>时，该单独主体作为共同经营，本公司确认与共同经营利益份额相关的项目，并按照相关企业会计准则的</w:t>
      </w:r>
      <w:r>
        <w:rPr>
          <w:spacing w:val="37"/>
          <w:w w:val="95"/>
        </w:rPr>
        <w:t> </w:t>
      </w:r>
      <w:r>
        <w:rPr>
          <w:spacing w:val="37"/>
          <w:w w:val="95"/>
        </w:rPr>
      </w:r>
      <w:r>
        <w:rPr/>
        <w:t>规定进行会计处理。</w:t>
      </w:r>
    </w:p>
    <w:p>
      <w:pPr>
        <w:pStyle w:val="BodyText"/>
        <w:spacing w:line="273" w:lineRule="auto"/>
        <w:ind w:right="0" w:firstLine="420"/>
        <w:jc w:val="left"/>
      </w:pPr>
      <w:r>
        <w:rPr>
          <w:w w:val="95"/>
        </w:rPr>
        <w:t>重大影响，是指投资方对被投资单位的财务和经营政策有参与决策的权力，但并不能够控制或者与其</w:t>
      </w:r>
      <w:r>
        <w:rPr>
          <w:w w:val="99"/>
        </w:rPr>
        <w:t> </w:t>
      </w:r>
      <w:r>
        <w:rPr>
          <w:w w:val="95"/>
        </w:rPr>
        <w:t>他方一起共同控制这些政策的制定。本公司通过以下一种或多种情形，并综合考虑所有事实和情况后，判</w:t>
      </w:r>
      <w:r>
        <w:rPr>
          <w:spacing w:val="40"/>
          <w:w w:val="95"/>
        </w:rPr>
        <w:t> </w:t>
      </w:r>
      <w:r>
        <w:rPr>
          <w:spacing w:val="40"/>
          <w:w w:val="95"/>
        </w:rPr>
      </w:r>
      <w:r>
        <w:rPr>
          <w:w w:val="95"/>
        </w:rPr>
        <w:t>断对被投资单位具有重大影响。1）在被投资单位的董事会或类似权力机构中派有代表；2）参与被投资单</w:t>
      </w:r>
      <w:r>
        <w:rPr>
          <w:spacing w:val="39"/>
          <w:w w:val="95"/>
        </w:rPr>
        <w:t> </w:t>
      </w:r>
      <w:r>
        <w:rPr>
          <w:spacing w:val="39"/>
          <w:w w:val="95"/>
        </w:rPr>
      </w:r>
      <w:r>
        <w:rPr/>
        <w:t>位财务和经营政策制定过程；3）与被投资单位之间发生重要交易；4）向被投资单位派出管理人员；5）</w:t>
      </w:r>
      <w:r>
        <w:rPr>
          <w:w w:val="99"/>
        </w:rPr>
        <w:t> </w:t>
      </w:r>
      <w:r>
        <w:rPr/>
        <w:t>向被投资单位提供关键技术资料。</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2127"/>
        <w:jc w:val="left"/>
        <w:rPr>
          <w:b w:val="0"/>
          <w:bCs w:val="0"/>
        </w:rPr>
      </w:pPr>
      <w:bookmarkStart w:name="15、投资性房地产" w:id="188"/>
      <w:bookmarkEnd w:id="188"/>
      <w:r>
        <w:rPr>
          <w:b w:val="0"/>
          <w:bCs w:val="0"/>
        </w:rPr>
      </w:r>
      <w:r>
        <w:rPr/>
        <w:t>15、投资性房地产</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3"/>
        <w:ind w:right="1112" w:firstLine="420"/>
        <w:jc w:val="both"/>
      </w:pPr>
      <w:r>
        <w:rPr>
          <w:w w:val="95"/>
        </w:rPr>
        <w:t>投资性房地产是指为赚取租金或资本增值，或两者兼有而持有的房地产，包括已出租的土地使用权、</w:t>
      </w:r>
      <w:r>
        <w:rPr>
          <w:spacing w:val="-79"/>
          <w:w w:val="95"/>
        </w:rPr>
        <w:t> </w:t>
      </w:r>
      <w:r>
        <w:rPr>
          <w:spacing w:val="-79"/>
          <w:w w:val="95"/>
        </w:rPr>
      </w:r>
      <w:r>
        <w:rPr>
          <w:w w:val="95"/>
        </w:rPr>
        <w:t>持有并准备增值后转让的土地使用权、已出租的建筑物。此外，对于本公司持有以备经营出租的空置建筑</w:t>
      </w:r>
      <w:r>
        <w:rPr>
          <w:spacing w:val="37"/>
          <w:w w:val="95"/>
        </w:rPr>
        <w:t> </w:t>
      </w:r>
      <w:r>
        <w:rPr>
          <w:spacing w:val="37"/>
          <w:w w:val="95"/>
        </w:rPr>
      </w:r>
      <w:r>
        <w:rPr>
          <w:w w:val="95"/>
        </w:rPr>
        <w:t>物，若董事会作出书面决议，明确表示将其用于经营出租且持有意图短期内不再发生变化的，也作为投资</w:t>
      </w:r>
      <w:r>
        <w:rPr>
          <w:spacing w:val="40"/>
          <w:w w:val="95"/>
        </w:rPr>
        <w:t> </w:t>
      </w:r>
      <w:r>
        <w:rPr>
          <w:spacing w:val="40"/>
          <w:w w:val="95"/>
        </w:rPr>
      </w:r>
      <w:r>
        <w:rPr/>
        <w:t>性房地产列报。</w:t>
      </w:r>
    </w:p>
    <w:p>
      <w:pPr>
        <w:pStyle w:val="BodyText"/>
        <w:spacing w:line="273" w:lineRule="auto"/>
        <w:ind w:right="1132" w:firstLine="420"/>
        <w:jc w:val="both"/>
      </w:pPr>
      <w:r>
        <w:rPr>
          <w:w w:val="95"/>
        </w:rPr>
        <w:t>本公司的投资性房地产按其成本作为入账价值，外购投资性房地产的成本包括购买价款、相关税费和</w:t>
      </w:r>
      <w:r>
        <w:rPr>
          <w:w w:val="99"/>
        </w:rPr>
        <w:t> </w:t>
      </w:r>
      <w:r>
        <w:rPr>
          <w:w w:val="95"/>
        </w:rPr>
        <w:t>可直接归属于该资产的其他支出；自行建造投资性房地产的成本，由建造该项资产达到预定可使用状态前</w:t>
      </w:r>
      <w:r>
        <w:rPr>
          <w:spacing w:val="40"/>
          <w:w w:val="95"/>
        </w:rPr>
        <w:t> </w:t>
      </w:r>
      <w:r>
        <w:rPr>
          <w:spacing w:val="40"/>
          <w:w w:val="95"/>
        </w:rPr>
      </w:r>
      <w:r>
        <w:rPr/>
        <w:t>所发生的必要支出构成。</w:t>
      </w:r>
    </w:p>
    <w:p>
      <w:pPr>
        <w:pStyle w:val="BodyText"/>
        <w:spacing w:line="273" w:lineRule="auto" w:before="8"/>
        <w:ind w:right="1132" w:firstLine="420"/>
        <w:jc w:val="both"/>
      </w:pPr>
      <w:r>
        <w:rPr/>
        <w:pict>
          <v:shape style="position:absolute;margin-left:56.34pt;margin-top:32.343678pt;width:428.2pt;height:36.9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1"/>
                    <w:gridCol w:w="2031"/>
                    <w:gridCol w:w="2216"/>
                    <w:gridCol w:w="1830"/>
                  </w:tblGrid>
                  <w:tr>
                    <w:trPr>
                      <w:trHeight w:val="354" w:hRule="exact"/>
                    </w:trPr>
                    <w:tc>
                      <w:tcPr>
                        <w:tcW w:w="2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107"/>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62" w:hRule="exact"/>
                    </w:trPr>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18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sz w:val="18"/>
                          </w:rPr>
                          <w:t>3.17</w:t>
                        </w:r>
                      </w:p>
                    </w:tc>
                  </w:tr>
                </w:tbl>
                <w:p>
                  <w:pPr/>
                </w:p>
              </w:txbxContent>
            </v:textbox>
            <w10:wrap type="none"/>
          </v:shape>
        </w:pict>
      </w:r>
      <w:r>
        <w:rPr>
          <w:w w:val="95"/>
        </w:rPr>
        <w:t>本公司对投资性房地产采用成本模式进行后续计量，按其预计使用寿命及净残值率对建筑物和土地使</w:t>
      </w:r>
      <w:r>
        <w:rPr>
          <w:w w:val="99"/>
        </w:rPr>
        <w:t> </w:t>
      </w:r>
      <w:r>
        <w:rPr/>
        <w:t>用权计提折旧或摊销。投资性房地产的预计使用寿命、净残值率及年折旧（摊销）率列示如下：</w:t>
      </w:r>
    </w:p>
    <w:p>
      <w:pPr>
        <w:spacing w:before="57"/>
        <w:ind w:left="0" w:right="217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73" w:lineRule="auto" w:before="34"/>
        <w:ind w:right="1132" w:firstLine="420"/>
        <w:jc w:val="both"/>
      </w:pPr>
      <w:r>
        <w:rPr>
          <w:w w:val="95"/>
        </w:rPr>
        <w:t>投资性房地产的用途改变为自用时，自改变之日起，本公司将该投资性房地产转换为固定资产或无形</w:t>
      </w:r>
      <w:r>
        <w:rPr>
          <w:w w:val="99"/>
        </w:rPr>
        <w:t> </w:t>
      </w:r>
      <w:r>
        <w:rPr>
          <w:w w:val="95"/>
        </w:rPr>
        <w:t>资产。自用房地产的用途改变为赚取租金或资本增值时，自改变之日起，本公司将固定资产或无形资产转</w:t>
      </w:r>
      <w:r>
        <w:rPr>
          <w:spacing w:val="37"/>
          <w:w w:val="95"/>
        </w:rPr>
        <w:t> </w:t>
      </w:r>
      <w:r>
        <w:rPr>
          <w:spacing w:val="37"/>
          <w:w w:val="95"/>
        </w:rPr>
      </w:r>
      <w:r>
        <w:rPr/>
        <w:t>换为投资性房地产。发生转换时，以转换前的账面价值作为转换后的入账价值。</w:t>
      </w:r>
    </w:p>
    <w:p>
      <w:pPr>
        <w:pStyle w:val="BodyText"/>
        <w:spacing w:line="273" w:lineRule="auto"/>
        <w:ind w:right="1132" w:firstLine="420"/>
        <w:jc w:val="both"/>
      </w:pPr>
      <w:r>
        <w:rPr>
          <w:w w:val="95"/>
        </w:rPr>
        <w:t>当投资性房地产被处置，或者永久退出使用且预计不能从其处置中取得经济利益时，终止确认该项投</w:t>
      </w:r>
      <w:r>
        <w:rPr>
          <w:w w:val="99"/>
        </w:rPr>
        <w:t> </w:t>
      </w:r>
      <w:r>
        <w:rPr>
          <w:w w:val="95"/>
        </w:rPr>
        <w:t>资性房地产。投资性房地产出售、转让、报废或毁损的处置收入扣除其账面价值和相关税费后的金额计入</w:t>
      </w:r>
      <w:r>
        <w:rPr>
          <w:spacing w:val="37"/>
          <w:w w:val="95"/>
        </w:rPr>
        <w:t> </w:t>
      </w:r>
      <w:r>
        <w:rPr>
          <w:spacing w:val="37"/>
          <w:w w:val="95"/>
        </w:rPr>
      </w:r>
      <w:r>
        <w:rPr/>
        <w:t>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2127"/>
        <w:jc w:val="left"/>
        <w:rPr>
          <w:b w:val="0"/>
          <w:bCs w:val="0"/>
        </w:rPr>
      </w:pPr>
      <w:bookmarkStart w:name="16、固定资产" w:id="189"/>
      <w:bookmarkEnd w:id="189"/>
      <w:r>
        <w:rPr>
          <w:b w:val="0"/>
          <w:bCs w:val="0"/>
        </w:rPr>
      </w:r>
      <w:r>
        <w:rPr/>
        <w:t>16、固定资产</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确认条件" w:id="190"/>
      <w:bookmarkEnd w:id="190"/>
      <w:r>
        <w:rPr>
          <w:b w:val="0"/>
          <w:bCs w:val="0"/>
        </w:rPr>
      </w:r>
      <w:r>
        <w:rPr/>
        <w:t>（1）确认条件</w:t>
      </w:r>
      <w:r>
        <w:rPr>
          <w:b w:val="0"/>
          <w:bCs w:val="0"/>
        </w:rPr>
      </w:r>
    </w:p>
    <w:p>
      <w:pPr>
        <w:spacing w:line="240" w:lineRule="auto" w:before="9"/>
        <w:rPr>
          <w:rFonts w:ascii="宋体" w:hAnsi="宋体" w:cs="宋体" w:eastAsia="宋体" w:hint="default"/>
          <w:b/>
          <w:bCs/>
          <w:sz w:val="27"/>
          <w:szCs w:val="27"/>
        </w:rPr>
      </w:pPr>
    </w:p>
    <w:p>
      <w:pPr>
        <w:spacing w:line="316" w:lineRule="auto" w:before="0"/>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w:t>
      </w:r>
      <w:r>
        <w:rPr>
          <w:rFonts w:ascii="宋体" w:hAnsi="宋体" w:cs="宋体" w:eastAsia="宋体" w:hint="default"/>
          <w:sz w:val="18"/>
          <w:szCs w:val="18"/>
        </w:rPr>
        <w:t> 同时满足下列条件时予以确认：</w:t>
      </w:r>
    </w:p>
    <w:p>
      <w:pPr>
        <w:spacing w:before="19"/>
        <w:ind w:left="472" w:right="2127" w:firstLine="0"/>
        <w:jc w:val="left"/>
        <w:rPr>
          <w:rFonts w:ascii="宋体" w:hAnsi="宋体" w:cs="宋体" w:eastAsia="宋体" w:hint="default"/>
          <w:sz w:val="18"/>
          <w:szCs w:val="18"/>
        </w:rPr>
      </w:pPr>
      <w:r>
        <w:rPr>
          <w:rFonts w:ascii="宋体" w:hAnsi="宋体" w:cs="宋体" w:eastAsia="宋体" w:hint="default"/>
          <w:sz w:val="18"/>
          <w:szCs w:val="18"/>
        </w:rPr>
        <w:t>1）与该固定资产有关的经济利益很可能流入企业；</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before="44"/>
        <w:ind w:left="472" w:right="2127" w:firstLine="0"/>
        <w:jc w:val="left"/>
        <w:rPr>
          <w:rFonts w:ascii="宋体" w:hAnsi="宋体" w:cs="宋体" w:eastAsia="宋体" w:hint="default"/>
          <w:sz w:val="18"/>
          <w:szCs w:val="18"/>
        </w:rPr>
      </w:pPr>
      <w:r>
        <w:rPr>
          <w:rFonts w:ascii="宋体" w:hAnsi="宋体" w:cs="宋体" w:eastAsia="宋体" w:hint="default"/>
          <w:sz w:val="18"/>
          <w:szCs w:val="18"/>
        </w:rPr>
        <w:t>2）该固定资产的成本能够可靠地计量。</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折旧方法" w:id="191"/>
      <w:bookmarkEnd w:id="191"/>
      <w:r>
        <w:rPr>
          <w:b w:val="0"/>
          <w:bCs w:val="0"/>
        </w:rPr>
      </w:r>
      <w:r>
        <w:rPr/>
        <w:t>（2）折旧方法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19.00%-11.88%</w:t>
            </w:r>
          </w:p>
        </w:tc>
      </w:tr>
    </w:tbl>
    <w:p>
      <w:pPr>
        <w:spacing w:line="240" w:lineRule="auto" w:before="5"/>
        <w:rPr>
          <w:rFonts w:ascii="宋体" w:hAnsi="宋体" w:cs="宋体" w:eastAsia="宋体" w:hint="default"/>
          <w:b/>
          <w:bCs/>
          <w:sz w:val="19"/>
          <w:szCs w:val="19"/>
        </w:rPr>
      </w:pPr>
    </w:p>
    <w:p>
      <w:pPr>
        <w:pStyle w:val="Heading6"/>
        <w:spacing w:line="240" w:lineRule="auto" w:before="34"/>
        <w:ind w:right="0"/>
        <w:jc w:val="both"/>
        <w:rPr>
          <w:b w:val="0"/>
          <w:bCs w:val="0"/>
        </w:rPr>
      </w:pPr>
      <w:bookmarkStart w:name="（3）融资租入固定资产的认定依据、计价和折旧方法" w:id="192"/>
      <w:bookmarkEnd w:id="192"/>
      <w:r>
        <w:rPr>
          <w:b w:val="0"/>
          <w:bCs w:val="0"/>
        </w:rPr>
      </w:r>
      <w:r>
        <w:rPr/>
        <w:t>（3）融资租入固定资产的认定依据、计价和折旧方法</w:t>
      </w:r>
      <w:r>
        <w:rPr>
          <w:b w:val="0"/>
          <w:bCs w:val="0"/>
        </w:rPr>
      </w:r>
    </w:p>
    <w:p>
      <w:pPr>
        <w:spacing w:line="240" w:lineRule="auto" w:before="9"/>
        <w:rPr>
          <w:rFonts w:ascii="宋体" w:hAnsi="宋体" w:cs="宋体" w:eastAsia="宋体" w:hint="default"/>
          <w:b/>
          <w:bCs/>
          <w:sz w:val="27"/>
          <w:szCs w:val="27"/>
        </w:rPr>
      </w:pPr>
    </w:p>
    <w:p>
      <w:pPr>
        <w:spacing w:line="316" w:lineRule="auto" w:before="0"/>
        <w:ind w:left="472" w:right="3914" w:firstLine="0"/>
        <w:jc w:val="left"/>
        <w:rPr>
          <w:rFonts w:ascii="宋体" w:hAnsi="宋体" w:cs="宋体" w:eastAsia="宋体" w:hint="default"/>
          <w:sz w:val="18"/>
          <w:szCs w:val="18"/>
        </w:rPr>
      </w:pPr>
      <w:r>
        <w:rPr>
          <w:rFonts w:ascii="宋体" w:hAnsi="宋体" w:cs="宋体" w:eastAsia="宋体" w:hint="default"/>
          <w:sz w:val="18"/>
          <w:szCs w:val="18"/>
        </w:rPr>
        <w:t>当本公司租入的固定资产符合下列一项或数项标准时，确认为融资租入固定资产： 1）在租赁期届满时，租赁资产的所有权转移给本公司。</w:t>
      </w:r>
    </w:p>
    <w:p>
      <w:pPr>
        <w:spacing w:line="316" w:lineRule="auto" w:before="19"/>
        <w:ind w:left="112" w:right="1141" w:firstLine="360"/>
        <w:jc w:val="both"/>
        <w:rPr>
          <w:rFonts w:ascii="宋体" w:hAnsi="宋体" w:cs="宋体" w:eastAsia="宋体" w:hint="default"/>
          <w:sz w:val="18"/>
          <w:szCs w:val="18"/>
        </w:rPr>
      </w:pPr>
      <w:r>
        <w:rPr>
          <w:rFonts w:ascii="宋体" w:hAnsi="宋体" w:cs="宋体" w:eastAsia="宋体" w:hint="default"/>
          <w:sz w:val="18"/>
          <w:szCs w:val="18"/>
        </w:rPr>
        <w:t>2）本公司有购买租赁资产的选择权，所订立的购买价款预计将远低于行使选择权时租赁资产的公允价值，因而在租赁 开始日就可以合理确定本公司将会行使这种选择权。</w:t>
      </w:r>
    </w:p>
    <w:p>
      <w:pPr>
        <w:spacing w:before="19"/>
        <w:ind w:left="472" w:right="2127" w:firstLine="0"/>
        <w:jc w:val="left"/>
        <w:rPr>
          <w:rFonts w:ascii="宋体" w:hAnsi="宋体" w:cs="宋体" w:eastAsia="宋体" w:hint="default"/>
          <w:sz w:val="18"/>
          <w:szCs w:val="18"/>
        </w:rPr>
      </w:pPr>
      <w:r>
        <w:rPr>
          <w:rFonts w:ascii="宋体" w:hAnsi="宋体" w:cs="宋体" w:eastAsia="宋体" w:hint="default"/>
          <w:sz w:val="18"/>
          <w:szCs w:val="18"/>
        </w:rPr>
        <w:t>3）即使资产的所有权不转移，但租赁期占租赁资产使用寿命的大部分。</w:t>
      </w:r>
    </w:p>
    <w:p>
      <w:pPr>
        <w:spacing w:before="76"/>
        <w:ind w:left="472" w:right="2127" w:firstLine="0"/>
        <w:jc w:val="left"/>
        <w:rPr>
          <w:rFonts w:ascii="宋体" w:hAnsi="宋体" w:cs="宋体" w:eastAsia="宋体" w:hint="default"/>
          <w:sz w:val="18"/>
          <w:szCs w:val="18"/>
        </w:rPr>
      </w:pPr>
      <w:r>
        <w:rPr>
          <w:rFonts w:ascii="宋体" w:hAnsi="宋体" w:cs="宋体" w:eastAsia="宋体" w:hint="default"/>
          <w:sz w:val="18"/>
          <w:szCs w:val="18"/>
        </w:rPr>
        <w:t>4）本公司在租赁开始日的最低租赁付款额现值，几乎相当于租赁开始日租赁资产公允价值。</w:t>
      </w:r>
    </w:p>
    <w:p>
      <w:pPr>
        <w:spacing w:line="316" w:lineRule="auto" w:before="76"/>
        <w:ind w:left="472" w:right="0" w:firstLine="0"/>
        <w:jc w:val="left"/>
        <w:rPr>
          <w:rFonts w:ascii="宋体" w:hAnsi="宋体" w:cs="宋体" w:eastAsia="宋体" w:hint="default"/>
          <w:sz w:val="18"/>
          <w:szCs w:val="18"/>
        </w:rPr>
      </w:pPr>
      <w:r>
        <w:rPr>
          <w:rFonts w:ascii="宋体" w:hAnsi="宋体" w:cs="宋体" w:eastAsia="宋体" w:hint="default"/>
          <w:sz w:val="18"/>
          <w:szCs w:val="18"/>
        </w:rPr>
        <w:t>5）租赁资产性质特殊，如果不作较大改造，只有本公司才能使用。 </w:t>
      </w:r>
      <w:r>
        <w:rPr>
          <w:rFonts w:ascii="宋体" w:hAnsi="宋体" w:cs="宋体" w:eastAsia="宋体" w:hint="default"/>
          <w:spacing w:val="-2"/>
          <w:sz w:val="18"/>
          <w:szCs w:val="18"/>
        </w:rPr>
        <w:t>融资租赁租入的固定资产，按租赁开始日租赁资产公允价值与最低租赁付款额的现值两者中较低者，作为入账价值。最</w:t>
      </w:r>
    </w:p>
    <w:p>
      <w:pPr>
        <w:spacing w:line="316" w:lineRule="auto" w:before="19"/>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低租赁付款额作为长期应付款的入账价值，其差额作为未确认融资费用。在租赁谈判和签订租赁合同过程中发生的，可归属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于租赁项目的手续费、律师费、差旅费、印花税等初始直接费用，计入租入资产价值。未确认融资费用在租赁期内各个期间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采用实际利率法进行分摊。</w:t>
      </w:r>
    </w:p>
    <w:p>
      <w:pPr>
        <w:spacing w:line="316" w:lineRule="auto" w:before="19"/>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本公司采用与自有固定资产相一致的折旧政策计提融资租入固定资产折旧。能够合理确定租赁期届满时取得租赁资产所</w:t>
      </w:r>
      <w:r>
        <w:rPr>
          <w:rFonts w:ascii="宋体" w:hAnsi="宋体" w:cs="宋体" w:eastAsia="宋体" w:hint="default"/>
          <w:sz w:val="18"/>
          <w:szCs w:val="18"/>
        </w:rPr>
        <w:t> </w:t>
      </w:r>
      <w:r>
        <w:rPr>
          <w:rFonts w:ascii="宋体" w:hAnsi="宋体" w:cs="宋体" w:eastAsia="宋体" w:hint="default"/>
          <w:spacing w:val="-2"/>
          <w:sz w:val="18"/>
          <w:szCs w:val="18"/>
        </w:rPr>
        <w:t>有权的，在租赁资产使用寿命内计提折旧。无法合理确定租赁期届满时能够取得租赁资产所有权的，在租赁期与租赁资产使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用寿命两者中较短的期间内计提折旧。</w:t>
      </w:r>
    </w:p>
    <w:p>
      <w:pPr>
        <w:spacing w:line="240" w:lineRule="auto" w:before="6"/>
        <w:rPr>
          <w:rFonts w:ascii="宋体" w:hAnsi="宋体" w:cs="宋体" w:eastAsia="宋体" w:hint="default"/>
          <w:sz w:val="22"/>
          <w:szCs w:val="22"/>
        </w:rPr>
      </w:pPr>
    </w:p>
    <w:p>
      <w:pPr>
        <w:pStyle w:val="Heading6"/>
        <w:spacing w:line="240" w:lineRule="auto"/>
        <w:ind w:right="0"/>
        <w:jc w:val="both"/>
        <w:rPr>
          <w:b w:val="0"/>
          <w:bCs w:val="0"/>
        </w:rPr>
      </w:pPr>
      <w:bookmarkStart w:name="17、在建工程" w:id="193"/>
      <w:bookmarkEnd w:id="193"/>
      <w:r>
        <w:rPr>
          <w:b w:val="0"/>
          <w:bCs w:val="0"/>
        </w:rPr>
      </w:r>
      <w:r>
        <w:rPr/>
        <w:t>17、在建工程</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12"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73" w:lineRule="auto" w:before="92"/>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（1）在建工程初始计量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本公司自行建造的在建工程按实际成本计价，实际成本由建造该项资产达到预定可使用状态前所发生</w:t>
      </w:r>
      <w:r>
        <w:rPr>
          <w:rFonts w:ascii="宋体" w:hAnsi="宋体" w:cs="宋体" w:eastAsia="宋体" w:hint="default"/>
          <w:sz w:val="21"/>
          <w:szCs w:val="21"/>
        </w:rPr>
      </w:r>
    </w:p>
    <w:p>
      <w:pPr>
        <w:pStyle w:val="BodyText"/>
        <w:spacing w:line="273" w:lineRule="auto"/>
        <w:ind w:right="1132"/>
        <w:jc w:val="both"/>
      </w:pPr>
      <w:r>
        <w:rPr>
          <w:w w:val="95"/>
        </w:rPr>
        <w:t>的必要支出构成，包括工程用物资成本、人工成本、交纳的相关税费、应予资本化的借款费用以及应分摊</w:t>
      </w:r>
      <w:r>
        <w:rPr>
          <w:spacing w:val="40"/>
          <w:w w:val="95"/>
        </w:rPr>
        <w:t> </w:t>
      </w:r>
      <w:r>
        <w:rPr>
          <w:spacing w:val="40"/>
          <w:w w:val="95"/>
        </w:rPr>
      </w:r>
      <w:r>
        <w:rPr/>
        <w:t>的间接费用等。</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（2）在建工程结转为固定资产的标准和时点</w:t>
      </w:r>
      <w:r>
        <w:rPr>
          <w:rFonts w:ascii="宋体" w:hAnsi="宋体" w:cs="宋体" w:eastAsia="宋体" w:hint="default"/>
          <w:b/>
          <w:bCs/>
          <w:w w:val="99"/>
          <w:sz w:val="21"/>
          <w:szCs w:val="21"/>
        </w:rPr>
        <w:t> </w:t>
      </w:r>
      <w:r>
        <w:rPr>
          <w:rFonts w:ascii="宋体" w:hAnsi="宋体" w:cs="宋体" w:eastAsia="宋体" w:hint="default"/>
          <w:w w:val="95"/>
          <w:sz w:val="21"/>
          <w:szCs w:val="21"/>
        </w:rPr>
        <w:t>在建工程项目按建造该项资产达到预定可使用状态前所发生的全部支出，作为固定资产的入账价值。</w:t>
      </w:r>
      <w:r>
        <w:rPr>
          <w:rFonts w:ascii="宋体" w:hAnsi="宋体" w:cs="宋体" w:eastAsia="宋体" w:hint="default"/>
          <w:sz w:val="21"/>
          <w:szCs w:val="21"/>
        </w:rPr>
      </w:r>
    </w:p>
    <w:p>
      <w:pPr>
        <w:pStyle w:val="BodyText"/>
        <w:spacing w:line="273" w:lineRule="auto"/>
        <w:ind w:right="1135"/>
        <w:jc w:val="both"/>
      </w:pPr>
      <w:r>
        <w:rPr>
          <w:w w:val="95"/>
        </w:rPr>
        <w:t>所建造的在建工程已达到预定可使用状态，但尚未办理竣工决算的，自达到预定可使用状态之日起，根据</w:t>
      </w:r>
      <w:r>
        <w:rPr>
          <w:spacing w:val="37"/>
          <w:w w:val="95"/>
        </w:rPr>
        <w:t> </w:t>
      </w:r>
      <w:r>
        <w:rPr>
          <w:spacing w:val="37"/>
          <w:w w:val="95"/>
        </w:rPr>
      </w:r>
      <w:r>
        <w:rPr>
          <w:w w:val="95"/>
        </w:rPr>
        <w:t>工程预算、造价或者工程实际成本等，按估计的价值转入固定资产，并按本公司固定资产折旧政策计提固</w:t>
      </w:r>
      <w:r>
        <w:rPr>
          <w:spacing w:val="37"/>
          <w:w w:val="95"/>
        </w:rPr>
        <w:t> </w:t>
      </w:r>
      <w:r>
        <w:rPr>
          <w:spacing w:val="37"/>
          <w:w w:val="95"/>
        </w:rPr>
      </w:r>
      <w:r>
        <w:rPr/>
        <w:t>定资产的折旧，待办理竣工决算后，再按实际成本调整原来的暂估价值，但不调整原已计提的折旧额。</w:t>
      </w:r>
    </w:p>
    <w:p>
      <w:pPr>
        <w:spacing w:after="0" w:line="273"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6"/>
        <w:spacing w:line="240" w:lineRule="auto"/>
        <w:ind w:right="2127"/>
        <w:jc w:val="left"/>
        <w:rPr>
          <w:b w:val="0"/>
          <w:bCs w:val="0"/>
        </w:rPr>
      </w:pPr>
      <w:bookmarkStart w:name="18、借款费用" w:id="194"/>
      <w:bookmarkEnd w:id="194"/>
      <w:r>
        <w:rPr>
          <w:b w:val="0"/>
          <w:bCs w:val="0"/>
        </w:rPr>
      </w:r>
      <w:r>
        <w:rPr/>
        <w:t>18、借款费用</w:t>
      </w:r>
      <w:r>
        <w:rPr>
          <w:b w:val="0"/>
          <w:bCs w:val="0"/>
        </w:rPr>
      </w:r>
    </w:p>
    <w:p>
      <w:pPr>
        <w:spacing w:line="240" w:lineRule="auto" w:before="10"/>
        <w:rPr>
          <w:rFonts w:ascii="宋体" w:hAnsi="宋体" w:cs="宋体" w:eastAsia="宋体" w:hint="default"/>
          <w:b/>
          <w:bCs/>
          <w:sz w:val="25"/>
          <w:szCs w:val="25"/>
        </w:rPr>
      </w:pPr>
    </w:p>
    <w:p>
      <w:pPr>
        <w:spacing w:line="273"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（1）借款费用资本化的确认原则</w:t>
      </w:r>
      <w:r>
        <w:rPr>
          <w:rFonts w:ascii="宋体" w:hAnsi="宋体" w:cs="宋体" w:eastAsia="宋体" w:hint="default"/>
          <w:b/>
          <w:bCs/>
          <w:w w:val="99"/>
          <w:sz w:val="21"/>
          <w:szCs w:val="21"/>
        </w:rPr>
        <w:t> </w:t>
      </w:r>
      <w:r>
        <w:rPr>
          <w:rFonts w:ascii="宋体" w:hAnsi="宋体" w:cs="宋体" w:eastAsia="宋体" w:hint="default"/>
          <w:w w:val="95"/>
          <w:sz w:val="21"/>
          <w:szCs w:val="21"/>
        </w:rPr>
        <w:t>本公司发生的借款费用，可直接归属于符合资本化条件的资产的购建或者生产的，予以资本化，计入</w:t>
      </w:r>
      <w:r>
        <w:rPr>
          <w:rFonts w:ascii="宋体" w:hAnsi="宋体" w:cs="宋体" w:eastAsia="宋体" w:hint="default"/>
          <w:sz w:val="21"/>
          <w:szCs w:val="21"/>
        </w:rPr>
      </w:r>
    </w:p>
    <w:p>
      <w:pPr>
        <w:pStyle w:val="BodyText"/>
        <w:spacing w:line="273" w:lineRule="auto"/>
        <w:ind w:left="532" w:right="0" w:hanging="420"/>
        <w:jc w:val="left"/>
      </w:pPr>
      <w:r>
        <w:rPr/>
        <w:t>相关资产成本；其他借款费用，在发生时根据其发生额确认为费用，计入当期损益。</w:t>
      </w:r>
      <w:r>
        <w:rPr>
          <w:w w:val="99"/>
        </w:rPr>
        <w:t> </w:t>
      </w:r>
      <w:r>
        <w:rPr>
          <w:w w:val="95"/>
        </w:rPr>
        <w:t>符合资本化条件的资产，是指需要经过相当长时间的购建或者生产活动才能达到预定可使用或者可销</w:t>
      </w:r>
      <w:r>
        <w:rPr/>
      </w:r>
    </w:p>
    <w:p>
      <w:pPr>
        <w:pStyle w:val="BodyText"/>
        <w:spacing w:line="273" w:lineRule="auto"/>
        <w:ind w:left="532" w:right="2654" w:hanging="420"/>
        <w:jc w:val="left"/>
      </w:pPr>
      <w:r>
        <w:rPr>
          <w:w w:val="95"/>
        </w:rPr>
        <w:t>售状态的固定资产、投资性房地产和存货等资产。</w:t>
      </w:r>
      <w:r>
        <w:rPr>
          <w:spacing w:val="18"/>
          <w:w w:val="95"/>
        </w:rPr>
        <w:t> </w:t>
      </w:r>
      <w:r>
        <w:rPr>
          <w:spacing w:val="18"/>
          <w:w w:val="95"/>
        </w:rPr>
      </w:r>
      <w:r>
        <w:rPr/>
        <w:t>借款费用同时满足下列条件时开始资本化：</w:t>
      </w:r>
    </w:p>
    <w:p>
      <w:pPr>
        <w:pStyle w:val="BodyText"/>
        <w:spacing w:line="273" w:lineRule="auto"/>
        <w:ind w:right="0" w:firstLine="420"/>
        <w:jc w:val="left"/>
      </w:pPr>
      <w:r>
        <w:rPr>
          <w:w w:val="95"/>
        </w:rPr>
        <w:t>1）资产支出已经发生，资产支出包括为购建或者生产符合资本化条件的资产而以支付现金、转移非</w:t>
      </w:r>
      <w:r>
        <w:rPr>
          <w:spacing w:val="-85"/>
          <w:w w:val="95"/>
        </w:rPr>
        <w:t> </w:t>
      </w:r>
      <w:r>
        <w:rPr>
          <w:spacing w:val="-85"/>
          <w:w w:val="95"/>
        </w:rPr>
      </w:r>
      <w:r>
        <w:rPr/>
        <w:t>现金资产或者承担带息债务形式发生的支出；</w:t>
      </w:r>
    </w:p>
    <w:p>
      <w:pPr>
        <w:pStyle w:val="BodyText"/>
        <w:spacing w:line="240" w:lineRule="auto"/>
        <w:ind w:left="532" w:right="2127"/>
        <w:jc w:val="left"/>
      </w:pPr>
      <w:r>
        <w:rPr/>
        <w:t>2）借款费用已经发生；</w:t>
      </w:r>
    </w:p>
    <w:p>
      <w:pPr>
        <w:pStyle w:val="BodyText"/>
        <w:spacing w:line="240" w:lineRule="auto" w:before="37"/>
        <w:ind w:left="532" w:right="2127"/>
        <w:jc w:val="left"/>
      </w:pPr>
      <w:r>
        <w:rPr/>
        <w:t>3）为使资产达到预定可使用或者可销售状态所必要的购建或者生产活动已经开始。</w:t>
      </w:r>
    </w:p>
    <w:p>
      <w:pPr>
        <w:spacing w:line="273"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（2）借款费用资本化期间</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ind w:right="2127"/>
        <w:jc w:val="left"/>
      </w:pPr>
      <w:r>
        <w:rPr/>
        <w:t>包括在内。</w:t>
      </w:r>
    </w:p>
    <w:p>
      <w:pPr>
        <w:pStyle w:val="BodyText"/>
        <w:spacing w:line="273" w:lineRule="auto" w:before="37"/>
        <w:ind w:left="532" w:right="0"/>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before="8"/>
        <w:ind w:right="2127"/>
        <w:jc w:val="left"/>
      </w:pPr>
      <w:r>
        <w:rPr/>
        <w:t>止资本化。</w:t>
      </w:r>
    </w:p>
    <w:p>
      <w:pPr>
        <w:pStyle w:val="BodyText"/>
        <w:spacing w:line="273" w:lineRule="auto" w:before="37"/>
        <w:ind w:right="1135" w:firstLine="420"/>
        <w:jc w:val="both"/>
      </w:pPr>
      <w:r>
        <w:rPr>
          <w:w w:val="95"/>
        </w:rPr>
        <w:t>购建或者生产的资产的各部分分别完工，但必须等到整体完工后才可使用或可对外销售的，在该资产</w:t>
      </w:r>
      <w:r>
        <w:rPr>
          <w:w w:val="99"/>
        </w:rPr>
        <w:t> </w:t>
      </w:r>
      <w:r>
        <w:rPr/>
        <w:t>整体完工时停止借款费用资本化。</w:t>
      </w:r>
    </w:p>
    <w:p>
      <w:pPr>
        <w:pStyle w:val="BodyText"/>
        <w:spacing w:line="273" w:lineRule="auto"/>
        <w:ind w:left="532" w:right="1125" w:hanging="420"/>
        <w:jc w:val="left"/>
      </w:pPr>
      <w:r>
        <w:rPr>
          <w:rFonts w:ascii="宋体" w:hAnsi="宋体" w:cs="宋体" w:eastAsia="宋体" w:hint="default"/>
          <w:b/>
          <w:bCs/>
        </w:rPr>
        <w:t>（3）暂停资本化期间</w:t>
      </w:r>
      <w:r>
        <w:rPr>
          <w:rFonts w:ascii="宋体" w:hAnsi="宋体" w:cs="宋体" w:eastAsia="宋体" w:hint="default"/>
          <w:b/>
          <w:bCs/>
          <w:w w:val="99"/>
        </w:rPr>
        <w:t> </w:t>
      </w:r>
      <w:r>
        <w:rPr>
          <w:w w:val="95"/>
        </w:rPr>
        <w:t>符合资本化条件的资产在购建或生产过程中发生的非正常中断、且中断时间连续超过3个月的，则借</w:t>
      </w:r>
      <w:r>
        <w:rPr/>
      </w:r>
    </w:p>
    <w:p>
      <w:pPr>
        <w:pStyle w:val="BodyText"/>
        <w:spacing w:line="273" w:lineRule="auto" w:before="8"/>
        <w:ind w:right="1132"/>
        <w:jc w:val="both"/>
      </w:pP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（4）借款费用资本化金额的计算方法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ind w:right="2127"/>
        <w:jc w:val="left"/>
      </w:pPr>
      <w:r>
        <w:rPr/>
        <w:t>包括在内。</w:t>
      </w:r>
    </w:p>
    <w:p>
      <w:pPr>
        <w:pStyle w:val="BodyText"/>
        <w:spacing w:line="273" w:lineRule="auto" w:before="37"/>
        <w:ind w:left="532" w:right="0"/>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2127"/>
        <w:jc w:val="left"/>
      </w:pPr>
      <w:r>
        <w:rPr/>
        <w:t>止资本化。</w:t>
      </w:r>
    </w:p>
    <w:p>
      <w:pPr>
        <w:pStyle w:val="BodyText"/>
        <w:spacing w:line="273" w:lineRule="auto" w:before="37"/>
        <w:ind w:right="1132" w:firstLine="420"/>
        <w:jc w:val="both"/>
      </w:pPr>
      <w:r>
        <w:rPr>
          <w:w w:val="95"/>
        </w:rPr>
        <w:t>购建或者生产的资产的各部分分别完工，但必须等到整体完工后才可使用或可对外销售的，在该资产</w:t>
      </w:r>
      <w:r>
        <w:rPr>
          <w:w w:val="99"/>
        </w:rPr>
        <w:t> </w:t>
      </w:r>
      <w:r>
        <w:rPr>
          <w:w w:val="95"/>
        </w:rPr>
        <w:t>整体完工时停止借款费用资本化门借款的利息费用（扣除尚未动用的借款资金存入银行取得的利息收入或</w:t>
      </w:r>
      <w:r>
        <w:rPr>
          <w:spacing w:val="39"/>
          <w:w w:val="95"/>
        </w:rPr>
        <w:t> </w:t>
      </w:r>
      <w:r>
        <w:rPr>
          <w:spacing w:val="39"/>
          <w:w w:val="95"/>
        </w:rPr>
      </w:r>
      <w:r>
        <w:rPr>
          <w:w w:val="95"/>
        </w:rPr>
        <w:t>者进行暂时性投资取得的投资收益）及其辅助费用在所购建或者生产的符合资本化条件的资产达到预定可</w:t>
      </w:r>
      <w:r>
        <w:rPr>
          <w:spacing w:val="37"/>
          <w:w w:val="95"/>
        </w:rPr>
        <w:t> </w:t>
      </w:r>
      <w:r>
        <w:rPr>
          <w:spacing w:val="37"/>
          <w:w w:val="95"/>
        </w:rPr>
      </w:r>
      <w:r>
        <w:rPr/>
        <w:t>使用或者可销售状态前，予以资本化。</w:t>
      </w:r>
    </w:p>
    <w:p>
      <w:pPr>
        <w:pStyle w:val="BodyText"/>
        <w:spacing w:line="273" w:lineRule="auto"/>
        <w:ind w:right="0" w:firstLine="420"/>
        <w:jc w:val="left"/>
      </w:pPr>
      <w:r>
        <w:rPr/>
        <w:t>符合资本化条件的资产在购建或生产过程中发生的非正常中断、且中断时间连续超过3个月的，则借</w:t>
      </w:r>
      <w:r>
        <w:rPr>
          <w:w w:val="99"/>
        </w:rPr>
        <w:t> </w:t>
      </w: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pStyle w:val="BodyText"/>
        <w:spacing w:line="273" w:lineRule="auto"/>
        <w:ind w:right="1112" w:firstLine="420"/>
        <w:jc w:val="both"/>
      </w:pPr>
      <w:r>
        <w:rPr>
          <w:w w:val="95"/>
        </w:rPr>
        <w:t>专门借款的利息费用（扣除尚未动用的借款资金存入银行取得的利息收入或者进行暂时性投资取得的</w:t>
      </w:r>
      <w:r>
        <w:rPr>
          <w:w w:val="99"/>
        </w:rPr>
        <w:t> </w:t>
      </w:r>
      <w:r>
        <w:rPr>
          <w:w w:val="95"/>
        </w:rPr>
        <w:t>投资收益）及其辅助费用在所购建或者生产的符合资本化条件的资产达到预定可使用或者可销售状态前，</w:t>
      </w:r>
      <w:r>
        <w:rPr>
          <w:spacing w:val="61"/>
          <w:w w:val="95"/>
        </w:rPr>
        <w:t> </w:t>
      </w:r>
      <w:r>
        <w:rPr>
          <w:spacing w:val="61"/>
          <w:w w:val="95"/>
        </w:rPr>
      </w:r>
      <w:r>
        <w:rPr/>
        <w:t>予以资本化。</w:t>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2" w:firstLine="420"/>
        <w:jc w:val="both"/>
      </w:pPr>
      <w:r>
        <w:rPr>
          <w:w w:val="95"/>
        </w:rPr>
        <w:t>根据累计资产支出超过专门借款部分的资产支出加权平均数乘以所占用一般借款的资本化率，计算确</w:t>
      </w:r>
      <w:r>
        <w:rPr>
          <w:w w:val="99"/>
        </w:rPr>
        <w:t> </w:t>
      </w:r>
      <w:r>
        <w:rPr/>
        <w:t>定一般借款应予资本化的利息金额。资本化率根据一般借款加权平均利率计算确定。</w:t>
      </w:r>
    </w:p>
    <w:p>
      <w:pPr>
        <w:pStyle w:val="BodyText"/>
        <w:spacing w:line="273" w:lineRule="auto"/>
        <w:ind w:right="1135" w:firstLine="420"/>
        <w:jc w:val="both"/>
      </w:pPr>
      <w:r>
        <w:rPr>
          <w:w w:val="95"/>
        </w:rPr>
        <w:t>借款存在折价或者溢价的，按照实际利率法确定每一会计期间应摊销的折价或者溢价金额，调整每期</w:t>
      </w:r>
      <w:r>
        <w:rPr>
          <w:w w:val="99"/>
        </w:rPr>
        <w:t> </w:t>
      </w:r>
      <w:r>
        <w:rPr/>
        <w:t>利息金额。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578" w:lineRule="auto"/>
        <w:ind w:right="9488"/>
        <w:jc w:val="left"/>
        <w:rPr>
          <w:b w:val="0"/>
          <w:bCs w:val="0"/>
        </w:rPr>
      </w:pPr>
      <w:bookmarkStart w:name="19、生物资产" w:id="195"/>
      <w:bookmarkEnd w:id="195"/>
      <w:r>
        <w:rPr>
          <w:b w:val="0"/>
          <w:bCs w:val="0"/>
        </w:rPr>
      </w:r>
      <w:r>
        <w:rPr/>
        <w:t>19、生物资产</w:t>
      </w:r>
      <w:r>
        <w:rPr>
          <w:w w:val="99"/>
        </w:rPr>
        <w:t> </w:t>
      </w:r>
      <w:r>
        <w:rPr>
          <w:rFonts w:ascii="宋体" w:hAnsi="宋体" w:cs="宋体" w:eastAsia="宋体" w:hint="default"/>
          <w:b w:val="0"/>
          <w:bCs w:val="0"/>
          <w:sz w:val="18"/>
          <w:szCs w:val="18"/>
        </w:rPr>
        <w:t>无 </w:t>
      </w:r>
      <w:bookmarkStart w:name="20、油气资产" w:id="196"/>
      <w:bookmarkEnd w:id="196"/>
      <w:r>
        <w:rPr>
          <w:rFonts w:ascii="宋体" w:hAnsi="宋体" w:cs="宋体" w:eastAsia="宋体" w:hint="default"/>
          <w:b w:val="0"/>
          <w:bCs w:val="0"/>
          <w:sz w:val="18"/>
          <w:szCs w:val="18"/>
        </w:rPr>
      </w:r>
      <w:r>
        <w:rPr/>
        <w:t>20、油气资产</w:t>
      </w:r>
      <w:r>
        <w:rPr>
          <w:b w:val="0"/>
          <w:bCs w:val="0"/>
        </w:rPr>
      </w:r>
    </w:p>
    <w:p>
      <w:pPr>
        <w:spacing w:before="64"/>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1、无形资产" w:id="197"/>
      <w:bookmarkEnd w:id="197"/>
      <w:r>
        <w:rPr>
          <w:b w:val="0"/>
          <w:bCs w:val="0"/>
        </w:rPr>
      </w:r>
      <w:r>
        <w:rPr/>
        <w:t>21、无形资产</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计价方法、使用寿命、减值测试" w:id="198"/>
      <w:bookmarkEnd w:id="198"/>
      <w:r>
        <w:rPr>
          <w:b w:val="0"/>
          <w:bCs w:val="0"/>
        </w:rPr>
      </w:r>
      <w:r>
        <w:rPr/>
        <w:t>（1）计价方法、使用寿命、减值测试</w:t>
      </w:r>
      <w:r>
        <w:rPr>
          <w:b w:val="0"/>
          <w:bCs w:val="0"/>
        </w:rPr>
      </w:r>
    </w:p>
    <w:p>
      <w:pPr>
        <w:spacing w:line="240" w:lineRule="auto" w:before="12"/>
        <w:rPr>
          <w:rFonts w:ascii="宋体" w:hAnsi="宋体" w:cs="宋体" w:eastAsia="宋体" w:hint="default"/>
          <w:b/>
          <w:bCs/>
          <w:sz w:val="25"/>
          <w:szCs w:val="25"/>
        </w:rPr>
      </w:pPr>
    </w:p>
    <w:p>
      <w:pPr>
        <w:spacing w:line="273" w:lineRule="auto" w:before="0"/>
        <w:ind w:left="535" w:right="2127" w:hanging="3"/>
        <w:jc w:val="left"/>
        <w:rPr>
          <w:rFonts w:ascii="宋体" w:hAnsi="宋体" w:cs="宋体" w:eastAsia="宋体" w:hint="default"/>
          <w:sz w:val="21"/>
          <w:szCs w:val="21"/>
        </w:rPr>
      </w:pPr>
      <w:r>
        <w:rPr>
          <w:rFonts w:ascii="宋体" w:hAnsi="宋体" w:cs="宋体" w:eastAsia="宋体" w:hint="default"/>
          <w:w w:val="95"/>
          <w:sz w:val="21"/>
          <w:szCs w:val="21"/>
        </w:rPr>
        <w:t>无形资产是指本公司拥有或者控制的没有实物形态的可辨认非货币性资产。</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b/>
          <w:bCs/>
          <w:sz w:val="21"/>
          <w:szCs w:val="21"/>
        </w:rPr>
        <w:t>1）无形资产的初始计量</w:t>
      </w:r>
      <w:r>
        <w:rPr>
          <w:rFonts w:ascii="宋体" w:hAnsi="宋体" w:cs="宋体" w:eastAsia="宋体" w:hint="default"/>
          <w:sz w:val="21"/>
          <w:szCs w:val="21"/>
        </w:rPr>
      </w:r>
    </w:p>
    <w:p>
      <w:pPr>
        <w:pStyle w:val="BodyText"/>
        <w:spacing w:line="273" w:lineRule="auto"/>
        <w:ind w:right="1132" w:firstLine="420"/>
        <w:jc w:val="both"/>
      </w:pPr>
      <w:r>
        <w:rPr>
          <w:w w:val="95"/>
        </w:rPr>
        <w:t>外购无形资产的成本，包括购买价款、相关税费以及直接归属于使该项资产达到预定用途所发生的其</w:t>
      </w:r>
      <w:r>
        <w:rPr>
          <w:w w:val="99"/>
        </w:rPr>
        <w:t> </w:t>
      </w:r>
      <w:r>
        <w:rPr>
          <w:w w:val="95"/>
        </w:rPr>
        <w:t>他支出。购买无形资产的价款超过正常信用条件延期支付，实质上具有融资性质的，无形资产的成本以购</w:t>
      </w:r>
      <w:r>
        <w:rPr>
          <w:spacing w:val="40"/>
          <w:w w:val="95"/>
        </w:rPr>
        <w:t> </w:t>
      </w:r>
      <w:r>
        <w:rPr>
          <w:spacing w:val="40"/>
          <w:w w:val="95"/>
        </w:rPr>
      </w:r>
      <w:r>
        <w:rPr/>
        <w:t>买价款的现值为基础确定。</w:t>
      </w:r>
    </w:p>
    <w:p>
      <w:pPr>
        <w:pStyle w:val="BodyText"/>
        <w:spacing w:line="273" w:lineRule="auto"/>
        <w:ind w:right="1132" w:firstLine="420"/>
        <w:jc w:val="both"/>
      </w:pPr>
      <w:r>
        <w:rPr>
          <w:w w:val="95"/>
        </w:rPr>
        <w:t>债务重组取得债务人用以抵债的无形资产，以该无形资产的公允价值为基础确定其入账价值，并将重</w:t>
      </w:r>
      <w:r>
        <w:rPr>
          <w:w w:val="99"/>
        </w:rPr>
        <w:t> </w:t>
      </w:r>
      <w:r>
        <w:rPr/>
        <w:t>组债务的账面价值与该用以抵债的无形资产公允价值之间的差额，计入当期损益。</w:t>
      </w:r>
    </w:p>
    <w:p>
      <w:pPr>
        <w:pStyle w:val="BodyText"/>
        <w:spacing w:line="273" w:lineRule="auto"/>
        <w:ind w:right="1132" w:firstLine="420"/>
        <w:jc w:val="both"/>
      </w:pPr>
      <w:r>
        <w:rPr>
          <w:w w:val="95"/>
        </w:rPr>
        <w:t>在非货币性资产交换具备商业实质且换入资产或换出资产的公允价值能够可靠计量的前提下，非货币</w:t>
      </w:r>
      <w:r>
        <w:rPr>
          <w:w w:val="99"/>
        </w:rPr>
        <w:t> </w:t>
      </w:r>
      <w:r>
        <w:rPr>
          <w:w w:val="95"/>
        </w:rPr>
        <w:t>性资产交换换入的无形资产以换出资产的公允价值为基础确定其入账价值，除非有确凿证据表明换入资产</w:t>
      </w:r>
      <w:r>
        <w:rPr>
          <w:spacing w:val="39"/>
          <w:w w:val="95"/>
        </w:rPr>
        <w:t> </w:t>
      </w:r>
      <w:r>
        <w:rPr>
          <w:spacing w:val="39"/>
          <w:w w:val="95"/>
        </w:rPr>
      </w:r>
      <w:r>
        <w:rPr>
          <w:w w:val="95"/>
        </w:rPr>
        <w:t>的公允价值更加可靠；不满足上述前提的非货币性资产交换，以换出资产的账面价值和应支付的相关税费</w:t>
      </w:r>
      <w:r>
        <w:rPr>
          <w:spacing w:val="40"/>
          <w:w w:val="95"/>
        </w:rPr>
        <w:t> </w:t>
      </w:r>
      <w:r>
        <w:rPr>
          <w:spacing w:val="40"/>
          <w:w w:val="95"/>
        </w:rPr>
      </w:r>
      <w:r>
        <w:rPr/>
        <w:t>作为换入无形资产的成本，不确认损益。</w:t>
      </w:r>
    </w:p>
    <w:p>
      <w:pPr>
        <w:pStyle w:val="BodyText"/>
        <w:spacing w:line="273" w:lineRule="auto"/>
        <w:ind w:right="1135" w:firstLine="420"/>
        <w:jc w:val="both"/>
      </w:pPr>
      <w:r>
        <w:rPr>
          <w:w w:val="95"/>
        </w:rPr>
        <w:t>以同一控制下的企业吸收合并方式取得的无形资产按被合并方的账面价值确定其入账价值；以非同一</w:t>
      </w:r>
      <w:r>
        <w:rPr>
          <w:w w:val="99"/>
        </w:rPr>
        <w:t> </w:t>
      </w:r>
      <w:r>
        <w:rPr/>
        <w:t>控制下的企业吸收合并方式取得的无形资产按公允价值确定其入账价值。</w:t>
      </w:r>
    </w:p>
    <w:p>
      <w:pPr>
        <w:pStyle w:val="BodyText"/>
        <w:spacing w:line="273" w:lineRule="auto"/>
        <w:ind w:right="1132" w:firstLine="420"/>
        <w:jc w:val="both"/>
      </w:pPr>
      <w:r>
        <w:rPr>
          <w:w w:val="95"/>
        </w:rPr>
        <w:t>内部自行开发的无形资产，其成本包括：开发该无形资产时耗用的材料、劳务成本、注册费、在开发</w:t>
      </w:r>
      <w:r>
        <w:rPr>
          <w:w w:val="99"/>
        </w:rPr>
        <w:t> </w:t>
      </w:r>
      <w:r>
        <w:rPr>
          <w:w w:val="95"/>
        </w:rPr>
        <w:t>过程中使用的其他专利权和特许权的摊销以及满足资本化条件的利息费用，以及为使该无形资产达到预定</w:t>
      </w:r>
      <w:r>
        <w:rPr>
          <w:spacing w:val="39"/>
          <w:w w:val="95"/>
        </w:rPr>
        <w:t> </w:t>
      </w:r>
      <w:r>
        <w:rPr>
          <w:spacing w:val="39"/>
          <w:w w:val="95"/>
        </w:rPr>
      </w:r>
      <w:r>
        <w:rPr/>
        <w:t>用途前所发生的其他直接费用。</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2）无形资产的后续计量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本公司在取得无形资产时分析判断其使用寿命，划分为使用寿命有限和使用寿命不确定的无形资产。</w:t>
      </w:r>
      <w:r>
        <w:rPr>
          <w:rFonts w:ascii="宋体" w:hAnsi="宋体" w:cs="宋体" w:eastAsia="宋体" w:hint="default"/>
          <w:sz w:val="21"/>
          <w:szCs w:val="21"/>
        </w:rPr>
      </w:r>
    </w:p>
    <w:p>
      <w:pPr>
        <w:pStyle w:val="BodyText"/>
        <w:spacing w:line="273" w:lineRule="auto"/>
        <w:ind w:left="532" w:right="0"/>
        <w:jc w:val="left"/>
      </w:pPr>
      <w:r>
        <w:rPr/>
        <w:t>①使用寿命有限的无形资产</w:t>
      </w:r>
      <w:r>
        <w:rPr>
          <w:w w:val="99"/>
        </w:rPr>
        <w:t> </w:t>
      </w:r>
      <w:r>
        <w:rPr>
          <w:w w:val="95"/>
        </w:rPr>
        <w:t>对于使用寿命有限的无形资产，在为企业带来经济利益的期限内按直线法摊销。使用寿命有限的无形</w:t>
      </w:r>
      <w:r>
        <w:rPr/>
      </w:r>
    </w:p>
    <w:p>
      <w:pPr>
        <w:pStyle w:val="BodyText"/>
        <w:spacing w:line="240" w:lineRule="auto"/>
        <w:ind w:right="2127"/>
        <w:jc w:val="left"/>
      </w:pPr>
      <w:r>
        <w:rPr/>
        <w:t>资产预计寿命及依据如下：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06"/>
        <w:gridCol w:w="1872"/>
        <w:gridCol w:w="3742"/>
      </w:tblGrid>
      <w:tr>
        <w:trPr>
          <w:trHeight w:val="354"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工业出让地</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50年</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依权属有效期内</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内部开发形成的无形资产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5-10年</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依技术进步、权属有效内使用</w:t>
            </w:r>
          </w:p>
        </w:tc>
      </w:tr>
    </w:tbl>
    <w:p>
      <w:pPr>
        <w:spacing w:line="240" w:lineRule="auto" w:before="4"/>
        <w:rPr>
          <w:rFonts w:ascii="宋体" w:hAnsi="宋体" w:cs="宋体" w:eastAsia="宋体" w:hint="default"/>
          <w:sz w:val="20"/>
          <w:szCs w:val="20"/>
        </w:rPr>
      </w:pPr>
    </w:p>
    <w:p>
      <w:pPr>
        <w:pStyle w:val="BodyText"/>
        <w:spacing w:line="240" w:lineRule="auto" w:before="34"/>
        <w:ind w:left="532" w:right="0"/>
        <w:jc w:val="left"/>
      </w:pPr>
      <w:r>
        <w:rPr/>
        <w:t>每期末，对使用寿命有限的无形资产的使用寿命及摊销方法进行复核，如与原先估计数存在差异的，</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left="532" w:right="3554" w:hanging="420"/>
        <w:jc w:val="left"/>
      </w:pPr>
      <w:r>
        <w:rPr/>
        <w:t>进行相应的调整。</w:t>
      </w:r>
      <w:r>
        <w:rPr>
          <w:w w:val="99"/>
        </w:rPr>
        <w:t> </w:t>
      </w:r>
      <w:r>
        <w:rPr>
          <w:w w:val="95"/>
        </w:rPr>
        <w:t>经复核，本期期末无形资产的使用寿命及摊销方法与以前估计未有不同。</w:t>
      </w:r>
      <w:r>
        <w:rPr/>
      </w:r>
    </w:p>
    <w:p>
      <w:pPr>
        <w:pStyle w:val="BodyText"/>
        <w:spacing w:line="273" w:lineRule="auto"/>
        <w:ind w:left="532" w:right="0"/>
        <w:jc w:val="left"/>
      </w:pPr>
      <w:r>
        <w:rPr/>
        <w:t>②使用寿命不确定的无形资产</w:t>
      </w:r>
      <w:r>
        <w:rPr>
          <w:w w:val="99"/>
        </w:rPr>
        <w:t> </w:t>
      </w:r>
      <w:r>
        <w:rPr>
          <w:w w:val="95"/>
        </w:rPr>
        <w:t>无法预见无形资产为企业带来经济利益期限的，视为使用寿命不确定的无形资产。本报告期内公司无</w:t>
      </w:r>
      <w:r>
        <w:rPr/>
      </w:r>
    </w:p>
    <w:p>
      <w:pPr>
        <w:pStyle w:val="BodyText"/>
        <w:spacing w:line="240" w:lineRule="auto"/>
        <w:ind w:right="2127"/>
        <w:jc w:val="left"/>
      </w:pPr>
      <w:r>
        <w:rPr/>
        <w:t>使用寿命不确定的无形资产。</w:t>
      </w:r>
    </w:p>
    <w:p>
      <w:pPr>
        <w:pStyle w:val="Heading6"/>
        <w:spacing w:line="610" w:lineRule="atLeast" w:before="2"/>
        <w:ind w:left="535" w:right="4533" w:hanging="423"/>
        <w:jc w:val="left"/>
        <w:rPr>
          <w:b w:val="0"/>
          <w:bCs w:val="0"/>
        </w:rPr>
      </w:pPr>
      <w:bookmarkStart w:name="（2）内部研究开发支出会计政策" w:id="199"/>
      <w:bookmarkEnd w:id="199"/>
      <w:r>
        <w:rPr>
          <w:b w:val="0"/>
          <w:bCs w:val="0"/>
        </w:rPr>
      </w:r>
      <w:r>
        <w:rPr/>
        <w:t>（2）内部研究开发支出会计政策</w:t>
      </w:r>
      <w:r>
        <w:rPr>
          <w:w w:val="99"/>
        </w:rPr>
        <w:t> </w:t>
      </w:r>
      <w:r>
        <w:rPr/>
        <w:t>1）划分公司内部研究开发项目的研究阶段和开发阶段具体标准</w:t>
      </w:r>
      <w:r>
        <w:rPr>
          <w:b w:val="0"/>
          <w:bCs w:val="0"/>
        </w:rPr>
      </w:r>
    </w:p>
    <w:p>
      <w:pPr>
        <w:pStyle w:val="BodyText"/>
        <w:spacing w:line="273" w:lineRule="auto" w:before="37"/>
        <w:ind w:left="532" w:right="0"/>
        <w:jc w:val="left"/>
      </w:pPr>
      <w:r>
        <w:rPr/>
        <w:t>研究阶段：为获取并理解新的科学或技术知识等而进行的独创性的有计划调查、研究活动的阶段。</w:t>
      </w:r>
      <w:r>
        <w:rPr>
          <w:w w:val="99"/>
        </w:rPr>
        <w:t> </w:t>
      </w:r>
      <w:r>
        <w:rPr>
          <w:w w:val="95"/>
        </w:rPr>
        <w:t>开发阶段：在进行商业性生产或使用前，将研究成果或其他知识应用于某项计划或设计，以生产出新</w:t>
      </w:r>
      <w:r>
        <w:rPr/>
      </w:r>
    </w:p>
    <w:p>
      <w:pPr>
        <w:pStyle w:val="BodyText"/>
        <w:spacing w:line="273" w:lineRule="auto"/>
        <w:ind w:left="532" w:right="2127" w:hanging="420"/>
        <w:jc w:val="left"/>
      </w:pPr>
      <w:r>
        <w:rPr/>
        <w:t>的或具有实质性改进的材料、装置、产品等活动的阶段。</w:t>
      </w:r>
      <w:r>
        <w:rPr>
          <w:w w:val="99"/>
        </w:rPr>
        <w:t> </w:t>
      </w:r>
      <w:r>
        <w:rPr/>
        <w:t>内部研究开发项目研究阶段的支出，在发生时计入当期损益。</w:t>
      </w:r>
      <w:r>
        <w:rPr>
          <w:w w:val="99"/>
        </w:rPr>
        <w:t> </w:t>
      </w:r>
      <w:r>
        <w:rPr>
          <w:rFonts w:ascii="宋体" w:hAnsi="宋体" w:cs="宋体" w:eastAsia="宋体" w:hint="default"/>
          <w:b/>
          <w:bCs/>
        </w:rPr>
        <w:t>2）开发阶段支出符合资本化的具体标准</w:t>
      </w:r>
      <w:r>
        <w:rPr>
          <w:rFonts w:ascii="宋体" w:hAnsi="宋体" w:cs="宋体" w:eastAsia="宋体" w:hint="default"/>
          <w:b/>
          <w:bCs/>
          <w:w w:val="99"/>
        </w:rPr>
        <w:t> </w:t>
      </w:r>
      <w:r>
        <w:rPr>
          <w:w w:val="95"/>
        </w:rPr>
        <w:t>内部研究开发项目开发阶段的支出，同时满足下列条件时确认为无形资产：</w:t>
      </w:r>
      <w:r>
        <w:rPr/>
      </w:r>
    </w:p>
    <w:p>
      <w:pPr>
        <w:pStyle w:val="BodyText"/>
        <w:spacing w:line="240" w:lineRule="auto"/>
        <w:ind w:left="532" w:right="2127"/>
        <w:jc w:val="left"/>
      </w:pPr>
      <w:r>
        <w:rPr/>
        <w:t>①完成该无形资产以使其能够使用或出售在技术上具有可行性；</w:t>
      </w:r>
    </w:p>
    <w:p>
      <w:pPr>
        <w:pStyle w:val="BodyText"/>
        <w:spacing w:line="240" w:lineRule="auto" w:before="37"/>
        <w:ind w:left="532" w:right="2127"/>
        <w:jc w:val="left"/>
      </w:pPr>
      <w:r>
        <w:rPr/>
        <w:t>②具有完成该无形资产并使用或出售的意图；</w:t>
      </w:r>
    </w:p>
    <w:p>
      <w:pPr>
        <w:pStyle w:val="BodyText"/>
        <w:spacing w:line="273" w:lineRule="auto" w:before="37"/>
        <w:ind w:right="0" w:firstLine="420"/>
        <w:jc w:val="left"/>
      </w:pPr>
      <w:r>
        <w:rPr>
          <w:w w:val="95"/>
        </w:rPr>
        <w:t>③无形资产产生经济利益的方式，包括能够证明运用该无形资产生产的产品存在市场或无形资产自身</w:t>
      </w:r>
      <w:r>
        <w:rPr>
          <w:w w:val="99"/>
        </w:rPr>
        <w:t> </w:t>
      </w:r>
      <w:r>
        <w:rPr/>
        <w:t>存在市场，无形资产将在内部使用的，能够证明其有用性；</w:t>
      </w:r>
    </w:p>
    <w:p>
      <w:pPr>
        <w:pStyle w:val="BodyText"/>
        <w:spacing w:line="273" w:lineRule="auto" w:before="8"/>
        <w:ind w:right="1125" w:firstLine="420"/>
        <w:jc w:val="left"/>
      </w:pPr>
      <w:r>
        <w:rPr>
          <w:w w:val="95"/>
        </w:rPr>
        <w:t>④有足够的技术、财务资源和其他资源支持，以完成该无形资产的开发，并有能力使用或出售该无形</w:t>
      </w:r>
      <w:r>
        <w:rPr>
          <w:w w:val="99"/>
        </w:rPr>
        <w:t> </w:t>
      </w:r>
      <w:r>
        <w:rPr/>
        <w:t>资产；</w:t>
      </w:r>
    </w:p>
    <w:p>
      <w:pPr>
        <w:pStyle w:val="BodyText"/>
        <w:spacing w:line="273" w:lineRule="auto"/>
        <w:ind w:left="532" w:right="0"/>
        <w:jc w:val="left"/>
      </w:pPr>
      <w:r>
        <w:rPr/>
        <w:t>⑤归属于该无形资产开发阶段的支出能够可靠地计量。</w:t>
      </w:r>
      <w:r>
        <w:rPr>
          <w:w w:val="99"/>
        </w:rPr>
        <w:t> </w:t>
      </w:r>
      <w:r>
        <w:rPr>
          <w:w w:val="95"/>
        </w:rPr>
        <w:t>不满足上述条件的开发阶段的支出，于发生时计入当期损益。以前期间已计入损益的开发支出不在以</w:t>
      </w:r>
      <w:r>
        <w:rPr/>
      </w:r>
    </w:p>
    <w:p>
      <w:pPr>
        <w:pStyle w:val="BodyText"/>
        <w:spacing w:line="273" w:lineRule="auto"/>
        <w:ind w:right="0"/>
        <w:jc w:val="left"/>
      </w:pPr>
      <w:r>
        <w:rPr>
          <w:w w:val="95"/>
        </w:rPr>
        <w:t>后期间重新确认为资产。已资本化的开发阶段的支出在资产负债表上列示为开发支出，自该项目达到预定</w:t>
      </w:r>
      <w:r>
        <w:rPr>
          <w:spacing w:val="37"/>
          <w:w w:val="95"/>
        </w:rPr>
        <w:t> </w:t>
      </w:r>
      <w:r>
        <w:rPr>
          <w:spacing w:val="37"/>
          <w:w w:val="95"/>
        </w:rPr>
      </w:r>
      <w:r>
        <w:rPr/>
        <w:t>用途之日起转为无形资产。</w:t>
      </w:r>
    </w:p>
    <w:p>
      <w:pPr>
        <w:pStyle w:val="BodyText"/>
        <w:spacing w:line="612" w:lineRule="exact" w:before="66"/>
        <w:ind w:left="532" w:right="1125" w:hanging="420"/>
        <w:jc w:val="left"/>
      </w:pPr>
      <w:bookmarkStart w:name="22、长期资产减值" w:id="200"/>
      <w:bookmarkEnd w:id="200"/>
      <w:r>
        <w:rPr/>
      </w:r>
      <w:r>
        <w:rPr>
          <w:rFonts w:ascii="宋体" w:hAnsi="宋体" w:cs="宋体" w:eastAsia="宋体" w:hint="default"/>
          <w:b/>
          <w:bCs/>
        </w:rPr>
        <w:t>22、长期资产减值</w:t>
      </w:r>
      <w:r>
        <w:rPr>
          <w:rFonts w:ascii="宋体" w:hAnsi="宋体" w:cs="宋体" w:eastAsia="宋体" w:hint="default"/>
          <w:b/>
          <w:bCs/>
          <w:w w:val="99"/>
        </w:rPr>
        <w:t> </w:t>
      </w:r>
      <w:r>
        <w:rPr>
          <w:w w:val="95"/>
        </w:rPr>
        <w:t>本公司在资产负债表日判断长期资产是否存在可能发生减值的迹象。如果长期资产存在减值迹象的，</w:t>
      </w:r>
      <w:r>
        <w:rPr/>
      </w:r>
    </w:p>
    <w:p>
      <w:pPr>
        <w:pStyle w:val="BodyText"/>
        <w:spacing w:line="219" w:lineRule="exact" w:before="0"/>
        <w:ind w:right="0"/>
        <w:jc w:val="left"/>
      </w:pPr>
      <w:r>
        <w:rPr/>
        <w:t>以单项资产为基础估计其可收回金额；难以对单项资产的可收回金额进行估计的，以该资产所属的资产组</w:t>
      </w:r>
    </w:p>
    <w:p>
      <w:pPr>
        <w:pStyle w:val="BodyText"/>
        <w:spacing w:line="273" w:lineRule="auto" w:before="37"/>
        <w:ind w:left="532" w:right="0" w:hanging="420"/>
        <w:jc w:val="left"/>
      </w:pPr>
      <w:r>
        <w:rPr/>
        <w:t>为基础确定资产组的可收回金额。</w:t>
      </w:r>
      <w:r>
        <w:rPr>
          <w:w w:val="99"/>
        </w:rPr>
        <w:t> </w:t>
      </w:r>
      <w:r>
        <w:rPr>
          <w:w w:val="95"/>
        </w:rPr>
        <w:t>资产可收回金额的估计，根据其公允价值减去处置费用后的净额与资产预计未来现金流量的现值两者</w:t>
      </w:r>
      <w:r>
        <w:rPr/>
      </w:r>
    </w:p>
    <w:p>
      <w:pPr>
        <w:pStyle w:val="BodyText"/>
        <w:spacing w:line="273" w:lineRule="auto"/>
        <w:ind w:left="532" w:right="1125" w:hanging="420"/>
        <w:jc w:val="left"/>
      </w:pPr>
      <w:r>
        <w:rPr/>
        <w:t>之间较高者确定。</w:t>
      </w:r>
      <w:r>
        <w:rPr>
          <w:w w:val="99"/>
        </w:rPr>
        <w:t> </w:t>
      </w:r>
      <w:r>
        <w:rPr>
          <w:w w:val="95"/>
        </w:rPr>
        <w:t>可收回金额的计量结果表明，长期资产的可收回金额低于其账面价值的，将长期资产的账面价值减记</w:t>
      </w:r>
      <w:r>
        <w:rPr/>
      </w:r>
    </w:p>
    <w:p>
      <w:pPr>
        <w:pStyle w:val="BodyText"/>
        <w:spacing w:line="273" w:lineRule="auto"/>
        <w:ind w:right="0"/>
        <w:jc w:val="left"/>
      </w:pPr>
      <w:r>
        <w:rPr>
          <w:w w:val="95"/>
        </w:rPr>
        <w:t>至可收回金额，减记的金额确认为资产减值损失，计入当期损益，同时计提相应的资产减值准备。资产减</w:t>
      </w:r>
      <w:r>
        <w:rPr>
          <w:spacing w:val="40"/>
          <w:w w:val="95"/>
        </w:rPr>
        <w:t> </w:t>
      </w:r>
      <w:r>
        <w:rPr>
          <w:spacing w:val="40"/>
          <w:w w:val="95"/>
        </w:rPr>
      </w:r>
      <w:r>
        <w:rPr/>
        <w:t>值损失一经确认，在以后会计期间不得转回。</w:t>
      </w:r>
    </w:p>
    <w:p>
      <w:pPr>
        <w:pStyle w:val="BodyText"/>
        <w:spacing w:line="273" w:lineRule="auto"/>
        <w:ind w:right="0" w:firstLine="420"/>
        <w:jc w:val="left"/>
      </w:pPr>
      <w:r>
        <w:rPr>
          <w:w w:val="95"/>
        </w:rPr>
        <w:t>资产减值损失确认后，减值资产的折旧或者摊销费用在未来期间作相应调整，以使该资产在剩余使用</w:t>
      </w:r>
      <w:r>
        <w:rPr>
          <w:w w:val="99"/>
        </w:rPr>
        <w:t> </w:t>
      </w:r>
      <w:r>
        <w:rPr/>
        <w:t>寿命内，系统地分摊调整后的资产账面价值（扣除预计净残值）。</w:t>
      </w:r>
    </w:p>
    <w:p>
      <w:pPr>
        <w:pStyle w:val="BodyText"/>
        <w:spacing w:line="240" w:lineRule="auto"/>
        <w:ind w:left="532" w:right="0"/>
        <w:jc w:val="left"/>
      </w:pPr>
      <w:r>
        <w:rPr/>
        <w:t>因企业合并所形成的商誉和使用寿命不确定的无形资产，无论是否存在减值迹象，每年都进行减值测</w:t>
      </w:r>
    </w:p>
    <w:p>
      <w:pPr>
        <w:pStyle w:val="BodyText"/>
        <w:spacing w:line="240" w:lineRule="auto" w:before="37"/>
        <w:ind w:right="2127"/>
        <w:jc w:val="left"/>
      </w:pPr>
      <w:r>
        <w:rPr/>
        <w:t>试。</w:t>
      </w:r>
    </w:p>
    <w:p>
      <w:pPr>
        <w:pStyle w:val="BodyText"/>
        <w:spacing w:line="240" w:lineRule="auto" w:before="37"/>
        <w:ind w:left="532" w:right="0"/>
        <w:jc w:val="left"/>
      </w:pPr>
      <w:r>
        <w:rPr/>
        <w:t>在对商誉进行减值测试时，将商誉的账面价值分摊至预期从企业合并的协同效应中受益的资产组或资</w:t>
      </w:r>
    </w:p>
    <w:p>
      <w:pPr>
        <w:pStyle w:val="BodyText"/>
        <w:spacing w:line="273" w:lineRule="auto" w:before="37"/>
        <w:ind w:right="1135"/>
        <w:jc w:val="both"/>
      </w:pPr>
      <w:r>
        <w:rPr>
          <w:w w:val="95"/>
        </w:rPr>
        <w:t>产组组合。在对包含商誉的相关资产组或者资产组组合进行减值测试时，如与商誉相关的资产组或者资产</w:t>
      </w:r>
      <w:r>
        <w:rPr>
          <w:spacing w:val="37"/>
          <w:w w:val="95"/>
        </w:rPr>
        <w:t> </w:t>
      </w:r>
      <w:r>
        <w:rPr>
          <w:spacing w:val="37"/>
          <w:w w:val="95"/>
        </w:rPr>
      </w:r>
      <w:r>
        <w:rPr>
          <w:w w:val="95"/>
        </w:rPr>
        <w:t>组组合存在减值迹象的，先对不包含商誉的资产组或者资产组组合进行减值测试，计算可收回金额，并与</w:t>
      </w:r>
      <w:r>
        <w:rPr>
          <w:spacing w:val="37"/>
          <w:w w:val="95"/>
        </w:rPr>
        <w:t> </w:t>
      </w:r>
      <w:r>
        <w:rPr>
          <w:spacing w:val="37"/>
          <w:w w:val="95"/>
        </w:rPr>
      </w:r>
      <w:r>
        <w:rPr>
          <w:w w:val="95"/>
        </w:rPr>
        <w:t>相关账面价值相比较，确认相应的减值损失。再对包含商誉的资产组或者资产组组合进行减值测试，比较</w:t>
      </w:r>
      <w:r>
        <w:rPr/>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0"/>
        <w:jc w:val="left"/>
      </w:pPr>
      <w:r>
        <w:rPr>
          <w:w w:val="95"/>
        </w:rPr>
        <w:t>这些相关资产组或者资产组组合的账面价值（包括所分摊的商誉的账面价值部分）与其可收回金额，如相</w:t>
      </w:r>
      <w:r>
        <w:rPr>
          <w:spacing w:val="37"/>
          <w:w w:val="95"/>
        </w:rPr>
        <w:t> </w:t>
      </w:r>
      <w:r>
        <w:rPr>
          <w:spacing w:val="37"/>
          <w:w w:val="95"/>
        </w:rPr>
      </w:r>
      <w:r>
        <w:rPr/>
        <w:t>关资产组或者资产组组合的可收回金额低于其账面价值的，确认商誉的减值损失。</w:t>
      </w:r>
    </w:p>
    <w:p>
      <w:pPr>
        <w:spacing w:line="240" w:lineRule="auto" w:before="7"/>
        <w:rPr>
          <w:rFonts w:ascii="宋体" w:hAnsi="宋体" w:cs="宋体" w:eastAsia="宋体" w:hint="default"/>
          <w:sz w:val="23"/>
          <w:szCs w:val="23"/>
        </w:rPr>
      </w:pPr>
    </w:p>
    <w:p>
      <w:pPr>
        <w:pStyle w:val="Heading6"/>
        <w:spacing w:line="240" w:lineRule="auto"/>
        <w:ind w:right="2127"/>
        <w:jc w:val="left"/>
        <w:rPr>
          <w:b w:val="0"/>
          <w:bCs w:val="0"/>
        </w:rPr>
      </w:pPr>
      <w:bookmarkStart w:name="23、长期待摊费用" w:id="201"/>
      <w:bookmarkEnd w:id="201"/>
      <w:r>
        <w:rPr>
          <w:b w:val="0"/>
          <w:bCs w:val="0"/>
        </w:rPr>
      </w:r>
      <w:r>
        <w:rPr/>
        <w:t>23、长期待摊费用</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r>
        <w:rPr/>
        <w:t>（1）摊销方法</w:t>
      </w:r>
      <w:r>
        <w:rPr>
          <w:b w:val="0"/>
          <w:bCs w:val="0"/>
        </w:rPr>
      </w:r>
    </w:p>
    <w:p>
      <w:pPr>
        <w:pStyle w:val="BodyText"/>
        <w:spacing w:line="273" w:lineRule="auto" w:before="37"/>
        <w:ind w:right="0" w:firstLine="420"/>
        <w:jc w:val="left"/>
      </w:pPr>
      <w:r>
        <w:rPr>
          <w:w w:val="95"/>
        </w:rPr>
        <w:t>长期待摊费用，是指本公司已经发生但应由本期和以后各期负担的分摊期限在1年以上的各项费用。</w:t>
      </w:r>
      <w:r>
        <w:rPr>
          <w:spacing w:val="-85"/>
          <w:w w:val="95"/>
        </w:rPr>
        <w:t> </w:t>
      </w:r>
      <w:r>
        <w:rPr>
          <w:spacing w:val="-85"/>
          <w:w w:val="95"/>
        </w:rPr>
      </w:r>
      <w:r>
        <w:rPr/>
        <w:t>长期待摊费用在受益期内按直线法分期摊销。</w:t>
      </w:r>
    </w:p>
    <w:p>
      <w:pPr>
        <w:pStyle w:val="Heading6"/>
        <w:spacing w:line="240" w:lineRule="auto" w:before="7"/>
        <w:ind w:right="2127"/>
        <w:jc w:val="left"/>
        <w:rPr>
          <w:b w:val="0"/>
          <w:bCs w:val="0"/>
        </w:rPr>
      </w:pPr>
      <w:r>
        <w:rPr/>
        <w:t>（2）摊销年限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2842"/>
        <w:gridCol w:w="2843"/>
        <w:gridCol w:w="2843"/>
      </w:tblGrid>
      <w:tr>
        <w:trPr>
          <w:trHeight w:val="354"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3-5年</w:t>
            </w:r>
          </w:p>
        </w:tc>
        <w:tc>
          <w:tcPr>
            <w:tcW w:w="284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19"/>
          <w:szCs w:val="19"/>
        </w:rPr>
      </w:pPr>
    </w:p>
    <w:p>
      <w:pPr>
        <w:pStyle w:val="Heading6"/>
        <w:spacing w:line="240" w:lineRule="auto" w:before="34"/>
        <w:ind w:right="2127"/>
        <w:jc w:val="left"/>
        <w:rPr>
          <w:b w:val="0"/>
          <w:bCs w:val="0"/>
        </w:rPr>
      </w:pPr>
      <w:bookmarkStart w:name="24、职工薪酬" w:id="202"/>
      <w:bookmarkEnd w:id="202"/>
      <w:r>
        <w:rPr>
          <w:b w:val="0"/>
          <w:bCs w:val="0"/>
        </w:rPr>
      </w:r>
      <w:r>
        <w:rPr/>
        <w:t>24、职工薪酬</w:t>
      </w:r>
      <w:r>
        <w:rPr>
          <w:b w:val="0"/>
          <w:bCs w:val="0"/>
        </w:rPr>
      </w:r>
    </w:p>
    <w:p>
      <w:pPr>
        <w:spacing w:line="610" w:lineRule="atLeast" w:before="2"/>
        <w:ind w:left="532" w:right="0" w:hanging="420"/>
        <w:jc w:val="left"/>
        <w:rPr>
          <w:rFonts w:ascii="宋体" w:hAnsi="宋体" w:cs="宋体" w:eastAsia="宋体" w:hint="default"/>
          <w:sz w:val="21"/>
          <w:szCs w:val="21"/>
        </w:rPr>
      </w:pPr>
      <w:bookmarkStart w:name="（1）短期薪酬的会计处理方法" w:id="203"/>
      <w:bookmarkEnd w:id="203"/>
      <w:r>
        <w:rPr/>
      </w:r>
      <w:r>
        <w:rPr>
          <w:rFonts w:ascii="宋体" w:hAnsi="宋体" w:cs="宋体" w:eastAsia="宋体" w:hint="default"/>
          <w:b/>
          <w:bCs/>
          <w:sz w:val="21"/>
          <w:szCs w:val="21"/>
        </w:rPr>
        <w:t>（1）短期薪酬的会计处理方法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短期薪酬是指本公司在职工提供相关服务的年度报告期间结束后十二个月内需要全部予以支付的职</w:t>
      </w:r>
      <w:r>
        <w:rPr>
          <w:rFonts w:ascii="宋体" w:hAnsi="宋体" w:cs="宋体" w:eastAsia="宋体" w:hint="default"/>
          <w:sz w:val="21"/>
          <w:szCs w:val="21"/>
        </w:rPr>
      </w:r>
    </w:p>
    <w:p>
      <w:pPr>
        <w:pStyle w:val="BodyText"/>
        <w:spacing w:line="273" w:lineRule="auto" w:before="37"/>
        <w:ind w:right="1025"/>
        <w:jc w:val="left"/>
      </w:pPr>
      <w:r>
        <w:rPr>
          <w:spacing w:val="-3"/>
        </w:rPr>
        <w:t>工薪酬，离职后福利和辞退福利除外。本公司在职工提供服务的会计期间，将应付的短期薪酬确认为负债，</w:t>
      </w:r>
      <w:r>
        <w:rPr>
          <w:w w:val="99"/>
        </w:rPr>
        <w:t> </w:t>
      </w:r>
      <w:r>
        <w:rPr/>
        <w:t>并根据职工提供服务的受益对象计入相关资产成本和费用。</w:t>
      </w:r>
    </w:p>
    <w:p>
      <w:pPr>
        <w:spacing w:line="240" w:lineRule="auto" w:before="10"/>
        <w:rPr>
          <w:rFonts w:ascii="宋体" w:hAnsi="宋体" w:cs="宋体" w:eastAsia="宋体" w:hint="default"/>
          <w:sz w:val="21"/>
          <w:szCs w:val="21"/>
        </w:rPr>
      </w:pPr>
    </w:p>
    <w:p>
      <w:pPr>
        <w:spacing w:line="610" w:lineRule="atLeast" w:before="0"/>
        <w:ind w:left="532" w:right="0" w:hanging="420"/>
        <w:jc w:val="left"/>
        <w:rPr>
          <w:rFonts w:ascii="宋体" w:hAnsi="宋体" w:cs="宋体" w:eastAsia="宋体" w:hint="default"/>
          <w:sz w:val="21"/>
          <w:szCs w:val="21"/>
        </w:rPr>
      </w:pPr>
      <w:bookmarkStart w:name="（2）离职后福利的会计处理方法" w:id="204"/>
      <w:bookmarkEnd w:id="204"/>
      <w:r>
        <w:rPr/>
      </w:r>
      <w:r>
        <w:rPr>
          <w:rFonts w:ascii="宋体" w:hAnsi="宋体" w:cs="宋体" w:eastAsia="宋体" w:hint="default"/>
          <w:b/>
          <w:bCs/>
          <w:sz w:val="21"/>
          <w:szCs w:val="21"/>
        </w:rPr>
        <w:t>（2）离职后福利的会计处理方法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离职后福利是指本公司为获得职工提供的服务而在职工退休或与企业解除劳动关系后，提供的各种形</w:t>
      </w:r>
      <w:r>
        <w:rPr>
          <w:rFonts w:ascii="宋体" w:hAnsi="宋体" w:cs="宋体" w:eastAsia="宋体" w:hint="default"/>
          <w:sz w:val="21"/>
          <w:szCs w:val="21"/>
        </w:rPr>
      </w:r>
    </w:p>
    <w:p>
      <w:pPr>
        <w:pStyle w:val="BodyText"/>
        <w:spacing w:line="273" w:lineRule="auto" w:before="37"/>
        <w:ind w:left="532" w:right="1125" w:hanging="420"/>
        <w:jc w:val="left"/>
      </w:pPr>
      <w:r>
        <w:rPr/>
        <w:t>式的报酬和福利，短期薪酬和辞退福利除外。</w:t>
      </w:r>
      <w:r>
        <w:rPr>
          <w:w w:val="99"/>
        </w:rPr>
        <w:t> </w:t>
      </w:r>
      <w:r>
        <w:rPr/>
        <w:t>本公司的离职后福利计划分类为设定提存计划和设定受益计划。</w:t>
      </w:r>
      <w:r>
        <w:rPr>
          <w:w w:val="99"/>
        </w:rPr>
        <w:t> </w:t>
      </w:r>
      <w:r>
        <w:rPr>
          <w:w w:val="95"/>
        </w:rPr>
        <w:t>离职后福利设定提存计划主要为参加由各地劳动及社会保障机构组织实施的社会基本养老保险、失业</w:t>
      </w:r>
      <w:r>
        <w:rPr/>
      </w:r>
    </w:p>
    <w:p>
      <w:pPr>
        <w:pStyle w:val="BodyText"/>
        <w:spacing w:line="273" w:lineRule="auto"/>
        <w:ind w:right="1135"/>
        <w:jc w:val="both"/>
      </w:pPr>
      <w:r>
        <w:rPr>
          <w:w w:val="95"/>
        </w:rPr>
        <w:t>保险等；在职工为本公司提供服务的会计期间，将根据设定提存计划计算的应缴存金额确认为负债，并计</w:t>
      </w:r>
      <w:r>
        <w:rPr>
          <w:spacing w:val="37"/>
          <w:w w:val="95"/>
        </w:rPr>
        <w:t> </w:t>
      </w:r>
      <w:r>
        <w:rPr>
          <w:spacing w:val="37"/>
          <w:w w:val="95"/>
        </w:rPr>
      </w:r>
      <w:r>
        <w:rPr/>
        <w:t>入当期损益或相关资产成本。</w:t>
      </w:r>
    </w:p>
    <w:p>
      <w:pPr>
        <w:pStyle w:val="BodyText"/>
        <w:spacing w:line="240" w:lineRule="auto"/>
        <w:ind w:left="532" w:right="2127"/>
        <w:jc w:val="left"/>
      </w:pPr>
      <w:r>
        <w:rPr/>
        <w:t>本公司按照国家规定的标准定期缴付上述款项后，不再有其他的支付义务。</w:t>
      </w:r>
    </w:p>
    <w:p>
      <w:pPr>
        <w:spacing w:line="610" w:lineRule="atLeast" w:before="2"/>
        <w:ind w:left="532" w:right="0" w:hanging="420"/>
        <w:jc w:val="left"/>
        <w:rPr>
          <w:rFonts w:ascii="宋体" w:hAnsi="宋体" w:cs="宋体" w:eastAsia="宋体" w:hint="default"/>
          <w:sz w:val="21"/>
          <w:szCs w:val="21"/>
        </w:rPr>
      </w:pPr>
      <w:bookmarkStart w:name="（3）辞退福利的会计处理方法" w:id="205"/>
      <w:bookmarkEnd w:id="205"/>
      <w:r>
        <w:rPr/>
      </w:r>
      <w:r>
        <w:rPr>
          <w:rFonts w:ascii="宋体" w:hAnsi="宋体" w:cs="宋体" w:eastAsia="宋体" w:hint="default"/>
          <w:b/>
          <w:bCs/>
          <w:sz w:val="21"/>
          <w:szCs w:val="21"/>
        </w:rPr>
        <w:t>（3）辞退福利的会计处理方法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辞退福利是指本公司在职工劳动合同到期之前解除与职工的劳动关系，或者为鼓励职工自愿接受裁减</w:t>
      </w:r>
      <w:r>
        <w:rPr>
          <w:rFonts w:ascii="宋体" w:hAnsi="宋体" w:cs="宋体" w:eastAsia="宋体" w:hint="default"/>
          <w:sz w:val="21"/>
          <w:szCs w:val="21"/>
        </w:rPr>
      </w:r>
    </w:p>
    <w:p>
      <w:pPr>
        <w:pStyle w:val="BodyText"/>
        <w:spacing w:line="273" w:lineRule="auto" w:before="37"/>
        <w:ind w:right="1132"/>
        <w:jc w:val="both"/>
      </w:pPr>
      <w:r>
        <w:rPr>
          <w:w w:val="95"/>
        </w:rPr>
        <w:t>而给予职工的补偿，在本公司不能单方面撤回解除劳动关系计划或裁减建议时和确认与涉及支付辞退福利</w:t>
      </w:r>
      <w:r>
        <w:rPr>
          <w:spacing w:val="39"/>
          <w:w w:val="95"/>
        </w:rPr>
        <w:t> </w:t>
      </w:r>
      <w:r>
        <w:rPr>
          <w:spacing w:val="39"/>
          <w:w w:val="95"/>
        </w:rPr>
      </w:r>
      <w:r>
        <w:rPr>
          <w:w w:val="95"/>
        </w:rPr>
        <w:t>的重组相关的成本费用时两者孰早日，确认因解除与职工的劳动关系给予补偿而产生的负债，同时计入当</w:t>
      </w:r>
      <w:r>
        <w:rPr>
          <w:spacing w:val="40"/>
          <w:w w:val="95"/>
        </w:rPr>
        <w:t> </w:t>
      </w:r>
      <w:r>
        <w:rPr>
          <w:spacing w:val="40"/>
          <w:w w:val="95"/>
        </w:rPr>
      </w:r>
      <w:r>
        <w:rPr/>
        <w:t>期损益。</w:t>
      </w:r>
    </w:p>
    <w:p>
      <w:pPr>
        <w:pStyle w:val="BodyText"/>
        <w:spacing w:line="273" w:lineRule="auto" w:before="8"/>
        <w:ind w:right="1132" w:firstLine="420"/>
        <w:jc w:val="both"/>
      </w:pPr>
      <w:r>
        <w:rPr>
          <w:w w:val="95"/>
        </w:rPr>
        <w:t>本公司向接受内部退休安排的职工提供内退福利。内退福利是指，向未达到国家规定的退休年龄、经</w:t>
      </w:r>
      <w:r>
        <w:rPr>
          <w:w w:val="99"/>
        </w:rPr>
        <w:t> </w:t>
      </w:r>
      <w:r>
        <w:rPr>
          <w:w w:val="95"/>
        </w:rPr>
        <w:t>本公司管理层批准自愿退出工作岗位的职工支付的工资及为其缴纳的社会保险费等。本公司自内部退休安</w:t>
      </w:r>
      <w:r>
        <w:rPr>
          <w:spacing w:val="39"/>
          <w:w w:val="95"/>
        </w:rPr>
        <w:t> </w:t>
      </w:r>
      <w:r>
        <w:rPr>
          <w:spacing w:val="39"/>
          <w:w w:val="95"/>
        </w:rPr>
      </w:r>
      <w:r>
        <w:rPr>
          <w:w w:val="95"/>
        </w:rPr>
        <w:t>排开始之日起至职工达到正常退休年龄止，向内退职工支付内部退养福利。对于内退福利，本公司比照辞</w:t>
      </w:r>
      <w:r>
        <w:rPr>
          <w:spacing w:val="37"/>
          <w:w w:val="95"/>
        </w:rPr>
        <w:t> </w:t>
      </w:r>
      <w:r>
        <w:rPr>
          <w:spacing w:val="37"/>
          <w:w w:val="95"/>
        </w:rPr>
      </w:r>
      <w:r>
        <w:rPr>
          <w:w w:val="95"/>
        </w:rPr>
        <w:t>退福利进行会计处理，在符合辞退福利相关确认条件时，将自职工停止提供服务日至正常退休日期间拟支</w:t>
      </w:r>
      <w:r>
        <w:rPr>
          <w:spacing w:val="40"/>
          <w:w w:val="95"/>
        </w:rPr>
        <w:t> </w:t>
      </w:r>
      <w:r>
        <w:rPr>
          <w:spacing w:val="40"/>
          <w:w w:val="95"/>
        </w:rPr>
      </w:r>
      <w:r>
        <w:rPr>
          <w:w w:val="95"/>
        </w:rPr>
        <w:t>付的内退职工工资和缴纳的社会保险费等，确认为负债，一次性计入当期损益。内退福利的精算假设变化</w:t>
      </w:r>
      <w:r>
        <w:rPr>
          <w:spacing w:val="40"/>
          <w:w w:val="95"/>
        </w:rPr>
        <w:t> </w:t>
      </w:r>
      <w:r>
        <w:rPr>
          <w:spacing w:val="40"/>
          <w:w w:val="95"/>
        </w:rPr>
      </w:r>
      <w:r>
        <w:rPr/>
        <w:t>及福利标准调整引起的差异于发生时计入当期损益。</w:t>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4）其他长期职工福利的会计处理方法" w:id="206"/>
      <w:bookmarkEnd w:id="206"/>
      <w:r>
        <w:rPr>
          <w:b w:val="0"/>
          <w:bCs w:val="0"/>
        </w:rPr>
      </w:r>
      <w:r>
        <w:rPr/>
        <w:t>（4）其他长期职工福利的会计处理方法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jc w:val="left"/>
      </w:pPr>
      <w:r>
        <w:rPr/>
        <w:t>其他长期职工福利是指除短期薪酬、离职后福利、辞退福利之外的其他所有职工福利。</w:t>
      </w:r>
      <w:r>
        <w:rPr>
          <w:w w:val="99"/>
        </w:rPr>
        <w:t> </w:t>
      </w:r>
      <w:r>
        <w:rPr>
          <w:w w:val="95"/>
        </w:rPr>
        <w:t>对符合设定提存计划条件的其他长期职工福利，在职工为本公司提供服务的会计期间，将应缴存金额</w:t>
      </w:r>
      <w:r>
        <w:rPr/>
      </w:r>
    </w:p>
    <w:p>
      <w:pPr>
        <w:pStyle w:val="BodyText"/>
        <w:spacing w:line="273" w:lineRule="auto"/>
        <w:ind w:right="0"/>
        <w:jc w:val="left"/>
      </w:pPr>
      <w:r>
        <w:rPr>
          <w:w w:val="95"/>
        </w:rPr>
        <w:t>确认为负债，并计入当期损益或相关资产成本；除上述情形外的其他长期职工福利，在资产负债表日将设</w:t>
      </w:r>
      <w:r>
        <w:rPr>
          <w:spacing w:val="40"/>
          <w:w w:val="95"/>
        </w:rPr>
        <w:t> </w:t>
      </w:r>
      <w:r>
        <w:rPr>
          <w:spacing w:val="40"/>
          <w:w w:val="95"/>
        </w:rPr>
      </w:r>
      <w:r>
        <w:rPr/>
        <w:t>定受益计划产生的福利义务归属于职工提供服务的期间，并计入当期损益或相关资产成本。</w:t>
      </w:r>
    </w:p>
    <w:p>
      <w:pPr>
        <w:spacing w:line="240" w:lineRule="auto" w:before="9"/>
        <w:rPr>
          <w:rFonts w:ascii="宋体" w:hAnsi="宋体" w:cs="宋体" w:eastAsia="宋体" w:hint="default"/>
          <w:sz w:val="23"/>
          <w:szCs w:val="23"/>
        </w:rPr>
      </w:pPr>
    </w:p>
    <w:p>
      <w:pPr>
        <w:pStyle w:val="Heading6"/>
        <w:spacing w:line="240" w:lineRule="auto"/>
        <w:ind w:right="2127"/>
        <w:jc w:val="left"/>
        <w:rPr>
          <w:b w:val="0"/>
          <w:bCs w:val="0"/>
        </w:rPr>
      </w:pPr>
      <w:bookmarkStart w:name="25、预计负债" w:id="207"/>
      <w:bookmarkEnd w:id="207"/>
      <w:r>
        <w:rPr>
          <w:b w:val="0"/>
          <w:bCs w:val="0"/>
        </w:rPr>
      </w:r>
      <w:r>
        <w:rPr/>
        <w:t>25、预计负债</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3554" w:hanging="420"/>
        <w:jc w:val="left"/>
      </w:pPr>
      <w:r>
        <w:rPr>
          <w:rFonts w:ascii="宋体" w:hAnsi="宋体" w:cs="宋体" w:eastAsia="宋体" w:hint="default"/>
          <w:b/>
          <w:bCs/>
        </w:rPr>
        <w:t>（1）预计负债的确认标准</w:t>
      </w:r>
      <w:r>
        <w:rPr>
          <w:rFonts w:ascii="宋体" w:hAnsi="宋体" w:cs="宋体" w:eastAsia="宋体" w:hint="default"/>
          <w:b/>
          <w:bCs/>
          <w:w w:val="99"/>
        </w:rPr>
        <w:t> </w:t>
      </w:r>
      <w:r>
        <w:rPr>
          <w:w w:val="95"/>
        </w:rPr>
        <w:t>与或有事项相关的义务同时满足下列条件时，本公司确认为预计负债：</w:t>
      </w:r>
      <w:r>
        <w:rPr>
          <w:w w:val="99"/>
        </w:rPr>
        <w:t> </w:t>
      </w:r>
      <w:r>
        <w:rPr/>
        <w:t>该义务是本公司承担的现时义务；</w:t>
      </w:r>
      <w:r>
        <w:rPr>
          <w:w w:val="99"/>
        </w:rPr>
        <w:t> </w:t>
      </w:r>
      <w:r>
        <w:rPr/>
        <w:t>履行该义务很可能导致经济利益流出本公司；</w:t>
      </w:r>
      <w:r>
        <w:rPr>
          <w:w w:val="99"/>
        </w:rPr>
        <w:t> </w:t>
      </w:r>
      <w:r>
        <w:rPr/>
        <w:t>该义务的金额能够可靠地计量。</w:t>
      </w:r>
    </w:p>
    <w:p>
      <w:pPr>
        <w:spacing w:line="273" w:lineRule="auto" w:before="7"/>
        <w:ind w:left="532" w:right="2127" w:hanging="420"/>
        <w:jc w:val="left"/>
        <w:rPr>
          <w:rFonts w:ascii="宋体" w:hAnsi="宋体" w:cs="宋体" w:eastAsia="宋体" w:hint="default"/>
          <w:sz w:val="21"/>
          <w:szCs w:val="21"/>
        </w:rPr>
      </w:pPr>
      <w:r>
        <w:rPr>
          <w:rFonts w:ascii="宋体" w:hAnsi="宋体" w:cs="宋体" w:eastAsia="宋体" w:hint="default"/>
          <w:b/>
          <w:bCs/>
          <w:sz w:val="21"/>
          <w:szCs w:val="21"/>
        </w:rPr>
        <w:t>（2）预计负债的计量方法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本公司预计负债按履行相关现时义务所需的支出的最佳估计数进行初始计量。</w:t>
      </w:r>
      <w:r>
        <w:rPr>
          <w:rFonts w:ascii="宋体" w:hAnsi="宋体" w:cs="宋体" w:eastAsia="宋体" w:hint="default"/>
          <w:sz w:val="21"/>
          <w:szCs w:val="21"/>
        </w:rPr>
      </w:r>
    </w:p>
    <w:p>
      <w:pPr>
        <w:pStyle w:val="BodyText"/>
        <w:spacing w:line="273" w:lineRule="auto"/>
        <w:ind w:right="1132" w:firstLine="420"/>
        <w:jc w:val="both"/>
      </w:pPr>
      <w:r>
        <w:rPr>
          <w:w w:val="95"/>
        </w:rPr>
        <w:t>本公司在确定最佳估计数时，综合考虑与或有事项有关的风险、不确定性和货币时间价值等因素。对</w:t>
      </w:r>
      <w:r>
        <w:rPr>
          <w:w w:val="99"/>
        </w:rPr>
        <w:t> </w:t>
      </w:r>
      <w:r>
        <w:rPr/>
        <w:t>于货币时间价值影响重大的，通过对相关未来现金流出进行折现后确定最佳估计数。</w:t>
      </w:r>
    </w:p>
    <w:p>
      <w:pPr>
        <w:pStyle w:val="BodyText"/>
        <w:spacing w:line="273" w:lineRule="auto"/>
        <w:ind w:left="532" w:right="0"/>
        <w:jc w:val="left"/>
      </w:pPr>
      <w:r>
        <w:rPr/>
        <w:t>最佳估计数分别以下情况处理：</w:t>
      </w:r>
      <w:r>
        <w:rPr>
          <w:w w:val="99"/>
        </w:rPr>
        <w:t> </w:t>
      </w:r>
      <w:r>
        <w:rPr>
          <w:w w:val="95"/>
        </w:rPr>
        <w:t>所需支出存在一个连续范围（或区间），且该范围内各种结果发生的可能性相同的，则最佳估计数按</w:t>
      </w:r>
      <w:r>
        <w:rPr/>
      </w:r>
    </w:p>
    <w:p>
      <w:pPr>
        <w:pStyle w:val="BodyText"/>
        <w:spacing w:line="273" w:lineRule="auto"/>
        <w:ind w:left="532" w:right="0" w:hanging="420"/>
        <w:jc w:val="left"/>
      </w:pPr>
      <w:r>
        <w:rPr/>
        <w:t>照该范围的中间值即上下限金额的平均数确定。</w:t>
      </w:r>
      <w:r>
        <w:rPr>
          <w:w w:val="99"/>
        </w:rPr>
        <w:t> </w:t>
      </w:r>
      <w:r>
        <w:rPr>
          <w:w w:val="95"/>
        </w:rPr>
        <w:t>所需支出不存在一个连续范围（或区间），或虽然存在一个连续范围但该范围内各种结果发生的可能</w:t>
      </w:r>
      <w:r>
        <w:rPr/>
      </w:r>
    </w:p>
    <w:p>
      <w:pPr>
        <w:pStyle w:val="BodyText"/>
        <w:spacing w:line="273" w:lineRule="auto"/>
        <w:ind w:right="0"/>
        <w:jc w:val="left"/>
      </w:pPr>
      <w:r>
        <w:rPr>
          <w:w w:val="95"/>
        </w:rPr>
        <w:t>性不相同的，如或有事项涉及单个项目的，则最佳估计数按照最可能发生金额确定；如或有事项涉及多个</w:t>
      </w:r>
      <w:r>
        <w:rPr>
          <w:spacing w:val="40"/>
          <w:w w:val="95"/>
        </w:rPr>
        <w:t> </w:t>
      </w:r>
      <w:r>
        <w:rPr>
          <w:spacing w:val="40"/>
          <w:w w:val="95"/>
        </w:rPr>
      </w:r>
      <w:r>
        <w:rPr/>
        <w:t>项目的，则最佳估计数按各种可能结果及相关概率计算确定。</w:t>
      </w:r>
    </w:p>
    <w:p>
      <w:pPr>
        <w:pStyle w:val="BodyText"/>
        <w:spacing w:line="273" w:lineRule="auto"/>
        <w:ind w:right="1132" w:firstLine="420"/>
        <w:jc w:val="both"/>
      </w:pPr>
      <w:r>
        <w:rPr>
          <w:w w:val="95"/>
        </w:rPr>
        <w:t>本公司清偿预计负债所需支出全部或部分预期由第三方补偿的，补偿金额在基本确定能够收到时，作</w:t>
      </w:r>
      <w:r>
        <w:rPr>
          <w:w w:val="99"/>
        </w:rPr>
        <w:t> </w:t>
      </w:r>
      <w:r>
        <w:rPr/>
        <w:t>为资产单独确认，确认的补偿金额不超过预计负债的账面价值。</w:t>
      </w:r>
    </w:p>
    <w:p>
      <w:pPr>
        <w:spacing w:line="240" w:lineRule="auto" w:before="7"/>
        <w:rPr>
          <w:rFonts w:ascii="宋体" w:hAnsi="宋体" w:cs="宋体" w:eastAsia="宋体" w:hint="default"/>
          <w:sz w:val="23"/>
          <w:szCs w:val="23"/>
        </w:rPr>
      </w:pPr>
    </w:p>
    <w:p>
      <w:pPr>
        <w:pStyle w:val="Heading6"/>
        <w:spacing w:line="240" w:lineRule="auto"/>
        <w:ind w:right="2127"/>
        <w:jc w:val="left"/>
        <w:rPr>
          <w:b w:val="0"/>
          <w:bCs w:val="0"/>
        </w:rPr>
      </w:pPr>
      <w:bookmarkStart w:name="26、股份支付" w:id="208"/>
      <w:bookmarkEnd w:id="208"/>
      <w:r>
        <w:rPr>
          <w:b w:val="0"/>
          <w:bCs w:val="0"/>
        </w:rPr>
      </w:r>
      <w:r>
        <w:rPr/>
        <w:t>26、股份支付</w:t>
      </w:r>
      <w:r>
        <w:rPr>
          <w:b w:val="0"/>
          <w:bCs w:val="0"/>
        </w:rPr>
      </w:r>
    </w:p>
    <w:p>
      <w:pPr>
        <w:spacing w:line="240" w:lineRule="auto" w:before="10"/>
        <w:rPr>
          <w:rFonts w:ascii="宋体" w:hAnsi="宋体" w:cs="宋体" w:eastAsia="宋体" w:hint="default"/>
          <w:b/>
          <w:bCs/>
          <w:sz w:val="25"/>
          <w:szCs w:val="25"/>
        </w:rPr>
      </w:pPr>
    </w:p>
    <w:p>
      <w:pPr>
        <w:spacing w:line="273" w:lineRule="auto" w:before="0"/>
        <w:ind w:left="532" w:right="2654" w:hanging="420"/>
        <w:jc w:val="left"/>
        <w:rPr>
          <w:rFonts w:ascii="宋体" w:hAnsi="宋体" w:cs="宋体" w:eastAsia="宋体" w:hint="default"/>
          <w:sz w:val="21"/>
          <w:szCs w:val="21"/>
        </w:rPr>
      </w:pPr>
      <w:r>
        <w:rPr>
          <w:rFonts w:ascii="宋体" w:hAnsi="宋体" w:cs="宋体" w:eastAsia="宋体" w:hint="default"/>
          <w:b/>
          <w:bCs/>
          <w:sz w:val="21"/>
          <w:szCs w:val="21"/>
        </w:rPr>
        <w:t>（1）股份支付的种类</w:t>
      </w:r>
      <w:r>
        <w:rPr>
          <w:rFonts w:ascii="宋体" w:hAnsi="宋体" w:cs="宋体" w:eastAsia="宋体" w:hint="default"/>
          <w:b/>
          <w:bCs/>
          <w:w w:val="99"/>
          <w:sz w:val="21"/>
          <w:szCs w:val="21"/>
        </w:rPr>
        <w:t> </w:t>
      </w:r>
      <w:r>
        <w:rPr>
          <w:rFonts w:ascii="宋体" w:hAnsi="宋体" w:cs="宋体" w:eastAsia="宋体" w:hint="default"/>
          <w:w w:val="95"/>
          <w:sz w:val="21"/>
          <w:szCs w:val="21"/>
        </w:rPr>
        <w:t>本公司的股份支付分为以权益结算的股份支付和以现金结算的股份支付。</w:t>
      </w:r>
      <w:r>
        <w:rPr>
          <w:rFonts w:ascii="宋体" w:hAnsi="宋体" w:cs="宋体" w:eastAsia="宋体" w:hint="default"/>
          <w:sz w:val="21"/>
          <w:szCs w:val="21"/>
        </w:rPr>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（2）权益工具公允价值的确定方法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对于授予的存在活跃市场的期权等权益工具，按照活跃市场中的报价确定其公允价值。对于授予的不</w:t>
      </w:r>
      <w:r>
        <w:rPr>
          <w:rFonts w:ascii="宋体" w:hAnsi="宋体" w:cs="宋体" w:eastAsia="宋体" w:hint="default"/>
          <w:sz w:val="21"/>
          <w:szCs w:val="21"/>
        </w:rPr>
      </w:r>
    </w:p>
    <w:p>
      <w:pPr>
        <w:pStyle w:val="BodyText"/>
        <w:spacing w:line="273" w:lineRule="auto"/>
        <w:ind w:right="0"/>
        <w:jc w:val="left"/>
      </w:pPr>
      <w:r>
        <w:rPr>
          <w:w w:val="95"/>
        </w:rPr>
        <w:t>存在活跃市场的期权等权益工具，采用期权定价模型等确定其公允价值，选用的期权定价模型考虑以下因</w:t>
      </w:r>
      <w:r>
        <w:rPr>
          <w:spacing w:val="37"/>
          <w:w w:val="95"/>
        </w:rPr>
        <w:t> </w:t>
      </w:r>
      <w:r>
        <w:rPr>
          <w:spacing w:val="37"/>
          <w:w w:val="95"/>
        </w:rPr>
      </w:r>
      <w:r>
        <w:rPr/>
        <w:t>素：1）期权的行权价格；2）期权的有效期；3）标的股份的现行价格；4）股价预计波动率；5）股份的</w:t>
      </w:r>
      <w:r>
        <w:rPr>
          <w:w w:val="99"/>
        </w:rPr>
        <w:t> </w:t>
      </w:r>
      <w:r>
        <w:rPr/>
        <w:t>预计股利；6）期权有效期内的无风险利率。</w:t>
      </w:r>
    </w:p>
    <w:p>
      <w:pPr>
        <w:pStyle w:val="BodyText"/>
        <w:spacing w:line="273" w:lineRule="auto"/>
        <w:ind w:right="1132" w:firstLine="420"/>
        <w:jc w:val="both"/>
      </w:pPr>
      <w:r>
        <w:rPr>
          <w:w w:val="95"/>
        </w:rPr>
        <w:t>在确定权益工具授予日的公允价值时，考虑股份支付协议规定的可行权条件中的市场条件和非可行权</w:t>
      </w:r>
      <w:r>
        <w:rPr>
          <w:w w:val="99"/>
        </w:rPr>
        <w:t> </w:t>
      </w:r>
      <w:r>
        <w:rPr>
          <w:spacing w:val="-5"/>
        </w:rPr>
        <w:t>条件的影响。股份支付存在非可行权条件的，只要职工或其他方满足了所有可行权条件中的非市场条件（如</w:t>
      </w:r>
      <w:r>
        <w:rPr>
          <w:w w:val="99"/>
        </w:rPr>
        <w:t> </w:t>
      </w:r>
      <w:r>
        <w:rPr/>
        <w:t>服务期限等），即确认已得到服务相对应的成本费用。</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（3）确定可行权权益工具最佳估计的依据</w:t>
      </w:r>
      <w:r>
        <w:rPr>
          <w:rFonts w:ascii="宋体" w:hAnsi="宋体" w:cs="宋体" w:eastAsia="宋体" w:hint="default"/>
          <w:b/>
          <w:bCs/>
          <w:w w:val="99"/>
          <w:sz w:val="21"/>
          <w:szCs w:val="21"/>
        </w:rPr>
        <w:t> </w:t>
      </w:r>
      <w:r>
        <w:rPr>
          <w:rFonts w:ascii="宋体" w:hAnsi="宋体" w:cs="宋体" w:eastAsia="宋体" w:hint="default"/>
          <w:w w:val="95"/>
          <w:sz w:val="21"/>
          <w:szCs w:val="21"/>
        </w:rPr>
        <w:t>等待期内每个资产负债表日，根据最新取得的可行权职工人数变动等后续信息作出最佳估计，修正预</w:t>
      </w:r>
      <w:r>
        <w:rPr>
          <w:rFonts w:ascii="宋体" w:hAnsi="宋体" w:cs="宋体" w:eastAsia="宋体" w:hint="default"/>
          <w:sz w:val="21"/>
          <w:szCs w:val="21"/>
        </w:rPr>
      </w:r>
    </w:p>
    <w:p>
      <w:pPr>
        <w:pStyle w:val="BodyText"/>
        <w:spacing w:line="240" w:lineRule="auto"/>
        <w:ind w:right="0"/>
        <w:jc w:val="left"/>
      </w:pPr>
      <w:r>
        <w:rPr/>
        <w:t>计可行权的权益工具数量。在可行权日，最终预计可行权权益工具的数量与实际可行权数量一致。</w:t>
      </w:r>
    </w:p>
    <w:p>
      <w:pPr>
        <w:pStyle w:val="BodyText"/>
        <w:spacing w:line="273" w:lineRule="auto" w:before="37"/>
        <w:ind w:left="532" w:right="1125" w:hanging="420"/>
        <w:jc w:val="left"/>
      </w:pPr>
      <w:r>
        <w:rPr>
          <w:rFonts w:ascii="宋体" w:hAnsi="宋体" w:cs="宋体" w:eastAsia="宋体" w:hint="default"/>
          <w:b/>
          <w:bCs/>
        </w:rPr>
        <w:t>（4）会计处理方法</w:t>
      </w:r>
      <w:r>
        <w:rPr>
          <w:rFonts w:ascii="宋体" w:hAnsi="宋体" w:cs="宋体" w:eastAsia="宋体" w:hint="default"/>
          <w:b/>
          <w:bCs/>
          <w:w w:val="99"/>
        </w:rPr>
        <w:t> </w:t>
      </w:r>
      <w:r>
        <w:rPr>
          <w:w w:val="95"/>
        </w:rPr>
        <w:t>以权益结算的股份支付，按授予职工权益工具的公允价值计量。授予后立即可行权的，在授予日按照</w:t>
      </w:r>
      <w:r>
        <w:rPr/>
      </w:r>
    </w:p>
    <w:p>
      <w:pPr>
        <w:spacing w:after="0" w:line="273"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5"/>
        <w:jc w:val="both"/>
      </w:pPr>
      <w:r>
        <w:rPr>
          <w:w w:val="95"/>
        </w:rPr>
        <w:t>权益工具的公允价值计入相关成本或费用，相应增加资本公积。在完成等待期内的服务或达到规定业绩条</w:t>
      </w:r>
      <w:r>
        <w:rPr>
          <w:spacing w:val="37"/>
          <w:w w:val="95"/>
        </w:rPr>
        <w:t> </w:t>
      </w:r>
      <w:r>
        <w:rPr>
          <w:spacing w:val="37"/>
          <w:w w:val="95"/>
        </w:rPr>
      </w:r>
      <w:r>
        <w:rPr>
          <w:w w:val="95"/>
        </w:rPr>
        <w:t>件才可行权的，在等待期内的每个资产负债表日，以对可行权权益工具数量的最佳估计为基础，按照权益</w:t>
      </w:r>
      <w:r>
        <w:rPr>
          <w:spacing w:val="37"/>
          <w:w w:val="95"/>
        </w:rPr>
        <w:t> </w:t>
      </w:r>
      <w:r>
        <w:rPr>
          <w:spacing w:val="37"/>
          <w:w w:val="95"/>
        </w:rPr>
      </w:r>
      <w:r>
        <w:rPr>
          <w:w w:val="95"/>
        </w:rPr>
        <w:t>工具授予日的公允价值，将当期取得的服务计入相关成本或费用和资本公积。在可行权日之后不再对已确</w:t>
      </w:r>
      <w:r>
        <w:rPr>
          <w:spacing w:val="37"/>
          <w:w w:val="95"/>
        </w:rPr>
        <w:t> </w:t>
      </w:r>
      <w:r>
        <w:rPr>
          <w:spacing w:val="37"/>
          <w:w w:val="95"/>
        </w:rPr>
      </w:r>
      <w:r>
        <w:rPr/>
        <w:t>认的相关成本或费用和所有者权益总额进行调整。</w:t>
      </w:r>
    </w:p>
    <w:p>
      <w:pPr>
        <w:pStyle w:val="BodyText"/>
        <w:spacing w:line="273" w:lineRule="auto"/>
        <w:ind w:right="1025" w:firstLine="420"/>
        <w:jc w:val="left"/>
      </w:pPr>
      <w:r>
        <w:rPr/>
        <w:t>以现金结算的股份支付，按照本公司承担的以股份或其他权益工具为基础计算确定的负债的公允价值</w:t>
      </w:r>
      <w:r>
        <w:rPr>
          <w:w w:val="99"/>
        </w:rPr>
        <w:t> </w:t>
      </w:r>
      <w:r>
        <w:rPr>
          <w:spacing w:val="-3"/>
        </w:rPr>
        <w:t>计量。授予后立即可行权的，在授予日以本公司承担负债的公允价值计入相关成本或费用，相应增加负债。</w:t>
      </w:r>
      <w:r>
        <w:rPr>
          <w:w w:val="99"/>
        </w:rPr>
        <w:t> </w:t>
      </w:r>
      <w:r>
        <w:rPr/>
        <w:t>在完成等待期内的服务或达到规定业绩条件以后才可行权的以现金结算的股份支付，在等待期内的每个资</w:t>
      </w:r>
      <w:r>
        <w:rPr>
          <w:w w:val="99"/>
        </w:rPr>
        <w:t> </w:t>
      </w:r>
      <w:r>
        <w:rPr/>
        <w:t>产负债表日，以对可行权情况的最佳估计为基础，按照本公司承担负债的公允价值金额，将当期取得的服</w:t>
      </w:r>
      <w:r>
        <w:rPr>
          <w:w w:val="99"/>
        </w:rPr>
        <w:t> </w:t>
      </w:r>
      <w:r>
        <w:rPr/>
        <w:t>务计入成本或费用和相应的负债。在相关负债结算前的每个资产负债表日以及结算日，对负债的公允价值</w:t>
      </w:r>
      <w:r>
        <w:rPr>
          <w:w w:val="99"/>
        </w:rPr>
        <w:t> </w:t>
      </w:r>
      <w:r>
        <w:rPr/>
        <w:t>重新计量，其变动计入当期损益。</w:t>
      </w:r>
    </w:p>
    <w:p>
      <w:pPr>
        <w:pStyle w:val="BodyText"/>
        <w:spacing w:line="273" w:lineRule="auto"/>
        <w:ind w:right="1132" w:firstLine="420"/>
        <w:jc w:val="both"/>
      </w:pPr>
      <w:r>
        <w:rPr>
          <w:w w:val="95"/>
        </w:rPr>
        <w:t>若在等待期内取消了授予的权益工具，本公司对取消所授予的权益性工具作为加速行权处理，将剩余</w:t>
      </w:r>
      <w:r>
        <w:rPr>
          <w:w w:val="99"/>
        </w:rPr>
        <w:t> </w:t>
      </w:r>
      <w:r>
        <w:rPr>
          <w:w w:val="95"/>
        </w:rPr>
        <w:t>等待期内应确认的金额立即计入当期损益，同时确认资本公积。职工或其他方能够选择满足非可行权条件</w:t>
      </w:r>
      <w:r>
        <w:rPr>
          <w:spacing w:val="37"/>
          <w:w w:val="95"/>
        </w:rPr>
        <w:t> </w:t>
      </w:r>
      <w:r>
        <w:rPr>
          <w:spacing w:val="37"/>
          <w:w w:val="95"/>
        </w:rPr>
      </w:r>
      <w:r>
        <w:rPr/>
        <w:t>但在等待期内未满足的，本公司将其作为授予权益工具的取消处理。</w:t>
      </w:r>
    </w:p>
    <w:p>
      <w:pPr>
        <w:spacing w:line="612" w:lineRule="exact" w:before="63"/>
        <w:ind w:left="532" w:right="0" w:hanging="420"/>
        <w:jc w:val="left"/>
        <w:rPr>
          <w:rFonts w:ascii="宋体" w:hAnsi="宋体" w:cs="宋体" w:eastAsia="宋体" w:hint="default"/>
          <w:sz w:val="21"/>
          <w:szCs w:val="21"/>
        </w:rPr>
      </w:pPr>
      <w:bookmarkStart w:name="27、优先股、永续债等其他金融工具" w:id="209"/>
      <w:bookmarkEnd w:id="209"/>
      <w:r>
        <w:rPr/>
      </w:r>
      <w:r>
        <w:rPr>
          <w:rFonts w:ascii="宋体" w:hAnsi="宋体" w:cs="宋体" w:eastAsia="宋体" w:hint="default"/>
          <w:b/>
          <w:bCs/>
          <w:sz w:val="21"/>
          <w:szCs w:val="21"/>
        </w:rPr>
        <w:t>27、优先股、永续债等其他金融工具</w:t>
      </w:r>
      <w:r>
        <w:rPr>
          <w:rFonts w:ascii="宋体" w:hAnsi="宋体" w:cs="宋体" w:eastAsia="宋体" w:hint="default"/>
          <w:b/>
          <w:bCs/>
          <w:w w:val="99"/>
          <w:sz w:val="21"/>
          <w:szCs w:val="21"/>
        </w:rPr>
        <w:t> </w:t>
      </w:r>
      <w:r>
        <w:rPr>
          <w:rFonts w:ascii="宋体" w:hAnsi="宋体" w:cs="宋体" w:eastAsia="宋体" w:hint="default"/>
          <w:w w:val="95"/>
          <w:sz w:val="21"/>
          <w:szCs w:val="21"/>
        </w:rPr>
        <w:t>本公司按照金融工具准则的规定，根据所发行优先股、永续债等金融工具的合同条款及其所反映的经</w:t>
      </w:r>
      <w:r>
        <w:rPr>
          <w:rFonts w:ascii="宋体" w:hAnsi="宋体" w:cs="宋体" w:eastAsia="宋体" w:hint="default"/>
          <w:sz w:val="21"/>
          <w:szCs w:val="21"/>
        </w:rPr>
      </w:r>
    </w:p>
    <w:p>
      <w:pPr>
        <w:pStyle w:val="BodyText"/>
        <w:spacing w:line="219" w:lineRule="exact" w:before="0"/>
        <w:ind w:right="0"/>
        <w:jc w:val="left"/>
      </w:pPr>
      <w:r>
        <w:rPr/>
        <w:t>济实质而非仅以法律形式，结合金融负债和权益工具的定义，在初始确认时将该金融工具或其组成部分分</w:t>
      </w:r>
    </w:p>
    <w:p>
      <w:pPr>
        <w:pStyle w:val="BodyText"/>
        <w:spacing w:line="240" w:lineRule="auto" w:before="37"/>
        <w:ind w:right="2127"/>
        <w:jc w:val="left"/>
      </w:pPr>
      <w:r>
        <w:rPr/>
        <w:t>类为金融负债或权益工具：</w:t>
      </w:r>
    </w:p>
    <w:p>
      <w:pPr>
        <w:spacing w:line="273" w:lineRule="auto" w:before="37"/>
        <w:ind w:left="532" w:right="4956" w:hanging="420"/>
        <w:jc w:val="left"/>
        <w:rPr>
          <w:rFonts w:ascii="宋体" w:hAnsi="宋体" w:cs="宋体" w:eastAsia="宋体" w:hint="default"/>
          <w:sz w:val="21"/>
          <w:szCs w:val="21"/>
        </w:rPr>
      </w:pPr>
      <w:r>
        <w:rPr>
          <w:rFonts w:ascii="宋体" w:hAnsi="宋体" w:cs="宋体" w:eastAsia="宋体" w:hint="default"/>
          <w:b/>
          <w:bCs/>
          <w:sz w:val="21"/>
          <w:szCs w:val="21"/>
        </w:rPr>
        <w:t>（1）符合下列条件之一，将发行的金融工具分类为金融负债：</w:t>
      </w:r>
      <w:r>
        <w:rPr>
          <w:rFonts w:ascii="宋体" w:hAnsi="宋体" w:cs="宋体" w:eastAsia="宋体" w:hint="default"/>
          <w:b/>
          <w:bCs/>
          <w:w w:val="99"/>
          <w:sz w:val="21"/>
          <w:szCs w:val="21"/>
        </w:rPr>
        <w:t> </w:t>
      </w:r>
      <w:r>
        <w:rPr>
          <w:rFonts w:ascii="宋体" w:hAnsi="宋体" w:cs="宋体" w:eastAsia="宋体" w:hint="default"/>
          <w:sz w:val="21"/>
          <w:szCs w:val="21"/>
        </w:rPr>
        <w:t>1）向其他方交付现金或其他金融资产的合同义务；</w:t>
      </w:r>
    </w:p>
    <w:p>
      <w:pPr>
        <w:pStyle w:val="BodyText"/>
        <w:spacing w:line="240" w:lineRule="auto"/>
        <w:ind w:left="532" w:right="2127"/>
        <w:jc w:val="left"/>
      </w:pPr>
      <w:r>
        <w:rPr/>
        <w:t>2）在潜在不利条件下，与其他方交换金融资产或金融负债的合同义务；</w:t>
      </w:r>
    </w:p>
    <w:p>
      <w:pPr>
        <w:pStyle w:val="BodyText"/>
        <w:spacing w:line="273" w:lineRule="auto" w:before="37"/>
        <w:ind w:right="0" w:firstLine="420"/>
        <w:jc w:val="left"/>
      </w:pPr>
      <w:r>
        <w:rPr>
          <w:w w:val="95"/>
        </w:rPr>
        <w:t>3）将来须用或可用企业自身权益工具进行结算的非衍生工具合同，且企业根据该合同将交付可变数</w:t>
      </w:r>
      <w:r>
        <w:rPr>
          <w:spacing w:val="-85"/>
          <w:w w:val="95"/>
        </w:rPr>
        <w:t> </w:t>
      </w:r>
      <w:r>
        <w:rPr>
          <w:spacing w:val="-85"/>
          <w:w w:val="95"/>
        </w:rPr>
      </w:r>
      <w:r>
        <w:rPr/>
        <w:t>量的自身权益工具；</w:t>
      </w:r>
    </w:p>
    <w:p>
      <w:pPr>
        <w:pStyle w:val="BodyText"/>
        <w:spacing w:line="273" w:lineRule="auto" w:before="8"/>
        <w:ind w:right="0" w:firstLine="420"/>
        <w:jc w:val="left"/>
      </w:pPr>
      <w:r>
        <w:rPr>
          <w:w w:val="95"/>
        </w:rPr>
        <w:t>4）将来须用或可用企业自身权益工具进行结算的衍生工具合同，但以固定数量的自身权益工具交换</w:t>
      </w:r>
      <w:r>
        <w:rPr>
          <w:spacing w:val="-85"/>
          <w:w w:val="95"/>
        </w:rPr>
        <w:t> </w:t>
      </w:r>
      <w:r>
        <w:rPr>
          <w:spacing w:val="-85"/>
          <w:w w:val="95"/>
        </w:rPr>
      </w:r>
      <w:r>
        <w:rPr/>
        <w:t>固定金额的现金或其他金融资产的衍生工具合同除外。</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（2）同时满足下列条件的，将发行的金融工具分类为权益工具：</w:t>
      </w:r>
      <w:r>
        <w:rPr>
          <w:rFonts w:ascii="宋体" w:hAnsi="宋体" w:cs="宋体" w:eastAsia="宋体" w:hint="default"/>
          <w:b/>
          <w:bCs/>
          <w:w w:val="99"/>
          <w:sz w:val="21"/>
          <w:szCs w:val="21"/>
        </w:rPr>
        <w:t> </w:t>
      </w:r>
      <w:r>
        <w:rPr>
          <w:rFonts w:ascii="宋体" w:hAnsi="宋体" w:cs="宋体" w:eastAsia="宋体" w:hint="default"/>
          <w:w w:val="95"/>
          <w:sz w:val="21"/>
          <w:szCs w:val="21"/>
        </w:rPr>
        <w:t>1）该金融工具不包括交付现金或其他金融资产给其他方，或在潜在不利条件下与其他方交换金融资</w:t>
      </w:r>
      <w:r>
        <w:rPr>
          <w:rFonts w:ascii="宋体" w:hAnsi="宋体" w:cs="宋体" w:eastAsia="宋体" w:hint="default"/>
          <w:sz w:val="21"/>
          <w:szCs w:val="21"/>
        </w:rPr>
      </w:r>
    </w:p>
    <w:p>
      <w:pPr>
        <w:pStyle w:val="BodyText"/>
        <w:spacing w:line="273" w:lineRule="auto"/>
        <w:ind w:left="532" w:right="0" w:hanging="420"/>
        <w:jc w:val="left"/>
      </w:pPr>
      <w:r>
        <w:rPr/>
        <w:t>产或金融负债的合同义务；</w:t>
      </w:r>
      <w:r>
        <w:rPr>
          <w:w w:val="99"/>
        </w:rPr>
        <w:t> </w:t>
      </w:r>
      <w:r>
        <w:rPr>
          <w:w w:val="95"/>
        </w:rPr>
        <w:t>2）将来须用或可用企业自身权益工具结算该金融工具的，如该金融工具为非衍生工具，不包括交付</w:t>
      </w:r>
      <w:r>
        <w:rPr/>
      </w:r>
    </w:p>
    <w:p>
      <w:pPr>
        <w:pStyle w:val="BodyText"/>
        <w:spacing w:line="273" w:lineRule="auto" w:before="8"/>
        <w:ind w:right="0"/>
        <w:jc w:val="left"/>
      </w:pPr>
      <w:r>
        <w:rPr>
          <w:w w:val="95"/>
        </w:rPr>
        <w:t>可变数量的自身权益工具进行结算的合同义务；如为衍生工具，企业只能通过以固定数量的自身权益工具</w:t>
      </w:r>
      <w:r>
        <w:rPr>
          <w:spacing w:val="37"/>
          <w:w w:val="95"/>
        </w:rPr>
        <w:t> </w:t>
      </w:r>
      <w:r>
        <w:rPr>
          <w:spacing w:val="37"/>
          <w:w w:val="95"/>
        </w:rPr>
      </w:r>
      <w:r>
        <w:rPr/>
        <w:t>交换固定金额的现金或其他金融资产结算该金融工具。</w:t>
      </w:r>
    </w:p>
    <w:p>
      <w:pPr>
        <w:pStyle w:val="BodyText"/>
        <w:spacing w:line="273" w:lineRule="auto"/>
        <w:ind w:left="532" w:right="1125" w:hanging="420"/>
        <w:jc w:val="left"/>
      </w:pPr>
      <w:r>
        <w:rPr>
          <w:rFonts w:ascii="宋体" w:hAnsi="宋体" w:cs="宋体" w:eastAsia="宋体" w:hint="default"/>
          <w:b/>
          <w:bCs/>
        </w:rPr>
        <w:t>（3）会计处理方法</w:t>
      </w:r>
      <w:r>
        <w:rPr>
          <w:rFonts w:ascii="宋体" w:hAnsi="宋体" w:cs="宋体" w:eastAsia="宋体" w:hint="default"/>
          <w:b/>
          <w:bCs/>
          <w:w w:val="99"/>
        </w:rPr>
        <w:t> </w:t>
      </w:r>
      <w:r>
        <w:rPr>
          <w:w w:val="95"/>
        </w:rPr>
        <w:t>对于归类为权益工具的金融工具，其利息支出或股利分配都应当作为发行企业的利润分配，其回购、</w:t>
      </w:r>
      <w:r>
        <w:rPr/>
      </w:r>
    </w:p>
    <w:p>
      <w:pPr>
        <w:pStyle w:val="BodyText"/>
        <w:spacing w:line="273" w:lineRule="auto"/>
        <w:ind w:left="532" w:right="0" w:hanging="420"/>
        <w:jc w:val="left"/>
      </w:pPr>
      <w:r>
        <w:rPr/>
        <w:t>注销等作为权益的变动处理，手续费、佣金等交易费用从权益中扣除；</w:t>
      </w:r>
      <w:r>
        <w:rPr>
          <w:w w:val="99"/>
        </w:rPr>
        <w:t> </w:t>
      </w:r>
      <w:r>
        <w:rPr>
          <w:w w:val="95"/>
        </w:rPr>
        <w:t>对于归类为金融负债的金融工具，其利息支出或股利分配原则上按照借款费用进行处理，其回购或赎</w:t>
      </w:r>
      <w:r>
        <w:rPr/>
      </w:r>
    </w:p>
    <w:p>
      <w:pPr>
        <w:pStyle w:val="BodyText"/>
        <w:spacing w:line="537" w:lineRule="auto"/>
        <w:ind w:right="2127"/>
        <w:jc w:val="left"/>
        <w:rPr>
          <w:rFonts w:ascii="宋体" w:hAnsi="宋体" w:cs="宋体" w:eastAsia="宋体" w:hint="default"/>
        </w:rPr>
      </w:pPr>
      <w:r>
        <w:rPr>
          <w:w w:val="95"/>
        </w:rPr>
        <w:t>回产生的利得或损失等计入当期损益，手续费、佣金等交易费用计入所发行工具的初始计量金额。</w:t>
      </w:r>
      <w:r>
        <w:rPr>
          <w:spacing w:val="30"/>
          <w:w w:val="95"/>
        </w:rPr>
        <w:t> </w:t>
      </w:r>
      <w:r>
        <w:rPr>
          <w:spacing w:val="30"/>
          <w:w w:val="95"/>
        </w:rPr>
      </w:r>
      <w:bookmarkStart w:name="28、收入" w:id="210"/>
      <w:bookmarkEnd w:id="210"/>
      <w:r>
        <w:rPr>
          <w:spacing w:val="30"/>
          <w:w w:val="95"/>
        </w:rPr>
      </w:r>
      <w:r>
        <w:rPr>
          <w:rFonts w:ascii="宋体" w:hAnsi="宋体" w:cs="宋体" w:eastAsia="宋体" w:hint="default"/>
          <w:b/>
          <w:bCs/>
        </w:rPr>
        <w:t>28、收入</w:t>
      </w:r>
      <w:r>
        <w:rPr>
          <w:rFonts w:ascii="宋体" w:hAnsi="宋体" w:cs="宋体" w:eastAsia="宋体" w:hint="default"/>
        </w:rPr>
      </w:r>
    </w:p>
    <w:p>
      <w:pPr>
        <w:spacing w:line="360" w:lineRule="auto" w:before="100"/>
        <w:ind w:left="11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spacing w:line="273" w:lineRule="auto" w:before="34"/>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（1）销售商品收入确认时间的具体判断标准</w:t>
      </w:r>
      <w:r>
        <w:rPr>
          <w:rFonts w:ascii="宋体" w:hAnsi="宋体" w:cs="宋体" w:eastAsia="宋体" w:hint="default"/>
          <w:b/>
          <w:bCs/>
          <w:w w:val="99"/>
          <w:sz w:val="21"/>
          <w:szCs w:val="21"/>
        </w:rPr>
        <w:t> </w:t>
      </w:r>
      <w:r>
        <w:rPr>
          <w:rFonts w:ascii="宋体" w:hAnsi="宋体" w:cs="宋体" w:eastAsia="宋体" w:hint="default"/>
          <w:w w:val="95"/>
          <w:sz w:val="21"/>
          <w:szCs w:val="21"/>
        </w:rPr>
        <w:t>公司已将商品所有权上的主要风险和报酬转移给购买方；公司既没有保留与所有权相联系的继续管理</w:t>
      </w:r>
      <w:r>
        <w:rPr>
          <w:rFonts w:ascii="宋体" w:hAnsi="宋体" w:cs="宋体" w:eastAsia="宋体" w:hint="default"/>
          <w:sz w:val="21"/>
          <w:szCs w:val="21"/>
        </w:rPr>
      </w:r>
    </w:p>
    <w:p>
      <w:pPr>
        <w:pStyle w:val="BodyText"/>
        <w:spacing w:line="273" w:lineRule="auto"/>
        <w:ind w:right="1028"/>
        <w:jc w:val="both"/>
      </w:pPr>
      <w:r>
        <w:rPr>
          <w:spacing w:val="-3"/>
        </w:rPr>
        <w:t>权，也没有对已售出的商品实施有效控制；收入的金额能够可靠地计量；相关的经济利益很可能流入企业；</w:t>
      </w:r>
      <w:r>
        <w:rPr>
          <w:w w:val="99"/>
        </w:rPr>
        <w:t> </w:t>
      </w:r>
      <w:r>
        <w:rPr/>
        <w:t>相关的已发生或将发生的成本能够可靠地计量时，确认商品销售收入实现。</w:t>
      </w:r>
    </w:p>
    <w:p>
      <w:pPr>
        <w:pStyle w:val="BodyText"/>
        <w:spacing w:line="273" w:lineRule="auto"/>
        <w:ind w:right="1135" w:firstLine="420"/>
        <w:jc w:val="both"/>
      </w:pPr>
      <w:r>
        <w:rPr>
          <w:w w:val="95"/>
        </w:rPr>
        <w:t>合同或协议价款的收取采用递延方式，实质上具有融资性质的，按照应收的合同或协议价款的公允价</w:t>
      </w:r>
      <w:r>
        <w:rPr>
          <w:w w:val="99"/>
        </w:rPr>
        <w:t> </w:t>
      </w:r>
      <w:r>
        <w:rPr/>
        <w:t>值确定销售商品收入金额。</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w w:val="95"/>
          <w:sz w:val="21"/>
          <w:szCs w:val="21"/>
        </w:rPr>
        <w:t>与交易相关的经济利益很可能流入企业，收入的金额能够可靠地计量时，分别下列情况确定让渡资产</w:t>
      </w:r>
      <w:r>
        <w:rPr>
          <w:rFonts w:ascii="宋体" w:hAnsi="宋体" w:cs="宋体" w:eastAsia="宋体" w:hint="default"/>
          <w:sz w:val="21"/>
          <w:szCs w:val="21"/>
        </w:rPr>
      </w:r>
    </w:p>
    <w:p>
      <w:pPr>
        <w:pStyle w:val="BodyText"/>
        <w:spacing w:line="273" w:lineRule="auto"/>
        <w:ind w:left="532" w:right="2654" w:hanging="420"/>
        <w:jc w:val="left"/>
      </w:pPr>
      <w:r>
        <w:rPr/>
        <w:t>使用权收入金额：</w:t>
      </w:r>
      <w:r>
        <w:rPr>
          <w:w w:val="99"/>
        </w:rPr>
        <w:t> </w:t>
      </w:r>
      <w:r>
        <w:rPr>
          <w:w w:val="95"/>
        </w:rPr>
        <w:t>1）利息收入金额，按照他人使用本企业货币资金的时间和实际利率计算确定。</w:t>
      </w:r>
      <w:r>
        <w:rPr/>
      </w:r>
    </w:p>
    <w:p>
      <w:pPr>
        <w:pStyle w:val="BodyText"/>
        <w:spacing w:line="240" w:lineRule="auto"/>
        <w:ind w:left="532" w:right="2127"/>
        <w:jc w:val="left"/>
      </w:pPr>
      <w:r>
        <w:rPr/>
        <w:t>2）使用费收入金额，按照有关合同或协议约定的收费时间和方法计算确定。</w:t>
      </w:r>
    </w:p>
    <w:p>
      <w:pPr>
        <w:spacing w:line="273"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（3）提供劳务收入的确认依据和方法</w:t>
      </w:r>
      <w:r>
        <w:rPr>
          <w:rFonts w:ascii="宋体" w:hAnsi="宋体" w:cs="宋体" w:eastAsia="宋体" w:hint="default"/>
          <w:b/>
          <w:bCs/>
          <w:w w:val="99"/>
          <w:sz w:val="21"/>
          <w:szCs w:val="21"/>
        </w:rPr>
        <w:t> </w:t>
      </w:r>
      <w:r>
        <w:rPr>
          <w:rFonts w:ascii="宋体" w:hAnsi="宋体" w:cs="宋体" w:eastAsia="宋体" w:hint="default"/>
          <w:w w:val="95"/>
          <w:sz w:val="21"/>
          <w:szCs w:val="21"/>
        </w:rPr>
        <w:t>在资产负债表日提供劳务交易的结果能够可靠估计的，采用完工百分比法确认提供劳务收入。提供劳</w:t>
      </w:r>
      <w:r>
        <w:rPr>
          <w:rFonts w:ascii="宋体" w:hAnsi="宋体" w:cs="宋体" w:eastAsia="宋体" w:hint="default"/>
          <w:sz w:val="21"/>
          <w:szCs w:val="21"/>
        </w:rPr>
      </w:r>
    </w:p>
    <w:p>
      <w:pPr>
        <w:pStyle w:val="BodyText"/>
        <w:spacing w:line="273" w:lineRule="auto"/>
        <w:ind w:left="532" w:right="2127" w:hanging="420"/>
        <w:jc w:val="left"/>
      </w:pPr>
      <w:r>
        <w:rPr/>
        <w:t>务交易的完工进度，依据已完工作的测量确定。</w:t>
      </w:r>
      <w:r>
        <w:rPr>
          <w:w w:val="99"/>
        </w:rPr>
        <w:t> </w:t>
      </w:r>
      <w:r>
        <w:rPr>
          <w:w w:val="95"/>
        </w:rPr>
        <w:t>提供劳务交易的结果能够可靠估计，是指同时满足下列条件：</w:t>
      </w:r>
      <w:r>
        <w:rPr>
          <w:w w:val="99"/>
        </w:rPr>
        <w:t> </w:t>
      </w:r>
      <w:r>
        <w:rPr/>
        <w:t>1）收入的金额能够可靠地计量；</w:t>
      </w:r>
    </w:p>
    <w:p>
      <w:pPr>
        <w:pStyle w:val="BodyText"/>
        <w:spacing w:line="240" w:lineRule="auto"/>
        <w:ind w:left="532" w:right="2127"/>
        <w:jc w:val="left"/>
      </w:pPr>
      <w:r>
        <w:rPr/>
        <w:t>2）相关的经济利益很可能流入企业；</w:t>
      </w:r>
    </w:p>
    <w:p>
      <w:pPr>
        <w:pStyle w:val="BodyText"/>
        <w:spacing w:line="240" w:lineRule="auto" w:before="37"/>
        <w:ind w:left="532" w:right="2127"/>
        <w:jc w:val="left"/>
      </w:pPr>
      <w:r>
        <w:rPr/>
        <w:t>3）交易的完工进度能够可靠地确定；</w:t>
      </w:r>
    </w:p>
    <w:p>
      <w:pPr>
        <w:pStyle w:val="BodyText"/>
        <w:spacing w:line="273" w:lineRule="auto" w:before="37"/>
        <w:ind w:left="532" w:right="0"/>
        <w:jc w:val="left"/>
      </w:pPr>
      <w:r>
        <w:rPr/>
        <w:t>4）交易中已发生和将发生的成本能够可靠地计量。</w:t>
      </w:r>
      <w:r>
        <w:rPr>
          <w:w w:val="99"/>
        </w:rPr>
        <w:t> </w:t>
      </w:r>
      <w:r>
        <w:rPr>
          <w:w w:val="95"/>
        </w:rPr>
        <w:t>按照已收或应收的合同或协议价款确定提供劳务收入总额，但已收或应收的合同或协议价款不公允的</w:t>
      </w:r>
      <w:r>
        <w:rPr/>
      </w:r>
    </w:p>
    <w:p>
      <w:pPr>
        <w:pStyle w:val="BodyText"/>
        <w:spacing w:line="273" w:lineRule="auto"/>
        <w:ind w:right="1132"/>
        <w:jc w:val="both"/>
      </w:pPr>
      <w:r>
        <w:rPr>
          <w:w w:val="95"/>
        </w:rPr>
        <w:t>除外。资产负债表日按照提供劳务收入总额乘以完工进度扣除以前会计期间累计已确认提供劳务收入后的</w:t>
      </w:r>
      <w:r>
        <w:rPr>
          <w:spacing w:val="39"/>
          <w:w w:val="95"/>
        </w:rPr>
        <w:t> </w:t>
      </w:r>
      <w:r>
        <w:rPr>
          <w:spacing w:val="39"/>
          <w:w w:val="95"/>
        </w:rPr>
      </w:r>
      <w:r>
        <w:rPr>
          <w:w w:val="95"/>
        </w:rPr>
        <w:t>金额，确认当期提供劳务收入；同时，按照提供劳务估计总成本乘以完工进度扣除以前会计期间累计已确</w:t>
      </w:r>
      <w:r>
        <w:rPr>
          <w:spacing w:val="37"/>
          <w:w w:val="95"/>
        </w:rPr>
        <w:t> </w:t>
      </w:r>
      <w:r>
        <w:rPr>
          <w:spacing w:val="37"/>
          <w:w w:val="95"/>
        </w:rPr>
      </w:r>
      <w:r>
        <w:rPr/>
        <w:t>认劳务成本后的金额，结转当期劳务成本。</w:t>
      </w:r>
    </w:p>
    <w:p>
      <w:pPr>
        <w:pStyle w:val="BodyText"/>
        <w:spacing w:line="273" w:lineRule="auto"/>
        <w:ind w:left="532" w:right="0"/>
        <w:jc w:val="left"/>
      </w:pPr>
      <w:r>
        <w:rPr/>
        <w:t>在资产负债表日提供劳务交易结果不能够可靠估计的，分别下列情况处理：</w:t>
      </w:r>
      <w:r>
        <w:rPr>
          <w:w w:val="99"/>
        </w:rPr>
        <w:t> </w:t>
      </w:r>
      <w:r>
        <w:rPr>
          <w:w w:val="95"/>
        </w:rPr>
        <w:t>1）已经发生的劳务成本预计能够得到补偿的，按照已经发生的劳务成本金额确认提供劳务收入，并</w:t>
      </w:r>
      <w:r>
        <w:rPr/>
      </w:r>
    </w:p>
    <w:p>
      <w:pPr>
        <w:pStyle w:val="BodyText"/>
        <w:spacing w:line="273" w:lineRule="auto"/>
        <w:ind w:left="532" w:right="0" w:hanging="420"/>
        <w:jc w:val="left"/>
      </w:pPr>
      <w:r>
        <w:rPr/>
        <w:t>按相同金额结转劳务成本。</w:t>
      </w:r>
      <w:r>
        <w:rPr>
          <w:w w:val="99"/>
        </w:rPr>
        <w:t> </w:t>
      </w:r>
      <w:r>
        <w:rPr>
          <w:w w:val="95"/>
        </w:rPr>
        <w:t>2）已经发生的劳务成本预计不能够得到补偿的，将已经发生的劳务成本计入当期损益，不确认提供</w:t>
      </w:r>
      <w:r>
        <w:rPr/>
      </w:r>
    </w:p>
    <w:p>
      <w:pPr>
        <w:pStyle w:val="BodyText"/>
        <w:spacing w:line="240" w:lineRule="auto" w:before="8"/>
        <w:ind w:right="2127"/>
        <w:jc w:val="left"/>
      </w:pPr>
      <w:r>
        <w:rPr/>
        <w:t>劳务收入。</w:t>
      </w:r>
    </w:p>
    <w:p>
      <w:pPr>
        <w:pStyle w:val="BodyText"/>
        <w:spacing w:line="273" w:lineRule="auto" w:before="37"/>
        <w:ind w:right="1132" w:firstLine="420"/>
        <w:jc w:val="both"/>
      </w:pPr>
      <w:r>
        <w:rPr>
          <w:w w:val="95"/>
        </w:rPr>
        <w:t>本公司与其他企业签订的合同或协议包括销售商品和提供劳务时，销售商品部分和提供劳务部分能够</w:t>
      </w:r>
      <w:r>
        <w:rPr>
          <w:w w:val="99"/>
        </w:rPr>
        <w:t> </w:t>
      </w:r>
      <w:r>
        <w:rPr>
          <w:w w:val="95"/>
        </w:rPr>
        <w:t>区分且能够单独计量的，将销售商品的部分作为销售商品处理，将提供劳务的部分作为提供劳务处理。销</w:t>
      </w:r>
      <w:r>
        <w:rPr>
          <w:spacing w:val="40"/>
          <w:w w:val="95"/>
        </w:rPr>
        <w:t> </w:t>
      </w:r>
      <w:r>
        <w:rPr>
          <w:spacing w:val="40"/>
          <w:w w:val="95"/>
        </w:rPr>
      </w:r>
      <w:r>
        <w:rPr>
          <w:w w:val="95"/>
        </w:rPr>
        <w:t>售商品部分和提供劳务部分不能够区分，或虽能区分但不能够单独计量的，将销售商品部分和提供劳务部</w:t>
      </w:r>
      <w:r>
        <w:rPr>
          <w:spacing w:val="40"/>
          <w:w w:val="95"/>
        </w:rPr>
        <w:t> </w:t>
      </w:r>
      <w:r>
        <w:rPr>
          <w:spacing w:val="40"/>
          <w:w w:val="95"/>
        </w:rPr>
      </w:r>
      <w:r>
        <w:rPr/>
        <w:t>分全部作为销售商品处理。</w:t>
      </w:r>
    </w:p>
    <w:p>
      <w:pPr>
        <w:pStyle w:val="BodyText"/>
        <w:spacing w:line="273" w:lineRule="auto"/>
        <w:ind w:left="532" w:right="0"/>
        <w:jc w:val="left"/>
      </w:pPr>
      <w:r>
        <w:rPr/>
        <w:t>具体地，本公司的收入确认原则方法如下：</w:t>
      </w:r>
      <w:r>
        <w:rPr>
          <w:w w:val="99"/>
        </w:rPr>
        <w:t> </w:t>
      </w:r>
      <w:r>
        <w:rPr>
          <w:spacing w:val="2"/>
          <w:w w:val="95"/>
        </w:rPr>
        <w:t>1）系统集成项目收入：①一般系统集成项目为一次性确认收入，即服务已经提供，并经接受服务方</w:t>
      </w:r>
      <w:r>
        <w:rPr>
          <w:spacing w:val="2"/>
        </w:rPr>
      </w:r>
    </w:p>
    <w:p>
      <w:pPr>
        <w:pStyle w:val="BodyText"/>
        <w:spacing w:line="273" w:lineRule="auto"/>
        <w:ind w:right="1112"/>
        <w:jc w:val="both"/>
      </w:pPr>
      <w:r>
        <w:rPr>
          <w:w w:val="95"/>
        </w:rPr>
        <w:t>验收合格，取得相关的收款依据时确认为收入的实现。②复杂的系统集成项目，按工程项目服务已提供，</w:t>
      </w:r>
      <w:r>
        <w:rPr>
          <w:spacing w:val="61"/>
          <w:w w:val="95"/>
        </w:rPr>
        <w:t> </w:t>
      </w:r>
      <w:r>
        <w:rPr>
          <w:spacing w:val="61"/>
          <w:w w:val="95"/>
        </w:rPr>
      </w:r>
      <w:r>
        <w:rPr>
          <w:w w:val="95"/>
        </w:rPr>
        <w:t>接受服务方或并工程监理第三方，根据工程进度检验情况确认工程结算报告，公司据此开出结算票据取得</w:t>
      </w:r>
      <w:r>
        <w:rPr>
          <w:spacing w:val="37"/>
          <w:w w:val="95"/>
        </w:rPr>
        <w:t> </w:t>
      </w:r>
      <w:r>
        <w:rPr>
          <w:spacing w:val="37"/>
          <w:w w:val="95"/>
        </w:rPr>
      </w:r>
      <w:r>
        <w:rPr/>
        <w:t>相关的收款依据时确认收入的实现。</w:t>
      </w:r>
    </w:p>
    <w:p>
      <w:pPr>
        <w:pStyle w:val="BodyText"/>
        <w:spacing w:line="273" w:lineRule="auto"/>
        <w:ind w:right="1130" w:firstLine="420"/>
        <w:jc w:val="both"/>
      </w:pPr>
      <w:r>
        <w:rPr>
          <w:spacing w:val="2"/>
          <w:w w:val="95"/>
        </w:rPr>
        <w:t>2）技术服务项目收入：主要是指为各类系统集成项目提供后续的维护、改造及支持服务。收入确认</w:t>
      </w:r>
      <w:r>
        <w:rPr>
          <w:spacing w:val="-82"/>
          <w:w w:val="95"/>
        </w:rPr>
        <w:t> </w:t>
      </w:r>
      <w:r>
        <w:rPr>
          <w:spacing w:val="-82"/>
          <w:w w:val="95"/>
        </w:rPr>
      </w:r>
      <w:r>
        <w:rPr>
          <w:w w:val="95"/>
        </w:rPr>
        <w:t>的原则方法：根据服务合同，在服务期内维护及支持服务已提供并验收合格，公司开出结算票据或已取得</w:t>
      </w:r>
      <w:r>
        <w:rPr>
          <w:spacing w:val="43"/>
          <w:w w:val="95"/>
        </w:rPr>
        <w:t> </w:t>
      </w:r>
      <w:r>
        <w:rPr>
          <w:spacing w:val="43"/>
          <w:w w:val="95"/>
        </w:rPr>
      </w:r>
      <w:r>
        <w:rPr/>
        <w:t>收款的依据时，确认收入的实现。</w:t>
      </w:r>
    </w:p>
    <w:p>
      <w:pPr>
        <w:pStyle w:val="BodyText"/>
        <w:spacing w:line="273" w:lineRule="auto"/>
        <w:ind w:right="1132" w:firstLine="420"/>
        <w:jc w:val="both"/>
      </w:pPr>
      <w:r>
        <w:rPr>
          <w:spacing w:val="2"/>
          <w:w w:val="95"/>
        </w:rPr>
        <w:t>3）技术转让项目收入：主要是指公司自主或联合研发的软件系统转让项目。收入确认的原则方法：</w:t>
      </w:r>
      <w:r>
        <w:rPr>
          <w:spacing w:val="-82"/>
          <w:w w:val="95"/>
        </w:rPr>
        <w:t> </w:t>
      </w:r>
      <w:r>
        <w:rPr>
          <w:spacing w:val="-82"/>
          <w:w w:val="95"/>
        </w:rPr>
      </w:r>
      <w:r>
        <w:rPr>
          <w:w w:val="95"/>
        </w:rPr>
        <w:t>根据技术转让合同，技术已转让并验收，与合同相关的收入已经取得或取得收款的依据，相关的成本能够</w:t>
      </w:r>
      <w:r>
        <w:rPr>
          <w:spacing w:val="40"/>
          <w:w w:val="95"/>
        </w:rPr>
        <w:t> </w:t>
      </w:r>
      <w:r>
        <w:rPr>
          <w:spacing w:val="40"/>
          <w:w w:val="95"/>
        </w:rPr>
      </w:r>
      <w:r>
        <w:rPr/>
        <w:t>可靠计量时，确认收入的实现。</w:t>
      </w:r>
    </w:p>
    <w:p>
      <w:pPr>
        <w:pStyle w:val="BodyText"/>
        <w:spacing w:line="240" w:lineRule="auto"/>
        <w:ind w:left="532" w:right="0"/>
        <w:jc w:val="left"/>
      </w:pPr>
      <w:r>
        <w:rPr/>
        <w:t>4）商品销售：主要指公司销售的光通讯产品，收入确认的原则方法：公司产品已经发出，已将产品</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0"/>
        <w:jc w:val="left"/>
      </w:pPr>
      <w:r>
        <w:rPr>
          <w:w w:val="95"/>
        </w:rPr>
        <w:t>所有权上的重要风险和报酬转移给买方，公司不再对该商品实施继续管理权和实际控制权，相关的收入已</w:t>
      </w:r>
      <w:r>
        <w:rPr>
          <w:spacing w:val="37"/>
          <w:w w:val="95"/>
        </w:rPr>
        <w:t> </w:t>
      </w:r>
      <w:r>
        <w:rPr>
          <w:spacing w:val="37"/>
          <w:w w:val="95"/>
        </w:rPr>
      </w:r>
      <w:r>
        <w:rPr/>
        <w:t>收到或取得了收取货款的证据，并且与销售该商品有关的成本能够可靠的计量时，确认收入的实现。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2127"/>
        <w:jc w:val="left"/>
        <w:rPr>
          <w:b w:val="0"/>
          <w:bCs w:val="0"/>
        </w:rPr>
      </w:pPr>
      <w:bookmarkStart w:name="29、政府补助" w:id="211"/>
      <w:bookmarkEnd w:id="211"/>
      <w:r>
        <w:rPr>
          <w:b w:val="0"/>
          <w:bCs w:val="0"/>
        </w:rPr>
      </w:r>
      <w:r>
        <w:rPr/>
        <w:t>29、政府补助</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r>
        <w:rPr/>
        <w:t>（1）类型</w:t>
      </w:r>
      <w:r>
        <w:rPr>
          <w:b w:val="0"/>
          <w:bCs w:val="0"/>
        </w:rPr>
      </w:r>
    </w:p>
    <w:p>
      <w:pPr>
        <w:pStyle w:val="BodyText"/>
        <w:spacing w:line="273" w:lineRule="auto" w:before="37"/>
        <w:ind w:right="0" w:firstLine="420"/>
        <w:jc w:val="left"/>
      </w:pPr>
      <w:r>
        <w:rPr>
          <w:w w:val="95"/>
        </w:rPr>
        <w:t>政府补助，是本公司从政府无偿取得的货币性资产与非货币性资产。根据相关政府文件规定的补助对</w:t>
      </w:r>
      <w:r>
        <w:rPr>
          <w:w w:val="99"/>
        </w:rPr>
        <w:t> </w:t>
      </w:r>
      <w:r>
        <w:rPr/>
        <w:t>象，将政府补助划分为与资产相关的政府补助和与收益相关的政府补助。</w:t>
      </w:r>
    </w:p>
    <w:p>
      <w:pPr>
        <w:pStyle w:val="BodyText"/>
        <w:spacing w:line="273" w:lineRule="auto"/>
        <w:ind w:right="0" w:firstLine="420"/>
        <w:jc w:val="left"/>
      </w:pPr>
      <w:r>
        <w:rPr>
          <w:w w:val="95"/>
        </w:rPr>
        <w:t>与资产相关的政府补助，是指本公司取得的、用于购建或以其他方式形成长期资产的政府补助。与收</w:t>
      </w:r>
      <w:r>
        <w:rPr>
          <w:w w:val="99"/>
        </w:rPr>
        <w:t> </w:t>
      </w:r>
      <w:r>
        <w:rPr/>
        <w:t>益相关的政府补助，是指除与资产相关的政府补助之外的政府补助。</w:t>
      </w:r>
    </w:p>
    <w:p>
      <w:pPr>
        <w:pStyle w:val="BodyText"/>
        <w:spacing w:line="273" w:lineRule="auto"/>
        <w:ind w:left="532" w:right="1125" w:hanging="420"/>
        <w:jc w:val="left"/>
      </w:pPr>
      <w:r>
        <w:rPr>
          <w:rFonts w:ascii="宋体" w:hAnsi="宋体" w:cs="宋体" w:eastAsia="宋体" w:hint="default"/>
          <w:b/>
          <w:bCs/>
        </w:rPr>
        <w:t>（2）政府补助的确认</w:t>
      </w:r>
      <w:r>
        <w:rPr>
          <w:rFonts w:ascii="宋体" w:hAnsi="宋体" w:cs="宋体" w:eastAsia="宋体" w:hint="default"/>
          <w:b/>
          <w:bCs/>
          <w:w w:val="99"/>
        </w:rPr>
        <w:t> </w:t>
      </w:r>
      <w:r>
        <w:rPr>
          <w:w w:val="95"/>
        </w:rPr>
        <w:t>对期末有证据表明公司能够符合财政扶持政策规定的相关条件且预计能够收到财政扶持资金的，按应</w:t>
      </w:r>
      <w:r>
        <w:rPr/>
      </w:r>
    </w:p>
    <w:p>
      <w:pPr>
        <w:pStyle w:val="BodyText"/>
        <w:spacing w:line="273" w:lineRule="auto"/>
        <w:ind w:left="532" w:right="0" w:hanging="420"/>
        <w:jc w:val="left"/>
      </w:pPr>
      <w:r>
        <w:rPr/>
        <w:t>收金额确认政府补助。除此之外，政府补助均在实际收到时确认。</w:t>
      </w:r>
      <w:r>
        <w:rPr>
          <w:w w:val="99"/>
        </w:rPr>
        <w:t> </w:t>
      </w:r>
      <w:r>
        <w:rPr>
          <w:w w:val="95"/>
        </w:rPr>
        <w:t>政府补助为货币性资产的，按照收到或应收的金额计量。政府补助为非货币性资产的，按照公允价值</w:t>
      </w:r>
      <w:r>
        <w:rPr/>
      </w:r>
    </w:p>
    <w:p>
      <w:pPr>
        <w:pStyle w:val="BodyText"/>
        <w:spacing w:line="273" w:lineRule="auto"/>
        <w:ind w:right="0"/>
        <w:jc w:val="left"/>
      </w:pPr>
      <w:r>
        <w:rPr>
          <w:w w:val="95"/>
        </w:rPr>
        <w:t>计量；公允价值不能够可靠取得的，按照名义金额（人民币1元）计量。按照名义金额计量的政府补助，</w:t>
      </w:r>
      <w:r>
        <w:rPr>
          <w:spacing w:val="56"/>
          <w:w w:val="95"/>
        </w:rPr>
        <w:t> </w:t>
      </w:r>
      <w:r>
        <w:rPr>
          <w:spacing w:val="56"/>
          <w:w w:val="95"/>
        </w:rPr>
      </w:r>
      <w:r>
        <w:rPr/>
        <w:t>直接计入当期损益。</w:t>
      </w:r>
    </w:p>
    <w:p>
      <w:pPr>
        <w:pStyle w:val="BodyText"/>
        <w:spacing w:line="273" w:lineRule="auto"/>
        <w:ind w:left="532" w:right="1125" w:hanging="420"/>
        <w:jc w:val="left"/>
      </w:pPr>
      <w:r>
        <w:rPr>
          <w:rFonts w:ascii="宋体" w:hAnsi="宋体" w:cs="宋体" w:eastAsia="宋体" w:hint="default"/>
          <w:b/>
          <w:bCs/>
        </w:rPr>
        <w:t>（3）会计处理方法</w:t>
      </w:r>
      <w:r>
        <w:rPr>
          <w:rFonts w:ascii="宋体" w:hAnsi="宋体" w:cs="宋体" w:eastAsia="宋体" w:hint="default"/>
          <w:b/>
          <w:bCs/>
          <w:w w:val="99"/>
        </w:rPr>
        <w:t> </w:t>
      </w:r>
      <w:r>
        <w:rPr/>
        <w:t>与资产相关的政府补助，确认为递延收益，按照所建造或购买的资产使用年限内分期计入损益；</w:t>
      </w:r>
      <w:r>
        <w:rPr>
          <w:w w:val="99"/>
        </w:rPr>
        <w:t> </w:t>
      </w:r>
      <w:r>
        <w:rPr>
          <w:w w:val="95"/>
        </w:rPr>
        <w:t>与收益相关的政府补助，用于补偿企业以后期间的相关费用或损失的，确认为递延收益，在确认相关</w:t>
      </w:r>
      <w:r>
        <w:rPr/>
      </w:r>
    </w:p>
    <w:p>
      <w:pPr>
        <w:pStyle w:val="BodyText"/>
        <w:spacing w:line="273" w:lineRule="auto"/>
        <w:ind w:left="532" w:right="0" w:hanging="420"/>
        <w:jc w:val="left"/>
      </w:pPr>
      <w:r>
        <w:rPr>
          <w:w w:val="95"/>
        </w:rPr>
        <w:t>费用或损失的期间计入当期损益；用于补偿企业已发生的相关费用或损失的，取得时直接计入当期损益。</w:t>
      </w:r>
      <w:r>
        <w:rPr>
          <w:spacing w:val="61"/>
          <w:w w:val="95"/>
        </w:rPr>
        <w:t> </w:t>
      </w:r>
      <w:r>
        <w:rPr>
          <w:spacing w:val="61"/>
          <w:w w:val="95"/>
        </w:rPr>
      </w:r>
      <w:r>
        <w:rPr/>
        <w:t>与企业日常活动相关的政府补助计入其他收益；与企业日常活动无关的政府补助计入营业外收支。</w:t>
      </w:r>
      <w:r>
        <w:rPr>
          <w:w w:val="99"/>
        </w:rPr>
        <w:t> </w:t>
      </w:r>
      <w:r>
        <w:rPr>
          <w:w w:val="95"/>
        </w:rPr>
        <w:t>收到与政策性优惠贷款贴息相关的政府补助冲减相关借款费用；取得贷款银行提供的政策性优惠利率</w:t>
      </w:r>
      <w:r>
        <w:rPr/>
      </w:r>
    </w:p>
    <w:p>
      <w:pPr>
        <w:pStyle w:val="BodyText"/>
        <w:spacing w:line="273" w:lineRule="auto"/>
        <w:ind w:right="1394"/>
        <w:jc w:val="left"/>
      </w:pPr>
      <w:r>
        <w:rPr>
          <w:w w:val="95"/>
        </w:rPr>
        <w:t>贷款的，以实际收到的借款金额作为借款的入账价值，按照借款本金和该政策性优惠利率计算相关借款费   </w:t>
      </w:r>
      <w:r>
        <w:rPr>
          <w:spacing w:val="37"/>
          <w:w w:val="95"/>
        </w:rPr>
        <w:t> </w:t>
      </w:r>
      <w:r>
        <w:rPr>
          <w:spacing w:val="37"/>
          <w:w w:val="95"/>
        </w:rPr>
      </w:r>
      <w:r>
        <w:rPr/>
        <w:t>用。</w:t>
      </w:r>
    </w:p>
    <w:p>
      <w:pPr>
        <w:pStyle w:val="BodyText"/>
        <w:spacing w:line="273" w:lineRule="auto"/>
        <w:ind w:right="1132" w:firstLine="420"/>
        <w:jc w:val="both"/>
      </w:pPr>
      <w:r>
        <w:rPr>
          <w:w w:val="95"/>
        </w:rPr>
        <w:t>已确认的政府补助需要返还时，初始确认时冲减相关资产账面价值的，调整资产账面价值；存在相关</w:t>
      </w:r>
      <w:r>
        <w:rPr>
          <w:w w:val="99"/>
        </w:rPr>
        <w:t> </w:t>
      </w:r>
      <w:r>
        <w:rPr>
          <w:w w:val="95"/>
        </w:rPr>
        <w:t>递延收益余额的，冲减相关递延收益账面余额，超出部分计入当期损益；不存在相关递延收益的，直接计</w:t>
      </w:r>
      <w:r>
        <w:rPr>
          <w:spacing w:val="41"/>
          <w:w w:val="95"/>
        </w:rPr>
        <w:t> </w:t>
      </w:r>
      <w:r>
        <w:rPr>
          <w:spacing w:val="41"/>
          <w:w w:val="95"/>
        </w:rPr>
      </w:r>
      <w:r>
        <w:rPr/>
        <w:t>入当期损益。</w:t>
      </w:r>
    </w:p>
    <w:p>
      <w:pPr>
        <w:spacing w:line="240" w:lineRule="auto" w:before="12"/>
        <w:rPr>
          <w:rFonts w:ascii="宋体" w:hAnsi="宋体" w:cs="宋体" w:eastAsia="宋体" w:hint="default"/>
          <w:sz w:val="21"/>
          <w:szCs w:val="21"/>
        </w:rPr>
      </w:pPr>
    </w:p>
    <w:p>
      <w:pPr>
        <w:spacing w:line="610" w:lineRule="atLeast" w:before="0"/>
        <w:ind w:left="532" w:right="0" w:hanging="420"/>
        <w:jc w:val="left"/>
        <w:rPr>
          <w:rFonts w:ascii="宋体" w:hAnsi="宋体" w:cs="宋体" w:eastAsia="宋体" w:hint="default"/>
          <w:sz w:val="21"/>
          <w:szCs w:val="21"/>
        </w:rPr>
      </w:pPr>
      <w:bookmarkStart w:name="30、递延所得税资产/递延所得税负债" w:id="212"/>
      <w:bookmarkEnd w:id="212"/>
      <w:r>
        <w:rPr/>
      </w:r>
      <w:r>
        <w:rPr>
          <w:rFonts w:ascii="宋体" w:hAnsi="宋体" w:cs="宋体" w:eastAsia="宋体" w:hint="default"/>
          <w:b/>
          <w:bCs/>
          <w:sz w:val="21"/>
          <w:szCs w:val="21"/>
        </w:rPr>
        <w:t>30、递延所得税资产/递延所得税负债</w:t>
      </w:r>
      <w:r>
        <w:rPr>
          <w:rFonts w:ascii="宋体" w:hAnsi="宋体" w:cs="宋体" w:eastAsia="宋体" w:hint="default"/>
          <w:b/>
          <w:bCs/>
          <w:w w:val="99"/>
          <w:sz w:val="21"/>
          <w:szCs w:val="21"/>
        </w:rPr>
        <w:t> </w:t>
      </w:r>
      <w:r>
        <w:rPr>
          <w:rFonts w:ascii="宋体" w:hAnsi="宋体" w:cs="宋体" w:eastAsia="宋体" w:hint="default"/>
          <w:w w:val="95"/>
          <w:sz w:val="21"/>
          <w:szCs w:val="21"/>
        </w:rPr>
        <w:t>递延所得税资产和递延所得税负债根据资产和负债的计税基础与其账面价值的差额(暂时性差异)计</w:t>
      </w:r>
      <w:r>
        <w:rPr>
          <w:rFonts w:ascii="宋体" w:hAnsi="宋体" w:cs="宋体" w:eastAsia="宋体" w:hint="default"/>
          <w:sz w:val="21"/>
          <w:szCs w:val="21"/>
        </w:rPr>
      </w:r>
    </w:p>
    <w:p>
      <w:pPr>
        <w:pStyle w:val="BodyText"/>
        <w:spacing w:line="273" w:lineRule="auto" w:before="37"/>
        <w:ind w:right="1135"/>
        <w:jc w:val="both"/>
      </w:pPr>
      <w:r>
        <w:rPr>
          <w:w w:val="95"/>
        </w:rPr>
        <w:t>算确认。于资产负债表日，递延所得税资产和递延所得税负债，按照预期收回该资产或清偿该负债期间的</w:t>
      </w:r>
      <w:r>
        <w:rPr>
          <w:spacing w:val="37"/>
          <w:w w:val="95"/>
        </w:rPr>
        <w:t> </w:t>
      </w:r>
      <w:r>
        <w:rPr>
          <w:spacing w:val="37"/>
          <w:w w:val="95"/>
        </w:rPr>
      </w:r>
      <w:r>
        <w:rPr/>
        <w:t>适用税率计量。</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（1）确认递延所得税资产的依据</w:t>
      </w:r>
      <w:r>
        <w:rPr>
          <w:rFonts w:ascii="宋体" w:hAnsi="宋体" w:cs="宋体" w:eastAsia="宋体" w:hint="default"/>
          <w:b/>
          <w:bCs/>
          <w:w w:val="99"/>
          <w:sz w:val="21"/>
          <w:szCs w:val="21"/>
        </w:rPr>
        <w:t> </w:t>
      </w:r>
      <w:r>
        <w:rPr>
          <w:rFonts w:ascii="宋体" w:hAnsi="宋体" w:cs="宋体" w:eastAsia="宋体" w:hint="default"/>
          <w:w w:val="95"/>
          <w:sz w:val="21"/>
          <w:szCs w:val="21"/>
        </w:rPr>
        <w:t>本公司以很可能取得用来抵扣可抵扣暂时性差异、能够结转以后年度的可抵扣亏损和税款抵减的应纳</w:t>
      </w:r>
      <w:r>
        <w:rPr>
          <w:rFonts w:ascii="宋体" w:hAnsi="宋体" w:cs="宋体" w:eastAsia="宋体" w:hint="default"/>
          <w:sz w:val="21"/>
          <w:szCs w:val="21"/>
        </w:rPr>
      </w:r>
    </w:p>
    <w:p>
      <w:pPr>
        <w:pStyle w:val="BodyText"/>
        <w:spacing w:line="273" w:lineRule="auto"/>
        <w:ind w:right="1135"/>
        <w:jc w:val="both"/>
      </w:pPr>
      <w:r>
        <w:rPr>
          <w:w w:val="95"/>
        </w:rPr>
        <w:t>税所得额为限，确认由可抵扣暂时性差异产生的递延所得税资产。但是，同时具有下列特征的交易中因资</w:t>
      </w:r>
      <w:r>
        <w:rPr>
          <w:spacing w:val="37"/>
          <w:w w:val="95"/>
        </w:rPr>
        <w:t> </w:t>
      </w:r>
      <w:r>
        <w:rPr>
          <w:spacing w:val="37"/>
          <w:w w:val="95"/>
        </w:rPr>
      </w:r>
      <w:r>
        <w:rPr>
          <w:w w:val="95"/>
        </w:rPr>
        <w:t>产或负债的初始确认所产生的递延所得税资产不予确认：1）该交易不是企业合并；2）交易发生时既不影</w:t>
      </w:r>
      <w:r>
        <w:rPr>
          <w:spacing w:val="38"/>
          <w:w w:val="95"/>
        </w:rPr>
        <w:t> </w:t>
      </w:r>
      <w:r>
        <w:rPr>
          <w:spacing w:val="38"/>
          <w:w w:val="95"/>
        </w:rPr>
      </w:r>
      <w:r>
        <w:rPr/>
        <w:t>响会计利润也不影响应纳税所得额或可抵扣亏损。</w:t>
      </w:r>
    </w:p>
    <w:p>
      <w:pPr>
        <w:pStyle w:val="BodyText"/>
        <w:spacing w:line="273" w:lineRule="auto"/>
        <w:ind w:right="1112" w:firstLine="420"/>
        <w:jc w:val="both"/>
      </w:pPr>
      <w:r>
        <w:rPr>
          <w:w w:val="95"/>
        </w:rPr>
        <w:t>对于与联营企业投资相关的可抵扣暂时性差异，同时满足下列条件的，确认相应的递延所得税资产：</w:t>
      </w:r>
      <w:r>
        <w:rPr>
          <w:spacing w:val="-79"/>
          <w:w w:val="95"/>
        </w:rPr>
        <w:t> </w:t>
      </w:r>
      <w:r>
        <w:rPr>
          <w:spacing w:val="-79"/>
          <w:w w:val="95"/>
        </w:rPr>
      </w:r>
      <w:r>
        <w:rPr>
          <w:w w:val="95"/>
        </w:rPr>
        <w:t>暂时性差异在可预见的未来很可能转回，且未来很可能获得用来抵扣可抵扣暂时性差异的应纳税所得额。</w:t>
      </w:r>
      <w:r>
        <w:rPr/>
      </w:r>
    </w:p>
    <w:p>
      <w:pPr>
        <w:spacing w:line="273" w:lineRule="auto" w:before="7"/>
        <w:ind w:left="532" w:right="2127" w:hanging="420"/>
        <w:jc w:val="left"/>
        <w:rPr>
          <w:rFonts w:ascii="宋体" w:hAnsi="宋体" w:cs="宋体" w:eastAsia="宋体" w:hint="default"/>
          <w:sz w:val="21"/>
          <w:szCs w:val="21"/>
        </w:rPr>
      </w:pPr>
      <w:r>
        <w:rPr>
          <w:rFonts w:ascii="宋体" w:hAnsi="宋体" w:cs="宋体" w:eastAsia="宋体" w:hint="default"/>
          <w:b/>
          <w:bCs/>
          <w:sz w:val="21"/>
          <w:szCs w:val="21"/>
        </w:rPr>
        <w:t>（1）确认递延所得税负债的依据</w:t>
      </w:r>
      <w:r>
        <w:rPr>
          <w:rFonts w:ascii="宋体" w:hAnsi="宋体" w:cs="宋体" w:eastAsia="宋体" w:hint="default"/>
          <w:b/>
          <w:bCs/>
          <w:w w:val="99"/>
          <w:sz w:val="21"/>
          <w:szCs w:val="21"/>
        </w:rPr>
        <w:t> </w:t>
      </w:r>
      <w:r>
        <w:rPr>
          <w:rFonts w:ascii="宋体" w:hAnsi="宋体" w:cs="宋体" w:eastAsia="宋体" w:hint="default"/>
          <w:w w:val="95"/>
          <w:sz w:val="21"/>
          <w:szCs w:val="21"/>
        </w:rPr>
        <w:t>公司将当期与以前期间应交未交的应纳税暂时性差异确认为递延所得税负债。但不包括：</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footerReference w:type="default" r:id="rId30"/>
          <w:pgSz w:w="11910" w:h="16840"/>
          <w:pgMar w:footer="978" w:header="746" w:top="1060" w:bottom="1160" w:left="1020" w:right="0"/>
          <w:pgNumType w:start="130"/>
        </w:sectPr>
      </w:pPr>
    </w:p>
    <w:p>
      <w:pPr>
        <w:spacing w:line="240" w:lineRule="auto" w:before="10"/>
        <w:rPr>
          <w:rFonts w:ascii="宋体" w:hAnsi="宋体" w:cs="宋体" w:eastAsia="宋体" w:hint="default"/>
          <w:sz w:val="24"/>
          <w:szCs w:val="24"/>
        </w:rPr>
      </w:pPr>
    </w:p>
    <w:p>
      <w:pPr>
        <w:pStyle w:val="BodyText"/>
        <w:spacing w:line="240" w:lineRule="auto" w:before="34"/>
        <w:ind w:left="532" w:right="2127"/>
        <w:jc w:val="left"/>
      </w:pPr>
      <w:r>
        <w:rPr/>
        <w:t>1）商誉的初始确认所形成的暂时性差异；</w:t>
      </w:r>
    </w:p>
    <w:p>
      <w:pPr>
        <w:pStyle w:val="BodyText"/>
        <w:spacing w:line="273" w:lineRule="auto" w:before="37"/>
        <w:ind w:right="0" w:firstLine="420"/>
        <w:jc w:val="left"/>
      </w:pPr>
      <w:r>
        <w:rPr>
          <w:w w:val="95"/>
        </w:rPr>
        <w:t>2）非企业合并形成的交易或事项，且该交易或事项发生时既不影响会计利润，也不影响应纳税所得</w:t>
      </w:r>
      <w:r>
        <w:rPr>
          <w:spacing w:val="-85"/>
          <w:w w:val="95"/>
        </w:rPr>
        <w:t> </w:t>
      </w:r>
      <w:r>
        <w:rPr>
          <w:spacing w:val="-85"/>
          <w:w w:val="95"/>
        </w:rPr>
      </w:r>
      <w:r>
        <w:rPr/>
        <w:t>额（或可抵扣亏损）所形成的暂时性差异；</w:t>
      </w:r>
    </w:p>
    <w:p>
      <w:pPr>
        <w:pStyle w:val="BodyText"/>
        <w:spacing w:line="273" w:lineRule="auto"/>
        <w:ind w:right="0" w:firstLine="420"/>
        <w:jc w:val="left"/>
      </w:pPr>
      <w:r>
        <w:rPr>
          <w:w w:val="95"/>
        </w:rPr>
        <w:t>3）对于与子公司、联营企业投资相关的应纳税暂时性差异，该暂时性差异转回的时间能够控制并且</w:t>
      </w:r>
      <w:r>
        <w:rPr>
          <w:spacing w:val="-85"/>
          <w:w w:val="95"/>
        </w:rPr>
        <w:t> </w:t>
      </w:r>
      <w:r>
        <w:rPr>
          <w:spacing w:val="-85"/>
          <w:w w:val="95"/>
        </w:rPr>
      </w:r>
      <w:r>
        <w:rPr/>
        <w:t>该暂时性差异在可预见的未来很可能不会转回。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2127"/>
        <w:jc w:val="left"/>
        <w:rPr>
          <w:b w:val="0"/>
          <w:bCs w:val="0"/>
        </w:rPr>
      </w:pPr>
      <w:bookmarkStart w:name="31、租赁" w:id="213"/>
      <w:bookmarkEnd w:id="213"/>
      <w:r>
        <w:rPr>
          <w:b w:val="0"/>
          <w:bCs w:val="0"/>
        </w:rPr>
      </w:r>
      <w:r>
        <w:rPr/>
        <w:t>31、租赁</w:t>
      </w:r>
      <w:r>
        <w:rPr>
          <w:b w:val="0"/>
          <w:bCs w:val="0"/>
        </w:rPr>
      </w:r>
    </w:p>
    <w:p>
      <w:pPr>
        <w:spacing w:line="610" w:lineRule="atLeast" w:before="4"/>
        <w:ind w:left="532" w:right="7907" w:hanging="420"/>
        <w:jc w:val="left"/>
        <w:rPr>
          <w:rFonts w:ascii="宋体" w:hAnsi="宋体" w:cs="宋体" w:eastAsia="宋体" w:hint="default"/>
          <w:sz w:val="21"/>
          <w:szCs w:val="21"/>
        </w:rPr>
      </w:pPr>
      <w:bookmarkStart w:name="（1）经营租赁的会计处理方法" w:id="214"/>
      <w:bookmarkEnd w:id="214"/>
      <w:r>
        <w:rPr/>
      </w:r>
      <w:r>
        <w:rPr>
          <w:rFonts w:ascii="宋体" w:hAnsi="宋体" w:cs="宋体" w:eastAsia="宋体" w:hint="default"/>
          <w:b/>
          <w:bCs/>
          <w:sz w:val="21"/>
          <w:szCs w:val="21"/>
        </w:rPr>
        <w:t>（1）经营租赁的会计处理方法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1）经营租入资产</w:t>
      </w:r>
    </w:p>
    <w:p>
      <w:pPr>
        <w:pStyle w:val="BodyText"/>
        <w:spacing w:line="273" w:lineRule="auto" w:before="37"/>
        <w:ind w:right="1019" w:firstLine="420"/>
        <w:jc w:val="left"/>
      </w:pPr>
      <w:r>
        <w:rPr>
          <w:spacing w:val="-3"/>
        </w:rPr>
        <w:t>公司租入资产所支付的租赁费，在不扣除免租期的整个租赁期内，按直线法进行分摊，计入当期费用。</w:t>
      </w:r>
      <w:r>
        <w:rPr>
          <w:w w:val="99"/>
        </w:rPr>
        <w:t> </w:t>
      </w:r>
      <w:r>
        <w:rPr/>
        <w:t>公司支付的与租赁交易相关的初始直接费用，计入当期费用。</w:t>
      </w:r>
    </w:p>
    <w:p>
      <w:pPr>
        <w:pStyle w:val="BodyText"/>
        <w:spacing w:line="273" w:lineRule="auto"/>
        <w:ind w:right="0" w:firstLine="420"/>
        <w:jc w:val="left"/>
      </w:pPr>
      <w:r>
        <w:rPr>
          <w:w w:val="95"/>
        </w:rPr>
        <w:t>资产出租方承担了应由公司承担的与租赁相关的费用时，公司将该部分费用从租金总额中扣除，按扣</w:t>
      </w:r>
      <w:r>
        <w:rPr>
          <w:w w:val="99"/>
        </w:rPr>
        <w:t> </w:t>
      </w:r>
      <w:r>
        <w:rPr/>
        <w:t>除后的租金费用在租赁期内分摊，计入当期费用。</w:t>
      </w:r>
    </w:p>
    <w:p>
      <w:pPr>
        <w:pStyle w:val="BodyText"/>
        <w:spacing w:line="273" w:lineRule="auto"/>
        <w:ind w:left="532" w:right="1125"/>
        <w:jc w:val="left"/>
      </w:pPr>
      <w:r>
        <w:rPr/>
        <w:t>2）经营租出资产</w:t>
      </w:r>
      <w:r>
        <w:rPr>
          <w:w w:val="99"/>
        </w:rPr>
        <w:t> </w:t>
      </w:r>
      <w:r>
        <w:rPr>
          <w:w w:val="95"/>
        </w:rPr>
        <w:t>公司出租资产所收取的租赁费，在不扣除免租期的整个租赁期内，按直线法进行分摊，确认为租赁收</w:t>
      </w:r>
      <w:r>
        <w:rPr/>
      </w:r>
    </w:p>
    <w:p>
      <w:pPr>
        <w:pStyle w:val="BodyText"/>
        <w:spacing w:line="273" w:lineRule="auto"/>
        <w:ind w:right="0"/>
        <w:jc w:val="left"/>
      </w:pPr>
      <w:r>
        <w:rPr>
          <w:w w:val="95"/>
        </w:rPr>
        <w:t>入。公司支付的与租赁交易相关的初始直接费用，计入当期费用；如金额较大的，则予以资本化，在整个</w:t>
      </w:r>
      <w:r>
        <w:rPr>
          <w:spacing w:val="41"/>
          <w:w w:val="95"/>
        </w:rPr>
        <w:t> </w:t>
      </w:r>
      <w:r>
        <w:rPr>
          <w:spacing w:val="41"/>
          <w:w w:val="95"/>
        </w:rPr>
      </w:r>
      <w:r>
        <w:rPr/>
        <w:t>租赁期间内按照与租赁收入确认相同的基础分期计入当期收益。</w:t>
      </w:r>
    </w:p>
    <w:p>
      <w:pPr>
        <w:pStyle w:val="BodyText"/>
        <w:spacing w:line="273" w:lineRule="auto"/>
        <w:ind w:right="0" w:firstLine="420"/>
        <w:jc w:val="left"/>
      </w:pPr>
      <w:r>
        <w:rPr>
          <w:w w:val="95"/>
        </w:rPr>
        <w:t>公司承担了应由承租方承担的与租赁相关的费用时，公司将该部分费用从租金收入总额中扣除，按扣</w:t>
      </w:r>
      <w:r>
        <w:rPr>
          <w:w w:val="99"/>
        </w:rPr>
        <w:t> </w:t>
      </w:r>
      <w:r>
        <w:rPr/>
        <w:t>除后的租金费用在租赁期内分配。</w:t>
      </w:r>
    </w:p>
    <w:p>
      <w:pPr>
        <w:spacing w:line="240" w:lineRule="auto" w:before="10"/>
        <w:rPr>
          <w:rFonts w:ascii="宋体" w:hAnsi="宋体" w:cs="宋体" w:eastAsia="宋体" w:hint="default"/>
          <w:sz w:val="21"/>
          <w:szCs w:val="21"/>
        </w:rPr>
      </w:pPr>
    </w:p>
    <w:p>
      <w:pPr>
        <w:spacing w:line="610" w:lineRule="atLeast" w:before="0"/>
        <w:ind w:left="532" w:right="0" w:hanging="420"/>
        <w:jc w:val="left"/>
        <w:rPr>
          <w:rFonts w:ascii="宋体" w:hAnsi="宋体" w:cs="宋体" w:eastAsia="宋体" w:hint="default"/>
          <w:sz w:val="21"/>
          <w:szCs w:val="21"/>
        </w:rPr>
      </w:pPr>
      <w:bookmarkStart w:name="（2）融资租赁的会计处理方法" w:id="215"/>
      <w:bookmarkEnd w:id="215"/>
      <w:r>
        <w:rPr/>
      </w:r>
      <w:r>
        <w:rPr>
          <w:rFonts w:ascii="宋体" w:hAnsi="宋体" w:cs="宋体" w:eastAsia="宋体" w:hint="default"/>
          <w:b/>
          <w:bCs/>
          <w:sz w:val="21"/>
          <w:szCs w:val="21"/>
        </w:rPr>
        <w:t>（2）融资租赁的会计处理方法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1）融资租入资产：公司在承租开始日，将租赁资产公允价值与最低租赁付款额现值两者中较低者作</w:t>
      </w:r>
      <w:r>
        <w:rPr>
          <w:rFonts w:ascii="宋体" w:hAnsi="宋体" w:cs="宋体" w:eastAsia="宋体" w:hint="default"/>
          <w:sz w:val="21"/>
          <w:szCs w:val="21"/>
        </w:rPr>
      </w:r>
    </w:p>
    <w:p>
      <w:pPr>
        <w:pStyle w:val="BodyText"/>
        <w:spacing w:line="273" w:lineRule="auto" w:before="37"/>
        <w:ind w:left="532" w:right="0" w:hanging="420"/>
        <w:jc w:val="left"/>
      </w:pPr>
      <w:r>
        <w:rPr>
          <w:w w:val="95"/>
        </w:rPr>
        <w:t>为租入资产的入账价值，将最低租赁付款额作为长期应付款的入账价值，其差额作为未确认的融资费用。</w:t>
      </w:r>
      <w:r>
        <w:rPr>
          <w:spacing w:val="61"/>
          <w:w w:val="95"/>
        </w:rPr>
        <w:t> </w:t>
      </w:r>
      <w:r>
        <w:rPr>
          <w:spacing w:val="61"/>
          <w:w w:val="95"/>
        </w:rPr>
      </w:r>
      <w:r>
        <w:rPr/>
        <w:t>融资租入资产的认定依据、计价和折旧方法详见本附注五.16固定资产。</w:t>
      </w:r>
      <w:r>
        <w:rPr>
          <w:w w:val="99"/>
        </w:rPr>
        <w:t> </w:t>
      </w:r>
      <w:r>
        <w:rPr/>
        <w:t>公司采用实际利率法对未确认的融资费用，在资产租赁期间内摊销，计入财务费用。</w:t>
      </w:r>
      <w:r>
        <w:rPr>
          <w:w w:val="99"/>
        </w:rPr>
        <w:t> </w:t>
      </w:r>
      <w:r>
        <w:rPr/>
        <w:t>2）融资租出资产：公司在租赁开始日，将应收融资租赁款，未担保余值之和与其现值的差额确认为</w:t>
      </w:r>
    </w:p>
    <w:p>
      <w:pPr>
        <w:pStyle w:val="BodyText"/>
        <w:spacing w:line="273" w:lineRule="auto"/>
        <w:ind w:right="0"/>
        <w:jc w:val="left"/>
      </w:pPr>
      <w:r>
        <w:rPr>
          <w:w w:val="95"/>
        </w:rPr>
        <w:t>未实现融资收益，在将来收到租金的各期间内确认为租赁收入，公司发生的与出租交易相关的初始直接费</w:t>
      </w:r>
      <w:r>
        <w:rPr>
          <w:spacing w:val="37"/>
          <w:w w:val="95"/>
        </w:rPr>
        <w:t> </w:t>
      </w:r>
      <w:r>
        <w:rPr>
          <w:spacing w:val="37"/>
          <w:w w:val="95"/>
        </w:rPr>
      </w:r>
      <w:r>
        <w:rPr/>
        <w:t>用，计入应收融资租赁款的初始计量中，并减少租赁期内确认的收益金额。</w:t>
      </w:r>
    </w:p>
    <w:p>
      <w:pPr>
        <w:spacing w:line="240" w:lineRule="auto" w:before="7"/>
        <w:rPr>
          <w:rFonts w:ascii="宋体" w:hAnsi="宋体" w:cs="宋体" w:eastAsia="宋体" w:hint="default"/>
          <w:sz w:val="23"/>
          <w:szCs w:val="23"/>
        </w:rPr>
      </w:pPr>
    </w:p>
    <w:p>
      <w:pPr>
        <w:pStyle w:val="Heading6"/>
        <w:spacing w:line="537" w:lineRule="auto"/>
        <w:ind w:right="7380"/>
        <w:jc w:val="left"/>
        <w:rPr>
          <w:b w:val="0"/>
          <w:bCs w:val="0"/>
        </w:rPr>
      </w:pPr>
      <w:bookmarkStart w:name="32、其他重要的会计政策和会计估计" w:id="216"/>
      <w:bookmarkEnd w:id="216"/>
      <w:r>
        <w:rPr>
          <w:b w:val="0"/>
          <w:bCs w:val="0"/>
        </w:rPr>
      </w:r>
      <w:r>
        <w:rPr/>
        <w:t>32、其他重要的会计政策和会计估计</w:t>
      </w:r>
      <w:r>
        <w:rPr>
          <w:w w:val="99"/>
        </w:rPr>
        <w:t> </w:t>
      </w:r>
      <w:r>
        <w:rPr/>
        <w:t>无</w:t>
      </w:r>
      <w:r>
        <w:rPr>
          <w:b w:val="0"/>
          <w:bCs w:val="0"/>
        </w:rPr>
      </w:r>
    </w:p>
    <w:p>
      <w:pPr>
        <w:spacing w:line="240" w:lineRule="auto" w:before="9"/>
        <w:rPr>
          <w:rFonts w:ascii="宋体" w:hAnsi="宋体" w:cs="宋体" w:eastAsia="宋体" w:hint="default"/>
          <w:b/>
          <w:bCs/>
          <w:sz w:val="29"/>
          <w:szCs w:val="29"/>
        </w:rPr>
      </w:pPr>
    </w:p>
    <w:p>
      <w:pPr>
        <w:pStyle w:val="Heading6"/>
        <w:spacing w:line="240" w:lineRule="auto"/>
        <w:ind w:right="2127"/>
        <w:jc w:val="left"/>
        <w:rPr>
          <w:b w:val="0"/>
          <w:bCs w:val="0"/>
        </w:rPr>
      </w:pPr>
      <w:bookmarkStart w:name="33、重要会计政策和会计估计变更" w:id="217"/>
      <w:bookmarkEnd w:id="217"/>
      <w:r>
        <w:rPr>
          <w:b w:val="0"/>
          <w:bCs w:val="0"/>
        </w:rPr>
      </w:r>
      <w:r>
        <w:rPr/>
        <w:t>33、重要会计政策和会计估计变更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重要会计政策变更" w:id="218"/>
      <w:bookmarkEnd w:id="218"/>
      <w:r>
        <w:rPr>
          <w:b w:val="0"/>
          <w:bCs w:val="0"/>
        </w:rPr>
      </w:r>
      <w:r>
        <w:rPr/>
        <w:t>（1）重要会计政策变更</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8" w:hRule="exact"/>
        </w:trPr>
        <w:tc>
          <w:tcPr>
            <w:tcW w:w="3191"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日发布了《关</w:t>
            </w:r>
          </w:p>
        </w:tc>
        <w:tc>
          <w:tcPr>
            <w:tcW w:w="3189" w:type="dxa"/>
            <w:tcBorders>
              <w:top w:val="single" w:sz="4" w:space="0" w:color="000000"/>
              <w:left w:val="single" w:sz="4" w:space="0" w:color="000000"/>
              <w:bottom w:val="nil" w:sz="6" w:space="0" w:color="auto"/>
              <w:right w:val="single" w:sz="4" w:space="0" w:color="000000"/>
            </w:tcBorders>
            <w:shd w:val="clear" w:color="auto" w:fill="C6ECCC"/>
          </w:tcPr>
          <w:p>
            <w:pPr/>
          </w:p>
        </w:tc>
        <w:tc>
          <w:tcPr>
            <w:tcW w:w="3189"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4"/>
                <w:sz w:val="18"/>
                <w:szCs w:val="18"/>
              </w:rPr>
              <w:t> </w:t>
            </w: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年度一般企业财务报表</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格式的通知</w:t>
            </w:r>
            <w:r>
              <w:rPr>
                <w:rFonts w:ascii="宋体" w:hAnsi="宋体" w:cs="宋体" w:eastAsia="宋体" w:hint="default"/>
                <w:spacing w:val="-89"/>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8</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，对</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一般企业财务报表格式进行了修订，归</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并部分资产负债表项目，拆分部分利润</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z w:val="18"/>
                <w:szCs w:val="18"/>
              </w:rPr>
              <w:t>日召开了第四届</w:t>
            </w: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表项目</w:t>
            </w:r>
            <w:r>
              <w:rPr>
                <w:rFonts w:ascii="宋体" w:hAnsi="宋体" w:cs="宋体" w:eastAsia="宋体" w:hint="default"/>
                <w:spacing w:val="-89"/>
                <w:sz w:val="18"/>
                <w:szCs w:val="18"/>
              </w:rPr>
              <w:t>；</w:t>
            </w:r>
            <w:r>
              <w:rPr>
                <w:rFonts w:ascii="宋体" w:hAnsi="宋体" w:cs="宋体" w:eastAsia="宋体" w:hint="default"/>
                <w:sz w:val="18"/>
                <w:szCs w:val="18"/>
              </w:rPr>
              <w:t>并于</w:t>
            </w:r>
            <w:r>
              <w:rPr>
                <w:rFonts w:ascii="宋体" w:hAnsi="宋体" w:cs="宋体" w:eastAsia="宋体" w:hint="default"/>
                <w:spacing w:val="-50"/>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日发布</w:t>
            </w:r>
            <w:r>
              <w:rPr>
                <w:rFonts w:ascii="宋体" w:hAnsi="宋体" w:cs="宋体" w:eastAsia="宋体" w:hint="default"/>
                <w:spacing w:val="-92"/>
                <w:sz w:val="18"/>
                <w:szCs w:val="18"/>
              </w:rPr>
              <w:t>了</w:t>
            </w:r>
            <w:r>
              <w:rPr>
                <w:rFonts w:ascii="宋体" w:hAnsi="宋体" w:cs="宋体" w:eastAsia="宋体" w:hint="default"/>
                <w:sz w:val="18"/>
                <w:szCs w:val="18"/>
              </w:rPr>
              <w:t>《关</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董事会第十七次会议和第四届监事会第</w:t>
            </w: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年度一般企业财务报表格式有关</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十五次会议，审议通过了《关于公司会</w:t>
            </w: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问题的解读</w:t>
            </w:r>
            <w:r>
              <w:rPr>
                <w:rFonts w:ascii="宋体" w:hAnsi="宋体" w:cs="宋体" w:eastAsia="宋体" w:hint="default"/>
                <w:spacing w:val="-89"/>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明确要求代扣个人所得税</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计政策变更的议案》</w:t>
            </w: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手续费返还在“其他收益”列报，实际</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收到的政府补助，无论是与资产相关还</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
        </w:tc>
        <w:tc>
          <w:tcPr>
            <w:tcW w:w="3189" w:type="dxa"/>
            <w:vMerge/>
            <w:tcBorders>
              <w:left w:val="single" w:sz="4" w:space="0" w:color="000000"/>
              <w:right w:val="single" w:sz="4" w:space="0" w:color="000000"/>
            </w:tcBorders>
            <w:shd w:val="clear" w:color="auto" w:fill="C6ECCC"/>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是与收益相关，在编制现金流量表时均</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
        </w:tc>
        <w:tc>
          <w:tcPr>
            <w:tcW w:w="3189" w:type="dxa"/>
            <w:vMerge/>
            <w:tcBorders>
              <w:left w:val="single" w:sz="4" w:space="0" w:color="000000"/>
              <w:right w:val="single" w:sz="4" w:space="0" w:color="000000"/>
            </w:tcBorders>
            <w:shd w:val="clear" w:color="auto" w:fill="C6ECCC"/>
          </w:tcPr>
          <w:p>
            <w:pPr/>
          </w:p>
        </w:tc>
      </w:tr>
      <w:tr>
        <w:trPr>
          <w:trHeight w:val="356" w:hRule="exact"/>
        </w:trPr>
        <w:tc>
          <w:tcPr>
            <w:tcW w:w="3191"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作为经营活动产生的现金流量列报等。</w:t>
            </w:r>
          </w:p>
        </w:tc>
        <w:tc>
          <w:tcPr>
            <w:tcW w:w="3189" w:type="dxa"/>
            <w:tcBorders>
              <w:top w:val="nil" w:sz="6" w:space="0" w:color="auto"/>
              <w:left w:val="single" w:sz="4" w:space="0" w:color="000000"/>
              <w:bottom w:val="single" w:sz="4" w:space="0" w:color="000000"/>
              <w:right w:val="single" w:sz="4" w:space="0" w:color="000000"/>
            </w:tcBorders>
            <w:shd w:val="clear" w:color="auto" w:fill="C6ECCC"/>
          </w:tcPr>
          <w:p>
            <w:pPr/>
          </w:p>
        </w:tc>
        <w:tc>
          <w:tcPr>
            <w:tcW w:w="3189" w:type="dxa"/>
            <w:vMerge/>
            <w:tcBorders>
              <w:left w:val="single" w:sz="4" w:space="0" w:color="000000"/>
              <w:bottom w:val="single" w:sz="4" w:space="0" w:color="000000"/>
              <w:right w:val="single" w:sz="4" w:space="0" w:color="000000"/>
            </w:tcBorders>
            <w:shd w:val="clear" w:color="auto" w:fill="C6ECCC"/>
          </w:tcPr>
          <w:p>
            <w:pPr/>
          </w:p>
        </w:tc>
      </w:tr>
    </w:tbl>
    <w:p>
      <w:pPr>
        <w:pStyle w:val="BodyText"/>
        <w:spacing w:line="261" w:lineRule="exact" w:before="0"/>
        <w:ind w:left="537" w:right="0"/>
        <w:jc w:val="left"/>
      </w:pPr>
      <w:r>
        <w:rPr/>
        <w:t>本公司已经根据新的企业财务报表格式的要求编制财务报表，财务报表的列报项目因此发生变更的，</w:t>
      </w:r>
    </w:p>
    <w:p>
      <w:pPr>
        <w:pStyle w:val="BodyText"/>
        <w:spacing w:line="273" w:lineRule="auto" w:before="37"/>
        <w:ind w:left="537" w:right="0" w:hanging="425"/>
        <w:jc w:val="left"/>
      </w:pPr>
      <w:r>
        <w:rPr>
          <w:w w:val="95"/>
        </w:rPr>
        <w:t>已经按照《企业会计准则第30号——财务报表列报》等的相关规定，对可比期间的比较数据进行调整。</w:t>
      </w:r>
      <w:r>
        <w:rPr>
          <w:spacing w:val="50"/>
          <w:w w:val="95"/>
        </w:rPr>
        <w:t> </w:t>
      </w:r>
      <w:r>
        <w:rPr>
          <w:spacing w:val="50"/>
          <w:w w:val="95"/>
        </w:rPr>
      </w:r>
      <w:r>
        <w:rPr/>
        <w:t>对可比期间的财务报表列报项目及金额的影响如下：</w:t>
      </w:r>
    </w:p>
    <w:p>
      <w:pPr>
        <w:pStyle w:val="BodyText"/>
        <w:spacing w:line="240" w:lineRule="auto"/>
        <w:ind w:left="0" w:right="2510"/>
        <w:jc w:val="right"/>
      </w:pPr>
      <w:r>
        <w:rPr>
          <w:w w:val="95"/>
        </w:rPr>
        <w:t>单位：元</w:t>
      </w:r>
      <w:r>
        <w:rPr/>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843"/>
        <w:gridCol w:w="1617"/>
        <w:gridCol w:w="1617"/>
        <w:gridCol w:w="1617"/>
        <w:gridCol w:w="1618"/>
      </w:tblGrid>
      <w:tr>
        <w:trPr>
          <w:trHeight w:val="666" w:hRule="exact"/>
        </w:trPr>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5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351" w:right="81" w:hanging="272"/>
              <w:jc w:val="left"/>
              <w:rPr>
                <w:rFonts w:ascii="宋体" w:hAnsi="宋体" w:cs="宋体" w:eastAsia="宋体" w:hint="default"/>
                <w:sz w:val="18"/>
                <w:szCs w:val="18"/>
              </w:rPr>
            </w:pPr>
            <w:r>
              <w:rPr>
                <w:rFonts w:ascii="宋体" w:hAnsi="宋体" w:cs="宋体" w:eastAsia="宋体" w:hint="default"/>
                <w:sz w:val="18"/>
                <w:szCs w:val="18"/>
              </w:rPr>
              <w:t>2017年12月31日之 前列报金额</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350" w:right="78" w:hanging="269"/>
              <w:jc w:val="left"/>
              <w:rPr>
                <w:rFonts w:ascii="宋体" w:hAnsi="宋体" w:cs="宋体" w:eastAsia="宋体" w:hint="default"/>
                <w:sz w:val="18"/>
                <w:szCs w:val="18"/>
              </w:rPr>
            </w:pPr>
            <w:r>
              <w:rPr>
                <w:rFonts w:ascii="宋体" w:hAnsi="宋体" w:cs="宋体" w:eastAsia="宋体" w:hint="default"/>
                <w:sz w:val="18"/>
                <w:szCs w:val="18"/>
              </w:rPr>
              <w:t>2017年12月31日经 重列后金额</w:t>
            </w:r>
          </w:p>
        </w:tc>
        <w:tc>
          <w:tcPr>
            <w:tcW w:w="16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17,490,283.51</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-17,490,283.51</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285,258,121.28</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-285,258,121.28</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302,748,404.79</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302,748,404.79</w:t>
            </w: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13,034,027.10</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-13,034,027.10</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415,950,303.02</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-415,950,303.02</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428,984,330.12</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428,984,330.12</w:t>
            </w: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15,104.17</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-15,104.17</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40,201,794.31</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15,104.17</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40,216,898.48</w:t>
            </w: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114,717,651.55</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-38,354,805.07</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76,362,846.48</w:t>
            </w:r>
          </w:p>
        </w:tc>
        <w:tc>
          <w:tcPr>
            <w:tcW w:w="16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617" w:type="dxa"/>
            <w:tcBorders>
              <w:top w:val="single" w:sz="12" w:space="0" w:color="000000"/>
              <w:left w:val="single" w:sz="6" w:space="0" w:color="000000"/>
              <w:bottom w:val="single" w:sz="12" w:space="0" w:color="000000"/>
              <w:right w:val="single" w:sz="6" w:space="0" w:color="000000"/>
            </w:tcBorders>
          </w:tcPr>
          <w:p>
            <w:pP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38,354,805.07</w:t>
            </w:r>
          </w:p>
        </w:tc>
        <w:tc>
          <w:tcPr>
            <w:tcW w:w="16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38,354,805.07</w:t>
            </w:r>
          </w:p>
        </w:tc>
        <w:tc>
          <w:tcPr>
            <w:tcW w:w="161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6"/>
        <w:spacing w:line="240" w:lineRule="auto" w:before="34"/>
        <w:ind w:right="2127"/>
        <w:jc w:val="left"/>
        <w:rPr>
          <w:b w:val="0"/>
          <w:bCs w:val="0"/>
        </w:rPr>
      </w:pPr>
      <w:bookmarkStart w:name="（2）重要会计估计变更" w:id="219"/>
      <w:bookmarkEnd w:id="219"/>
      <w:r>
        <w:rPr>
          <w:b w:val="0"/>
          <w:bCs w:val="0"/>
        </w:rPr>
      </w:r>
      <w:r>
        <w:rPr/>
        <w:t>（2）重要会计估计变更</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line="501" w:lineRule="auto" w:before="0"/>
        <w:ind w:left="112" w:right="8966" w:firstLine="0"/>
        <w:jc w:val="left"/>
        <w:rPr>
          <w:rFonts w:ascii="宋体" w:hAnsi="宋体" w:cs="宋体" w:eastAsia="宋体" w:hint="default"/>
          <w:sz w:val="21"/>
          <w:szCs w:val="21"/>
        </w:rPr>
      </w:pPr>
      <w:bookmarkStart w:name="34、其他" w:id="220"/>
      <w:bookmarkEnd w:id="220"/>
      <w:r>
        <w:rPr/>
      </w:r>
      <w:r>
        <w:rPr>
          <w:rFonts w:ascii="宋体" w:hAnsi="宋体" w:cs="宋体" w:eastAsia="宋体" w:hint="default"/>
          <w:b/>
          <w:bCs/>
          <w:sz w:val="21"/>
          <w:szCs w:val="21"/>
        </w:rPr>
        <w:t>34、其他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2"/>
      <w:bookmarkEnd w:id="222"/>
      <w:r>
        <w:rPr>
          <w:rFonts w:ascii="宋体" w:hAnsi="宋体" w:cs="宋体" w:eastAsia="宋体" w:hint="default"/>
          <w:b/>
          <w:bCs/>
          <w:w w:val="99"/>
          <w:sz w:val="24"/>
          <w:szCs w:val="24"/>
        </w:rPr>
      </w:r>
      <w:r>
        <w:rPr>
          <w:rFonts w:ascii="宋体" w:hAnsi="宋体" w:cs="宋体" w:eastAsia="宋体" w:hint="default"/>
          <w:b/>
          <w:bCs/>
          <w:sz w:val="21"/>
          <w:szCs w:val="21"/>
        </w:rPr>
        <w:t>1、主要税种及税率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销售货物、应税销售服务收入、无形资 产或者不动产</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6%、17%、16%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15%、20%、25%</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39"/>
                <w:sz w:val="18"/>
                <w:szCs w:val="18"/>
              </w:rPr>
              <w:t> </w:t>
            </w:r>
            <w:r>
              <w:rPr>
                <w:rFonts w:ascii="宋体" w:hAnsi="宋体" w:cs="宋体" w:eastAsia="宋体" w:hint="default"/>
                <w:spacing w:val="-6"/>
                <w:sz w:val="18"/>
                <w:szCs w:val="18"/>
              </w:rPr>
              <w:t>70%（或租金收入）为纳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税基准</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1.2%或</w:t>
            </w:r>
            <w:r>
              <w:rPr>
                <w:rFonts w:ascii="宋体" w:hAnsi="宋体" w:cs="宋体" w:eastAsia="宋体" w:hint="default"/>
                <w:spacing w:val="-48"/>
                <w:sz w:val="18"/>
                <w:szCs w:val="18"/>
              </w:rPr>
              <w:t> </w:t>
            </w:r>
            <w:r>
              <w:rPr>
                <w:rFonts w:ascii="宋体" w:hAnsi="宋体" w:cs="宋体" w:eastAsia="宋体" w:hint="default"/>
                <w:sz w:val="18"/>
                <w:szCs w:val="18"/>
              </w:rPr>
              <w:t>12%</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安徽皖通科技股份有限公司*1</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天津市天安怡和信息技术有限公司*2</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安徽汉高信息科技有限公司*3</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浙江自贸区舶云智慧物流有限公司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成都赛英科技有限公司*4</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15%</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2、税收优惠" w:id="223"/>
      <w:bookmarkEnd w:id="223"/>
      <w:r>
        <w:rPr>
          <w:b w:val="0"/>
          <w:bCs w:val="0"/>
        </w:rPr>
      </w:r>
      <w:r>
        <w:rPr/>
        <w:t>2、税收优惠</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right="2127"/>
        <w:jc w:val="left"/>
      </w:pPr>
      <w:r>
        <w:rPr/>
        <w:t>（1）增值税</w:t>
      </w:r>
    </w:p>
    <w:p>
      <w:pPr>
        <w:pStyle w:val="BodyText"/>
        <w:spacing w:line="273" w:lineRule="auto" w:before="37"/>
        <w:ind w:right="0" w:firstLine="420"/>
        <w:jc w:val="left"/>
      </w:pPr>
      <w:r>
        <w:rPr/>
        <w:t>主要是系统集成项目配套的机器设备及销售的光通讯产品，按照应税收入的17%税率计算销项税额，</w:t>
      </w:r>
      <w:r>
        <w:rPr>
          <w:w w:val="99"/>
        </w:rPr>
        <w:t> </w:t>
      </w:r>
      <w:r>
        <w:rPr>
          <w:w w:val="95"/>
        </w:rPr>
        <w:t>扣除允许在当年抵扣的进项税额后，缴纳增值税。其中，对于自行开发生产的软件产品部分执行财政部国</w:t>
      </w:r>
      <w:r>
        <w:rPr>
          <w:spacing w:val="37"/>
          <w:w w:val="95"/>
        </w:rPr>
        <w:t> </w:t>
      </w:r>
      <w:r>
        <w:rPr>
          <w:spacing w:val="37"/>
          <w:w w:val="95"/>
        </w:rPr>
      </w:r>
      <w:r>
        <w:rPr/>
        <w:t>家税务总局2011年10月13日联合发文《关于软件产品增值税政策的通知》（财税[2011]100号）的规定，</w:t>
      </w:r>
      <w:r>
        <w:rPr>
          <w:w w:val="99"/>
        </w:rPr>
        <w:t> </w:t>
      </w:r>
      <w:r>
        <w:rPr/>
        <w:t>即自2011年1月1日起继续“按17%的法定税率征收增值税后，对其增值税实际税负超过3%的部分实行即征</w:t>
      </w:r>
      <w:r>
        <w:rPr>
          <w:w w:val="99"/>
        </w:rPr>
        <w:t> </w:t>
      </w:r>
      <w:r>
        <w:rPr/>
        <w:t>即退政策”。</w:t>
      </w:r>
    </w:p>
    <w:p>
      <w:pPr>
        <w:pStyle w:val="BodyText"/>
        <w:spacing w:line="240" w:lineRule="auto"/>
        <w:ind w:right="2127"/>
        <w:jc w:val="left"/>
      </w:pPr>
      <w:r>
        <w:rPr/>
        <w:t>（2）所得税</w:t>
      </w:r>
    </w:p>
    <w:p>
      <w:pPr>
        <w:pStyle w:val="BodyText"/>
        <w:spacing w:line="273" w:lineRule="auto" w:before="37"/>
        <w:ind w:right="1130" w:firstLine="420"/>
        <w:jc w:val="both"/>
      </w:pPr>
      <w:r>
        <w:rPr>
          <w:w w:val="95"/>
        </w:rPr>
        <w:t>*1.2017年11月7日，本公司取得安徽省科技厅、安徽省财政厅、安徽省国家税务局、安徽省地方税务</w:t>
      </w:r>
      <w:r>
        <w:rPr>
          <w:w w:val="99"/>
        </w:rPr>
        <w:t> </w:t>
      </w:r>
      <w:r>
        <w:rPr>
          <w:w w:val="95"/>
        </w:rPr>
        <w:t>局联合颁发的《高新技术企业证书》（证书编号为GR201734001673）。根据有关规定，本公司报告期内享</w:t>
      </w:r>
      <w:r>
        <w:rPr>
          <w:spacing w:val="44"/>
          <w:w w:val="95"/>
        </w:rPr>
        <w:t> </w:t>
      </w:r>
      <w:r>
        <w:rPr>
          <w:spacing w:val="44"/>
          <w:w w:val="95"/>
        </w:rPr>
      </w:r>
      <w:r>
        <w:rPr/>
        <w:t>受国家关于高新技术企业的相关优惠政策，按15%的税率计缴企业所得税。</w:t>
      </w:r>
    </w:p>
    <w:p>
      <w:pPr>
        <w:spacing w:after="0" w:line="273"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0" w:firstLine="420"/>
        <w:jc w:val="both"/>
      </w:pPr>
      <w:r>
        <w:rPr/>
        <w:t>*2 .</w:t>
      </w:r>
      <w:r>
        <w:rPr>
          <w:spacing w:val="-19"/>
        </w:rPr>
        <w:t> </w:t>
      </w:r>
      <w:r>
        <w:rPr>
          <w:spacing w:val="2"/>
        </w:rPr>
        <w:t>2017年10月10日，天津市天安怡和信息技术有限公司取得天津市科技厅、天津市财政局、天津</w:t>
      </w:r>
      <w:r>
        <w:rPr>
          <w:w w:val="99"/>
        </w:rPr>
        <w:t> </w:t>
      </w:r>
      <w:r>
        <w:rPr>
          <w:w w:val="95"/>
        </w:rPr>
        <w:t>市国家税务局、天津市地方税务局联合颁发的《高新技术企业证书》（证书编号为GR201712000120）。根</w:t>
      </w:r>
      <w:r>
        <w:rPr>
          <w:spacing w:val="42"/>
          <w:w w:val="95"/>
        </w:rPr>
        <w:t> </w:t>
      </w:r>
      <w:r>
        <w:rPr>
          <w:spacing w:val="42"/>
          <w:w w:val="95"/>
        </w:rPr>
      </w:r>
      <w:r>
        <w:rPr>
          <w:w w:val="95"/>
        </w:rPr>
        <w:t>据有关规定，天津市天安怡和信息技术有限公司报告期内享受国家关于高新技术企业的相关优惠政策，按</w:t>
      </w:r>
      <w:r>
        <w:rPr>
          <w:spacing w:val="40"/>
          <w:w w:val="95"/>
        </w:rPr>
        <w:t> </w:t>
      </w:r>
      <w:r>
        <w:rPr>
          <w:spacing w:val="40"/>
          <w:w w:val="95"/>
        </w:rPr>
      </w:r>
      <w:r>
        <w:rPr/>
        <w:t>15%的税率计缴企业所得税。</w:t>
      </w:r>
    </w:p>
    <w:p>
      <w:pPr>
        <w:pStyle w:val="BodyText"/>
        <w:spacing w:line="273" w:lineRule="auto"/>
        <w:ind w:right="0" w:firstLine="420"/>
        <w:jc w:val="left"/>
      </w:pPr>
      <w:r>
        <w:rPr/>
        <w:t>*3 .</w:t>
      </w:r>
      <w:r>
        <w:rPr>
          <w:spacing w:val="-43"/>
        </w:rPr>
        <w:t> </w:t>
      </w:r>
      <w:r>
        <w:rPr/>
        <w:t>2017年7月20日，安徽汉高信息科技有限公司取得安徽省科技厅、安徽省财政厅、安徽省国家税</w:t>
      </w:r>
      <w:r>
        <w:rPr>
          <w:w w:val="99"/>
        </w:rPr>
        <w:t> </w:t>
      </w:r>
      <w:r>
        <w:rPr>
          <w:w w:val="95"/>
        </w:rPr>
        <w:t>务局、安徽省地方税务局联合颁发的《高新技术企业证书》（证书编号为GR201734000613）。根据有关规</w:t>
      </w:r>
      <w:r>
        <w:rPr>
          <w:spacing w:val="39"/>
          <w:w w:val="95"/>
        </w:rPr>
        <w:t> </w:t>
      </w:r>
      <w:r>
        <w:rPr>
          <w:spacing w:val="39"/>
          <w:w w:val="95"/>
        </w:rPr>
      </w:r>
      <w:r>
        <w:rPr/>
        <w:t>定，安徽汉高信息科技有限公司报告期内享受国家关于高新技术企业的相关优惠政策，按15%的税率计缴</w:t>
      </w:r>
      <w:r>
        <w:rPr>
          <w:w w:val="99"/>
        </w:rPr>
        <w:t> </w:t>
      </w:r>
      <w:r>
        <w:rPr/>
        <w:t>企业所得税。</w:t>
      </w:r>
    </w:p>
    <w:p>
      <w:pPr>
        <w:pStyle w:val="BodyText"/>
        <w:spacing w:line="273" w:lineRule="auto"/>
        <w:ind w:right="1027" w:firstLine="420"/>
        <w:jc w:val="left"/>
      </w:pPr>
      <w:r>
        <w:rPr/>
        <w:t>*4.</w:t>
      </w:r>
      <w:r>
        <w:rPr>
          <w:spacing w:val="-38"/>
        </w:rPr>
        <w:t> </w:t>
      </w:r>
      <w:r>
        <w:rPr/>
        <w:t>2017年12月4日，成都赛英科技有限公司取得四川省科技厅、四川省财政厅、四川省国家税务局、</w:t>
      </w:r>
      <w:r>
        <w:rPr>
          <w:w w:val="99"/>
        </w:rPr>
        <w:t> </w:t>
      </w:r>
      <w:r>
        <w:rPr/>
        <w:t>四川省地方税务局联合颁发的《高新技术企业证书》（证书编号为GR201751001432）。根据有关规定，成</w:t>
      </w:r>
      <w:r>
        <w:rPr>
          <w:w w:val="99"/>
        </w:rPr>
        <w:t> </w:t>
      </w:r>
      <w:r>
        <w:rPr>
          <w:w w:val="95"/>
        </w:rPr>
        <w:t>都赛英科技有限公司报告期内享受国家关于高新技术企业的相关优惠政策，按15%的税率计缴企业所得税。</w:t>
      </w:r>
      <w:r>
        <w:rPr/>
      </w:r>
    </w:p>
    <w:p>
      <w:pPr>
        <w:spacing w:before="71"/>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其他" w:id="224"/>
      <w:bookmarkEnd w:id="224"/>
      <w:r>
        <w:rPr>
          <w:b w:val="0"/>
          <w:bCs w:val="0"/>
        </w:rPr>
      </w:r>
      <w:r>
        <w:rPr/>
        <w:t>3、其他</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货币资金" w:id="226"/>
      <w:bookmarkEnd w:id="226"/>
      <w:r>
        <w:rPr>
          <w:b w:val="0"/>
          <w:bCs w:val="0"/>
        </w:rPr>
      </w:r>
      <w:r>
        <w:rPr/>
        <w:t>1、货币资金</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259,753.14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273,834.84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855,073,703.09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647,873,949.80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30,523,973.61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18,135,442.71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885,857,429.84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666,283,227.35</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left="532" w:right="2127"/>
        <w:jc w:val="left"/>
      </w:pPr>
      <w:r>
        <w:rPr>
          <w:w w:val="95"/>
        </w:rPr>
        <w:t>截止2018年12月31日，本公司不存在质押、冻结，或有潜在收回风险的款项。</w:t>
      </w:r>
      <w:r>
        <w:rPr>
          <w:spacing w:val="38"/>
          <w:w w:val="95"/>
        </w:rPr>
        <w:t> </w:t>
      </w:r>
      <w:r>
        <w:rPr>
          <w:spacing w:val="38"/>
          <w:w w:val="95"/>
        </w:rPr>
      </w:r>
      <w:r>
        <w:rPr/>
        <w:t>其中受限制的货币资金明细如下：</w:t>
      </w:r>
    </w:p>
    <w:p>
      <w:pPr>
        <w:spacing w:line="240" w:lineRule="auto" w:before="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52"/>
        <w:gridCol w:w="2438"/>
        <w:gridCol w:w="2438"/>
      </w:tblGrid>
      <w:tr>
        <w:trPr>
          <w:trHeight w:val="354"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17"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24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717" w:right="0"/>
              <w:jc w:val="left"/>
              <w:rPr>
                <w:rFonts w:ascii="宋体" w:hAnsi="宋体" w:cs="宋体" w:eastAsia="宋体" w:hint="default"/>
                <w:sz w:val="18"/>
                <w:szCs w:val="18"/>
              </w:rPr>
            </w:pPr>
            <w:r>
              <w:rPr>
                <w:rFonts w:ascii="宋体" w:hAnsi="宋体" w:cs="宋体" w:eastAsia="宋体" w:hint="default"/>
                <w:sz w:val="18"/>
                <w:szCs w:val="18"/>
              </w:rPr>
              <w:t>期初余额（元）</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7,864,216.85</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6"/>
              <w:jc w:val="right"/>
              <w:rPr>
                <w:rFonts w:ascii="宋体" w:hAnsi="宋体" w:cs="宋体" w:eastAsia="宋体" w:hint="default"/>
                <w:sz w:val="18"/>
                <w:szCs w:val="18"/>
              </w:rPr>
            </w:pPr>
            <w:r>
              <w:rPr>
                <w:rFonts w:ascii="宋体"/>
                <w:spacing w:val="-1"/>
                <w:sz w:val="18"/>
              </w:rPr>
              <w:t>4,929,373.34</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14,922,966.71</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9,221,628.48</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2,006,110.17</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85,805.70</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投标保函保证金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1,260,000.00</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640,000.00</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221,413.15</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111,265.18</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26,274,706.88</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pacing w:val="-1"/>
                <w:sz w:val="18"/>
              </w:rPr>
              <w:t>14,988,072.70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以公允价值计量且其变动计入当期损益的金融资产" w:id="227"/>
      <w:bookmarkEnd w:id="227"/>
      <w:r>
        <w:rPr>
          <w:b w:val="0"/>
          <w:bCs w:val="0"/>
        </w:rPr>
      </w:r>
      <w:r>
        <w:rPr/>
        <w:t>2、以公允价值计量且其变动计入当期损益的金融资产</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衍生金融资产" w:id="228"/>
      <w:bookmarkEnd w:id="228"/>
      <w:r>
        <w:rPr>
          <w:b w:val="0"/>
          <w:bCs w:val="0"/>
        </w:rPr>
      </w:r>
      <w:r>
        <w:rPr/>
        <w:t>3、衍生金融资产</w:t>
      </w:r>
      <w:r>
        <w:rPr>
          <w:b w:val="0"/>
          <w:bCs w:val="0"/>
        </w:rPr>
      </w:r>
    </w:p>
    <w:p>
      <w:pPr>
        <w:spacing w:line="240" w:lineRule="auto" w:before="7"/>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应收票据及应收账款" w:id="229"/>
      <w:bookmarkEnd w:id="229"/>
      <w:r>
        <w:rPr>
          <w:b w:val="0"/>
          <w:bCs w:val="0"/>
        </w:rPr>
      </w:r>
      <w:r>
        <w:rPr/>
        <w:t>4、应收票据及应收账款</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33,026,210.66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17,490,283.51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439,790,844.95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285,258,121.28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472,817,055.61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302,748,404.79</w:t>
            </w:r>
          </w:p>
        </w:tc>
      </w:tr>
    </w:tbl>
    <w:p>
      <w:pPr>
        <w:spacing w:line="240" w:lineRule="auto" w:before="2"/>
        <w:rPr>
          <w:rFonts w:ascii="宋体" w:hAnsi="宋体" w:cs="宋体" w:eastAsia="宋体" w:hint="default"/>
          <w:sz w:val="19"/>
          <w:szCs w:val="19"/>
        </w:rPr>
      </w:pPr>
    </w:p>
    <w:p>
      <w:pPr>
        <w:pStyle w:val="Heading6"/>
        <w:spacing w:line="240" w:lineRule="auto" w:before="34"/>
        <w:ind w:right="2127"/>
        <w:jc w:val="left"/>
        <w:rPr>
          <w:b w:val="0"/>
          <w:bCs w:val="0"/>
        </w:rPr>
      </w:pPr>
      <w:bookmarkStart w:name="（1）应收票据" w:id="230"/>
      <w:bookmarkEnd w:id="230"/>
      <w:r>
        <w:rPr>
          <w:b w:val="0"/>
          <w:bCs w:val="0"/>
        </w:rPr>
      </w:r>
      <w:r>
        <w:rPr/>
        <w:t>（1）应收票据</w:t>
      </w:r>
      <w:r>
        <w:rPr>
          <w:b w:val="0"/>
          <w:bCs w:val="0"/>
        </w:rPr>
      </w:r>
    </w:p>
    <w:p>
      <w:pPr>
        <w:spacing w:line="240" w:lineRule="auto" w:before="7"/>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1)应收票据分类列示</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21,681,512.61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14,943,684.31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11,344,698.05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2,546,599.20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33,026,210.66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17,490,283.51</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2)期末公司已质押的应收票据</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3)期末公司已背书或贴现且在资产负债表日尚未到期的应收票据</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9,847,704.79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9,847,704.79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4)期末公司因出票人未履约而将其转应收账款的票据</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应收账款" w:id="231"/>
      <w:bookmarkEnd w:id="231"/>
      <w:r>
        <w:rPr>
          <w:b w:val="0"/>
          <w:bCs w:val="0"/>
        </w:rPr>
      </w:r>
      <w:r>
        <w:rPr/>
        <w:t>（2）应收账款</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1)应收账款分类披露</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74.00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3,999,</w:t>
            </w:r>
          </w:p>
          <w:p>
            <w:pPr>
              <w:pStyle w:val="TableParagraph"/>
              <w:spacing w:line="240" w:lineRule="auto" w:before="76"/>
              <w:ind w:left="81" w:right="0"/>
              <w:jc w:val="left"/>
              <w:rPr>
                <w:rFonts w:ascii="宋体" w:hAnsi="宋体" w:cs="宋体" w:eastAsia="宋体" w:hint="default"/>
                <w:sz w:val="18"/>
                <w:szCs w:val="18"/>
              </w:rPr>
            </w:pPr>
            <w:r>
              <w:rPr>
                <w:rFonts w:ascii="宋体"/>
                <w:sz w:val="18"/>
              </w:rPr>
              <w:t>174.00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3,999,17</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469,554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,951.45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29,764,</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106.50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6.34%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439,790,</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844.95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305,40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8,128.</w:t>
            </w:r>
          </w:p>
          <w:p>
            <w:pPr>
              <w:pStyle w:val="TableParagraph"/>
              <w:spacing w:line="240" w:lineRule="auto" w:before="76"/>
              <w:ind w:right="19"/>
              <w:jc w:val="right"/>
              <w:rPr>
                <w:rFonts w:ascii="宋体" w:hAnsi="宋体" w:cs="宋体" w:eastAsia="宋体" w:hint="default"/>
                <w:sz w:val="18"/>
                <w:szCs w:val="18"/>
              </w:rPr>
            </w:pPr>
            <w:r>
              <w:rPr>
                <w:rFonts w:ascii="宋体"/>
                <w:sz w:val="18"/>
              </w:rPr>
              <w:t>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98.71%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20,150,0</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06.83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285,258,1</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21.28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473,554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,125.45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33,763,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280.50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439,790,</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844.95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309,40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7,302.</w:t>
            </w:r>
          </w:p>
          <w:p>
            <w:pPr>
              <w:pStyle w:val="TableParagraph"/>
              <w:spacing w:line="240" w:lineRule="auto" w:before="76"/>
              <w:ind w:right="19"/>
              <w:jc w:val="right"/>
              <w:rPr>
                <w:rFonts w:ascii="宋体" w:hAnsi="宋体" w:cs="宋体" w:eastAsia="宋体" w:hint="default"/>
                <w:sz w:val="18"/>
                <w:szCs w:val="18"/>
              </w:rPr>
            </w:pPr>
            <w:r>
              <w:rPr>
                <w:rFonts w:ascii="宋体"/>
                <w:sz w:val="18"/>
              </w:rPr>
              <w:t>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24,149,1</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80.83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285,258,1</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21.28</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253" w:space="457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北京星纪开元科技发展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50" w:right="0"/>
              <w:jc w:val="left"/>
              <w:rPr>
                <w:rFonts w:ascii="宋体" w:hAnsi="宋体" w:cs="宋体" w:eastAsia="宋体" w:hint="default"/>
                <w:sz w:val="18"/>
                <w:szCs w:val="18"/>
              </w:rPr>
            </w:pPr>
            <w:r>
              <w:rPr>
                <w:rFonts w:ascii="宋体"/>
                <w:sz w:val="18"/>
              </w:rPr>
              <w:t>100.00%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073" w:space="475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249,041,975.93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48" w:right="0"/>
              <w:jc w:val="center"/>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91,219,840.15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4,560,992.01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340,261,816.08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4,560,992.01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74,175,414.76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7,417,541.47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28,692,509.70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5,738,501.94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26,425,210.91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12,047,071.08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15,426,312.45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4,627,893.75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5,966,201.89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2,386,480.76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5,032,696.57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5,032,696.57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469,554,951.45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29,764,106.50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64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7" w:lineRule="auto" w:before="2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360" w:lineRule="auto" w:before="29"/>
        <w:ind w:left="112" w:right="1845"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号——上市公司从事软件与信息技术服务业务》的披露要求</w:t>
      </w:r>
      <w:r>
        <w:rPr>
          <w:rFonts w:ascii="宋体" w:hAnsi="宋体" w:cs="宋体" w:eastAsia="宋体" w:hint="default"/>
          <w:sz w:val="18"/>
          <w:szCs w:val="18"/>
        </w:rPr>
        <w:t> 2)本期计提、收回或转回的坏账准备情况</w:t>
      </w:r>
    </w:p>
    <w:p>
      <w:pPr>
        <w:spacing w:line="360" w:lineRule="auto" w:before="25"/>
        <w:ind w:left="112" w:right="428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9,614,099.67</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其中本期坏账准备收回或转回金额重要的：</w:t>
      </w:r>
    </w:p>
    <w:p>
      <w:pPr>
        <w:spacing w:before="2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3)本期实际核销的应收账款情况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60" w:lineRule="auto" w:before="50"/>
        <w:ind w:left="112" w:right="6794" w:firstLine="0"/>
        <w:jc w:val="left"/>
        <w:rPr>
          <w:rFonts w:ascii="宋体" w:hAnsi="宋体" w:cs="宋体" w:eastAsia="宋体" w:hint="default"/>
          <w:sz w:val="18"/>
          <w:szCs w:val="18"/>
        </w:rPr>
      </w:pPr>
      <w:r>
        <w:rPr>
          <w:rFonts w:ascii="宋体" w:hAnsi="宋体" w:cs="宋体" w:eastAsia="宋体" w:hint="default"/>
          <w:sz w:val="18"/>
          <w:szCs w:val="18"/>
        </w:rPr>
        <w:t>应收账款核销说明： 4)按欠款方归集的期末余额前五名的应收账款情况</w:t>
      </w:r>
    </w:p>
    <w:p>
      <w:pPr>
        <w:spacing w:line="240" w:lineRule="auto" w:before="0"/>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936"/>
        <w:gridCol w:w="1559"/>
        <w:gridCol w:w="1559"/>
        <w:gridCol w:w="1418"/>
      </w:tblGrid>
      <w:tr>
        <w:trPr>
          <w:trHeight w:val="666" w:hRule="exact"/>
        </w:trPr>
        <w:tc>
          <w:tcPr>
            <w:tcW w:w="3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1" w:hanging="224"/>
              <w:jc w:val="left"/>
              <w:rPr>
                <w:rFonts w:ascii="宋体" w:hAnsi="宋体" w:cs="宋体" w:eastAsia="宋体" w:hint="default"/>
                <w:sz w:val="18"/>
                <w:szCs w:val="18"/>
              </w:rPr>
            </w:pPr>
            <w:r>
              <w:rPr>
                <w:rFonts w:ascii="宋体" w:hAnsi="宋体" w:cs="宋体" w:eastAsia="宋体" w:hint="default"/>
                <w:sz w:val="18"/>
                <w:szCs w:val="18"/>
              </w:rPr>
              <w:t>占应收账款期末余 额的比例(%)</w:t>
            </w:r>
          </w:p>
        </w:tc>
        <w:tc>
          <w:tcPr>
            <w:tcW w:w="14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已计提坏账准备</w:t>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62" w:hRule="exact"/>
        </w:trPr>
        <w:tc>
          <w:tcPr>
            <w:tcW w:w="3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42,351,783.16</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宋体"/>
                <w:sz w:val="18"/>
              </w:rPr>
              <w:t>8.94</w:t>
            </w:r>
          </w:p>
        </w:tc>
        <w:tc>
          <w:tcPr>
            <w:tcW w:w="14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28,013,000.00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592" w:right="0"/>
              <w:jc w:val="left"/>
              <w:rPr>
                <w:rFonts w:ascii="宋体" w:hAnsi="宋体" w:cs="宋体" w:eastAsia="宋体" w:hint="default"/>
                <w:sz w:val="18"/>
                <w:szCs w:val="18"/>
              </w:rPr>
            </w:pPr>
            <w:r>
              <w:rPr>
                <w:rFonts w:ascii="宋体"/>
                <w:sz w:val="18"/>
              </w:rPr>
              <w:t>5.92</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83,200.00</w:t>
            </w:r>
          </w:p>
        </w:tc>
      </w:tr>
      <w:tr>
        <w:trPr>
          <w:trHeight w:val="362" w:hRule="exact"/>
        </w:trPr>
        <w:tc>
          <w:tcPr>
            <w:tcW w:w="3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15,817,909.73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92" w:right="0"/>
              <w:jc w:val="left"/>
              <w:rPr>
                <w:rFonts w:ascii="宋体" w:hAnsi="宋体" w:cs="宋体" w:eastAsia="宋体" w:hint="default"/>
                <w:sz w:val="18"/>
                <w:szCs w:val="18"/>
              </w:rPr>
            </w:pPr>
            <w:r>
              <w:rPr>
                <w:rFonts w:ascii="宋体"/>
                <w:sz w:val="18"/>
              </w:rPr>
              <w:t>3.34</w:t>
            </w:r>
          </w:p>
        </w:tc>
        <w:tc>
          <w:tcPr>
            <w:tcW w:w="141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12,465,615.18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92" w:right="0"/>
              <w:jc w:val="left"/>
              <w:rPr>
                <w:rFonts w:ascii="宋体" w:hAnsi="宋体" w:cs="宋体" w:eastAsia="宋体" w:hint="default"/>
                <w:sz w:val="18"/>
                <w:szCs w:val="18"/>
              </w:rPr>
            </w:pPr>
            <w:r>
              <w:rPr>
                <w:rFonts w:ascii="宋体"/>
                <w:sz w:val="18"/>
              </w:rPr>
              <w:t>2.63</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714,904.52</w:t>
            </w:r>
          </w:p>
        </w:tc>
      </w:tr>
      <w:tr>
        <w:trPr>
          <w:trHeight w:val="362" w:hRule="exact"/>
        </w:trPr>
        <w:tc>
          <w:tcPr>
            <w:tcW w:w="3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11,698,006.84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92" w:right="0"/>
              <w:jc w:val="left"/>
              <w:rPr>
                <w:rFonts w:ascii="宋体" w:hAnsi="宋体" w:cs="宋体" w:eastAsia="宋体" w:hint="default"/>
                <w:sz w:val="18"/>
                <w:szCs w:val="18"/>
              </w:rPr>
            </w:pPr>
            <w:r>
              <w:rPr>
                <w:rFonts w:ascii="宋体"/>
                <w:sz w:val="18"/>
              </w:rPr>
              <w:t>2.47</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619,863.68</w:t>
            </w:r>
          </w:p>
        </w:tc>
      </w:tr>
      <w:tr>
        <w:trPr>
          <w:trHeight w:val="362" w:hRule="exact"/>
        </w:trPr>
        <w:tc>
          <w:tcPr>
            <w:tcW w:w="3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110,346,314.91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671" w:right="0"/>
              <w:jc w:val="left"/>
              <w:rPr>
                <w:rFonts w:ascii="宋体" w:hAnsi="宋体" w:cs="宋体" w:eastAsia="宋体" w:hint="default"/>
                <w:sz w:val="18"/>
                <w:szCs w:val="18"/>
              </w:rPr>
            </w:pPr>
            <w:r>
              <w:rPr>
                <w:rFonts w:ascii="宋体"/>
                <w:sz w:val="18"/>
              </w:rPr>
              <w:t>23.30</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1,417,968.20</w:t>
            </w:r>
          </w:p>
        </w:tc>
      </w:tr>
    </w:tbl>
    <w:p>
      <w:pPr>
        <w:spacing w:line="240" w:lineRule="auto" w:before="5"/>
        <w:rPr>
          <w:rFonts w:ascii="宋体" w:hAnsi="宋体" w:cs="宋体" w:eastAsia="宋体" w:hint="default"/>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5)因金融资产转移而终止确认的应收账款</w:t>
      </w:r>
    </w:p>
    <w:p>
      <w:pPr>
        <w:spacing w:line="360"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6)转移应收账款且继续涉入形成的资产、负债金额 其他说明：</w:t>
      </w:r>
    </w:p>
    <w:p>
      <w:pPr>
        <w:spacing w:after="0" w:line="36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5、预付款项" w:id="232"/>
      <w:bookmarkEnd w:id="232"/>
      <w:r>
        <w:rPr>
          <w:b w:val="0"/>
          <w:bCs w:val="0"/>
        </w:rPr>
      </w:r>
      <w:r>
        <w:rPr/>
        <w:t>5、预付款项</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预付款项按账龄列示" w:id="233"/>
      <w:bookmarkEnd w:id="233"/>
      <w:r>
        <w:rPr>
          <w:b w:val="0"/>
          <w:bCs w:val="0"/>
        </w:rPr>
      </w:r>
      <w:r>
        <w:rPr/>
        <w:t>（1）预付款项按账龄列示</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31,507,761.81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33,010,813.05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93.30%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4,105,534.32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2,265,921.17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1,580,699.57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65,789.63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84,002.19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37,863.38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37,277,997.89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35,380,387.23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85"/>
        <w:gridCol w:w="1362"/>
        <w:gridCol w:w="1122"/>
        <w:gridCol w:w="2959"/>
      </w:tblGrid>
      <w:tr>
        <w:trPr>
          <w:trHeight w:val="354" w:hRule="exact"/>
        </w:trPr>
        <w:tc>
          <w:tcPr>
            <w:tcW w:w="3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42"/>
              <w:jc w:val="right"/>
              <w:rPr>
                <w:rFonts w:ascii="宋体" w:hAnsi="宋体" w:cs="宋体" w:eastAsia="宋体" w:hint="default"/>
                <w:sz w:val="18"/>
                <w:szCs w:val="18"/>
              </w:rPr>
            </w:pPr>
            <w:r>
              <w:rPr>
                <w:rFonts w:ascii="宋体" w:hAnsi="宋体" w:cs="宋体" w:eastAsia="宋体" w:hint="default"/>
                <w:sz w:val="18"/>
                <w:szCs w:val="18"/>
              </w:rPr>
              <w:t>期末余额（元）</w:t>
            </w:r>
          </w:p>
        </w:tc>
        <w:tc>
          <w:tcPr>
            <w:tcW w:w="1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72"/>
              <w:jc w:val="right"/>
              <w:rPr>
                <w:rFonts w:ascii="宋体" w:hAnsi="宋体" w:cs="宋体" w:eastAsia="宋体" w:hint="default"/>
                <w:sz w:val="18"/>
                <w:szCs w:val="18"/>
              </w:rPr>
            </w:pPr>
            <w:r>
              <w:rPr>
                <w:rFonts w:ascii="宋体" w:hAnsi="宋体" w:cs="宋体" w:eastAsia="宋体" w:hint="default"/>
                <w:sz w:val="18"/>
                <w:szCs w:val="18"/>
              </w:rPr>
              <w:t>账龄</w:t>
            </w:r>
          </w:p>
        </w:tc>
        <w:tc>
          <w:tcPr>
            <w:tcW w:w="29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62" w:hRule="exact"/>
        </w:trPr>
        <w:tc>
          <w:tcPr>
            <w:tcW w:w="3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南宁市傲日消防有限责任公司</w:t>
            </w:r>
          </w:p>
        </w:tc>
        <w:tc>
          <w:tcPr>
            <w:tcW w:w="13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3,022,148.80</w:t>
            </w:r>
          </w:p>
        </w:tc>
        <w:tc>
          <w:tcPr>
            <w:tcW w:w="1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1-2年</w:t>
            </w:r>
          </w:p>
        </w:tc>
        <w:tc>
          <w:tcPr>
            <w:tcW w:w="2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right="7"/>
              <w:jc w:val="center"/>
              <w:rPr>
                <w:rFonts w:ascii="宋体" w:hAnsi="宋体" w:cs="宋体" w:eastAsia="宋体" w:hint="default"/>
                <w:sz w:val="20"/>
                <w:szCs w:val="20"/>
              </w:rPr>
            </w:pPr>
            <w:r>
              <w:rPr>
                <w:rFonts w:ascii="宋体" w:hAnsi="宋体" w:cs="宋体" w:eastAsia="宋体" w:hint="default"/>
                <w:sz w:val="20"/>
                <w:szCs w:val="20"/>
              </w:rPr>
              <w:t>未到结算期</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6"/>
        <w:spacing w:line="240" w:lineRule="auto" w:before="34"/>
        <w:ind w:right="2127"/>
        <w:jc w:val="left"/>
        <w:rPr>
          <w:b w:val="0"/>
          <w:bCs w:val="0"/>
        </w:rPr>
      </w:pPr>
      <w:bookmarkStart w:name="（2）按预付对象归集的期末余额前五名的预付款情况" w:id="234"/>
      <w:bookmarkEnd w:id="234"/>
      <w:r>
        <w:rPr>
          <w:b w:val="0"/>
          <w:bCs w:val="0"/>
        </w:rPr>
      </w:r>
      <w:r>
        <w:rPr/>
        <w:t>（2）按预付对象归集的期末余额前五名的预付款情况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3085"/>
        <w:gridCol w:w="1418"/>
        <w:gridCol w:w="1275"/>
        <w:gridCol w:w="1418"/>
        <w:gridCol w:w="1332"/>
      </w:tblGrid>
      <w:tr>
        <w:trPr>
          <w:trHeight w:val="666" w:hRule="exact"/>
        </w:trPr>
        <w:tc>
          <w:tcPr>
            <w:tcW w:w="3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2" w:right="0"/>
              <w:jc w:val="left"/>
              <w:rPr>
                <w:rFonts w:ascii="宋体" w:hAnsi="宋体" w:cs="宋体" w:eastAsia="宋体" w:hint="default"/>
                <w:sz w:val="18"/>
                <w:szCs w:val="18"/>
              </w:rPr>
            </w:pPr>
            <w:r>
              <w:rPr>
                <w:rFonts w:ascii="宋体" w:hAnsi="宋体" w:cs="宋体" w:eastAsia="宋体" w:hint="default"/>
                <w:sz w:val="18"/>
                <w:szCs w:val="18"/>
              </w:rPr>
              <w:t>期末金额（元）</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134" w:right="89" w:hanging="46"/>
              <w:jc w:val="left"/>
              <w:rPr>
                <w:rFonts w:ascii="宋体" w:hAnsi="宋体" w:cs="宋体" w:eastAsia="宋体" w:hint="default"/>
                <w:sz w:val="18"/>
                <w:szCs w:val="18"/>
              </w:rPr>
            </w:pPr>
            <w:r>
              <w:rPr>
                <w:rFonts w:ascii="宋体" w:hAnsi="宋体" w:cs="宋体" w:eastAsia="宋体" w:hint="default"/>
                <w:sz w:val="18"/>
                <w:szCs w:val="18"/>
              </w:rPr>
              <w:t>占预付账款总 额的比例(%)</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0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62" w:hRule="exact"/>
        </w:trPr>
        <w:tc>
          <w:tcPr>
            <w:tcW w:w="3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安徽伟纳智能科技有限公司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4,112,383.41</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404"/>
              <w:jc w:val="right"/>
              <w:rPr>
                <w:rFonts w:ascii="宋体" w:hAnsi="宋体" w:cs="宋体" w:eastAsia="宋体" w:hint="default"/>
                <w:sz w:val="18"/>
                <w:szCs w:val="18"/>
              </w:rPr>
            </w:pPr>
            <w:r>
              <w:rPr>
                <w:rFonts w:ascii="宋体"/>
                <w:spacing w:val="-1"/>
                <w:sz w:val="18"/>
              </w:rPr>
              <w:t>11.03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left="158" w:right="0"/>
              <w:jc w:val="left"/>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3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南宁市傲日消防有限责任公司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3,022,148.80</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448"/>
              <w:jc w:val="right"/>
              <w:rPr>
                <w:rFonts w:ascii="宋体" w:hAnsi="宋体" w:cs="宋体" w:eastAsia="宋体" w:hint="default"/>
                <w:sz w:val="18"/>
                <w:szCs w:val="18"/>
              </w:rPr>
            </w:pPr>
            <w:r>
              <w:rPr>
                <w:rFonts w:ascii="宋体"/>
                <w:sz w:val="18"/>
              </w:rPr>
              <w:t>8.11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1至2年</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left="158" w:right="0"/>
              <w:jc w:val="left"/>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3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安徽艾可斯伦智控科技有限公司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1,123,680.00</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448"/>
              <w:jc w:val="right"/>
              <w:rPr>
                <w:rFonts w:ascii="宋体" w:hAnsi="宋体" w:cs="宋体" w:eastAsia="宋体" w:hint="default"/>
                <w:sz w:val="18"/>
                <w:szCs w:val="18"/>
              </w:rPr>
            </w:pPr>
            <w:r>
              <w:rPr>
                <w:rFonts w:ascii="宋体"/>
                <w:sz w:val="18"/>
              </w:rPr>
              <w:t>3.01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left="158" w:right="0"/>
              <w:jc w:val="left"/>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3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贵州芯时代智能科技有限公司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960,958.00</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448"/>
              <w:jc w:val="right"/>
              <w:rPr>
                <w:rFonts w:ascii="宋体" w:hAnsi="宋体" w:cs="宋体" w:eastAsia="宋体" w:hint="default"/>
                <w:sz w:val="18"/>
                <w:szCs w:val="18"/>
              </w:rPr>
            </w:pPr>
            <w:r>
              <w:rPr>
                <w:rFonts w:ascii="宋体"/>
                <w:sz w:val="18"/>
              </w:rPr>
              <w:t>2.58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158" w:right="0"/>
              <w:jc w:val="left"/>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3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远东线缆有限公司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953,677.98</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448"/>
              <w:jc w:val="right"/>
              <w:rPr>
                <w:rFonts w:ascii="宋体" w:hAnsi="宋体" w:cs="宋体" w:eastAsia="宋体" w:hint="default"/>
                <w:sz w:val="18"/>
                <w:szCs w:val="18"/>
              </w:rPr>
            </w:pPr>
            <w:r>
              <w:rPr>
                <w:rFonts w:ascii="宋体"/>
                <w:sz w:val="18"/>
              </w:rPr>
              <w:t>2.56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158" w:right="0"/>
              <w:jc w:val="left"/>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30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10,172,848.19</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404"/>
              <w:jc w:val="right"/>
              <w:rPr>
                <w:rFonts w:ascii="宋体" w:hAnsi="宋体" w:cs="宋体" w:eastAsia="宋体" w:hint="default"/>
                <w:sz w:val="18"/>
                <w:szCs w:val="18"/>
              </w:rPr>
            </w:pPr>
            <w:r>
              <w:rPr>
                <w:rFonts w:ascii="宋体"/>
                <w:spacing w:val="-1"/>
                <w:sz w:val="18"/>
              </w:rPr>
              <w:t>27.29</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6、其他应收款" w:id="235"/>
      <w:bookmarkEnd w:id="235"/>
      <w:r>
        <w:rPr>
          <w:b w:val="0"/>
          <w:bCs w:val="0"/>
        </w:rPr>
      </w:r>
      <w:r>
        <w:rPr/>
        <w:t>6、其他应收款</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880,947.95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86,826,178.01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94,503,508.26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87,707,125.96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94,503,508.26</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1）应收利息" w:id="236"/>
      <w:bookmarkEnd w:id="236"/>
      <w:r>
        <w:rPr>
          <w:b w:val="0"/>
          <w:bCs w:val="0"/>
        </w:rPr>
      </w:r>
      <w:r>
        <w:rPr/>
        <w:t>（1）应收利息</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1)应收利息分类</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880,947.95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880,947.95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2)重要逾期利息</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应收股利" w:id="237"/>
      <w:bookmarkEnd w:id="237"/>
      <w:r>
        <w:rPr>
          <w:b w:val="0"/>
          <w:bCs w:val="0"/>
        </w:rPr>
      </w:r>
      <w:r>
        <w:rPr/>
        <w:t>（2）应收股利</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1)应收股利</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1"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2)重要的账龄超过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年的应收股利</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其他应收款" w:id="238"/>
      <w:bookmarkEnd w:id="238"/>
      <w:r>
        <w:rPr>
          <w:b w:val="0"/>
          <w:bCs w:val="0"/>
        </w:rPr>
      </w:r>
      <w:r>
        <w:rPr/>
        <w:t>（3）其他应收款</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1)其他应收款分类披露</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4,607,6</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4.35%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4,607,6</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100,994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,433.66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14,168,</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255.65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14.03%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86,826,1</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78.01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105,30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8,992.</w:t>
            </w:r>
          </w:p>
          <w:p>
            <w:pPr>
              <w:pStyle w:val="TableParagraph"/>
              <w:spacing w:line="240" w:lineRule="auto" w:before="76"/>
              <w:ind w:right="19"/>
              <w:jc w:val="right"/>
              <w:rPr>
                <w:rFonts w:ascii="宋体" w:hAnsi="宋体" w:cs="宋体" w:eastAsia="宋体" w:hint="default"/>
                <w:sz w:val="18"/>
                <w:szCs w:val="18"/>
              </w:rPr>
            </w:pPr>
            <w:r>
              <w:rPr>
                <w:rFonts w:ascii="宋体"/>
                <w:sz w:val="18"/>
              </w:rPr>
              <w:t>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99.28%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10,805,4</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83.75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10.26%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94,503,50</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8.26</w:t>
            </w:r>
          </w:p>
        </w:tc>
      </w:tr>
      <w:tr>
        <w:trPr>
          <w:trHeight w:val="40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6" w:right="0"/>
              <w:jc w:val="center"/>
              <w:rPr>
                <w:rFonts w:ascii="宋体" w:hAnsi="宋体" w:cs="宋体" w:eastAsia="宋体" w:hint="default"/>
                <w:sz w:val="18"/>
                <w:szCs w:val="18"/>
              </w:rPr>
            </w:pPr>
            <w:r>
              <w:rPr>
                <w:rFonts w:ascii="宋体"/>
                <w:sz w:val="18"/>
              </w:rPr>
              <w:t>400,000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5" w:right="0"/>
              <w:jc w:val="center"/>
              <w:rPr>
                <w:rFonts w:ascii="宋体" w:hAnsi="宋体" w:cs="宋体" w:eastAsia="宋体" w:hint="default"/>
                <w:sz w:val="18"/>
                <w:szCs w:val="18"/>
              </w:rPr>
            </w:pPr>
            <w:r>
              <w:rPr>
                <w:rFonts w:ascii="宋体"/>
                <w:sz w:val="18"/>
              </w:rPr>
              <w:t>400,000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0" w:right="0"/>
              <w:jc w:val="center"/>
              <w:rPr>
                <w:rFonts w:ascii="宋体" w:hAnsi="宋体" w:cs="宋体" w:eastAsia="宋体" w:hint="default"/>
                <w:sz w:val="18"/>
                <w:szCs w:val="18"/>
              </w:rPr>
            </w:pPr>
            <w:r>
              <w:rPr>
                <w:rFonts w:ascii="宋体"/>
                <w:sz w:val="18"/>
              </w:rPr>
              <w:t>762,88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0.72%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 w:right="0"/>
              <w:jc w:val="center"/>
              <w:rPr>
                <w:rFonts w:ascii="宋体" w:hAnsi="宋体" w:cs="宋体" w:eastAsia="宋体" w:hint="default"/>
                <w:sz w:val="18"/>
                <w:szCs w:val="18"/>
              </w:rPr>
            </w:pPr>
            <w:r>
              <w:rPr>
                <w:rFonts w:ascii="宋体"/>
                <w:sz w:val="18"/>
              </w:rPr>
              <w:t>762,880.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59"/>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9"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宋体"/>
                <w:sz w:val="18"/>
              </w:rPr>
              <w:t>.00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1" w:right="0"/>
              <w:jc w:val="left"/>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106,002</w:t>
            </w:r>
          </w:p>
          <w:p>
            <w:pPr>
              <w:pStyle w:val="TableParagraph"/>
              <w:spacing w:line="240" w:lineRule="auto" w:before="76"/>
              <w:ind w:left="99" w:right="0"/>
              <w:jc w:val="left"/>
              <w:rPr>
                <w:rFonts w:ascii="宋体" w:hAnsi="宋体" w:cs="宋体" w:eastAsia="宋体" w:hint="default"/>
                <w:sz w:val="18"/>
                <w:szCs w:val="18"/>
              </w:rPr>
            </w:pPr>
            <w:r>
              <w:rPr>
                <w:rFonts w:ascii="宋体"/>
                <w:sz w:val="18"/>
              </w:rPr>
              <w:t>,033.66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19,175,</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855.65</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86,826,1</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78.01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106,07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1,872.</w:t>
            </w:r>
          </w:p>
          <w:p>
            <w:pPr>
              <w:pStyle w:val="TableParagraph"/>
              <w:spacing w:line="240" w:lineRule="auto" w:before="76"/>
              <w:ind w:right="19"/>
              <w:jc w:val="right"/>
              <w:rPr>
                <w:rFonts w:ascii="宋体" w:hAnsi="宋体" w:cs="宋体" w:eastAsia="宋体" w:hint="default"/>
                <w:sz w:val="18"/>
                <w:szCs w:val="18"/>
              </w:rPr>
            </w:pPr>
            <w:r>
              <w:rPr>
                <w:rFonts w:ascii="宋体"/>
                <w:sz w:val="18"/>
              </w:rPr>
              <w:t>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9"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11,568,3</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63.75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94,503,50</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8.26</w:t>
            </w:r>
          </w:p>
        </w:tc>
      </w:tr>
    </w:tbl>
    <w:p>
      <w:pPr>
        <w:spacing w:after="0" w:line="240" w:lineRule="auto"/>
        <w:jc w:val="left"/>
        <w:rPr>
          <w:rFonts w:ascii="宋体" w:hAnsi="宋体" w:cs="宋体" w:eastAsia="宋体" w:hint="default"/>
          <w:sz w:val="18"/>
          <w:szCs w:val="18"/>
        </w:rPr>
        <w:sectPr>
          <w:footerReference w:type="default" r:id="rId31"/>
          <w:pgSz w:w="11910" w:h="16840"/>
          <w:pgMar w:footer="978" w:header="746" w:top="1060" w:bottom="1160" w:left="1020" w:right="0"/>
          <w:pgNumType w:start="14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433" w:space="439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车贷业务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4,607,600.00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4,607,600.00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51" w:right="0"/>
              <w:jc w:val="left"/>
              <w:rPr>
                <w:rFonts w:ascii="宋体" w:hAnsi="宋体" w:cs="宋体" w:eastAsia="宋体" w:hint="default"/>
                <w:sz w:val="18"/>
                <w:szCs w:val="18"/>
              </w:rPr>
            </w:pPr>
            <w:r>
              <w:rPr>
                <w:rFonts w:ascii="宋体"/>
                <w:sz w:val="18"/>
              </w:rPr>
              <w:t>100.00%</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4,607,600.00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4,607,600.00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before="52"/>
        <w:ind w:left="11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27,252,046.18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49" w:right="0"/>
              <w:jc w:val="center"/>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13,820,387.49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691,019.37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41,072,433.67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691,019.37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32,652,577.08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3,265,257.72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10,009,788.47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2,001,957.70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17,259,634.44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8,210,020.86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9,241,238.84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2,772,371.66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4,301,244.00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1,720,497.60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3,717,151.60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3,717,151.60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100,994,433.66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14,168,255.65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360" w:lineRule="auto" w:before="51"/>
        <w:ind w:left="112" w:right="196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5"/>
        <w:ind w:left="112" w:right="23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line="357" w:lineRule="auto" w:before="27"/>
        <w:ind w:left="112" w:right="3220" w:firstLine="0"/>
        <w:jc w:val="left"/>
        <w:rPr>
          <w:rFonts w:ascii="宋体" w:hAnsi="宋体" w:cs="宋体" w:eastAsia="宋体" w:hint="default"/>
          <w:sz w:val="18"/>
          <w:szCs w:val="18"/>
        </w:rPr>
      </w:pPr>
      <w:r>
        <w:rPr>
          <w:rFonts w:ascii="宋体" w:hAnsi="宋体" w:cs="宋体" w:eastAsia="宋体" w:hint="default"/>
          <w:sz w:val="18"/>
          <w:szCs w:val="18"/>
        </w:rPr>
        <w:t>□ 适用 √ 不适用 2)本期计提、收回或转回的坏账准备情况</w:t>
      </w:r>
    </w:p>
    <w:p>
      <w:pPr>
        <w:spacing w:line="360" w:lineRule="auto" w:before="29"/>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7,607,491.90</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6593" w:space="2236"/>
            <w:col w:w="2061"/>
          </w:cols>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3)本期实际核销的其他应收款情况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360" w:lineRule="auto"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 4)其他应收款按款项性质分类情况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813" w:space="601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90,732,754.73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98,131,355.90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9,067,526.44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6,658,198.28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4,607,600.00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336.00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1,594,152.49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1,281,981.83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106,002,033.66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106,071,872.01</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5)按欠款方归集的期末余额前五名的其他应收款情况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22,876,541.62</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2,897,517.08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3,553,816.00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608,780.10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2,458,200.00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2,118,055.90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2,118,055.90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33,406,613.52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5,624,353.08</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6)涉及政府补助的应收款项</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7)因金融资产转移而终止确认的其他应收款</w:t>
      </w:r>
    </w:p>
    <w:p>
      <w:pPr>
        <w:spacing w:line="360" w:lineRule="auto" w:before="117"/>
        <w:ind w:left="112" w:right="6614" w:firstLine="0"/>
        <w:jc w:val="left"/>
        <w:rPr>
          <w:rFonts w:ascii="宋体" w:hAnsi="宋体" w:cs="宋体" w:eastAsia="宋体" w:hint="default"/>
          <w:sz w:val="18"/>
          <w:szCs w:val="18"/>
        </w:rPr>
      </w:pPr>
      <w:r>
        <w:rPr>
          <w:rFonts w:ascii="宋体" w:hAnsi="宋体" w:cs="宋体" w:eastAsia="宋体" w:hint="default"/>
          <w:sz w:val="18"/>
          <w:szCs w:val="18"/>
        </w:rPr>
        <w:t>8)转移其他应收款且继续涉入形成的资产、负债金额 其他说明：</w:t>
      </w:r>
    </w:p>
    <w:p>
      <w:pPr>
        <w:spacing w:after="0" w:line="36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7、存货" w:id="239"/>
      <w:bookmarkEnd w:id="239"/>
      <w:r>
        <w:rPr>
          <w:b w:val="0"/>
          <w:bCs w:val="0"/>
        </w:rPr>
      </w:r>
      <w:r>
        <w:rPr/>
        <w:t>7、存货</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1）存货分类" w:id="240"/>
      <w:bookmarkEnd w:id="240"/>
      <w:r>
        <w:rPr>
          <w:b w:val="0"/>
          <w:bCs w:val="0"/>
        </w:rPr>
      </w:r>
      <w:r>
        <w:rPr/>
        <w:t>（1）存货分类</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17,205,450.35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16,597,940.91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5,345,868.49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4,738,359.05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13,964,264.95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13,964,264.95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1,692,533.63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1,692,533.63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276,059,693.59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276,059,693.59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204,653,111.72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204,653,111.72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1,572,420.75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1,572,420.75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126,651,108.88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126,651,108.88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133,701,872.52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133,701,872.52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435,454,188.54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434,846,679.10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345,394,636.38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344,787,126.94</w:t>
            </w:r>
          </w:p>
        </w:tc>
      </w:tr>
    </w:tbl>
    <w:p>
      <w:pPr>
        <w:spacing w:line="360" w:lineRule="auto" w:before="49"/>
        <w:ind w:left="112" w:right="247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号—上市公司从事种业、种植业务》的披露要求</w:t>
      </w:r>
      <w:r>
        <w:rPr>
          <w:rFonts w:ascii="宋体" w:hAnsi="宋体" w:cs="宋体" w:eastAsia="宋体" w:hint="default"/>
          <w:sz w:val="18"/>
          <w:szCs w:val="18"/>
        </w:rPr>
        <w:t> 否</w:t>
      </w:r>
    </w:p>
    <w:p>
      <w:pPr>
        <w:spacing w:line="360" w:lineRule="auto" w:before="25"/>
        <w:ind w:left="112" w:right="2745"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号——上市公司从事珠宝相关业务》的披露要求</w:t>
      </w:r>
      <w:r>
        <w:rPr>
          <w:rFonts w:ascii="宋体" w:hAnsi="宋体" w:cs="宋体" w:eastAsia="宋体" w:hint="default"/>
          <w:sz w:val="18"/>
          <w:szCs w:val="18"/>
        </w:rPr>
        <w:t> 否</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2）存货跌价准备" w:id="241"/>
      <w:bookmarkEnd w:id="241"/>
      <w:r>
        <w:rPr>
          <w:b w:val="0"/>
          <w:bCs w:val="0"/>
        </w:rPr>
      </w:r>
      <w:r>
        <w:rPr/>
        <w:t>（2）存货跌价准备</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607,509.44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607,509.44</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3）存货期末余额含有借款费用资本化金额的说明" w:id="242"/>
      <w:bookmarkEnd w:id="242"/>
      <w:r>
        <w:rPr>
          <w:b w:val="0"/>
          <w:bCs w:val="0"/>
        </w:rPr>
      </w:r>
      <w:r>
        <w:rPr/>
        <w:t>（3）存货期末余额含有借款费用资本化金额的说明</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4）期末建造合同形成的已完工未结算资产情况" w:id="243"/>
      <w:bookmarkEnd w:id="243"/>
      <w:r>
        <w:rPr>
          <w:b w:val="0"/>
          <w:bCs w:val="0"/>
        </w:rPr>
      </w:r>
      <w:r>
        <w:rPr/>
        <w:t>（4）期末建造合同形成的已完工未结算资产情况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8、持有待售资产" w:id="244"/>
      <w:bookmarkEnd w:id="244"/>
      <w:r>
        <w:rPr>
          <w:b w:val="0"/>
          <w:bCs w:val="0"/>
        </w:rPr>
      </w:r>
      <w:r>
        <w:rPr/>
        <w:t>8、持有待售资产</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9、一年内到期的非流动资产" w:id="245"/>
      <w:bookmarkEnd w:id="245"/>
      <w:r>
        <w:rPr>
          <w:b w:val="0"/>
          <w:bCs w:val="0"/>
        </w:rPr>
      </w:r>
      <w:r>
        <w:rPr/>
        <w:t>9、一年内到期的非流动资产</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0、其他流动资产" w:id="246"/>
      <w:bookmarkEnd w:id="246"/>
      <w:r>
        <w:rPr>
          <w:b w:val="0"/>
          <w:bCs w:val="0"/>
        </w:rPr>
      </w:r>
      <w:r>
        <w:rPr/>
        <w:t>10、其他流动资产</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7,274,487.41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5,727,412.99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52,873.33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77,787.47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7,327,360.74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5,805,200.46</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1、可供出售金融资产" w:id="247"/>
      <w:bookmarkEnd w:id="247"/>
      <w:r>
        <w:rPr>
          <w:b w:val="0"/>
          <w:bCs w:val="0"/>
        </w:rPr>
      </w:r>
      <w:r>
        <w:rPr/>
        <w:t>11、可供出售金融资产</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可供出售金融资产情况" w:id="248"/>
      <w:bookmarkEnd w:id="248"/>
      <w:r>
        <w:rPr>
          <w:b w:val="0"/>
          <w:bCs w:val="0"/>
        </w:rPr>
      </w:r>
      <w:r>
        <w:rPr/>
        <w:t>（1）可供出售金融资产情况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52"/>
        <w:gridCol w:w="1620"/>
        <w:gridCol w:w="1275"/>
        <w:gridCol w:w="1215"/>
        <w:gridCol w:w="1245"/>
        <w:gridCol w:w="1260"/>
        <w:gridCol w:w="1202"/>
      </w:tblGrid>
      <w:tr>
        <w:trPr>
          <w:trHeight w:val="402" w:hRule="exact"/>
        </w:trPr>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752"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6" w:right="0"/>
              <w:jc w:val="left"/>
              <w:rPr>
                <w:rFonts w:ascii="宋体" w:hAnsi="宋体" w:cs="宋体" w:eastAsia="宋体" w:hint="default"/>
                <w:sz w:val="18"/>
                <w:szCs w:val="18"/>
              </w:rPr>
            </w:pPr>
            <w:r>
              <w:rPr>
                <w:rFonts w:ascii="宋体"/>
                <w:sz w:val="18"/>
              </w:rPr>
              <w:t>22,862,149.17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18,000,000.00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 w:right="0"/>
              <w:jc w:val="center"/>
              <w:rPr>
                <w:rFonts w:ascii="宋体" w:hAnsi="宋体" w:cs="宋体" w:eastAsia="宋体" w:hint="default"/>
                <w:sz w:val="18"/>
                <w:szCs w:val="18"/>
              </w:rPr>
            </w:pPr>
            <w:r>
              <w:rPr>
                <w:rFonts w:ascii="宋体"/>
                <w:sz w:val="18"/>
              </w:rPr>
              <w:t>4,862,149.17</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sz w:val="18"/>
              </w:rPr>
              <w:t>23,000,000.00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宋体" w:hAnsi="宋体" w:cs="宋体" w:eastAsia="宋体" w:hint="default"/>
                <w:sz w:val="18"/>
                <w:szCs w:val="18"/>
              </w:rPr>
            </w:pPr>
            <w:r>
              <w:rPr>
                <w:rFonts w:ascii="宋体"/>
                <w:sz w:val="18"/>
              </w:rPr>
              <w:t>18,000,000.00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 w:right="0"/>
              <w:jc w:val="center"/>
              <w:rPr>
                <w:rFonts w:ascii="宋体" w:hAnsi="宋体" w:cs="宋体" w:eastAsia="宋体" w:hint="default"/>
                <w:sz w:val="18"/>
                <w:szCs w:val="18"/>
              </w:rPr>
            </w:pPr>
            <w:r>
              <w:rPr>
                <w:rFonts w:ascii="宋体"/>
                <w:sz w:val="18"/>
              </w:rPr>
              <w:t>5,000,000.00</w:t>
            </w:r>
          </w:p>
        </w:tc>
      </w:tr>
      <w:tr>
        <w:trPr>
          <w:trHeight w:val="402"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6" w:right="0"/>
              <w:jc w:val="left"/>
              <w:rPr>
                <w:rFonts w:ascii="宋体" w:hAnsi="宋体" w:cs="宋体" w:eastAsia="宋体" w:hint="default"/>
                <w:sz w:val="18"/>
                <w:szCs w:val="18"/>
              </w:rPr>
            </w:pPr>
            <w:r>
              <w:rPr>
                <w:rFonts w:ascii="宋体"/>
                <w:sz w:val="18"/>
              </w:rPr>
              <w:t>22,862,149.17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18,000,000.00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center"/>
              <w:rPr>
                <w:rFonts w:ascii="宋体" w:hAnsi="宋体" w:cs="宋体" w:eastAsia="宋体" w:hint="default"/>
                <w:sz w:val="18"/>
                <w:szCs w:val="18"/>
              </w:rPr>
            </w:pPr>
            <w:r>
              <w:rPr>
                <w:rFonts w:ascii="宋体"/>
                <w:sz w:val="18"/>
              </w:rPr>
              <w:t>4,862,149.17</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sz w:val="18"/>
              </w:rPr>
              <w:t>23,000,000.00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center"/>
              <w:rPr>
                <w:rFonts w:ascii="宋体" w:hAnsi="宋体" w:cs="宋体" w:eastAsia="宋体" w:hint="default"/>
                <w:sz w:val="18"/>
                <w:szCs w:val="18"/>
              </w:rPr>
            </w:pPr>
            <w:r>
              <w:rPr>
                <w:rFonts w:ascii="宋体"/>
                <w:sz w:val="18"/>
              </w:rPr>
              <w:t>18,000,000.00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5,000,000.00</w:t>
            </w:r>
          </w:p>
        </w:tc>
      </w:tr>
      <w:tr>
        <w:trPr>
          <w:trHeight w:val="402"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6" w:right="0"/>
              <w:jc w:val="left"/>
              <w:rPr>
                <w:rFonts w:ascii="宋体" w:hAnsi="宋体" w:cs="宋体" w:eastAsia="宋体" w:hint="default"/>
                <w:sz w:val="18"/>
                <w:szCs w:val="18"/>
              </w:rPr>
            </w:pPr>
            <w:r>
              <w:rPr>
                <w:rFonts w:ascii="宋体"/>
                <w:sz w:val="18"/>
              </w:rPr>
              <w:t>22,862,149.17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18,000,000.00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 w:right="0"/>
              <w:jc w:val="center"/>
              <w:rPr>
                <w:rFonts w:ascii="宋体" w:hAnsi="宋体" w:cs="宋体" w:eastAsia="宋体" w:hint="default"/>
                <w:sz w:val="18"/>
                <w:szCs w:val="18"/>
              </w:rPr>
            </w:pPr>
            <w:r>
              <w:rPr>
                <w:rFonts w:ascii="宋体"/>
                <w:sz w:val="18"/>
              </w:rPr>
              <w:t>4,862,149.17</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sz w:val="18"/>
              </w:rPr>
              <w:t>23,000,000.00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宋体" w:hAnsi="宋体" w:cs="宋体" w:eastAsia="宋体" w:hint="default"/>
                <w:sz w:val="18"/>
                <w:szCs w:val="18"/>
              </w:rPr>
            </w:pPr>
            <w:r>
              <w:rPr>
                <w:rFonts w:ascii="宋体"/>
                <w:sz w:val="18"/>
              </w:rPr>
              <w:t>18,000,000.00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 w:right="0"/>
              <w:jc w:val="center"/>
              <w:rPr>
                <w:rFonts w:ascii="宋体" w:hAnsi="宋体" w:cs="宋体" w:eastAsia="宋体" w:hint="default"/>
                <w:sz w:val="18"/>
                <w:szCs w:val="18"/>
              </w:rPr>
            </w:pPr>
            <w:r>
              <w:rPr>
                <w:rFonts w:ascii="宋体"/>
                <w:sz w:val="18"/>
              </w:rPr>
              <w:t>5,000,000.00</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2）期末按公允价值计量的可供出售金融资产" w:id="249"/>
      <w:bookmarkEnd w:id="249"/>
      <w:r>
        <w:rPr>
          <w:b w:val="0"/>
          <w:bCs w:val="0"/>
        </w:rPr>
      </w:r>
      <w:r>
        <w:rPr/>
        <w:t>（2）期末按公允价值计量的可供出售金融资产</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6"/>
        <w:spacing w:line="240" w:lineRule="auto" w:before="34"/>
        <w:ind w:right="2127"/>
        <w:jc w:val="left"/>
        <w:rPr>
          <w:b w:val="0"/>
          <w:bCs w:val="0"/>
        </w:rPr>
      </w:pPr>
      <w:bookmarkStart w:name="（3）期末按成本计量的可供出售金融资产" w:id="250"/>
      <w:bookmarkEnd w:id="250"/>
      <w:r>
        <w:rPr>
          <w:b w:val="0"/>
          <w:bCs w:val="0"/>
        </w:rPr>
      </w:r>
      <w:r>
        <w:rPr/>
        <w:t>（3）期末按成本计量的可供出售金融资产</w:t>
      </w:r>
      <w:r>
        <w:rPr>
          <w:b w:val="0"/>
          <w:bCs w:val="0"/>
        </w:rPr>
      </w:r>
    </w:p>
    <w:p>
      <w:pPr>
        <w:spacing w:line="240" w:lineRule="auto" w:before="7"/>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北京清科 致达投资 管理中心</w:t>
            </w:r>
          </w:p>
          <w:p>
            <w:pPr>
              <w:pStyle w:val="TableParagraph"/>
              <w:spacing w:line="316"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137,850.8</w:t>
            </w:r>
          </w:p>
          <w:p>
            <w:pPr>
              <w:pStyle w:val="TableParagraph"/>
              <w:spacing w:line="240" w:lineRule="auto" w:before="76"/>
              <w:ind w:right="22"/>
              <w:jc w:val="right"/>
              <w:rPr>
                <w:rFonts w:ascii="宋体" w:hAnsi="宋体" w:cs="宋体" w:eastAsia="宋体" w:hint="default"/>
                <w:sz w:val="18"/>
                <w:szCs w:val="18"/>
              </w:rPr>
            </w:pPr>
            <w:r>
              <w:rPr>
                <w:rFonts w:ascii="宋体"/>
                <w:sz w:val="18"/>
              </w:rPr>
              <w:t>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sz w:val="18"/>
              </w:rPr>
              <w:t>4,862,149</w:t>
            </w:r>
          </w:p>
          <w:p>
            <w:pPr>
              <w:pStyle w:val="TableParagraph"/>
              <w:spacing w:line="240" w:lineRule="auto" w:before="76"/>
              <w:ind w:left="567" w:right="0"/>
              <w:jc w:val="left"/>
              <w:rPr>
                <w:rFonts w:ascii="宋体" w:hAnsi="宋体" w:cs="宋体" w:eastAsia="宋体" w:hint="default"/>
                <w:sz w:val="18"/>
                <w:szCs w:val="18"/>
              </w:rPr>
            </w:pPr>
            <w:r>
              <w:rPr>
                <w:rFonts w:ascii="宋体"/>
                <w:sz w:val="18"/>
              </w:rPr>
              <w:t>.17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3.07%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469,511.1</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安徽高速 物流股份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6" w:right="0"/>
              <w:jc w:val="left"/>
              <w:rPr>
                <w:rFonts w:ascii="宋体" w:hAnsi="宋体" w:cs="宋体" w:eastAsia="宋体" w:hint="default"/>
                <w:sz w:val="18"/>
                <w:szCs w:val="18"/>
              </w:rPr>
            </w:pPr>
            <w:r>
              <w:rPr>
                <w:rFonts w:ascii="宋体"/>
                <w:sz w:val="18"/>
              </w:rPr>
              <w:t>9.77%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23,000,00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137,850.8</w:t>
            </w:r>
          </w:p>
          <w:p>
            <w:pPr>
              <w:pStyle w:val="TableParagraph"/>
              <w:spacing w:line="240" w:lineRule="auto" w:before="76"/>
              <w:ind w:right="22"/>
              <w:jc w:val="right"/>
              <w:rPr>
                <w:rFonts w:ascii="宋体" w:hAnsi="宋体" w:cs="宋体" w:eastAsia="宋体" w:hint="default"/>
                <w:sz w:val="18"/>
                <w:szCs w:val="18"/>
              </w:rPr>
            </w:pPr>
            <w:r>
              <w:rPr>
                <w:rFonts w:ascii="宋体"/>
                <w:sz w:val="18"/>
              </w:rPr>
              <w:t>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22,862,14</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9.17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469,511.1</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4）报告期内可供出售金融资产减值的变动情况" w:id="251"/>
      <w:bookmarkEnd w:id="251"/>
      <w:r>
        <w:rPr>
          <w:b w:val="0"/>
          <w:bCs w:val="0"/>
        </w:rPr>
      </w:r>
      <w:r>
        <w:rPr/>
        <w:t>（4）报告期内可供出售金融资产减值的变动情况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18,000,000.00</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5）可供出售权益工具期末公允价值严重下跌或非暂时性下跌但未计提减值准备的相关说" w:id="252"/>
      <w:bookmarkEnd w:id="252"/>
      <w:r>
        <w:rPr>
          <w:b w:val="0"/>
          <w:bCs w:val="0"/>
        </w:rPr>
      </w:r>
      <w:r>
        <w:rPr/>
        <w:t>（5）可供出售权益工具期末公允价值严重下跌或非暂时性下跌但未计提减值准备的相关说明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2、持有至到期投资" w:id="253"/>
      <w:bookmarkEnd w:id="253"/>
      <w:r>
        <w:rPr>
          <w:b w:val="0"/>
          <w:bCs w:val="0"/>
        </w:rPr>
      </w:r>
      <w:r>
        <w:rPr/>
        <w:t>12、持有至到期投资</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持有至到期投资情况" w:id="254"/>
      <w:bookmarkEnd w:id="254"/>
      <w:r>
        <w:rPr>
          <w:b w:val="0"/>
          <w:bCs w:val="0"/>
        </w:rPr>
      </w:r>
      <w:r>
        <w:rPr/>
        <w:t>（1）持有至到期投资情况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9"/>
          <w:szCs w:val="19"/>
        </w:rPr>
      </w:pPr>
    </w:p>
    <w:p>
      <w:pPr>
        <w:pStyle w:val="Heading6"/>
        <w:spacing w:line="240" w:lineRule="auto" w:before="34"/>
        <w:ind w:right="2127"/>
        <w:jc w:val="left"/>
        <w:rPr>
          <w:b w:val="0"/>
          <w:bCs w:val="0"/>
        </w:rPr>
      </w:pPr>
      <w:bookmarkStart w:name="（2）期末重要的持有至到期投资" w:id="255"/>
      <w:bookmarkEnd w:id="255"/>
      <w:r>
        <w:rPr>
          <w:b w:val="0"/>
          <w:bCs w:val="0"/>
        </w:rPr>
      </w:r>
      <w:r>
        <w:rPr/>
        <w:t>（2）期末重要的持有至到期投资</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3）本期重分类的持有至到期投资" w:id="256"/>
      <w:bookmarkEnd w:id="256"/>
      <w:r>
        <w:rPr>
          <w:b w:val="0"/>
          <w:bCs w:val="0"/>
        </w:rPr>
      </w:r>
      <w:r>
        <w:rPr/>
        <w:t>（3）本期重分类的持有至到期投资</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3、长期应收款" w:id="257"/>
      <w:bookmarkEnd w:id="257"/>
      <w:r>
        <w:rPr>
          <w:b w:val="0"/>
          <w:bCs w:val="0"/>
        </w:rPr>
      </w:r>
      <w:r>
        <w:rPr/>
        <w:t>13、长期应收款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长期应收款情况" w:id="258"/>
      <w:bookmarkEnd w:id="258"/>
      <w:r>
        <w:rPr>
          <w:b w:val="0"/>
          <w:bCs w:val="0"/>
        </w:rPr>
      </w:r>
      <w:r>
        <w:rPr/>
        <w:t>（1）长期应收款情况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sz w:val="18"/>
              </w:rPr>
              <w:t>3,897,274.88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sz w:val="18"/>
              </w:rPr>
              <w:t>796,868.40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sz w:val="18"/>
              </w:rPr>
              <w:t>3,100,406.48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center"/>
              <w:rPr>
                <w:rFonts w:ascii="宋体" w:hAnsi="宋体" w:cs="宋体" w:eastAsia="宋体" w:hint="default"/>
                <w:sz w:val="18"/>
                <w:szCs w:val="18"/>
              </w:rPr>
            </w:pPr>
            <w:r>
              <w:rPr>
                <w:rFonts w:ascii="宋体"/>
                <w:sz w:val="18"/>
              </w:rPr>
              <w:t>6,475,250.56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sz w:val="18"/>
              </w:rPr>
              <w:t>697,259.85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center"/>
              <w:rPr>
                <w:rFonts w:ascii="宋体" w:hAnsi="宋体" w:cs="宋体" w:eastAsia="宋体" w:hint="default"/>
                <w:sz w:val="18"/>
                <w:szCs w:val="18"/>
              </w:rPr>
            </w:pPr>
            <w:r>
              <w:rPr>
                <w:rFonts w:ascii="宋体"/>
                <w:sz w:val="18"/>
              </w:rPr>
              <w:t>5,777,990.71</w:t>
            </w:r>
          </w:p>
        </w:tc>
        <w:tc>
          <w:tcPr>
            <w:tcW w:w="11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4.90</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 w:right="0"/>
              <w:jc w:val="center"/>
              <w:rPr>
                <w:rFonts w:ascii="宋体" w:hAnsi="宋体" w:cs="宋体" w:eastAsia="宋体" w:hint="default"/>
                <w:sz w:val="18"/>
                <w:szCs w:val="18"/>
              </w:rPr>
            </w:pPr>
            <w:r>
              <w:rPr>
                <w:rFonts w:ascii="宋体"/>
                <w:sz w:val="18"/>
              </w:rPr>
              <w:t>3,897,274.88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4" w:right="0"/>
              <w:jc w:val="left"/>
              <w:rPr>
                <w:rFonts w:ascii="宋体" w:hAnsi="宋体" w:cs="宋体" w:eastAsia="宋体" w:hint="default"/>
                <w:sz w:val="18"/>
                <w:szCs w:val="18"/>
              </w:rPr>
            </w:pPr>
            <w:r>
              <w:rPr>
                <w:rFonts w:ascii="宋体"/>
                <w:sz w:val="18"/>
              </w:rPr>
              <w:t>796,868.40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宋体" w:hAnsi="宋体" w:cs="宋体" w:eastAsia="宋体" w:hint="default"/>
                <w:sz w:val="18"/>
                <w:szCs w:val="18"/>
              </w:rPr>
            </w:pPr>
            <w:r>
              <w:rPr>
                <w:rFonts w:ascii="宋体"/>
                <w:sz w:val="18"/>
              </w:rPr>
              <w:t>3,100,406.48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宋体" w:hAnsi="宋体" w:cs="宋体" w:eastAsia="宋体" w:hint="default"/>
                <w:sz w:val="18"/>
                <w:szCs w:val="18"/>
              </w:rPr>
            </w:pPr>
            <w:r>
              <w:rPr>
                <w:rFonts w:ascii="宋体"/>
                <w:sz w:val="18"/>
              </w:rPr>
              <w:t>6,475,250.56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宋体" w:hAnsi="宋体" w:cs="宋体" w:eastAsia="宋体" w:hint="default"/>
                <w:sz w:val="18"/>
                <w:szCs w:val="18"/>
              </w:rPr>
            </w:pPr>
            <w:r>
              <w:rPr>
                <w:rFonts w:ascii="宋体"/>
                <w:sz w:val="18"/>
              </w:rPr>
              <w:t>697,259.85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 w:right="0"/>
              <w:jc w:val="center"/>
              <w:rPr>
                <w:rFonts w:ascii="宋体" w:hAnsi="宋体" w:cs="宋体" w:eastAsia="宋体" w:hint="default"/>
                <w:sz w:val="18"/>
                <w:szCs w:val="18"/>
              </w:rPr>
            </w:pPr>
            <w:r>
              <w:rPr>
                <w:rFonts w:ascii="宋体"/>
                <w:sz w:val="18"/>
              </w:rPr>
              <w:t>5,777,990.71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6"/>
        <w:spacing w:line="240" w:lineRule="auto" w:before="34"/>
        <w:ind w:right="2127"/>
        <w:jc w:val="left"/>
        <w:rPr>
          <w:b w:val="0"/>
          <w:bCs w:val="0"/>
        </w:rPr>
      </w:pPr>
      <w:bookmarkStart w:name="（2）因金融资产转移而终止确认的长期应收款" w:id="259"/>
      <w:bookmarkEnd w:id="259"/>
      <w:r>
        <w:rPr>
          <w:b w:val="0"/>
          <w:bCs w:val="0"/>
        </w:rPr>
      </w:r>
      <w:r>
        <w:rPr/>
        <w:t>（2）因金融资产转移而终止确认的长期应收款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3）转移长期应收款且继续涉入形成的资产、负债金额" w:id="260"/>
      <w:bookmarkEnd w:id="260"/>
      <w:r>
        <w:rPr>
          <w:b w:val="0"/>
          <w:bCs w:val="0"/>
        </w:rPr>
      </w:r>
      <w:r>
        <w:rPr/>
        <w:t>（3）转移长期应收款且继续涉入形成的资产、负债金额</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4、长期股权投资" w:id="261"/>
      <w:bookmarkEnd w:id="261"/>
      <w:r>
        <w:rPr>
          <w:b w:val="0"/>
          <w:bCs w:val="0"/>
        </w:rPr>
      </w:r>
      <w:r>
        <w:rPr/>
        <w:t>14、长期股权投资</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安徽西太</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华信息科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2,203,34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1,338,41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3,541,76</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5.93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6.58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2.51</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武汉宏途</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宋体" w:hAnsi="宋体" w:cs="宋体" w:eastAsia="宋体" w:hint="default"/>
                <w:sz w:val="18"/>
                <w:szCs w:val="18"/>
              </w:rPr>
            </w:pPr>
            <w:r>
              <w:rPr>
                <w:rFonts w:ascii="宋体"/>
                <w:sz w:val="18"/>
              </w:rPr>
              <w:t>2,203,34</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宋体" w:hAnsi="宋体" w:cs="宋体" w:eastAsia="宋体" w:hint="default"/>
                <w:sz w:val="18"/>
                <w:szCs w:val="18"/>
              </w:rPr>
            </w:pPr>
            <w:r>
              <w:rPr>
                <w:rFonts w:ascii="宋体"/>
                <w:sz w:val="18"/>
              </w:rPr>
              <w:t>1,338,41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sz w:val="18"/>
              </w:rPr>
              <w:t>3,541,76</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2,203,34</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1,338,41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 w:right="0"/>
              <w:jc w:val="left"/>
              <w:rPr>
                <w:rFonts w:ascii="宋体" w:hAnsi="宋体" w:cs="宋体" w:eastAsia="宋体" w:hint="default"/>
                <w:sz w:val="18"/>
                <w:szCs w:val="18"/>
              </w:rPr>
            </w:pPr>
            <w:r>
              <w:rPr>
                <w:rFonts w:ascii="宋体"/>
                <w:sz w:val="18"/>
              </w:rPr>
              <w:t>3,541,76</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15、投资性房地产" w:id="262"/>
      <w:bookmarkEnd w:id="262"/>
      <w:r>
        <w:rPr>
          <w:b w:val="0"/>
          <w:bCs w:val="0"/>
        </w:rPr>
      </w:r>
      <w:r>
        <w:rPr/>
        <w:t>15、投资性房地产</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采用成本计量模式的投资性房地产" w:id="263"/>
      <w:bookmarkEnd w:id="263"/>
      <w:r>
        <w:rPr>
          <w:b w:val="0"/>
          <w:bCs w:val="0"/>
        </w:rPr>
      </w:r>
      <w:r>
        <w:rPr/>
        <w:t>（1）采用成本计量模式的投资性房地产</w:t>
      </w:r>
      <w:r>
        <w:rPr>
          <w:b w:val="0"/>
          <w:bCs w:val="0"/>
        </w:rPr>
      </w:r>
    </w:p>
    <w:p>
      <w:pPr>
        <w:spacing w:line="240" w:lineRule="auto" w:before="7"/>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采用公允价值计量模式的投资性房地产" w:id="264"/>
      <w:bookmarkEnd w:id="264"/>
      <w:r>
        <w:rPr>
          <w:b w:val="0"/>
          <w:bCs w:val="0"/>
        </w:rPr>
      </w:r>
      <w:r>
        <w:rPr/>
        <w:t>（2）采用公允价值计量模式的投资性房地产</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3）未办妥产权证书的投资性房地产情况" w:id="265"/>
      <w:bookmarkEnd w:id="265"/>
      <w:r>
        <w:rPr>
          <w:b w:val="0"/>
          <w:bCs w:val="0"/>
        </w:rPr>
      </w:r>
      <w:r>
        <w:rPr/>
        <w:t>（3）未办妥产权证书的投资性房地产情况</w:t>
      </w:r>
      <w:r>
        <w:rPr>
          <w:b w:val="0"/>
          <w:bCs w:val="0"/>
        </w:rPr>
      </w:r>
    </w:p>
    <w:p>
      <w:pPr>
        <w:spacing w:line="240" w:lineRule="auto" w:before="7"/>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16、固定资产" w:id="266"/>
      <w:bookmarkEnd w:id="266"/>
      <w:r>
        <w:rPr>
          <w:b w:val="0"/>
          <w:bCs w:val="0"/>
        </w:rPr>
      </w:r>
      <w:r>
        <w:rPr/>
        <w:t>16、固定资产</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364,413,457.50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147,176,934.19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364,413,457.50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147,176,934.19</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1）固定资产情况" w:id="267"/>
      <w:bookmarkEnd w:id="267"/>
      <w:r>
        <w:rPr>
          <w:b w:val="0"/>
          <w:bCs w:val="0"/>
        </w:rPr>
      </w:r>
      <w:r>
        <w:rPr/>
        <w:t>（1）固定资产情况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124,054,749.98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16,531,352.23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24,915,167.67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12,247,135.82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17,586,019.49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195,334,425.19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214,462,258.07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5,675,681.83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6,606,406.97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11,491,016.80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2,999,690.13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241,235,053.80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127,524.32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821,215.28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3,881,231.84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1,829,395.77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865,788.27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7,525,155.48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（2）在建工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183,643,233.75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8,688,974.84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1,503,060.98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193,835,269.57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（3）企业合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30,691,500.00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4,854,466.55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2,725,175.13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972,646.19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630,840.88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39,874,628.75</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2,082,000.43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411,885.24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505,567.53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2" w:right="0"/>
              <w:jc w:val="center"/>
              <w:rPr>
                <w:rFonts w:ascii="宋体" w:hAnsi="宋体" w:cs="宋体" w:eastAsia="宋体" w:hint="default"/>
                <w:sz w:val="18"/>
                <w:szCs w:val="18"/>
              </w:rPr>
            </w:pPr>
            <w:r>
              <w:rPr>
                <w:rFonts w:ascii="宋体"/>
                <w:sz w:val="18"/>
              </w:rPr>
              <w:t>2,999,453.20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2,082,000.43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411,885.24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505,567.53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2" w:right="0"/>
              <w:jc w:val="center"/>
              <w:rPr>
                <w:rFonts w:ascii="宋体" w:hAnsi="宋体" w:cs="宋体" w:eastAsia="宋体" w:hint="default"/>
                <w:sz w:val="18"/>
                <w:szCs w:val="18"/>
              </w:rPr>
            </w:pPr>
            <w:r>
              <w:rPr>
                <w:rFonts w:ascii="宋体"/>
                <w:sz w:val="18"/>
              </w:rPr>
              <w:t>2,999,453.20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338,517,008.05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22,207,034.06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29,439,574.21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23,326,267.38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20,080,142.09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433,570,025.79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18,180,254.41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6,271,634.33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12,106,263.93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2,923,378.23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8,675,960.10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center"/>
              <w:rPr>
                <w:rFonts w:ascii="宋体" w:hAnsi="宋体" w:cs="宋体" w:eastAsia="宋体" w:hint="default"/>
                <w:sz w:val="18"/>
                <w:szCs w:val="18"/>
              </w:rPr>
            </w:pPr>
            <w:r>
              <w:rPr>
                <w:rFonts w:ascii="宋体"/>
                <w:sz w:val="18"/>
              </w:rPr>
              <w:t>48,157,491.00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7,898,016.95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4,526,825.67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4,501,916.10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3,798,831.66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2,943,486.20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8" w:right="0"/>
              <w:jc w:val="center"/>
              <w:rPr>
                <w:rFonts w:ascii="宋体" w:hAnsi="宋体" w:cs="宋体" w:eastAsia="宋体" w:hint="default"/>
                <w:sz w:val="18"/>
                <w:szCs w:val="18"/>
              </w:rPr>
            </w:pPr>
            <w:r>
              <w:rPr>
                <w:rFonts w:ascii="宋体"/>
                <w:sz w:val="18"/>
              </w:rPr>
              <w:t>23,669,076.58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6,333,043.68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2,117,704.08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2,747,777.70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2,935,749.37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2,614,041.20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center"/>
              <w:rPr>
                <w:rFonts w:ascii="宋体" w:hAnsi="宋体" w:cs="宋体" w:eastAsia="宋体" w:hint="default"/>
                <w:sz w:val="18"/>
                <w:szCs w:val="18"/>
              </w:rPr>
            </w:pPr>
            <w:r>
              <w:rPr>
                <w:rFonts w:ascii="宋体"/>
                <w:sz w:val="18"/>
              </w:rPr>
              <w:t>16,748,316.03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1,564,973.27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2,409,121.59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1,754,138.40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863,082.29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329,445.00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2" w:right="0"/>
              <w:jc w:val="center"/>
              <w:rPr>
                <w:rFonts w:ascii="宋体" w:hAnsi="宋体" w:cs="宋体" w:eastAsia="宋体" w:hint="default"/>
                <w:sz w:val="18"/>
                <w:szCs w:val="18"/>
              </w:rPr>
            </w:pPr>
            <w:r>
              <w:rPr>
                <w:rFonts w:ascii="宋体"/>
                <w:sz w:val="18"/>
              </w:rPr>
              <w:t>6,920,760.55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1,952,891.60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391,206.94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325,900.75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2" w:right="0"/>
              <w:jc w:val="center"/>
              <w:rPr>
                <w:rFonts w:ascii="宋体" w:hAnsi="宋体" w:cs="宋体" w:eastAsia="宋体" w:hint="default"/>
                <w:sz w:val="18"/>
                <w:szCs w:val="18"/>
              </w:rPr>
            </w:pPr>
            <w:r>
              <w:rPr>
                <w:rFonts w:ascii="宋体"/>
                <w:sz w:val="18"/>
              </w:rPr>
              <w:t>2,669,999.29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1,952,891.60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391,206.94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325,900.75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2" w:right="0"/>
              <w:jc w:val="center"/>
              <w:rPr>
                <w:rFonts w:ascii="宋体" w:hAnsi="宋体" w:cs="宋体" w:eastAsia="宋体" w:hint="default"/>
                <w:sz w:val="18"/>
                <w:szCs w:val="18"/>
              </w:rPr>
            </w:pPr>
            <w:r>
              <w:rPr>
                <w:rFonts w:ascii="宋体"/>
                <w:sz w:val="18"/>
              </w:rPr>
              <w:t>2,669,999.29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26,078,271.36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10,798,460.00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14,655,288.43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6,331,002.95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11,293,545.55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8" w:right="0"/>
              <w:jc w:val="center"/>
              <w:rPr>
                <w:rFonts w:ascii="宋体" w:hAnsi="宋体" w:cs="宋体" w:eastAsia="宋体" w:hint="default"/>
                <w:sz w:val="18"/>
                <w:szCs w:val="18"/>
              </w:rPr>
            </w:pPr>
            <w:r>
              <w:rPr>
                <w:rFonts w:ascii="宋体"/>
                <w:sz w:val="18"/>
              </w:rPr>
              <w:t>69,156,568.29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1"/>
              <w:jc w:val="righ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1.期末账面价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312,438,736.69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11,408,574.06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14,784,285.78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16,995,264.43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8,786,596.54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2" w:right="0"/>
              <w:jc w:val="center"/>
              <w:rPr>
                <w:rFonts w:ascii="宋体" w:hAnsi="宋体" w:cs="宋体" w:eastAsia="宋体" w:hint="default"/>
                <w:sz w:val="18"/>
                <w:szCs w:val="18"/>
              </w:rPr>
            </w:pPr>
            <w:r>
              <w:rPr>
                <w:rFonts w:ascii="宋体"/>
                <w:sz w:val="18"/>
              </w:rPr>
              <w:t>364,413,457.50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2.期初账面价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105,874,495.57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10,259,717.90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12,808,903.74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9,323,757.59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8,910,059.39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宋体" w:hAnsi="宋体" w:cs="宋体" w:eastAsia="宋体" w:hint="default"/>
                <w:sz w:val="18"/>
                <w:szCs w:val="18"/>
              </w:rPr>
            </w:pPr>
            <w:r>
              <w:rPr>
                <w:rFonts w:ascii="宋体"/>
                <w:sz w:val="18"/>
              </w:rPr>
              <w:t>147,176,934.19</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4"/>
        <w:ind w:right="2127"/>
        <w:jc w:val="left"/>
        <w:rPr>
          <w:b w:val="0"/>
          <w:bCs w:val="0"/>
        </w:rPr>
      </w:pPr>
      <w:bookmarkStart w:name="（2）暂时闲置的固定资产情况" w:id="268"/>
      <w:bookmarkEnd w:id="268"/>
      <w:r>
        <w:rPr>
          <w:b w:val="0"/>
          <w:bCs w:val="0"/>
        </w:rPr>
      </w:r>
      <w:r>
        <w:rPr/>
        <w:t>（2）暂时闲置的固定资产情况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3）通过融资租赁租入的固定资产情况" w:id="269"/>
      <w:bookmarkEnd w:id="269"/>
      <w:r>
        <w:rPr>
          <w:b w:val="0"/>
          <w:bCs w:val="0"/>
        </w:rPr>
      </w:r>
      <w:r>
        <w:rPr/>
        <w:t>（3）通过融资租赁租入的固定资产情况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4）通过经营租赁租出的固定资产" w:id="270"/>
      <w:bookmarkEnd w:id="270"/>
      <w:r>
        <w:rPr>
          <w:b w:val="0"/>
          <w:bCs w:val="0"/>
        </w:rPr>
      </w:r>
      <w:r>
        <w:rPr/>
        <w:t>（4）通过经营租赁租出的固定资产</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8,152,884.95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8,152,884.95</w:t>
            </w:r>
          </w:p>
        </w:tc>
      </w:tr>
    </w:tbl>
    <w:p>
      <w:pPr>
        <w:spacing w:line="240" w:lineRule="auto" w:before="2"/>
        <w:rPr>
          <w:rFonts w:ascii="宋体" w:hAnsi="宋体" w:cs="宋体" w:eastAsia="宋体" w:hint="default"/>
          <w:sz w:val="19"/>
          <w:szCs w:val="19"/>
        </w:rPr>
      </w:pPr>
    </w:p>
    <w:p>
      <w:pPr>
        <w:pStyle w:val="Heading6"/>
        <w:spacing w:line="240" w:lineRule="auto" w:before="34"/>
        <w:ind w:right="2127"/>
        <w:jc w:val="left"/>
        <w:rPr>
          <w:b w:val="0"/>
          <w:bCs w:val="0"/>
        </w:rPr>
      </w:pPr>
      <w:bookmarkStart w:name="（5）未办妥产权证书的固定资产情况" w:id="271"/>
      <w:bookmarkEnd w:id="271"/>
      <w:r>
        <w:rPr>
          <w:b w:val="0"/>
          <w:bCs w:val="0"/>
        </w:rPr>
      </w:r>
      <w:r>
        <w:rPr/>
        <w:t>（5）未办妥产权证书的固定资产情况</w:t>
      </w:r>
      <w:r>
        <w:rPr>
          <w:b w:val="0"/>
          <w:bCs w:val="0"/>
        </w:rPr>
      </w:r>
    </w:p>
    <w:p>
      <w:pPr>
        <w:spacing w:line="240" w:lineRule="auto" w:before="7"/>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206,423,834.79</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新建房产，正在办理中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206,423,834.79</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6）固定资产清理" w:id="272"/>
      <w:bookmarkEnd w:id="272"/>
      <w:r>
        <w:rPr>
          <w:b w:val="0"/>
          <w:bCs w:val="0"/>
        </w:rPr>
      </w:r>
      <w:r>
        <w:rPr/>
        <w:t>（6）固定资产清理</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7、在建工程" w:id="273"/>
      <w:bookmarkEnd w:id="273"/>
      <w:r>
        <w:rPr>
          <w:b w:val="0"/>
          <w:bCs w:val="0"/>
        </w:rPr>
      </w:r>
      <w:r>
        <w:rPr/>
        <w:t>17、在建工程</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4"/>
        <w:gridCol w:w="3859"/>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4" w:type="dxa"/>
            <w:tcBorders>
              <w:top w:val="single" w:sz="4" w:space="0" w:color="000000"/>
              <w:left w:val="single" w:sz="4" w:space="0" w:color="000000"/>
              <w:bottom w:val="single" w:sz="4" w:space="0" w:color="000000"/>
              <w:right w:val="single" w:sz="4" w:space="0" w:color="000000"/>
            </w:tcBorders>
          </w:tcPr>
          <w:p>
            <w:pP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106,507,082.25</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4" w:type="dxa"/>
            <w:tcBorders>
              <w:top w:val="single" w:sz="4" w:space="0" w:color="000000"/>
              <w:left w:val="single" w:sz="4" w:space="0" w:color="000000"/>
              <w:bottom w:val="single" w:sz="4" w:space="0" w:color="000000"/>
              <w:right w:val="single" w:sz="4" w:space="0" w:color="000000"/>
            </w:tcBorders>
          </w:tcPr>
          <w:p>
            <w:pP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106,507,082.25</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1）在建工程情况" w:id="274"/>
      <w:bookmarkEnd w:id="274"/>
      <w:r>
        <w:rPr>
          <w:b w:val="0"/>
          <w:bCs w:val="0"/>
        </w:rPr>
      </w:r>
      <w:r>
        <w:rPr/>
        <w:t>（1）在建工程情况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莱山区综合科技 大楼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106,507,082.25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center"/>
              <w:rPr>
                <w:rFonts w:ascii="宋体" w:hAnsi="宋体" w:cs="宋体" w:eastAsia="宋体" w:hint="default"/>
                <w:sz w:val="18"/>
                <w:szCs w:val="18"/>
              </w:rPr>
            </w:pPr>
            <w:r>
              <w:rPr>
                <w:rFonts w:ascii="宋体"/>
                <w:sz w:val="18"/>
              </w:rPr>
              <w:t>106,507,082.25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 w:right="0"/>
              <w:jc w:val="center"/>
              <w:rPr>
                <w:rFonts w:ascii="宋体" w:hAnsi="宋体" w:cs="宋体" w:eastAsia="宋体" w:hint="default"/>
                <w:sz w:val="18"/>
                <w:szCs w:val="18"/>
              </w:rPr>
            </w:pPr>
            <w:r>
              <w:rPr>
                <w:rFonts w:ascii="宋体"/>
                <w:sz w:val="18"/>
              </w:rPr>
              <w:t>106,507,082.25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 w:right="0"/>
              <w:jc w:val="center"/>
              <w:rPr>
                <w:rFonts w:ascii="宋体" w:hAnsi="宋体" w:cs="宋体" w:eastAsia="宋体" w:hint="default"/>
                <w:sz w:val="18"/>
                <w:szCs w:val="18"/>
              </w:rPr>
            </w:pPr>
            <w:r>
              <w:rPr>
                <w:rFonts w:ascii="宋体"/>
                <w:sz w:val="18"/>
              </w:rPr>
              <w:t>106,507,082.25</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2）重要在建工程项目本期变动情况" w:id="275"/>
      <w:bookmarkEnd w:id="275"/>
      <w:r>
        <w:rPr>
          <w:b w:val="0"/>
          <w:bCs w:val="0"/>
        </w:rPr>
      </w:r>
      <w:r>
        <w:rPr/>
        <w:t>（2）重要在建工程项目本期变动情况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57"/>
              <w:jc w:val="both"/>
              <w:rPr>
                <w:rFonts w:ascii="宋体" w:hAnsi="宋体" w:cs="宋体" w:eastAsia="宋体" w:hint="default"/>
                <w:sz w:val="18"/>
                <w:szCs w:val="18"/>
              </w:rPr>
            </w:pPr>
            <w:r>
              <w:rPr>
                <w:rFonts w:ascii="宋体" w:hAnsi="宋体" w:cs="宋体" w:eastAsia="宋体" w:hint="default"/>
                <w:sz w:val="18"/>
                <w:szCs w:val="18"/>
              </w:rPr>
              <w:t>莱山区 综合科 技大楼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260,010</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106,507</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,082.25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72,086,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597.62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178,593</w:t>
            </w:r>
          </w:p>
          <w:p>
            <w:pPr>
              <w:pStyle w:val="TableParagraph"/>
              <w:spacing w:line="240" w:lineRule="auto" w:before="76"/>
              <w:ind w:left="73" w:right="0"/>
              <w:jc w:val="left"/>
              <w:rPr>
                <w:rFonts w:ascii="宋体" w:hAnsi="宋体" w:cs="宋体" w:eastAsia="宋体" w:hint="default"/>
                <w:sz w:val="18"/>
                <w:szCs w:val="18"/>
              </w:rPr>
            </w:pPr>
            <w:r>
              <w:rPr>
                <w:rFonts w:ascii="宋体"/>
                <w:sz w:val="18"/>
              </w:rPr>
              <w:t>,679.87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8" w:right="0"/>
              <w:jc w:val="center"/>
              <w:rPr>
                <w:rFonts w:ascii="宋体" w:hAnsi="宋体" w:cs="宋体" w:eastAsia="宋体" w:hint="default"/>
                <w:sz w:val="18"/>
                <w:szCs w:val="18"/>
              </w:rPr>
            </w:pPr>
            <w:r>
              <w:rPr>
                <w:rFonts w:ascii="宋体"/>
                <w:sz w:val="18"/>
              </w:rPr>
              <w:t>77.41%</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市场营</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6ECCC"/>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73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销及服 务网络</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42,210,</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000.00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27,922,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976.10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27,922,</w:t>
            </w:r>
          </w:p>
          <w:p>
            <w:pPr>
              <w:pStyle w:val="TableParagraph"/>
              <w:spacing w:line="240" w:lineRule="auto" w:before="76"/>
              <w:ind w:left="161" w:right="0"/>
              <w:jc w:val="left"/>
              <w:rPr>
                <w:rFonts w:ascii="宋体" w:hAnsi="宋体" w:cs="宋体" w:eastAsia="宋体" w:hint="default"/>
                <w:sz w:val="18"/>
                <w:szCs w:val="18"/>
              </w:rPr>
            </w:pPr>
            <w:r>
              <w:rPr>
                <w:rFonts w:ascii="宋体"/>
                <w:sz w:val="18"/>
              </w:rPr>
              <w:t>976.10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8" w:right="0"/>
              <w:jc w:val="center"/>
              <w:rPr>
                <w:rFonts w:ascii="宋体" w:hAnsi="宋体" w:cs="宋体" w:eastAsia="宋体" w:hint="default"/>
                <w:sz w:val="18"/>
                <w:szCs w:val="18"/>
              </w:rPr>
            </w:pPr>
            <w:r>
              <w:rPr>
                <w:rFonts w:ascii="宋体"/>
                <w:sz w:val="18"/>
              </w:rPr>
              <w:t>94.82%</w:t>
            </w:r>
          </w:p>
        </w:tc>
        <w:tc>
          <w:tcPr>
            <w:tcW w:w="73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sz w:val="18"/>
              </w:rPr>
              <w:t>100.00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6ECCC"/>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智能路</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6ECCC"/>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73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网管理 系统建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66,920,</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000.00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1,722,4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76.32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1,722,4</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76.32</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8" w:right="0"/>
              <w:jc w:val="center"/>
              <w:rPr>
                <w:rFonts w:ascii="宋体" w:hAnsi="宋体" w:cs="宋体" w:eastAsia="宋体" w:hint="default"/>
                <w:sz w:val="18"/>
                <w:szCs w:val="18"/>
              </w:rPr>
            </w:pPr>
            <w:r>
              <w:rPr>
                <w:rFonts w:ascii="宋体"/>
                <w:sz w:val="18"/>
              </w:rPr>
              <w:t>60.10%</w:t>
            </w:r>
          </w:p>
        </w:tc>
        <w:tc>
          <w:tcPr>
            <w:tcW w:w="73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sz w:val="18"/>
              </w:rPr>
              <w:t>100.00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8" w:hRule="exact"/>
        </w:trPr>
        <w:tc>
          <w:tcPr>
            <w:tcW w:w="73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6ECCC"/>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left"/>
              <w:rPr>
                <w:rFonts w:ascii="宋体" w:hAnsi="宋体" w:cs="宋体" w:eastAsia="宋体" w:hint="default"/>
                <w:sz w:val="18"/>
                <w:szCs w:val="18"/>
              </w:rPr>
            </w:pPr>
            <w:r>
              <w:rPr>
                <w:rFonts w:ascii="宋体"/>
                <w:sz w:val="18"/>
              </w:rPr>
              <w:t>369,140</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left"/>
              <w:rPr>
                <w:rFonts w:ascii="宋体" w:hAnsi="宋体" w:cs="宋体" w:eastAsia="宋体" w:hint="default"/>
                <w:sz w:val="18"/>
                <w:szCs w:val="18"/>
              </w:rPr>
            </w:pPr>
            <w:r>
              <w:rPr>
                <w:rFonts w:ascii="宋体"/>
                <w:sz w:val="18"/>
              </w:rPr>
              <w:t>106,507</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,082.25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left"/>
              <w:rPr>
                <w:rFonts w:ascii="宋体" w:hAnsi="宋体" w:cs="宋体" w:eastAsia="宋体" w:hint="default"/>
                <w:sz w:val="18"/>
                <w:szCs w:val="18"/>
              </w:rPr>
            </w:pPr>
            <w:r>
              <w:rPr>
                <w:rFonts w:ascii="宋体"/>
                <w:sz w:val="18"/>
              </w:rPr>
              <w:t>101,732</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,050.04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left"/>
              <w:rPr>
                <w:rFonts w:ascii="宋体" w:hAnsi="宋体" w:cs="宋体" w:eastAsia="宋体" w:hint="default"/>
                <w:sz w:val="18"/>
                <w:szCs w:val="18"/>
              </w:rPr>
            </w:pPr>
            <w:r>
              <w:rPr>
                <w:rFonts w:ascii="宋体"/>
                <w:sz w:val="18"/>
              </w:rPr>
              <w:t>208,239</w:t>
            </w:r>
          </w:p>
          <w:p>
            <w:pPr>
              <w:pStyle w:val="TableParagraph"/>
              <w:spacing w:line="240" w:lineRule="auto" w:before="76"/>
              <w:ind w:left="73" w:right="0"/>
              <w:jc w:val="left"/>
              <w:rPr>
                <w:rFonts w:ascii="宋体" w:hAnsi="宋体" w:cs="宋体" w:eastAsia="宋体" w:hint="default"/>
                <w:sz w:val="18"/>
                <w:szCs w:val="18"/>
              </w:rPr>
            </w:pPr>
            <w:r>
              <w:rPr>
                <w:rFonts w:ascii="宋体"/>
                <w:sz w:val="18"/>
              </w:rPr>
              <w:t>,132.29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3）本期计提在建工程减值准备情况" w:id="276"/>
      <w:bookmarkEnd w:id="276"/>
      <w:r>
        <w:rPr>
          <w:b w:val="0"/>
          <w:bCs w:val="0"/>
        </w:rPr>
      </w:r>
      <w:r>
        <w:rPr/>
        <w:t>（3）本期计提在建工程减值准备情况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1"/>
        <w:ind w:right="0" w:firstLine="420"/>
        <w:jc w:val="left"/>
      </w:pPr>
      <w:r>
        <w:rPr>
          <w:w w:val="95"/>
        </w:rPr>
        <w:t>本期末在建工程较期初减少100.00%，主要原因系烟台三级孙公司烟台华东电子科技有限公司莱山区</w:t>
      </w:r>
      <w:r>
        <w:rPr>
          <w:spacing w:val="-85"/>
          <w:w w:val="95"/>
        </w:rPr>
        <w:t> </w:t>
      </w:r>
      <w:r>
        <w:rPr>
          <w:spacing w:val="-85"/>
          <w:w w:val="95"/>
        </w:rPr>
      </w:r>
      <w:r>
        <w:rPr/>
        <w:t>综合科技大楼已完工转固。</w:t>
      </w:r>
    </w:p>
    <w:p>
      <w:pPr>
        <w:spacing w:after="0" w:line="273"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4）工程物资" w:id="277"/>
      <w:bookmarkEnd w:id="277"/>
      <w:r>
        <w:rPr>
          <w:b w:val="0"/>
          <w:bCs w:val="0"/>
        </w:rPr>
      </w:r>
      <w:r>
        <w:rPr/>
        <w:t>（4）工程物资</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18、生产性生物资产" w:id="278"/>
      <w:bookmarkEnd w:id="278"/>
      <w:r>
        <w:rPr>
          <w:b w:val="0"/>
          <w:bCs w:val="0"/>
        </w:rPr>
      </w:r>
      <w:r>
        <w:rPr/>
        <w:t>18、生产性生物资产</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采用成本计量模式的生产性生物资产" w:id="279"/>
      <w:bookmarkEnd w:id="279"/>
      <w:r>
        <w:rPr>
          <w:b w:val="0"/>
          <w:bCs w:val="0"/>
        </w:rPr>
      </w:r>
      <w:r>
        <w:rPr/>
        <w:t>（1）采用成本计量模式的生产性生物资产</w:t>
      </w:r>
      <w:r>
        <w:rPr>
          <w:b w:val="0"/>
          <w:bCs w:val="0"/>
        </w:rPr>
      </w:r>
    </w:p>
    <w:p>
      <w:pPr>
        <w:spacing w:line="240" w:lineRule="auto" w:before="7"/>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采用公允价值计量模式的生产性生物资产" w:id="280"/>
      <w:bookmarkEnd w:id="280"/>
      <w:r>
        <w:rPr>
          <w:b w:val="0"/>
          <w:bCs w:val="0"/>
        </w:rPr>
      </w:r>
      <w:r>
        <w:rPr/>
        <w:t>（2）采用公允价值计量模式的生产性生物资产</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19、油气资产" w:id="281"/>
      <w:bookmarkEnd w:id="281"/>
      <w:r>
        <w:rPr>
          <w:b w:val="0"/>
          <w:bCs w:val="0"/>
        </w:rPr>
      </w:r>
      <w:r>
        <w:rPr/>
        <w:t>19、油气资产</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0、无形资产" w:id="282"/>
      <w:bookmarkEnd w:id="282"/>
      <w:r>
        <w:rPr>
          <w:b w:val="0"/>
          <w:bCs w:val="0"/>
        </w:rPr>
      </w:r>
      <w:r>
        <w:rPr/>
        <w:t>20、无形资产</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无形资产情况" w:id="283"/>
      <w:bookmarkEnd w:id="283"/>
      <w:r>
        <w:rPr>
          <w:b w:val="0"/>
          <w:bCs w:val="0"/>
        </w:rPr>
      </w:r>
      <w:r>
        <w:rPr/>
        <w:t>（1）无形资产情况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53,584,856.00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134,489,204.85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1,117,806.08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189,191,866.93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27,568,575.61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1,397,789.24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29,419,564.85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453,200.00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1,397,789.24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1,850,989.27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（2）内部研</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14,129,266.34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14,129,266.34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8" w:firstLine="540"/>
              <w:jc w:val="left"/>
              <w:rPr>
                <w:rFonts w:ascii="宋体" w:hAnsi="宋体" w:cs="宋体" w:eastAsia="宋体" w:hint="default"/>
                <w:sz w:val="18"/>
                <w:szCs w:val="18"/>
              </w:rPr>
            </w:pPr>
            <w:r>
              <w:rPr>
                <w:rFonts w:ascii="宋体" w:hAnsi="宋体" w:cs="宋体" w:eastAsia="宋体" w:hint="default"/>
                <w:sz w:val="18"/>
                <w:szCs w:val="18"/>
              </w:rPr>
              <w:t>（3）企业合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非同一控制下企业 合并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13,439,309.24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13,439,309.24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978" w:header="746" w:top="1060" w:bottom="1160" w:left="1020" w:right="0"/>
          <w:pgNumType w:start="15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54,038,056.00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162,057,780.46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2,515,595.32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218,611,431.78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3,526,219.98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33,733,885.54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331,073.99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37,591,179.51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1,189,435.09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18,188,578.81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185,446.90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19,563,460.80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right"/>
              <w:rPr>
                <w:rFonts w:ascii="宋体" w:hAnsi="宋体" w:cs="宋体" w:eastAsia="宋体" w:hint="default"/>
                <w:sz w:val="18"/>
                <w:szCs w:val="18"/>
              </w:rPr>
            </w:pPr>
            <w:r>
              <w:rPr>
                <w:rFonts w:ascii="宋体" w:hAnsi="宋体" w:cs="宋体" w:eastAsia="宋体" w:hint="default"/>
                <w:sz w:val="18"/>
                <w:szCs w:val="18"/>
              </w:rPr>
              <w:t>（1）计提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1,189,435.09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16,172,682.42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185,446.90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17,547,564.41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非同一控制下企业 合并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2,015,896.39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2,015,896.39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3.本期减少金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8"/>
              <w:jc w:val="righ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4,715,655.07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51,922,464.35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516,520.89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57,154,640.31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2,999,643.68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2,999,643.68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3,348,083.26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493,806.35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3,841,889.61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8"/>
              <w:jc w:val="right"/>
              <w:rPr>
                <w:rFonts w:ascii="宋体" w:hAnsi="宋体" w:cs="宋体" w:eastAsia="宋体" w:hint="default"/>
                <w:sz w:val="18"/>
                <w:szCs w:val="18"/>
              </w:rPr>
            </w:pPr>
            <w:r>
              <w:rPr>
                <w:rFonts w:ascii="宋体" w:hAnsi="宋体" w:cs="宋体" w:eastAsia="宋体" w:hint="default"/>
                <w:sz w:val="18"/>
                <w:szCs w:val="18"/>
              </w:rPr>
              <w:t>（1）计提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3,348,083.26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493,806.35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3,841,889.61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3.本期减少金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6,347,726.94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493,806.35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6,841,533.29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1.期末账面价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49,322,400.93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103,787,589.17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1,505,268.08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154,615,258.18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2.期初账面价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50,058,636.02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97,755,675.63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786,732.09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148,601,043.74</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宋体" w:hAnsi="宋体" w:cs="宋体" w:eastAsia="宋体" w:hint="default"/>
          <w:sz w:val="18"/>
          <w:szCs w:val="18"/>
        </w:rPr>
        <w:t>6.46%。</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未办妥产权证书的土地使用权情况" w:id="284"/>
      <w:bookmarkEnd w:id="284"/>
      <w:r>
        <w:rPr>
          <w:b w:val="0"/>
          <w:bCs w:val="0"/>
        </w:rPr>
      </w:r>
      <w:r>
        <w:rPr/>
        <w:t>（2）未办妥产权证书的土地使用权情况</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1、开发支出" w:id="285"/>
      <w:bookmarkEnd w:id="285"/>
      <w:r>
        <w:rPr>
          <w:b w:val="0"/>
          <w:bCs w:val="0"/>
        </w:rPr>
      </w:r>
      <w:r>
        <w:rPr/>
        <w:t>21、开发支出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304"/>
        <w:gridCol w:w="1230"/>
        <w:gridCol w:w="660"/>
        <w:gridCol w:w="765"/>
        <w:gridCol w:w="1425"/>
        <w:gridCol w:w="1275"/>
        <w:gridCol w:w="782"/>
        <w:gridCol w:w="1228"/>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公众出行服 务和汽车后 市场服务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9,442,752.07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5,473,917.88</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14,916,669.95</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集装箱理货 系统</w:t>
            </w:r>
            <w:r>
              <w:rPr>
                <w:rFonts w:ascii="宋体" w:hAnsi="宋体" w:cs="宋体" w:eastAsia="宋体" w:hint="default"/>
                <w:spacing w:val="-45"/>
                <w:sz w:val="18"/>
                <w:szCs w:val="18"/>
              </w:rPr>
              <w:t> </w:t>
            </w:r>
            <w:r>
              <w:rPr>
                <w:rFonts w:ascii="宋体" w:hAnsi="宋体" w:cs="宋体" w:eastAsia="宋体" w:hint="default"/>
                <w:sz w:val="18"/>
                <w:szCs w:val="18"/>
              </w:rPr>
              <w:t>V4.0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3,782,792.04</w:t>
            </w: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3,782,792.04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华东自动化 码头控制系 统</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4,125,581.52</w:t>
            </w: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4,125,581.52</w:t>
            </w: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集装箱智能 码头操作系 统</w:t>
            </w:r>
            <w:r>
              <w:rPr>
                <w:rFonts w:ascii="宋体" w:hAnsi="宋体" w:cs="宋体" w:eastAsia="宋体" w:hint="default"/>
                <w:spacing w:val="-45"/>
                <w:sz w:val="18"/>
                <w:szCs w:val="18"/>
              </w:rPr>
              <w:t> </w:t>
            </w:r>
            <w:r>
              <w:rPr>
                <w:rFonts w:ascii="宋体" w:hAnsi="宋体" w:cs="宋体" w:eastAsia="宋体" w:hint="default"/>
                <w:sz w:val="18"/>
                <w:szCs w:val="18"/>
              </w:rPr>
              <w:t>v6.0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2,956,128.23</w:t>
            </w: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2,956,128.23</w:t>
            </w: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箱号识别及 验残系统 v2.0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3,026,829.71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2,713,609.95</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center"/>
              <w:rPr>
                <w:rFonts w:ascii="宋体" w:hAnsi="宋体" w:cs="宋体" w:eastAsia="宋体" w:hint="default"/>
                <w:sz w:val="18"/>
                <w:szCs w:val="18"/>
              </w:rPr>
            </w:pPr>
            <w:r>
              <w:rPr>
                <w:rFonts w:ascii="宋体"/>
                <w:sz w:val="18"/>
              </w:rPr>
              <w:t>5,740,439.66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安卓大型工 业车载终端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1,718,783.89</w:t>
            </w: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1,718,783.89</w:t>
            </w: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安卓小型工 业车载终端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1,504,695.06</w:t>
            </w: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1,504,695.06</w:t>
            </w: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集装箱智能 码头操作系 统</w:t>
            </w:r>
            <w:r>
              <w:rPr>
                <w:rFonts w:ascii="宋体" w:hAnsi="宋体" w:cs="宋体" w:eastAsia="宋体" w:hint="default"/>
                <w:spacing w:val="-45"/>
                <w:sz w:val="18"/>
                <w:szCs w:val="18"/>
              </w:rPr>
              <w:t> </w:t>
            </w:r>
            <w:r>
              <w:rPr>
                <w:rFonts w:ascii="宋体" w:hAnsi="宋体" w:cs="宋体" w:eastAsia="宋体" w:hint="default"/>
                <w:sz w:val="18"/>
                <w:szCs w:val="18"/>
              </w:rPr>
              <w:t>v7.0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4,167,110.04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pacing w:val="-1"/>
                <w:sz w:val="18"/>
              </w:rPr>
              <w:t>7,001,517.76</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sz w:val="18"/>
              </w:rPr>
              <w:t>11,168,627.80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冷藏箱监控 系统</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1,057,548.99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750,963.10</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1,808,512.09</w:t>
            </w: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中国港口网 门户网站</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519,560.24</w:t>
            </w: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519,560.24</w:t>
            </w: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港行大数据 平台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1,148,973.42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1,957,037.69</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3,106,011.11</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集装箱跟踪 平台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430,552.02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1,065,453.29</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1,496,005.31</w:t>
            </w: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数字化视频 管理平台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4,294,082.40</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4,294,082.40</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路网设备智 能工厂</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4,455,708.60</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4,455,708.60</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高速公路智</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4,967,251.71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4,967,251.71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63"/>
        <w:gridCol w:w="1304"/>
        <w:gridCol w:w="1230"/>
        <w:gridCol w:w="660"/>
        <w:gridCol w:w="765"/>
        <w:gridCol w:w="1425"/>
        <w:gridCol w:w="1275"/>
        <w:gridCol w:w="782"/>
        <w:gridCol w:w="1228"/>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能运营管理 信息系统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城市智能交 通管理平台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3,840,391.56</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3,840,391.56</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基于大数据 的联网收费 数据分析平 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5,634,480.73</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pacing w:val="-1"/>
                <w:sz w:val="18"/>
              </w:rPr>
              <w:t>5,634,480.73</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智慧养护信 息云平台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1,656,294.98</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1,656,294.98</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公路移动收 费单兵装置</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523,296.01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523,296.01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车辆三超检 测装置</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521,511.08</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521,511.08</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扁平化智能 收费平台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3,252,119.05</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3,252,119.05</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收费车道设 备在线监测 系统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宋体" w:hAnsi="宋体" w:cs="宋体" w:eastAsia="宋体" w:hint="default"/>
                <w:sz w:val="18"/>
                <w:szCs w:val="18"/>
              </w:rPr>
            </w:pPr>
            <w:r>
              <w:rPr>
                <w:rFonts w:ascii="宋体"/>
                <w:spacing w:val="-1"/>
                <w:sz w:val="18"/>
              </w:rPr>
              <w:t>1,556,830.31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宋体"/>
                <w:spacing w:val="-1"/>
                <w:sz w:val="18"/>
              </w:rPr>
              <w:t>1,556,830.31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雾灯智能诱 导系统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910,053.94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910,053.94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高速公路综 合业务管理 与分析平台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宋体" w:hAnsi="宋体" w:cs="宋体" w:eastAsia="宋体" w:hint="default"/>
                <w:sz w:val="18"/>
                <w:szCs w:val="18"/>
              </w:rPr>
            </w:pPr>
            <w:r>
              <w:rPr>
                <w:rFonts w:ascii="宋体"/>
                <w:spacing w:val="-1"/>
                <w:sz w:val="18"/>
              </w:rPr>
              <w:t>902,169.72</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宋体"/>
                <w:spacing w:val="-1"/>
                <w:sz w:val="18"/>
              </w:rPr>
              <w:t>902,169.72</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高速公路视 频结构化应 用技术研究</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1,314,238.37</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1,314,238.37</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105"/>
              <w:jc w:val="center"/>
              <w:rPr>
                <w:rFonts w:ascii="宋体" w:hAnsi="宋体" w:cs="宋体" w:eastAsia="宋体" w:hint="default"/>
                <w:sz w:val="18"/>
                <w:szCs w:val="18"/>
              </w:rPr>
            </w:pPr>
            <w:r>
              <w:rPr>
                <w:rFonts w:ascii="宋体" w:hAnsi="宋体" w:cs="宋体" w:eastAsia="宋体" w:hint="default"/>
                <w:sz w:val="18"/>
                <w:szCs w:val="18"/>
              </w:rPr>
              <w:t>船跟踪平台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907,040.29</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907,040.29</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移动式冷藏 箱数据采集 终端</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1,031,543.62</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5" w:right="0"/>
              <w:jc w:val="left"/>
              <w:rPr>
                <w:rFonts w:ascii="宋体" w:hAnsi="宋体" w:cs="宋体" w:eastAsia="宋体" w:hint="default"/>
                <w:sz w:val="18"/>
                <w:szCs w:val="18"/>
              </w:rPr>
            </w:pPr>
            <w:r>
              <w:rPr>
                <w:rFonts w:ascii="宋体"/>
                <w:sz w:val="18"/>
              </w:rPr>
              <w:t>1,031,543.62</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按揭贷款提 取住房公积 金多渠道服 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宋体" w:hAnsi="宋体" w:cs="宋体" w:eastAsia="宋体" w:hint="default"/>
                <w:sz w:val="18"/>
                <w:szCs w:val="18"/>
              </w:rPr>
            </w:pPr>
            <w:r>
              <w:rPr>
                <w:rFonts w:ascii="宋体"/>
                <w:spacing w:val="-1"/>
                <w:sz w:val="18"/>
              </w:rPr>
              <w:t>699,925.04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宋体" w:hAnsi="宋体" w:cs="宋体" w:eastAsia="宋体" w:hint="default"/>
                <w:sz w:val="18"/>
                <w:szCs w:val="18"/>
              </w:rPr>
            </w:pPr>
            <w:r>
              <w:rPr>
                <w:rFonts w:ascii="宋体"/>
                <w:spacing w:val="-1"/>
                <w:sz w:val="18"/>
              </w:rPr>
              <w:t>699,925.04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高速公路客 货混合复式 应急收费系 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601,597.64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pacing w:val="-1"/>
                <w:sz w:val="18"/>
              </w:rPr>
              <w:t>601,597.64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2"/>
              <w:ind w:right="105"/>
              <w:jc w:val="center"/>
              <w:rPr>
                <w:rFonts w:ascii="宋体" w:hAnsi="宋体" w:cs="宋体" w:eastAsia="宋体" w:hint="default"/>
                <w:sz w:val="18"/>
                <w:szCs w:val="18"/>
              </w:rPr>
            </w:pPr>
            <w:r>
              <w:rPr>
                <w:rFonts w:ascii="宋体" w:hAnsi="宋体" w:cs="宋体" w:eastAsia="宋体" w:hint="default"/>
                <w:sz w:val="18"/>
                <w:szCs w:val="18"/>
              </w:rPr>
              <w:t>高速公路智</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441,576.84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441,576.84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63"/>
        <w:gridCol w:w="1304"/>
        <w:gridCol w:w="1230"/>
        <w:gridCol w:w="660"/>
        <w:gridCol w:w="765"/>
        <w:gridCol w:w="1425"/>
        <w:gridCol w:w="1275"/>
        <w:gridCol w:w="782"/>
        <w:gridCol w:w="1228"/>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慧云收费平 台</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项目采购管 理系统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325,701.44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325,701.44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地址灾害应 急指挥系统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493,914.64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493,914.64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微位移雷达 控制站</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1,336,976.02</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1,336,976.02</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10K</w:t>
            </w:r>
            <w:r>
              <w:rPr>
                <w:rFonts w:ascii="宋体" w:hAnsi="宋体" w:cs="宋体" w:eastAsia="宋体" w:hint="default"/>
                <w:spacing w:val="-47"/>
                <w:sz w:val="18"/>
                <w:szCs w:val="18"/>
              </w:rPr>
              <w:t> </w:t>
            </w:r>
            <w:r>
              <w:rPr>
                <w:rFonts w:ascii="宋体" w:hAnsi="宋体" w:cs="宋体" w:eastAsia="宋体" w:hint="default"/>
                <w:sz w:val="18"/>
                <w:szCs w:val="18"/>
              </w:rPr>
              <w:t>声呐功</w:t>
            </w:r>
            <w:r>
              <w:rPr>
                <w:rFonts w:ascii="宋体" w:hAnsi="宋体" w:cs="宋体" w:eastAsia="宋体" w:hint="default"/>
                <w:sz w:val="18"/>
                <w:szCs w:val="18"/>
              </w:rPr>
              <w:t> 放</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1,247,844.29</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1,247,844.29</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控制激励模 块</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534,790.41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534,790.41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毫米波宽带 成像雷达</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935,883.21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935,883.21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KU</w:t>
            </w:r>
            <w:r>
              <w:rPr>
                <w:rFonts w:ascii="宋体" w:hAnsi="宋体" w:cs="宋体" w:eastAsia="宋体" w:hint="default"/>
                <w:spacing w:val="-46"/>
                <w:sz w:val="18"/>
                <w:szCs w:val="18"/>
              </w:rPr>
              <w:t> </w:t>
            </w:r>
            <w:r>
              <w:rPr>
                <w:rFonts w:ascii="宋体" w:hAnsi="宋体" w:cs="宋体" w:eastAsia="宋体" w:hint="default"/>
                <w:sz w:val="18"/>
                <w:szCs w:val="18"/>
              </w:rPr>
              <w:t>波段信号</w:t>
            </w:r>
            <w:r>
              <w:rPr>
                <w:rFonts w:ascii="宋体" w:hAnsi="宋体" w:cs="宋体" w:eastAsia="宋体" w:hint="default"/>
                <w:sz w:val="18"/>
                <w:szCs w:val="18"/>
              </w:rPr>
              <w:t> 源</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668,488.01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668,488.01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05"/>
              <w:jc w:val="center"/>
              <w:rPr>
                <w:rFonts w:ascii="宋体" w:hAnsi="宋体" w:cs="宋体" w:eastAsia="宋体" w:hint="default"/>
                <w:sz w:val="18"/>
                <w:szCs w:val="18"/>
              </w:rPr>
            </w:pPr>
            <w:r>
              <w:rPr>
                <w:rFonts w:ascii="宋体" w:hAnsi="宋体" w:cs="宋体" w:eastAsia="宋体" w:hint="default"/>
                <w:sz w:val="18"/>
                <w:szCs w:val="18"/>
              </w:rPr>
              <w:t>毫米波引信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757,619.75</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757,619.75</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VLF</w:t>
            </w:r>
            <w:r>
              <w:rPr>
                <w:rFonts w:ascii="宋体" w:hAnsi="宋体" w:cs="宋体" w:eastAsia="宋体" w:hint="default"/>
                <w:spacing w:val="-47"/>
                <w:sz w:val="18"/>
                <w:szCs w:val="18"/>
              </w:rPr>
              <w:t> </w:t>
            </w:r>
            <w:r>
              <w:rPr>
                <w:rFonts w:ascii="宋体" w:hAnsi="宋体" w:cs="宋体" w:eastAsia="宋体" w:hint="default"/>
                <w:sz w:val="18"/>
                <w:szCs w:val="18"/>
              </w:rPr>
              <w:t>通信系</w:t>
            </w:r>
            <w:r>
              <w:rPr>
                <w:rFonts w:ascii="宋体" w:hAnsi="宋体" w:cs="宋体" w:eastAsia="宋体" w:hint="default"/>
                <w:sz w:val="18"/>
                <w:szCs w:val="18"/>
              </w:rPr>
              <w:t> 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623,922.14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623,922.14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超宽带天线 及</w:t>
            </w:r>
            <w:r>
              <w:rPr>
                <w:rFonts w:ascii="宋体" w:hAnsi="宋体" w:cs="宋体" w:eastAsia="宋体" w:hint="default"/>
                <w:spacing w:val="-46"/>
                <w:sz w:val="18"/>
                <w:szCs w:val="18"/>
              </w:rPr>
              <w:t> </w:t>
            </w:r>
            <w:r>
              <w:rPr>
                <w:rFonts w:ascii="宋体" w:hAnsi="宋体" w:cs="宋体" w:eastAsia="宋体" w:hint="default"/>
                <w:sz w:val="18"/>
                <w:szCs w:val="18"/>
              </w:rPr>
              <w:t>VPX</w:t>
            </w:r>
            <w:r>
              <w:rPr>
                <w:rFonts w:ascii="宋体" w:hAnsi="宋体" w:cs="宋体" w:eastAsia="宋体" w:hint="default"/>
                <w:spacing w:val="-47"/>
                <w:sz w:val="18"/>
                <w:szCs w:val="18"/>
              </w:rPr>
              <w:t> </w:t>
            </w:r>
            <w:r>
              <w:rPr>
                <w:rFonts w:ascii="宋体" w:hAnsi="宋体" w:cs="宋体" w:eastAsia="宋体" w:hint="default"/>
                <w:sz w:val="18"/>
                <w:szCs w:val="18"/>
              </w:rPr>
              <w:t>射频</w:t>
            </w:r>
            <w:r>
              <w:rPr>
                <w:rFonts w:ascii="宋体" w:hAnsi="宋体" w:cs="宋体" w:eastAsia="宋体" w:hint="default"/>
                <w:sz w:val="18"/>
                <w:szCs w:val="18"/>
              </w:rPr>
              <w:t> 系统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668,488.01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668,488.01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长波模拟接 收通道</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713,053.88</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713,053.88</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05"/>
              <w:jc w:val="center"/>
              <w:rPr>
                <w:rFonts w:ascii="宋体" w:hAnsi="宋体" w:cs="宋体" w:eastAsia="宋体" w:hint="default"/>
                <w:sz w:val="18"/>
                <w:szCs w:val="18"/>
              </w:rPr>
            </w:pPr>
            <w:r>
              <w:rPr>
                <w:rFonts w:ascii="宋体" w:hAnsi="宋体" w:cs="宋体" w:eastAsia="宋体" w:hint="default"/>
                <w:sz w:val="18"/>
                <w:szCs w:val="18"/>
              </w:rPr>
              <w:t>跟踪接收机</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668,488.01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668,488.01</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模拟接收通 道</w:t>
            </w:r>
          </w:p>
        </w:tc>
        <w:tc>
          <w:tcPr>
            <w:tcW w:w="130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623,922.14</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623,922.14</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sz w:val="18"/>
              </w:rPr>
              <w:t>33,881,307.23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66,071,703.51</w:t>
            </w:r>
          </w:p>
        </w:tc>
        <w:tc>
          <w:tcPr>
            <w:tcW w:w="6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宋体" w:hAnsi="宋体" w:cs="宋体" w:eastAsia="宋体" w:hint="default"/>
                <w:sz w:val="18"/>
                <w:szCs w:val="18"/>
              </w:rPr>
            </w:pPr>
            <w:r>
              <w:rPr>
                <w:rFonts w:ascii="宋体"/>
                <w:sz w:val="18"/>
              </w:rPr>
              <w:t>14,129,266.34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49,860,452.26</w:t>
            </w:r>
          </w:p>
        </w:tc>
        <w:tc>
          <w:tcPr>
            <w:tcW w:w="7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35,963,292.14</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2、商誉" w:id="286"/>
      <w:bookmarkEnd w:id="286"/>
      <w:r>
        <w:rPr>
          <w:b w:val="0"/>
          <w:bCs w:val="0"/>
        </w:rPr>
      </w:r>
      <w:r>
        <w:rPr/>
        <w:t>22、商誉</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商誉账面原值" w:id="287"/>
      <w:bookmarkEnd w:id="287"/>
      <w:r>
        <w:rPr>
          <w:b w:val="0"/>
          <w:bCs w:val="0"/>
        </w:rPr>
      </w:r>
      <w:r>
        <w:rPr/>
        <w:t>（1）商誉账面原值</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17"/>
        <w:gridCol w:w="1515"/>
        <w:gridCol w:w="1560"/>
        <w:gridCol w:w="945"/>
        <w:gridCol w:w="1198"/>
        <w:gridCol w:w="1247"/>
        <w:gridCol w:w="1487"/>
      </w:tblGrid>
      <w:tr>
        <w:trPr>
          <w:trHeight w:val="402"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4" w:right="17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151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4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24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161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烟台华东电子软</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left"/>
              <w:rPr>
                <w:rFonts w:ascii="宋体" w:hAnsi="宋体" w:cs="宋体" w:eastAsia="宋体" w:hint="default"/>
                <w:sz w:val="18"/>
                <w:szCs w:val="18"/>
              </w:rPr>
            </w:pPr>
            <w:r>
              <w:rPr>
                <w:rFonts w:ascii="宋体"/>
                <w:sz w:val="18"/>
              </w:rPr>
              <w:t>84,135,934.22</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3" w:right="0"/>
              <w:jc w:val="left"/>
              <w:rPr>
                <w:rFonts w:ascii="宋体" w:hAnsi="宋体" w:cs="宋体" w:eastAsia="宋体" w:hint="default"/>
                <w:sz w:val="18"/>
                <w:szCs w:val="18"/>
              </w:rPr>
            </w:pPr>
            <w:r>
              <w:rPr>
                <w:rFonts w:ascii="宋体"/>
                <w:sz w:val="18"/>
              </w:rPr>
              <w:t>84,135,934.22</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17"/>
        <w:gridCol w:w="1515"/>
        <w:gridCol w:w="1560"/>
        <w:gridCol w:w="945"/>
        <w:gridCol w:w="1198"/>
        <w:gridCol w:w="1247"/>
        <w:gridCol w:w="1487"/>
      </w:tblGrid>
      <w:tr>
        <w:trPr>
          <w:trHeight w:val="362" w:hRule="exact"/>
        </w:trPr>
        <w:tc>
          <w:tcPr>
            <w:tcW w:w="161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件技术有限公司</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101" w:right="243"/>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4,181,796.25</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center"/>
              <w:rPr>
                <w:rFonts w:ascii="宋体" w:hAnsi="宋体" w:cs="宋体" w:eastAsia="宋体" w:hint="default"/>
                <w:sz w:val="18"/>
                <w:szCs w:val="18"/>
              </w:rPr>
            </w:pPr>
            <w:r>
              <w:rPr>
                <w:rFonts w:ascii="宋体"/>
                <w:sz w:val="18"/>
              </w:rPr>
              <w:t>4,181,796.25</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 w:right="243"/>
              <w:jc w:val="left"/>
              <w:rPr>
                <w:rFonts w:ascii="宋体" w:hAnsi="宋体" w:cs="宋体" w:eastAsia="宋体" w:hint="default"/>
                <w:sz w:val="18"/>
                <w:szCs w:val="18"/>
              </w:rPr>
            </w:pPr>
            <w:r>
              <w:rPr>
                <w:rFonts w:ascii="宋体" w:hAnsi="宋体" w:cs="宋体" w:eastAsia="宋体" w:hint="default"/>
                <w:sz w:val="18"/>
                <w:szCs w:val="18"/>
              </w:rPr>
              <w:t>上海亲益保网络 科技有限公司</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30,517,480.91</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18"/>
                <w:szCs w:val="18"/>
              </w:rPr>
            </w:pPr>
            <w:r>
              <w:rPr>
                <w:rFonts w:ascii="宋体"/>
                <w:sz w:val="18"/>
              </w:rPr>
              <w:t>30,517,480.91</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101" w:right="243"/>
              <w:jc w:val="left"/>
              <w:rPr>
                <w:rFonts w:ascii="宋体" w:hAnsi="宋体" w:cs="宋体" w:eastAsia="宋体" w:hint="default"/>
                <w:sz w:val="18"/>
                <w:szCs w:val="18"/>
              </w:rPr>
            </w:pPr>
            <w:r>
              <w:rPr>
                <w:rFonts w:ascii="宋体" w:hAnsi="宋体" w:cs="宋体" w:eastAsia="宋体" w:hint="default"/>
                <w:sz w:val="18"/>
                <w:szCs w:val="18"/>
              </w:rPr>
              <w:t>安徽光大保险代 理有限责任公司</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1,800,625.42</w:t>
            </w:r>
          </w:p>
        </w:tc>
        <w:tc>
          <w:tcPr>
            <w:tcW w:w="156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center"/>
              <w:rPr>
                <w:rFonts w:ascii="宋体" w:hAnsi="宋体" w:cs="宋体" w:eastAsia="宋体" w:hint="default"/>
                <w:sz w:val="18"/>
                <w:szCs w:val="18"/>
              </w:rPr>
            </w:pPr>
            <w:r>
              <w:rPr>
                <w:rFonts w:ascii="宋体"/>
                <w:sz w:val="18"/>
              </w:rPr>
              <w:t>1,800,625.42</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 w:right="243"/>
              <w:jc w:val="left"/>
              <w:rPr>
                <w:rFonts w:ascii="宋体" w:hAnsi="宋体" w:cs="宋体" w:eastAsia="宋体" w:hint="default"/>
                <w:sz w:val="18"/>
                <w:szCs w:val="18"/>
              </w:rPr>
            </w:pPr>
            <w:r>
              <w:rPr>
                <w:rFonts w:ascii="宋体" w:hAnsi="宋体" w:cs="宋体" w:eastAsia="宋体" w:hint="default"/>
                <w:sz w:val="18"/>
                <w:szCs w:val="18"/>
              </w:rPr>
              <w:t>成都赛英科技有 限公司</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225,581,557.33</w:t>
            </w:r>
          </w:p>
        </w:tc>
        <w:tc>
          <w:tcPr>
            <w:tcW w:w="94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225,581,557.33</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120,635,836.80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225,581,557.33</w:t>
            </w:r>
          </w:p>
        </w:tc>
        <w:tc>
          <w:tcPr>
            <w:tcW w:w="94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宋体" w:hAnsi="宋体" w:cs="宋体" w:eastAsia="宋体" w:hint="default"/>
                <w:sz w:val="18"/>
                <w:szCs w:val="18"/>
              </w:rPr>
            </w:pPr>
            <w:r>
              <w:rPr>
                <w:rFonts w:ascii="宋体"/>
                <w:sz w:val="18"/>
              </w:rPr>
              <w:t>346,217,394.13</w:t>
            </w:r>
          </w:p>
        </w:tc>
      </w:tr>
    </w:tbl>
    <w:p>
      <w:pPr>
        <w:spacing w:line="240" w:lineRule="auto" w:before="5"/>
        <w:rPr>
          <w:rFonts w:ascii="宋体" w:hAnsi="宋体" w:cs="宋体" w:eastAsia="宋体" w:hint="default"/>
          <w:sz w:val="19"/>
          <w:szCs w:val="19"/>
        </w:rPr>
      </w:pPr>
    </w:p>
    <w:p>
      <w:pPr>
        <w:pStyle w:val="Heading6"/>
        <w:spacing w:line="240" w:lineRule="auto" w:before="34"/>
        <w:ind w:right="2127"/>
        <w:jc w:val="left"/>
        <w:rPr>
          <w:b w:val="0"/>
          <w:bCs w:val="0"/>
        </w:rPr>
      </w:pPr>
      <w:bookmarkStart w:name="（2）商誉减值准备" w:id="288"/>
      <w:bookmarkEnd w:id="288"/>
      <w:r>
        <w:rPr>
          <w:b w:val="0"/>
          <w:bCs w:val="0"/>
        </w:rPr>
      </w:r>
      <w:r>
        <w:rPr/>
        <w:t>（2）商誉减值准备</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508"/>
        <w:gridCol w:w="1226"/>
        <w:gridCol w:w="1367"/>
        <w:gridCol w:w="1247"/>
        <w:gridCol w:w="148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6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2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24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vMerge/>
            <w:tcBorders>
              <w:left w:val="single" w:sz="4" w:space="0" w:color="000000"/>
              <w:bottom w:val="single" w:sz="4" w:space="0" w:color="000000"/>
              <w:right w:val="single" w:sz="4" w:space="0" w:color="000000"/>
            </w:tcBorders>
            <w:shd w:val="clear" w:color="auto" w:fill="D2D2D2"/>
          </w:tcPr>
          <w:p>
            <w:pPr/>
          </w:p>
        </w:tc>
      </w:tr>
      <w:tr>
        <w:trPr>
          <w:trHeight w:val="359"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上海亲益保网</w:t>
            </w:r>
          </w:p>
        </w:tc>
        <w:tc>
          <w:tcPr>
            <w:tcW w:w="1367" w:type="dxa"/>
            <w:vMerge w:val="restart"/>
            <w:tcBorders>
              <w:top w:val="single" w:sz="4" w:space="0" w:color="000000"/>
              <w:left w:val="single" w:sz="4" w:space="0" w:color="000000"/>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
        </w:tc>
        <w:tc>
          <w:tcPr>
            <w:tcW w:w="122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247" w:type="dxa"/>
            <w:vMerge w:val="restart"/>
            <w:tcBorders>
              <w:top w:val="single" w:sz="4" w:space="0" w:color="000000"/>
              <w:left w:val="single" w:sz="4" w:space="0" w:color="000000"/>
              <w:right w:val="single" w:sz="4" w:space="0" w:color="000000"/>
            </w:tcBorders>
          </w:tcPr>
          <w:p>
            <w:pPr/>
          </w:p>
        </w:tc>
        <w:tc>
          <w:tcPr>
            <w:tcW w:w="14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络科技有限公</w:t>
            </w:r>
          </w:p>
        </w:tc>
        <w:tc>
          <w:tcPr>
            <w:tcW w:w="1367"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30,517,480.91</w:t>
            </w:r>
          </w:p>
        </w:tc>
        <w:tc>
          <w:tcPr>
            <w:tcW w:w="122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30,517,480.91</w:t>
            </w:r>
          </w:p>
        </w:tc>
      </w:tr>
      <w:tr>
        <w:trPr>
          <w:trHeight w:val="355"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vMerge/>
            <w:tcBorders>
              <w:left w:val="single" w:sz="4" w:space="0" w:color="000000"/>
              <w:bottom w:val="single" w:sz="4" w:space="0" w:color="000000"/>
              <w:right w:val="single" w:sz="4" w:space="0" w:color="000000"/>
            </w:tcBorders>
          </w:tcPr>
          <w:p>
            <w:pPr/>
          </w:p>
        </w:tc>
        <w:tc>
          <w:tcPr>
            <w:tcW w:w="1508" w:type="dxa"/>
            <w:tcBorders>
              <w:top w:val="nil" w:sz="6" w:space="0" w:color="auto"/>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148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安徽光大保险</w:t>
            </w:r>
          </w:p>
        </w:tc>
        <w:tc>
          <w:tcPr>
            <w:tcW w:w="1367" w:type="dxa"/>
            <w:vMerge w:val="restart"/>
            <w:tcBorders>
              <w:top w:val="single" w:sz="4" w:space="0" w:color="000000"/>
              <w:left w:val="single" w:sz="4" w:space="0" w:color="000000"/>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
        </w:tc>
        <w:tc>
          <w:tcPr>
            <w:tcW w:w="122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247" w:type="dxa"/>
            <w:vMerge w:val="restart"/>
            <w:tcBorders>
              <w:top w:val="single" w:sz="4" w:space="0" w:color="000000"/>
              <w:left w:val="single" w:sz="4" w:space="0" w:color="000000"/>
              <w:right w:val="single" w:sz="4" w:space="0" w:color="000000"/>
            </w:tcBorders>
          </w:tcPr>
          <w:p>
            <w:pPr/>
          </w:p>
        </w:tc>
        <w:tc>
          <w:tcPr>
            <w:tcW w:w="14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代理有限责任</w:t>
            </w:r>
          </w:p>
        </w:tc>
        <w:tc>
          <w:tcPr>
            <w:tcW w:w="1367"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1,800,625.42</w:t>
            </w:r>
          </w:p>
        </w:tc>
        <w:tc>
          <w:tcPr>
            <w:tcW w:w="122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1,800,625.42</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vMerge/>
            <w:tcBorders>
              <w:left w:val="single" w:sz="4" w:space="0" w:color="000000"/>
              <w:bottom w:val="single" w:sz="4" w:space="0" w:color="000000"/>
              <w:right w:val="single" w:sz="4" w:space="0" w:color="000000"/>
            </w:tcBorders>
          </w:tcPr>
          <w:p>
            <w:pPr/>
          </w:p>
        </w:tc>
        <w:tc>
          <w:tcPr>
            <w:tcW w:w="1508" w:type="dxa"/>
            <w:tcBorders>
              <w:top w:val="nil" w:sz="6" w:space="0" w:color="auto"/>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148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32,318,106.33</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32,318,106.33</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73" w:lineRule="auto" w:before="91"/>
        <w:ind w:left="115" w:right="0" w:firstLine="420"/>
        <w:jc w:val="left"/>
      </w:pPr>
      <w:r>
        <w:rPr>
          <w:w w:val="95"/>
        </w:rPr>
        <w:t>（1）成都赛英科技有限公司主营业务为电子产品的生产与销售，公司盈利预测的业务也只有电子产</w:t>
      </w:r>
      <w:r>
        <w:rPr>
          <w:spacing w:val="-85"/>
          <w:w w:val="95"/>
        </w:rPr>
        <w:t> </w:t>
      </w:r>
      <w:r>
        <w:rPr>
          <w:spacing w:val="-85"/>
          <w:w w:val="95"/>
        </w:rPr>
      </w:r>
      <w:r>
        <w:rPr/>
        <w:t>品的生产与销售，无新增业务。</w:t>
      </w:r>
    </w:p>
    <w:p>
      <w:pPr>
        <w:pStyle w:val="BodyText"/>
        <w:spacing w:line="273" w:lineRule="auto"/>
        <w:ind w:left="115" w:right="0" w:firstLine="420"/>
        <w:jc w:val="left"/>
      </w:pPr>
      <w:r>
        <w:rPr>
          <w:w w:val="95"/>
        </w:rPr>
        <w:t>（2）安徽汉高信息科技有限公司主营业务为提供系统集成与技术服务，公司盈利预测的业务也只有</w:t>
      </w:r>
      <w:r>
        <w:rPr>
          <w:spacing w:val="-85"/>
          <w:w w:val="95"/>
        </w:rPr>
        <w:t> </w:t>
      </w:r>
      <w:r>
        <w:rPr>
          <w:spacing w:val="-85"/>
          <w:w w:val="95"/>
        </w:rPr>
      </w:r>
      <w:r>
        <w:rPr/>
        <w:t>系统集成与技术服务业务，无新增业务。</w:t>
      </w:r>
    </w:p>
    <w:p>
      <w:pPr>
        <w:pStyle w:val="BodyText"/>
        <w:spacing w:line="273" w:lineRule="auto"/>
        <w:ind w:left="115" w:right="0" w:firstLine="420"/>
        <w:jc w:val="left"/>
      </w:pPr>
      <w:r>
        <w:rPr>
          <w:w w:val="95"/>
        </w:rPr>
        <w:t>（3）上海亲益保网络科技有限公司主营业务为提供计算机软件等领域的技术开发、技术咨询和技术</w:t>
      </w:r>
      <w:r>
        <w:rPr>
          <w:spacing w:val="-85"/>
          <w:w w:val="95"/>
        </w:rPr>
        <w:t> </w:t>
      </w:r>
      <w:r>
        <w:rPr>
          <w:spacing w:val="-85"/>
          <w:w w:val="95"/>
        </w:rPr>
      </w:r>
      <w:r>
        <w:rPr/>
        <w:t>服务，公司盈利预测的业务也只有计算机软件等领域的技术开发、技术咨询和技术服务，无新增业务。</w:t>
      </w:r>
    </w:p>
    <w:p>
      <w:pPr>
        <w:pStyle w:val="BodyText"/>
        <w:spacing w:line="273" w:lineRule="auto"/>
        <w:ind w:left="115" w:right="0" w:firstLine="420"/>
        <w:jc w:val="left"/>
      </w:pPr>
      <w:r>
        <w:rPr>
          <w:w w:val="95"/>
        </w:rPr>
        <w:t>（4）安徽光大保险代理有限责任公司主营业务为代理销售保险产品，公司盈利预测的业务也只有代</w:t>
      </w:r>
      <w:r>
        <w:rPr>
          <w:spacing w:val="-85"/>
          <w:w w:val="95"/>
        </w:rPr>
        <w:t> </w:t>
      </w:r>
      <w:r>
        <w:rPr>
          <w:spacing w:val="-85"/>
          <w:w w:val="95"/>
        </w:rPr>
      </w:r>
      <w:r>
        <w:rPr/>
        <w:t>理销售保险产品业务，无新增业务。</w:t>
      </w:r>
    </w:p>
    <w:p>
      <w:pPr>
        <w:pStyle w:val="BodyText"/>
        <w:spacing w:line="273" w:lineRule="auto"/>
        <w:ind w:left="115" w:right="0" w:firstLine="420"/>
        <w:jc w:val="left"/>
      </w:pPr>
      <w:r>
        <w:rPr/>
        <w:t>（5）烟台华东软件电子技术有限公司：在商誉形成日仅为一个单体公司，在报告基准日有五项股权</w:t>
      </w:r>
      <w:r>
        <w:rPr>
          <w:w w:val="99"/>
        </w:rPr>
        <w:t> </w:t>
      </w:r>
      <w:r>
        <w:rPr>
          <w:w w:val="95"/>
        </w:rPr>
        <w:t>投资，分别为：三家全资子公司（宁波拖柜宝物流科技有限责任公司、烟台华东电子科技有限公司、烟台</w:t>
      </w:r>
      <w:r>
        <w:rPr>
          <w:spacing w:val="35"/>
          <w:w w:val="95"/>
        </w:rPr>
        <w:t> </w:t>
      </w:r>
      <w:r>
        <w:rPr>
          <w:spacing w:val="35"/>
          <w:w w:val="95"/>
        </w:rPr>
      </w:r>
      <w:r>
        <w:rPr>
          <w:spacing w:val="-5"/>
          <w:w w:val="99"/>
        </w:rPr>
        <w:t>华东数据科技有限公司）；一家控股孙公司（上海舶云供应链管理有限公司）；一家控股重孙公司（浙江自</w:t>
      </w:r>
      <w:r>
        <w:rPr>
          <w:spacing w:val="-79"/>
          <w:w w:val="99"/>
        </w:rPr>
        <w:t> </w:t>
      </w:r>
      <w:r>
        <w:rPr>
          <w:spacing w:val="-79"/>
          <w:w w:val="99"/>
        </w:rPr>
      </w:r>
      <w:r>
        <w:rPr>
          <w:spacing w:val="-2"/>
          <w:w w:val="99"/>
        </w:rPr>
        <w:t>贸区舶云智慧物流有限公司）。因为烟台华东电子科技有限公司承接了烟台华东软件电子技术有限公司的</w:t>
      </w:r>
      <w:r>
        <w:rPr>
          <w:spacing w:val="-95"/>
          <w:w w:val="99"/>
        </w:rPr>
        <w:t> </w:t>
      </w:r>
      <w:r>
        <w:rPr>
          <w:spacing w:val="-95"/>
          <w:w w:val="99"/>
        </w:rPr>
      </w:r>
      <w:r>
        <w:rPr>
          <w:w w:val="95"/>
        </w:rPr>
        <w:t>原有业务，能产生现金流的最小资产单元包括烟台华东电子科技有限公司和烟台华东软件电子技术有限公</w:t>
      </w:r>
      <w:r>
        <w:rPr>
          <w:spacing w:val="37"/>
          <w:w w:val="95"/>
        </w:rPr>
        <w:t> </w:t>
      </w:r>
      <w:r>
        <w:rPr>
          <w:spacing w:val="37"/>
          <w:w w:val="95"/>
        </w:rPr>
      </w:r>
      <w:r>
        <w:rPr>
          <w:w w:val="95"/>
        </w:rPr>
        <w:t>司经营性长期资产及营运资金。故将作为与商誉相关的资产组。其余四项股权投资公司与初始商誉无关。</w:t>
      </w:r>
      <w:r>
        <w:rPr/>
      </w:r>
    </w:p>
    <w:p>
      <w:pPr>
        <w:pStyle w:val="BodyText"/>
        <w:spacing w:line="240" w:lineRule="auto"/>
        <w:ind w:left="532" w:right="2127"/>
        <w:jc w:val="left"/>
      </w:pPr>
      <w:r>
        <w:rPr/>
        <w:t>截至 2018 年 12 月 31</w:t>
      </w:r>
      <w:r>
        <w:rPr>
          <w:spacing w:val="-11"/>
        </w:rPr>
        <w:t> </w:t>
      </w:r>
      <w:r>
        <w:rPr/>
        <w:t>日，资产组构成如下：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518"/>
        <w:gridCol w:w="2268"/>
        <w:gridCol w:w="1985"/>
        <w:gridCol w:w="1560"/>
      </w:tblGrid>
      <w:tr>
        <w:trPr>
          <w:trHeight w:val="352" w:hRule="exact"/>
        </w:trPr>
        <w:tc>
          <w:tcPr>
            <w:tcW w:w="25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77" w:right="0"/>
              <w:jc w:val="left"/>
              <w:rPr>
                <w:rFonts w:ascii="宋体" w:hAnsi="宋体" w:cs="宋体" w:eastAsia="宋体" w:hint="default"/>
                <w:sz w:val="18"/>
                <w:szCs w:val="18"/>
              </w:rPr>
            </w:pPr>
            <w:r>
              <w:rPr>
                <w:rFonts w:ascii="宋体" w:hAnsi="宋体" w:cs="宋体" w:eastAsia="宋体" w:hint="default"/>
                <w:sz w:val="18"/>
                <w:szCs w:val="18"/>
              </w:rPr>
              <w:t>资产组构成</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84" w:right="0"/>
              <w:jc w:val="left"/>
              <w:rPr>
                <w:rFonts w:ascii="宋体" w:hAnsi="宋体" w:cs="宋体" w:eastAsia="宋体" w:hint="default"/>
                <w:sz w:val="18"/>
                <w:szCs w:val="18"/>
              </w:rPr>
            </w:pPr>
            <w:r>
              <w:rPr>
                <w:rFonts w:ascii="宋体" w:hAnsi="宋体" w:cs="宋体" w:eastAsia="宋体" w:hint="default"/>
                <w:sz w:val="18"/>
                <w:szCs w:val="18"/>
              </w:rPr>
              <w:t>包含商誉的资产组账面</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3" w:right="0"/>
              <w:jc w:val="left"/>
              <w:rPr>
                <w:rFonts w:ascii="宋体" w:hAnsi="宋体" w:cs="宋体" w:eastAsia="宋体" w:hint="default"/>
                <w:sz w:val="18"/>
                <w:szCs w:val="18"/>
              </w:rPr>
            </w:pPr>
            <w:r>
              <w:rPr>
                <w:rFonts w:ascii="宋体" w:hAnsi="宋体" w:cs="宋体" w:eastAsia="宋体" w:hint="default"/>
                <w:sz w:val="18"/>
                <w:szCs w:val="18"/>
              </w:rPr>
              <w:t>资产组是否与购买</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518"/>
        <w:gridCol w:w="2268"/>
        <w:gridCol w:w="1985"/>
        <w:gridCol w:w="1560"/>
      </w:tblGrid>
      <w:tr>
        <w:trPr>
          <w:trHeight w:val="354" w:hRule="exact"/>
        </w:trPr>
        <w:tc>
          <w:tcPr>
            <w:tcW w:w="2518" w:type="dxa"/>
            <w:tcBorders>
              <w:top w:val="single" w:sz="6" w:space="0" w:color="000000"/>
              <w:left w:val="single" w:sz="6" w:space="0" w:color="000000"/>
              <w:bottom w:val="single" w:sz="12" w:space="0" w:color="000000"/>
              <w:right w:val="single" w:sz="6" w:space="0" w:color="000000"/>
            </w:tcBorders>
          </w:tcPr>
          <w:p>
            <w:pPr/>
          </w:p>
        </w:tc>
        <w:tc>
          <w:tcPr>
            <w:tcW w:w="2268"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33" w:right="0"/>
              <w:jc w:val="left"/>
              <w:rPr>
                <w:rFonts w:ascii="宋体" w:hAnsi="宋体" w:cs="宋体" w:eastAsia="宋体" w:hint="default"/>
                <w:sz w:val="18"/>
                <w:szCs w:val="18"/>
              </w:rPr>
            </w:pPr>
            <w:r>
              <w:rPr>
                <w:rFonts w:ascii="宋体" w:hAnsi="宋体" w:cs="宋体" w:eastAsia="宋体" w:hint="default"/>
                <w:sz w:val="18"/>
                <w:szCs w:val="18"/>
              </w:rPr>
              <w:t>价值（元）</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日一致</w:t>
            </w:r>
          </w:p>
        </w:tc>
      </w:tr>
      <w:tr>
        <w:trPr>
          <w:trHeight w:val="674"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成都赛英电子科技有限公司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1037" w:right="45" w:hanging="992"/>
              <w:jc w:val="left"/>
              <w:rPr>
                <w:rFonts w:ascii="宋体" w:hAnsi="宋体" w:cs="宋体" w:eastAsia="宋体" w:hint="default"/>
                <w:sz w:val="18"/>
                <w:szCs w:val="18"/>
              </w:rPr>
            </w:pPr>
            <w:r>
              <w:rPr>
                <w:rFonts w:ascii="宋体" w:hAnsi="宋体" w:cs="宋体" w:eastAsia="宋体" w:hint="default"/>
                <w:sz w:val="18"/>
                <w:szCs w:val="18"/>
              </w:rPr>
              <w:t>所有经营性可辨认资产与商 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265,660,482.84</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安徽汉高信息技术有限公司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1037" w:right="45" w:hanging="992"/>
              <w:jc w:val="left"/>
              <w:rPr>
                <w:rFonts w:ascii="宋体" w:hAnsi="宋体" w:cs="宋体" w:eastAsia="宋体" w:hint="default"/>
                <w:sz w:val="18"/>
                <w:szCs w:val="18"/>
              </w:rPr>
            </w:pPr>
            <w:r>
              <w:rPr>
                <w:rFonts w:ascii="宋体" w:hAnsi="宋体" w:cs="宋体" w:eastAsia="宋体" w:hint="default"/>
                <w:sz w:val="18"/>
                <w:szCs w:val="18"/>
              </w:rPr>
              <w:t>所有经营性可辨认资产与商 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110,965,873.19</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3"/>
              <w:ind w:left="3" w:right="159"/>
              <w:jc w:val="left"/>
              <w:rPr>
                <w:rFonts w:ascii="宋体" w:hAnsi="宋体" w:cs="宋体" w:eastAsia="宋体" w:hint="default"/>
                <w:sz w:val="18"/>
                <w:szCs w:val="18"/>
              </w:rPr>
            </w:pPr>
            <w:r>
              <w:rPr>
                <w:rFonts w:ascii="宋体" w:hAnsi="宋体" w:cs="宋体" w:eastAsia="宋体" w:hint="default"/>
                <w:sz w:val="18"/>
                <w:szCs w:val="18"/>
              </w:rPr>
              <w:t>烟台华东软件电子技术有限公 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3"/>
              <w:ind w:left="1037" w:right="45" w:hanging="992"/>
              <w:jc w:val="left"/>
              <w:rPr>
                <w:rFonts w:ascii="宋体" w:hAnsi="宋体" w:cs="宋体" w:eastAsia="宋体" w:hint="default"/>
                <w:sz w:val="18"/>
                <w:szCs w:val="18"/>
              </w:rPr>
            </w:pPr>
            <w:r>
              <w:rPr>
                <w:rFonts w:ascii="宋体" w:hAnsi="宋体" w:cs="宋体" w:eastAsia="宋体" w:hint="default"/>
                <w:sz w:val="18"/>
                <w:szCs w:val="18"/>
              </w:rPr>
              <w:t>所有经营性可辨认资产与商 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298,726,468.09</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1037" w:right="45" w:hanging="992"/>
              <w:jc w:val="left"/>
              <w:rPr>
                <w:rFonts w:ascii="宋体" w:hAnsi="宋体" w:cs="宋体" w:eastAsia="宋体" w:hint="default"/>
                <w:sz w:val="18"/>
                <w:szCs w:val="18"/>
              </w:rPr>
            </w:pPr>
            <w:r>
              <w:rPr>
                <w:rFonts w:ascii="宋体" w:hAnsi="宋体" w:cs="宋体" w:eastAsia="宋体" w:hint="default"/>
                <w:sz w:val="18"/>
                <w:szCs w:val="18"/>
              </w:rPr>
              <w:t>所有经营性可辨认资产与商 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30,671,422.74</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2"/>
                <w:sz w:val="18"/>
                <w:szCs w:val="18"/>
              </w:rPr>
              <w:t>安徽光大保险代理有限责任公</w:t>
            </w:r>
            <w:r>
              <w:rPr>
                <w:rFonts w:ascii="宋体" w:hAnsi="宋体" w:cs="宋体" w:eastAsia="宋体" w:hint="default"/>
                <w:sz w:val="18"/>
                <w:szCs w:val="18"/>
              </w:rPr>
              <w:t> 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1037" w:right="45" w:hanging="992"/>
              <w:jc w:val="left"/>
              <w:rPr>
                <w:rFonts w:ascii="宋体" w:hAnsi="宋体" w:cs="宋体" w:eastAsia="宋体" w:hint="default"/>
                <w:sz w:val="18"/>
                <w:szCs w:val="18"/>
              </w:rPr>
            </w:pPr>
            <w:r>
              <w:rPr>
                <w:rFonts w:ascii="宋体" w:hAnsi="宋体" w:cs="宋体" w:eastAsia="宋体" w:hint="default"/>
                <w:sz w:val="18"/>
                <w:szCs w:val="18"/>
              </w:rPr>
              <w:t>所有经营性可辨认资产与商 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3,728,655.55</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一致</w:t>
            </w:r>
          </w:p>
        </w:tc>
      </w:tr>
    </w:tbl>
    <w:p>
      <w:pPr>
        <w:spacing w:line="316" w:lineRule="auto" w:before="53"/>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等）及商誉减值损失的确认方法：</w:t>
      </w:r>
    </w:p>
    <w:p>
      <w:pPr>
        <w:pStyle w:val="BodyText"/>
        <w:spacing w:line="240" w:lineRule="auto" w:before="32"/>
        <w:ind w:left="532" w:right="0"/>
        <w:jc w:val="left"/>
      </w:pPr>
      <w:r>
        <w:rPr/>
        <w:t>公司按照资产组的预计未来现金流量及折现率计算现值确定可收回金额进行商誉减值测算：</w:t>
      </w:r>
    </w:p>
    <w:p>
      <w:pPr>
        <w:pStyle w:val="BodyText"/>
        <w:spacing w:line="240" w:lineRule="auto" w:before="37"/>
        <w:ind w:left="7252" w:right="2127"/>
        <w:jc w:val="left"/>
      </w:pPr>
      <w:r>
        <w:rPr/>
        <w:t>单位：元</w:t>
      </w: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900"/>
        <w:gridCol w:w="1274"/>
        <w:gridCol w:w="1329"/>
        <w:gridCol w:w="1275"/>
        <w:gridCol w:w="1189"/>
        <w:gridCol w:w="1220"/>
      </w:tblGrid>
      <w:tr>
        <w:trPr>
          <w:trHeight w:val="978" w:hRule="exact"/>
        </w:trPr>
        <w:tc>
          <w:tcPr>
            <w:tcW w:w="1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2"/>
              <w:ind w:left="90" w:right="86"/>
              <w:jc w:val="left"/>
              <w:rPr>
                <w:rFonts w:ascii="宋体" w:hAnsi="宋体" w:cs="宋体" w:eastAsia="宋体" w:hint="default"/>
                <w:sz w:val="18"/>
                <w:szCs w:val="18"/>
              </w:rPr>
            </w:pPr>
            <w:r>
              <w:rPr>
                <w:rFonts w:ascii="宋体" w:hAnsi="宋体" w:cs="宋体" w:eastAsia="宋体" w:hint="default"/>
                <w:sz w:val="18"/>
                <w:szCs w:val="18"/>
              </w:rPr>
              <w:t>成都赛英电子 科技有限公司</w:t>
            </w:r>
          </w:p>
        </w:tc>
        <w:tc>
          <w:tcPr>
            <w:tcW w:w="132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2"/>
              <w:ind w:left="206" w:right="26" w:hanging="180"/>
              <w:jc w:val="left"/>
              <w:rPr>
                <w:rFonts w:ascii="宋体" w:hAnsi="宋体" w:cs="宋体" w:eastAsia="宋体" w:hint="default"/>
                <w:sz w:val="18"/>
                <w:szCs w:val="18"/>
              </w:rPr>
            </w:pPr>
            <w:r>
              <w:rPr>
                <w:rFonts w:ascii="宋体" w:hAnsi="宋体" w:cs="宋体" w:eastAsia="宋体" w:hint="default"/>
                <w:sz w:val="18"/>
                <w:szCs w:val="18"/>
              </w:rPr>
              <w:t>安徽汉高信息技 术有限公司</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2"/>
              <w:ind w:left="2" w:right="175"/>
              <w:jc w:val="both"/>
              <w:rPr>
                <w:rFonts w:ascii="宋体" w:hAnsi="宋体" w:cs="宋体" w:eastAsia="宋体" w:hint="default"/>
                <w:sz w:val="18"/>
                <w:szCs w:val="18"/>
              </w:rPr>
            </w:pPr>
            <w:r>
              <w:rPr>
                <w:rFonts w:ascii="宋体" w:hAnsi="宋体" w:cs="宋体" w:eastAsia="宋体" w:hint="default"/>
                <w:sz w:val="18"/>
                <w:szCs w:val="18"/>
              </w:rPr>
              <w:t>烟台华东软件 电子技术有限 公司</w:t>
            </w:r>
          </w:p>
        </w:tc>
        <w:tc>
          <w:tcPr>
            <w:tcW w:w="118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2"/>
              <w:ind w:left="45" w:right="48"/>
              <w:jc w:val="center"/>
              <w:rPr>
                <w:rFonts w:ascii="宋体" w:hAnsi="宋体" w:cs="宋体" w:eastAsia="宋体" w:hint="default"/>
                <w:sz w:val="18"/>
                <w:szCs w:val="18"/>
              </w:rPr>
            </w:pPr>
            <w:r>
              <w:rPr>
                <w:rFonts w:ascii="宋体" w:hAnsi="宋体" w:cs="宋体" w:eastAsia="宋体" w:hint="default"/>
                <w:sz w:val="18"/>
                <w:szCs w:val="18"/>
              </w:rPr>
              <w:t>上海亲益保网 络科技有限公 司</w:t>
            </w:r>
          </w:p>
        </w:tc>
        <w:tc>
          <w:tcPr>
            <w:tcW w:w="1220"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2"/>
              <w:ind w:left="63" w:right="68"/>
              <w:jc w:val="center"/>
              <w:rPr>
                <w:rFonts w:ascii="宋体" w:hAnsi="宋体" w:cs="宋体" w:eastAsia="宋体" w:hint="default"/>
                <w:sz w:val="18"/>
                <w:szCs w:val="18"/>
              </w:rPr>
            </w:pPr>
            <w:r>
              <w:rPr>
                <w:rFonts w:ascii="宋体" w:hAnsi="宋体" w:cs="宋体" w:eastAsia="宋体" w:hint="default"/>
                <w:sz w:val="18"/>
                <w:szCs w:val="18"/>
              </w:rPr>
              <w:t>安徽光大保险 代理有限责任 公司</w:t>
            </w: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商誉①</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225,581,557.3</w:t>
            </w:r>
          </w:p>
          <w:p>
            <w:pPr>
              <w:pStyle w:val="TableParagraph"/>
              <w:spacing w:line="240" w:lineRule="auto" w:before="76"/>
              <w:ind w:right="1"/>
              <w:jc w:val="right"/>
              <w:rPr>
                <w:rFonts w:ascii="宋体" w:hAnsi="宋体" w:cs="宋体" w:eastAsia="宋体" w:hint="default"/>
                <w:sz w:val="18"/>
                <w:szCs w:val="18"/>
              </w:rPr>
            </w:pPr>
            <w:r>
              <w:rPr>
                <w:rFonts w:ascii="宋体"/>
                <w:sz w:val="18"/>
              </w:rPr>
              <w:t>3</w:t>
            </w: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4,181,796.25</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84,135,934.22</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30,517,480.9</w:t>
            </w:r>
          </w:p>
          <w:p>
            <w:pPr>
              <w:pStyle w:val="TableParagraph"/>
              <w:spacing w:line="240" w:lineRule="auto" w:before="76"/>
              <w:ind w:right="0"/>
              <w:jc w:val="right"/>
              <w:rPr>
                <w:rFonts w:ascii="宋体" w:hAnsi="宋体" w:cs="宋体" w:eastAsia="宋体" w:hint="default"/>
                <w:sz w:val="18"/>
                <w:szCs w:val="18"/>
              </w:rPr>
            </w:pPr>
            <w:r>
              <w:rPr>
                <w:rFonts w:ascii="宋体"/>
                <w:sz w:val="18"/>
              </w:rPr>
              <w:t>1</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1,800,625.42</w:t>
            </w: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归属于少数股东权益的 商誉②</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4,017,804.24</w:t>
            </w:r>
          </w:p>
        </w:tc>
        <w:tc>
          <w:tcPr>
            <w:tcW w:w="1275"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整体商誉③＝①+②</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225,581,557.3</w:t>
            </w:r>
          </w:p>
          <w:p>
            <w:pPr>
              <w:pStyle w:val="TableParagraph"/>
              <w:spacing w:line="240" w:lineRule="auto" w:before="76"/>
              <w:ind w:right="1"/>
              <w:jc w:val="right"/>
              <w:rPr>
                <w:rFonts w:ascii="宋体" w:hAnsi="宋体" w:cs="宋体" w:eastAsia="宋体" w:hint="default"/>
                <w:sz w:val="18"/>
                <w:szCs w:val="18"/>
              </w:rPr>
            </w:pPr>
            <w:r>
              <w:rPr>
                <w:rFonts w:ascii="宋体"/>
                <w:sz w:val="18"/>
              </w:rPr>
              <w:t>3</w:t>
            </w: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8,199,600.49</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84,135,934.22</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30,517,480.9</w:t>
            </w:r>
          </w:p>
          <w:p>
            <w:pPr>
              <w:pStyle w:val="TableParagraph"/>
              <w:spacing w:line="240" w:lineRule="auto" w:before="76"/>
              <w:ind w:right="0"/>
              <w:jc w:val="right"/>
              <w:rPr>
                <w:rFonts w:ascii="宋体" w:hAnsi="宋体" w:cs="宋体" w:eastAsia="宋体" w:hint="default"/>
                <w:sz w:val="18"/>
                <w:szCs w:val="18"/>
              </w:rPr>
            </w:pPr>
            <w:r>
              <w:rPr>
                <w:rFonts w:ascii="宋体"/>
                <w:sz w:val="18"/>
              </w:rPr>
              <w:t>1</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right"/>
              <w:rPr>
                <w:rFonts w:ascii="宋体" w:hAnsi="宋体" w:cs="宋体" w:eastAsia="宋体" w:hint="default"/>
                <w:sz w:val="18"/>
                <w:szCs w:val="18"/>
              </w:rPr>
            </w:pPr>
            <w:r>
              <w:rPr>
                <w:rFonts w:ascii="宋体"/>
                <w:spacing w:val="-1"/>
                <w:sz w:val="18"/>
              </w:rPr>
              <w:t>1,800,625.42</w:t>
            </w: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资产组账面价值④</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40,078,925.51</w:t>
            </w: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102,766,272.70</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214,590,533.8</w:t>
            </w:r>
          </w:p>
          <w:p>
            <w:pPr>
              <w:pStyle w:val="TableParagraph"/>
              <w:spacing w:line="240" w:lineRule="auto" w:before="76"/>
              <w:ind w:right="1"/>
              <w:jc w:val="right"/>
              <w:rPr>
                <w:rFonts w:ascii="宋体" w:hAnsi="宋体" w:cs="宋体" w:eastAsia="宋体" w:hint="default"/>
                <w:sz w:val="18"/>
                <w:szCs w:val="18"/>
              </w:rPr>
            </w:pPr>
            <w:r>
              <w:rPr>
                <w:rFonts w:ascii="宋体"/>
                <w:sz w:val="18"/>
              </w:rPr>
              <w:t>7</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153,941.83</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spacing w:val="-1"/>
                <w:sz w:val="18"/>
              </w:rPr>
              <w:t>1,928,030.13</w:t>
            </w: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81"/>
              <w:jc w:val="left"/>
              <w:rPr>
                <w:rFonts w:ascii="宋体" w:hAnsi="宋体" w:cs="宋体" w:eastAsia="宋体" w:hint="default"/>
                <w:sz w:val="18"/>
                <w:szCs w:val="18"/>
              </w:rPr>
            </w:pPr>
            <w:r>
              <w:rPr>
                <w:rFonts w:ascii="宋体" w:hAnsi="宋体" w:cs="宋体" w:eastAsia="宋体" w:hint="default"/>
                <w:sz w:val="18"/>
                <w:szCs w:val="18"/>
              </w:rPr>
              <w:t>包含整体商誉的资产组 账面价值⑤=④+③</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265,660,482.8</w:t>
            </w:r>
          </w:p>
          <w:p>
            <w:pPr>
              <w:pStyle w:val="TableParagraph"/>
              <w:spacing w:line="240" w:lineRule="auto" w:before="76"/>
              <w:ind w:right="1"/>
              <w:jc w:val="right"/>
              <w:rPr>
                <w:rFonts w:ascii="宋体" w:hAnsi="宋体" w:cs="宋体" w:eastAsia="宋体" w:hint="default"/>
                <w:sz w:val="18"/>
                <w:szCs w:val="18"/>
              </w:rPr>
            </w:pPr>
            <w:r>
              <w:rPr>
                <w:rFonts w:ascii="宋体"/>
                <w:sz w:val="18"/>
              </w:rPr>
              <w:t>4</w:t>
            </w: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110,965,873.19</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298,726,468.0</w:t>
            </w:r>
          </w:p>
          <w:p>
            <w:pPr>
              <w:pStyle w:val="TableParagraph"/>
              <w:spacing w:line="240" w:lineRule="auto" w:before="76"/>
              <w:ind w:right="1"/>
              <w:jc w:val="right"/>
              <w:rPr>
                <w:rFonts w:ascii="宋体" w:hAnsi="宋体" w:cs="宋体" w:eastAsia="宋体" w:hint="default"/>
                <w:sz w:val="18"/>
                <w:szCs w:val="18"/>
              </w:rPr>
            </w:pPr>
            <w:r>
              <w:rPr>
                <w:rFonts w:ascii="宋体"/>
                <w:sz w:val="18"/>
              </w:rPr>
              <w:t>9</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30,671,422.7</w:t>
            </w:r>
          </w:p>
          <w:p>
            <w:pPr>
              <w:pStyle w:val="TableParagraph"/>
              <w:spacing w:line="240" w:lineRule="auto" w:before="76"/>
              <w:ind w:right="0"/>
              <w:jc w:val="right"/>
              <w:rPr>
                <w:rFonts w:ascii="宋体" w:hAnsi="宋体" w:cs="宋体" w:eastAsia="宋体" w:hint="default"/>
                <w:sz w:val="18"/>
                <w:szCs w:val="18"/>
              </w:rPr>
            </w:pPr>
            <w:r>
              <w:rPr>
                <w:rFonts w:ascii="宋体"/>
                <w:sz w:val="18"/>
              </w:rPr>
              <w:t>4</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spacing w:val="-1"/>
                <w:sz w:val="18"/>
              </w:rPr>
              <w:t>3,728,655.55</w:t>
            </w: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81"/>
              <w:jc w:val="left"/>
              <w:rPr>
                <w:rFonts w:ascii="宋体" w:hAnsi="宋体" w:cs="宋体" w:eastAsia="宋体" w:hint="default"/>
                <w:sz w:val="18"/>
                <w:szCs w:val="18"/>
              </w:rPr>
            </w:pPr>
            <w:r>
              <w:rPr>
                <w:rFonts w:ascii="宋体" w:hAnsi="宋体" w:cs="宋体" w:eastAsia="宋体" w:hint="default"/>
                <w:sz w:val="18"/>
                <w:szCs w:val="18"/>
              </w:rPr>
              <w:t>预计未来现金流量的现 值⑥</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354,461,162.9</w:t>
            </w:r>
          </w:p>
          <w:p>
            <w:pPr>
              <w:pStyle w:val="TableParagraph"/>
              <w:spacing w:line="240" w:lineRule="auto" w:before="76"/>
              <w:ind w:right="1"/>
              <w:jc w:val="right"/>
              <w:rPr>
                <w:rFonts w:ascii="宋体" w:hAnsi="宋体" w:cs="宋体" w:eastAsia="宋体" w:hint="default"/>
                <w:sz w:val="18"/>
                <w:szCs w:val="18"/>
              </w:rPr>
            </w:pPr>
            <w:r>
              <w:rPr>
                <w:rFonts w:ascii="宋体"/>
                <w:sz w:val="18"/>
              </w:rPr>
              <w:t>7</w:t>
            </w: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195,488,097.19</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356,927,514.2</w:t>
            </w:r>
          </w:p>
          <w:p>
            <w:pPr>
              <w:pStyle w:val="TableParagraph"/>
              <w:spacing w:line="240" w:lineRule="auto" w:before="76"/>
              <w:ind w:right="1"/>
              <w:jc w:val="right"/>
              <w:rPr>
                <w:rFonts w:ascii="宋体" w:hAnsi="宋体" w:cs="宋体" w:eastAsia="宋体" w:hint="default"/>
                <w:sz w:val="18"/>
                <w:szCs w:val="18"/>
              </w:rPr>
            </w:pPr>
            <w:r>
              <w:rPr>
                <w:rFonts w:ascii="宋体"/>
                <w:sz w:val="18"/>
              </w:rPr>
              <w:t>3</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159,241.68</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spacing w:val="-1"/>
                <w:sz w:val="18"/>
              </w:rPr>
              <w:t>1,964,079.71</w:t>
            </w: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3" w:right="81"/>
              <w:jc w:val="left"/>
              <w:rPr>
                <w:rFonts w:ascii="宋体" w:hAnsi="宋体" w:cs="宋体" w:eastAsia="宋体" w:hint="default"/>
                <w:sz w:val="18"/>
                <w:szCs w:val="18"/>
              </w:rPr>
            </w:pPr>
            <w:r>
              <w:rPr>
                <w:rFonts w:ascii="宋体" w:hAnsi="宋体" w:cs="宋体" w:eastAsia="宋体" w:hint="default"/>
                <w:sz w:val="18"/>
                <w:szCs w:val="18"/>
              </w:rPr>
              <w:t>整体商誉减值损失（⑤ 大于⑥时）⑦=⑤-⑥</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
        </w:tc>
        <w:tc>
          <w:tcPr>
            <w:tcW w:w="1275"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30,517,480.9</w:t>
            </w:r>
          </w:p>
          <w:p>
            <w:pPr>
              <w:pStyle w:val="TableParagraph"/>
              <w:spacing w:line="240" w:lineRule="auto" w:before="76"/>
              <w:ind w:right="0"/>
              <w:jc w:val="right"/>
              <w:rPr>
                <w:rFonts w:ascii="宋体" w:hAnsi="宋体" w:cs="宋体" w:eastAsia="宋体" w:hint="default"/>
                <w:sz w:val="18"/>
                <w:szCs w:val="18"/>
              </w:rPr>
            </w:pPr>
            <w:r>
              <w:rPr>
                <w:rFonts w:ascii="宋体"/>
                <w:sz w:val="18"/>
              </w:rPr>
              <w:t>1</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1,800,625.42</w:t>
            </w:r>
          </w:p>
        </w:tc>
      </w:tr>
      <w:tr>
        <w:trPr>
          <w:trHeight w:val="362"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母公司持股比例⑧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100.00%</w:t>
            </w: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51.00%</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100.00%</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100.00%</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pacing w:val="-1"/>
                <w:sz w:val="18"/>
              </w:rPr>
              <w:t>100.00%</w:t>
            </w:r>
          </w:p>
        </w:tc>
      </w:tr>
      <w:tr>
        <w:trPr>
          <w:trHeight w:val="674" w:hRule="exact"/>
        </w:trPr>
        <w:tc>
          <w:tcPr>
            <w:tcW w:w="19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归属于母公司的商誉减 值损失⑨=⑦*⑧</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
        </w:tc>
        <w:tc>
          <w:tcPr>
            <w:tcW w:w="1275"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30,517,480.9</w:t>
            </w:r>
          </w:p>
          <w:p>
            <w:pPr>
              <w:pStyle w:val="TableParagraph"/>
              <w:spacing w:line="240" w:lineRule="auto" w:before="76"/>
              <w:ind w:right="0"/>
              <w:jc w:val="right"/>
              <w:rPr>
                <w:rFonts w:ascii="宋体" w:hAnsi="宋体" w:cs="宋体" w:eastAsia="宋体" w:hint="default"/>
                <w:sz w:val="18"/>
                <w:szCs w:val="18"/>
              </w:rPr>
            </w:pPr>
            <w:r>
              <w:rPr>
                <w:rFonts w:ascii="宋体"/>
                <w:sz w:val="18"/>
              </w:rPr>
              <w:t>1</w:t>
            </w:r>
          </w:p>
        </w:tc>
        <w:tc>
          <w:tcPr>
            <w:tcW w:w="12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right"/>
              <w:rPr>
                <w:rFonts w:ascii="宋体" w:hAnsi="宋体" w:cs="宋体" w:eastAsia="宋体" w:hint="default"/>
                <w:sz w:val="18"/>
                <w:szCs w:val="18"/>
              </w:rPr>
            </w:pPr>
            <w:r>
              <w:rPr>
                <w:rFonts w:ascii="宋体"/>
                <w:spacing w:val="-1"/>
                <w:sz w:val="18"/>
              </w:rPr>
              <w:t>1,800,625.42</w:t>
            </w:r>
          </w:p>
        </w:tc>
      </w:tr>
    </w:tbl>
    <w:p>
      <w:pPr>
        <w:spacing w:line="240" w:lineRule="auto" w:before="4"/>
        <w:rPr>
          <w:rFonts w:ascii="宋体" w:hAnsi="宋体" w:cs="宋体" w:eastAsia="宋体" w:hint="default"/>
          <w:sz w:val="8"/>
          <w:szCs w:val="8"/>
        </w:rPr>
      </w:pPr>
    </w:p>
    <w:p>
      <w:pPr>
        <w:pStyle w:val="BodyText"/>
        <w:spacing w:line="240" w:lineRule="auto" w:before="34"/>
        <w:ind w:left="532" w:right="2127"/>
        <w:jc w:val="left"/>
      </w:pPr>
      <w:r>
        <w:rPr/>
        <w:t>成都赛英电子科技有限公司预计未来现金流量的主要参数：</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10.24%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稳定期毛利率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73.11%</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参考历史毛利率</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69"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12.93%</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3.86%</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0.9746</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5.59%</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未来5年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pStyle w:val="BodyText"/>
        <w:spacing w:line="240" w:lineRule="auto" w:before="34"/>
        <w:ind w:left="532" w:right="2127"/>
        <w:jc w:val="left"/>
      </w:pPr>
      <w:r>
        <w:rPr/>
        <w:t>安徽汉高信息技术有限公司预计未来现金流量的主要参数：</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预测期收入增长率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4.28%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参考历史毛利率并略有下调</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15.63%</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72" w:right="0"/>
              <w:jc w:val="left"/>
              <w:rPr>
                <w:rFonts w:ascii="宋体" w:hAnsi="宋体" w:cs="宋体" w:eastAsia="宋体" w:hint="default"/>
                <w:sz w:val="18"/>
                <w:szCs w:val="18"/>
              </w:rPr>
            </w:pPr>
            <w:r>
              <w:rPr>
                <w:rFonts w:ascii="宋体"/>
                <w:sz w:val="18"/>
              </w:rPr>
              <w:t>3.98 %</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0.8715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7.24%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未来5年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8"/>
          <w:szCs w:val="8"/>
        </w:rPr>
      </w:pPr>
    </w:p>
    <w:p>
      <w:pPr>
        <w:pStyle w:val="BodyText"/>
        <w:spacing w:line="240" w:lineRule="auto" w:before="34"/>
        <w:ind w:left="532" w:right="2127"/>
        <w:jc w:val="left"/>
      </w:pPr>
      <w:r>
        <w:rPr/>
        <w:t>烟台华东软件电子技术有限公司预计未来现金流量的主要参数：</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预测期收入增长率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9.15%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39.75%左右</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参考历史毛利率并略有下调</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17.72%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72" w:right="0"/>
              <w:jc w:val="left"/>
              <w:rPr>
                <w:rFonts w:ascii="宋体" w:hAnsi="宋体" w:cs="宋体" w:eastAsia="宋体" w:hint="default"/>
                <w:sz w:val="18"/>
                <w:szCs w:val="18"/>
              </w:rPr>
            </w:pPr>
            <w:r>
              <w:rPr>
                <w:rFonts w:ascii="宋体"/>
                <w:sz w:val="18"/>
              </w:rPr>
              <w:t>3.98 %</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0.8715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7.24%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3.00%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未来5年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pStyle w:val="BodyText"/>
        <w:spacing w:line="240" w:lineRule="auto" w:before="34"/>
        <w:ind w:left="532" w:right="2127"/>
        <w:jc w:val="left"/>
      </w:pPr>
      <w:r>
        <w:rPr/>
        <w:t>上海亲益保网络科技有限公司预计未来现金流量的主要参数：</w:t>
      </w: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662"/>
              <w:jc w:val="right"/>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659"/>
              <w:jc w:val="right"/>
              <w:rPr>
                <w:rFonts w:ascii="宋体" w:hAnsi="宋体" w:cs="宋体" w:eastAsia="宋体" w:hint="default"/>
                <w:sz w:val="18"/>
                <w:szCs w:val="18"/>
              </w:rPr>
            </w:pPr>
            <w:r>
              <w:rPr>
                <w:rFonts w:ascii="宋体"/>
                <w:sz w:val="18"/>
              </w:rPr>
              <w:t>-30%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571"/>
              <w:jc w:val="right"/>
              <w:rPr>
                <w:rFonts w:ascii="宋体" w:hAnsi="宋体" w:cs="宋体" w:eastAsia="宋体" w:hint="default"/>
                <w:sz w:val="18"/>
                <w:szCs w:val="18"/>
              </w:rPr>
            </w:pPr>
            <w:r>
              <w:rPr>
                <w:rFonts w:ascii="宋体"/>
                <w:spacing w:val="-1"/>
                <w:sz w:val="18"/>
              </w:rPr>
              <w:t>18.51%</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参考历史毛利率</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571"/>
              <w:jc w:val="right"/>
              <w:rPr>
                <w:rFonts w:ascii="宋体" w:hAnsi="宋体" w:cs="宋体" w:eastAsia="宋体" w:hint="default"/>
                <w:sz w:val="18"/>
                <w:szCs w:val="18"/>
              </w:rPr>
            </w:pPr>
            <w:r>
              <w:rPr>
                <w:rFonts w:ascii="宋体"/>
                <w:spacing w:val="-1"/>
                <w:sz w:val="18"/>
              </w:rPr>
              <w:t>17.78%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616"/>
              <w:jc w:val="right"/>
              <w:rPr>
                <w:rFonts w:ascii="宋体" w:hAnsi="宋体" w:cs="宋体" w:eastAsia="宋体" w:hint="default"/>
                <w:sz w:val="18"/>
                <w:szCs w:val="18"/>
              </w:rPr>
            </w:pPr>
            <w:r>
              <w:rPr>
                <w:rFonts w:ascii="宋体"/>
                <w:spacing w:val="-1"/>
                <w:sz w:val="18"/>
              </w:rPr>
              <w:t>4.32%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571"/>
              <w:jc w:val="right"/>
              <w:rPr>
                <w:rFonts w:ascii="宋体" w:hAnsi="宋体" w:cs="宋体" w:eastAsia="宋体" w:hint="default"/>
                <w:sz w:val="18"/>
                <w:szCs w:val="18"/>
              </w:rPr>
            </w:pPr>
            <w:r>
              <w:rPr>
                <w:rFonts w:ascii="宋体"/>
                <w:spacing w:val="-1"/>
                <w:sz w:val="18"/>
              </w:rPr>
              <w:t>0.8715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0"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616"/>
              <w:jc w:val="right"/>
              <w:rPr>
                <w:rFonts w:ascii="宋体" w:hAnsi="宋体" w:cs="宋体" w:eastAsia="宋体" w:hint="default"/>
                <w:sz w:val="18"/>
                <w:szCs w:val="18"/>
              </w:rPr>
            </w:pPr>
            <w:r>
              <w:rPr>
                <w:rFonts w:ascii="宋体"/>
                <w:spacing w:val="-1"/>
                <w:sz w:val="18"/>
              </w:rPr>
              <w:t>6.90%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69"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3.00%</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未来5年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8"/>
          <w:szCs w:val="8"/>
        </w:rPr>
      </w:pPr>
    </w:p>
    <w:p>
      <w:pPr>
        <w:pStyle w:val="BodyText"/>
        <w:spacing w:line="240" w:lineRule="auto" w:before="34"/>
        <w:ind w:left="532" w:right="2127"/>
        <w:jc w:val="left"/>
      </w:pPr>
      <w:r>
        <w:rPr/>
        <w:t>安徽光大保险代理有限责任公司预计未来现金流量的主要参数：</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-24.44%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27.49%</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参考历史毛利率</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17.78%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4.32%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0.8715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6.90%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3.00%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未来5年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pStyle w:val="BodyText"/>
        <w:spacing w:line="273" w:lineRule="auto" w:before="34"/>
        <w:ind w:right="1112" w:firstLine="420"/>
        <w:jc w:val="both"/>
      </w:pPr>
      <w:r>
        <w:rPr>
          <w:w w:val="95"/>
        </w:rPr>
        <w:t>公司期末对与商誉相关的资产组进行了减值测试，在进行减值测试时，将商誉的账面价值分摊至预期</w:t>
      </w:r>
      <w:r>
        <w:rPr>
          <w:w w:val="99"/>
        </w:rPr>
        <w:t> </w:t>
      </w:r>
      <w:r>
        <w:rPr>
          <w:w w:val="95"/>
        </w:rPr>
        <w:t>从企业合并的协同效应中受益的资产组或资产组组合。然后将资产组账面价值与其可收回金额进行比较，</w:t>
      </w:r>
      <w:r>
        <w:rPr>
          <w:spacing w:val="61"/>
          <w:w w:val="95"/>
        </w:rPr>
        <w:t> </w:t>
      </w:r>
      <w:r>
        <w:rPr>
          <w:spacing w:val="61"/>
          <w:w w:val="95"/>
        </w:rPr>
      </w:r>
      <w:r>
        <w:rPr/>
        <w:t>以确定资产组（包括商誉）是否发生了减值。</w:t>
      </w:r>
    </w:p>
    <w:p>
      <w:pPr>
        <w:spacing w:before="71"/>
        <w:ind w:left="112" w:right="2127"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pStyle w:val="BodyText"/>
        <w:spacing w:line="273" w:lineRule="auto" w:before="91"/>
        <w:ind w:right="0" w:firstLine="420"/>
        <w:jc w:val="left"/>
      </w:pPr>
      <w:r>
        <w:rPr/>
        <w:t>赛英科技截止当期累计业绩承诺净利润为6,850万元，实际完成业绩为净利润6,738.54万元，业绩承</w:t>
      </w:r>
      <w:r>
        <w:rPr>
          <w:w w:val="99"/>
        </w:rPr>
        <w:t> </w:t>
      </w:r>
      <w:r>
        <w:rPr>
          <w:w w:val="95"/>
        </w:rPr>
        <w:t>诺没有实现的原因是承担了限制性股票激励费用导致其净利润减少了303.88万元，赛英科技未扣除限制性</w:t>
      </w:r>
      <w:r>
        <w:rPr>
          <w:spacing w:val="37"/>
          <w:w w:val="95"/>
        </w:rPr>
        <w:t> </w:t>
      </w:r>
      <w:r>
        <w:rPr>
          <w:spacing w:val="37"/>
          <w:w w:val="95"/>
        </w:rPr>
      </w:r>
      <w:r>
        <w:rPr/>
        <w:t>股票成本前的净利润为7042.42万元，大于业绩承诺金额，同时，由于限制性股票激励费用不产生现金流</w:t>
      </w:r>
      <w:r>
        <w:rPr>
          <w:w w:val="99"/>
        </w:rPr>
        <w:t> </w:t>
      </w:r>
      <w:r>
        <w:rPr/>
        <w:t>出，因此对商誉减值测试不产生影响。</w:t>
      </w:r>
    </w:p>
    <w:p>
      <w:pPr>
        <w:pStyle w:val="BodyText"/>
        <w:spacing w:line="273" w:lineRule="auto"/>
        <w:ind w:right="1132" w:firstLine="420"/>
        <w:jc w:val="both"/>
      </w:pPr>
      <w:r>
        <w:rPr>
          <w:w w:val="95"/>
        </w:rPr>
        <w:t>公司期末对与赛英科技商誉相关的资产组进行了减值测试，在进行减值测试时，将商誉的账面价值分</w:t>
      </w:r>
      <w:r>
        <w:rPr>
          <w:w w:val="99"/>
        </w:rPr>
        <w:t> </w:t>
      </w:r>
      <w:r>
        <w:rPr>
          <w:w w:val="95"/>
        </w:rPr>
        <w:t>摊至预期从企业合并的协同效应中受益的资产组或资产组组合。然后将资产组账面价值与其可收回金额进</w:t>
      </w:r>
      <w:r>
        <w:rPr>
          <w:spacing w:val="37"/>
          <w:w w:val="95"/>
        </w:rPr>
        <w:t> </w:t>
      </w:r>
      <w:r>
        <w:rPr>
          <w:spacing w:val="37"/>
          <w:w w:val="95"/>
        </w:rPr>
      </w:r>
      <w:r>
        <w:rPr/>
        <w:t>行比较，赛英科技商誉未发生减值。</w:t>
      </w:r>
    </w:p>
    <w:p>
      <w:pPr>
        <w:spacing w:before="7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left="532" w:right="0"/>
        <w:jc w:val="left"/>
      </w:pPr>
      <w:r>
        <w:rPr/>
        <w:t>本期新增系本公司报告期间收购成都赛英科技有限公司100%股权形成的商誉：</w:t>
      </w:r>
      <w:r>
        <w:rPr>
          <w:w w:val="99"/>
        </w:rPr>
        <w:t> </w:t>
      </w:r>
      <w:r>
        <w:rPr>
          <w:w w:val="95"/>
        </w:rPr>
        <w:t>易增辉等12名自然人与安徽皖通科技股份有限公司于2018年1月23日就出资的股权完成变更登记手</w:t>
      </w:r>
      <w:r>
        <w:rPr/>
      </w:r>
    </w:p>
    <w:p>
      <w:pPr>
        <w:pStyle w:val="BodyText"/>
        <w:spacing w:line="273" w:lineRule="auto"/>
        <w:ind w:right="2127"/>
        <w:jc w:val="left"/>
      </w:pPr>
      <w:r>
        <w:rPr>
          <w:w w:val="95"/>
        </w:rPr>
        <w:t>续，并取得换发的企业法人营业执照。购并日账面可辨认净资产116,442,096.28元，股权支付</w:t>
      </w:r>
      <w:r>
        <w:rPr>
          <w:spacing w:val="10"/>
          <w:w w:val="95"/>
        </w:rPr>
        <w:t> </w:t>
      </w:r>
      <w:r>
        <w:rPr>
          <w:spacing w:val="10"/>
          <w:w w:val="95"/>
        </w:rPr>
      </w:r>
      <w:r>
        <w:rPr/>
        <w:t>342,023,653.61元对价，产生225,581,557.33元商誉。</w:t>
      </w:r>
    </w:p>
    <w:p>
      <w:pPr>
        <w:spacing w:line="240" w:lineRule="auto" w:before="9"/>
        <w:rPr>
          <w:rFonts w:ascii="宋体" w:hAnsi="宋体" w:cs="宋体" w:eastAsia="宋体" w:hint="default"/>
          <w:sz w:val="23"/>
          <w:szCs w:val="23"/>
        </w:rPr>
      </w:pPr>
    </w:p>
    <w:p>
      <w:pPr>
        <w:pStyle w:val="Heading6"/>
        <w:spacing w:line="240" w:lineRule="auto"/>
        <w:ind w:right="2127"/>
        <w:jc w:val="left"/>
        <w:rPr>
          <w:b w:val="0"/>
          <w:bCs w:val="0"/>
        </w:rPr>
      </w:pPr>
      <w:bookmarkStart w:name="23、长期待摊费用" w:id="289"/>
      <w:bookmarkEnd w:id="289"/>
      <w:r>
        <w:rPr>
          <w:b w:val="0"/>
          <w:bCs w:val="0"/>
        </w:rPr>
      </w:r>
      <w:r>
        <w:rPr/>
        <w:t>23、长期待摊费用</w:t>
      </w:r>
      <w:r>
        <w:rPr>
          <w:b w:val="0"/>
          <w:bCs w:val="0"/>
        </w:rPr>
      </w:r>
    </w:p>
    <w:p>
      <w:pPr>
        <w:spacing w:line="240" w:lineRule="auto" w:before="7"/>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租入房屋装修费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460,714.31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389,618.19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417,348.58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432,983.92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460,714.31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389,618.19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417,348.58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432,983.92</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4、递延所得税资产/递延所得税负债" w:id="290"/>
      <w:bookmarkEnd w:id="290"/>
      <w:r>
        <w:rPr>
          <w:b w:val="0"/>
          <w:bCs w:val="0"/>
        </w:rPr>
      </w:r>
      <w:r>
        <w:rPr/>
        <w:t>24、递延所得税资产/递延所得税负债</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未经抵销的递延所得税资产" w:id="291"/>
      <w:bookmarkEnd w:id="291"/>
      <w:r>
        <w:rPr>
          <w:b w:val="0"/>
          <w:bCs w:val="0"/>
        </w:rPr>
      </w:r>
      <w:r>
        <w:rPr/>
        <w:t>（1）未经抵销的递延所得税资产</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5,080,625.71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1,270,156.43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4,231,647.02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1,057,911.76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32,981,737.03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5,154,589.59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23,920,486.20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3,890,814.55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14,439,416.08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2,244,368.16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11,525,677.68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1,760,834.73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796,868.40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119,530.26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697,259.85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104,588.98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6,841,533.29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1,361,038.32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3,259,977.01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449,946.55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可供出售金融资产减值 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26,259.34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26,259.34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695,206.89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104,281.03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2,681,728.66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402,259.30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230,187.93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34,528.19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79,010,449.68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12,980,223.13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64,722,026.63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10,427,143.40</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2）未经抵销的递延所得税负债" w:id="292"/>
      <w:bookmarkEnd w:id="292"/>
      <w:r>
        <w:rPr>
          <w:b w:val="0"/>
          <w:bCs w:val="0"/>
        </w:rPr>
      </w:r>
      <w:r>
        <w:rPr/>
        <w:t>（2）未经抵销的递延所得税负债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21,394,160.51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3,209,124.08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1,759,017.27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263,852.59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21,394,160.51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3,209,124.08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1,759,017.27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263,852.59</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3）以抵销后净额列示的递延所得税资产或负债" w:id="293"/>
      <w:bookmarkEnd w:id="293"/>
      <w:r>
        <w:rPr>
          <w:b w:val="0"/>
          <w:bCs w:val="0"/>
        </w:rPr>
      </w:r>
      <w:r>
        <w:rPr/>
        <w:t>（3）以抵销后净额列示的递延所得税资产或负债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12,980,223.13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10,427,143.40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3,209,124.08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263,852.59</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4）未确认递延所得税资产明细" w:id="294"/>
      <w:bookmarkEnd w:id="294"/>
      <w:r>
        <w:rPr>
          <w:b w:val="0"/>
          <w:bCs w:val="0"/>
        </w:rPr>
      </w:r>
      <w:r>
        <w:rPr/>
        <w:t>（4）未确认递延所得税资产明细</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20,996,765.96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14,557,567.91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38,443,598.81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878,890.14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25,678,899.05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23,372,207.65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14,108,856.67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99,228,120.49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38,808,665.70</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5）未确认递延所得税资产的可抵扣亏损将于以下年度到期" w:id="295"/>
      <w:bookmarkEnd w:id="295"/>
      <w:r>
        <w:rPr>
          <w:b w:val="0"/>
          <w:bCs w:val="0"/>
        </w:rPr>
      </w:r>
      <w:r>
        <w:rPr/>
        <w:t>（5）未确认递延所得税资产的可抵扣亏损将于以下年度到期</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1,376,611.96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1,432,855.33</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4,156,692.98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3,277,770.05</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4,458,099.86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4,538,850.39</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5,049,210.05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4,579,193.78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5,956,151.11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20,996,765.96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13,828,669.55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73" w:lineRule="auto" w:before="0"/>
        <w:ind w:right="0" w:firstLine="420"/>
        <w:jc w:val="left"/>
      </w:pPr>
      <w:r>
        <w:rPr>
          <w:w w:val="95"/>
        </w:rPr>
        <w:t>本期未确认递延所得税资产的可抵扣暂时性差异增加较多，主要系本期计提子公司安徽行云天下科技</w:t>
      </w:r>
      <w:r>
        <w:rPr>
          <w:w w:val="99"/>
        </w:rPr>
        <w:t> </w:t>
      </w:r>
      <w:r>
        <w:rPr/>
        <w:t>有限公司商誉减值准备32,318,106.33元未确认递延所得税资产所致。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2127"/>
        <w:jc w:val="left"/>
        <w:rPr>
          <w:b w:val="0"/>
          <w:bCs w:val="0"/>
        </w:rPr>
      </w:pPr>
      <w:bookmarkStart w:name="25、其他非流动资产" w:id="296"/>
      <w:bookmarkEnd w:id="296"/>
      <w:r>
        <w:rPr>
          <w:b w:val="0"/>
          <w:bCs w:val="0"/>
        </w:rPr>
      </w:r>
      <w:r>
        <w:rPr/>
        <w:t>25、其他非流动资产</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17,381,365.95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4,018,375.00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17,381,365.95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4,018,375.00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6、短期借款" w:id="297"/>
      <w:bookmarkEnd w:id="297"/>
      <w:r>
        <w:rPr>
          <w:b w:val="0"/>
          <w:bCs w:val="0"/>
        </w:rPr>
      </w:r>
      <w:r>
        <w:rPr/>
        <w:t>26、短期借款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短期借款分类" w:id="298"/>
      <w:bookmarkEnd w:id="298"/>
      <w:r>
        <w:rPr>
          <w:b w:val="0"/>
          <w:bCs w:val="0"/>
        </w:rPr>
      </w:r>
      <w:r>
        <w:rPr/>
        <w:t>（1）短期借款分类</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85" w:right="0"/>
              <w:jc w:val="left"/>
              <w:rPr>
                <w:rFonts w:ascii="宋体" w:hAnsi="宋体" w:cs="宋体" w:eastAsia="宋体" w:hint="default"/>
                <w:sz w:val="18"/>
                <w:szCs w:val="18"/>
              </w:rPr>
            </w:pPr>
            <w:r>
              <w:rPr>
                <w:rFonts w:ascii="宋体"/>
                <w:sz w:val="18"/>
              </w:rPr>
              <w:t>10,000,000.00</w:t>
            </w:r>
          </w:p>
        </w:tc>
      </w:tr>
    </w:tbl>
    <w:p>
      <w:pPr>
        <w:spacing w:after="0" w:line="240" w:lineRule="auto"/>
        <w:jc w:val="left"/>
        <w:rPr>
          <w:rFonts w:ascii="宋体" w:hAnsi="宋体" w:cs="宋体" w:eastAsia="宋体" w:hint="default"/>
          <w:sz w:val="18"/>
          <w:szCs w:val="18"/>
        </w:rPr>
        <w:sectPr>
          <w:footerReference w:type="default" r:id="rId33"/>
          <w:pgSz w:w="11910" w:h="16840"/>
          <w:pgMar w:footer="978" w:header="746" w:top="1060" w:bottom="1160" w:left="1020" w:right="0"/>
          <w:pgNumType w:start="16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0" w:right="0"/>
              <w:jc w:val="left"/>
              <w:rPr>
                <w:rFonts w:ascii="宋体" w:hAnsi="宋体" w:cs="宋体" w:eastAsia="宋体" w:hint="default"/>
                <w:sz w:val="18"/>
                <w:szCs w:val="18"/>
              </w:rPr>
            </w:pPr>
            <w:r>
              <w:rPr>
                <w:rFonts w:ascii="宋体"/>
                <w:sz w:val="18"/>
              </w:rPr>
              <w:t>27,000,000.00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85" w:right="0"/>
              <w:jc w:val="left"/>
              <w:rPr>
                <w:rFonts w:ascii="宋体" w:hAnsi="宋体" w:cs="宋体" w:eastAsia="宋体" w:hint="default"/>
                <w:sz w:val="18"/>
                <w:szCs w:val="18"/>
              </w:rPr>
            </w:pPr>
            <w:r>
              <w:rPr>
                <w:rFonts w:ascii="宋体"/>
                <w:sz w:val="18"/>
              </w:rPr>
              <w:t>10,000,000.00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73" w:lineRule="auto" w:before="92"/>
        <w:ind w:right="0" w:firstLine="420"/>
        <w:jc w:val="left"/>
      </w:pPr>
      <w:r>
        <w:rPr/>
        <w:t>（1）子公司安徽汉高信息科技有限公司向中信银行合肥分行和招商银行卫岗支行分别借款人民币</w:t>
      </w:r>
      <w:r>
        <w:rPr>
          <w:w w:val="99"/>
        </w:rPr>
        <w:t> </w:t>
      </w:r>
      <w:r>
        <w:rPr>
          <w:w w:val="95"/>
        </w:rPr>
        <w:t>1,000.00万元和600.00万元。中信银行合肥分行1,000.00万元借款分为两笔借入，其中500.00万元借款期</w:t>
      </w:r>
      <w:r>
        <w:rPr>
          <w:spacing w:val="40"/>
          <w:w w:val="95"/>
        </w:rPr>
        <w:t> </w:t>
      </w:r>
      <w:r>
        <w:rPr>
          <w:spacing w:val="40"/>
          <w:w w:val="95"/>
        </w:rPr>
      </w:r>
      <w:r>
        <w:rPr/>
        <w:t>限自2018年5月9日至2019年5月9日；另外500.00万元借款期限自2018年6月15日至2019年3月7日。以上两</w:t>
      </w:r>
      <w:r>
        <w:rPr>
          <w:w w:val="99"/>
        </w:rPr>
        <w:t> </w:t>
      </w:r>
      <w:r>
        <w:rPr>
          <w:w w:val="95"/>
        </w:rPr>
        <w:t>笔借款均由安徽皖通科技股份有限公司、安徽省交通物资有限责任公司共同提供最高额度为4,500.00万元</w:t>
      </w:r>
      <w:r>
        <w:rPr>
          <w:spacing w:val="37"/>
          <w:w w:val="95"/>
        </w:rPr>
        <w:t> </w:t>
      </w:r>
      <w:r>
        <w:rPr>
          <w:spacing w:val="37"/>
          <w:w w:val="95"/>
        </w:rPr>
      </w:r>
      <w:r>
        <w:rPr/>
        <w:t>担保。招商银行卫岗支行600.00万元借款也分为两笔借入，其中300.00万元借款期限自2018年8月3日至</w:t>
      </w:r>
      <w:r>
        <w:rPr>
          <w:w w:val="99"/>
        </w:rPr>
        <w:t> </w:t>
      </w:r>
      <w:r>
        <w:rPr>
          <w:w w:val="95"/>
        </w:rPr>
        <w:t>2019年4月2日；另外300.00万元借款期限自2018年9月6日至2019年4月7日，以上两笔借款均由安徽皖通科</w:t>
      </w:r>
      <w:r>
        <w:rPr>
          <w:spacing w:val="40"/>
          <w:w w:val="95"/>
        </w:rPr>
        <w:t> </w:t>
      </w:r>
      <w:r>
        <w:rPr>
          <w:spacing w:val="40"/>
          <w:w w:val="95"/>
        </w:rPr>
      </w:r>
      <w:r>
        <w:rPr/>
        <w:t>技股份有限公司、安徽省交通物资有限责任公司共同提供最高额度为2,000.00万元担保。</w:t>
      </w:r>
    </w:p>
    <w:p>
      <w:pPr>
        <w:pStyle w:val="BodyText"/>
        <w:spacing w:line="273" w:lineRule="auto"/>
        <w:ind w:right="0" w:firstLine="420"/>
        <w:jc w:val="left"/>
      </w:pPr>
      <w:r>
        <w:rPr/>
        <w:t>（2）子公司成都赛英科技有限公司于2018年12月27日和中国银行股份有限公司绵阳分行，四川九洲</w:t>
      </w:r>
      <w:r>
        <w:rPr>
          <w:w w:val="99"/>
        </w:rPr>
        <w:t> </w:t>
      </w:r>
      <w:r>
        <w:rPr/>
        <w:t>电器集团有限责任公司三方签订2018年绵中银融字006号贸易达业务合同，由四川九洲电器集团有限责任</w:t>
      </w:r>
      <w:r>
        <w:rPr>
          <w:w w:val="99"/>
        </w:rPr>
        <w:t> </w:t>
      </w:r>
      <w:r>
        <w:rPr/>
        <w:t>公司代理成都赛英科技有限公司向中国银行股份有限公司绵阳分行提出贸易达业务融资申请,成都赛英科</w:t>
      </w:r>
      <w:r>
        <w:rPr>
          <w:w w:val="99"/>
        </w:rPr>
        <w:t> </w:t>
      </w:r>
      <w:r>
        <w:rPr/>
        <w:t>技有限公司将对四川九洲电器集团有限责任公司的应收款转让给中国银行股份有限公司绵阳分行进行贸</w:t>
      </w:r>
      <w:r>
        <w:rPr>
          <w:w w:val="99"/>
        </w:rPr>
        <w:t> </w:t>
      </w:r>
      <w:r>
        <w:rPr/>
        <w:t>易融资。2018年12月27日，融资发放通知书显示融资本金11,000,000.00元，融资起息日为2018年11月27</w:t>
      </w:r>
      <w:r>
        <w:rPr>
          <w:w w:val="99"/>
        </w:rPr>
        <w:t> </w:t>
      </w:r>
      <w:r>
        <w:rPr>
          <w:w w:val="95"/>
        </w:rPr>
        <w:t>日，融资到期日为2019年6月25日，预收利息198,000.00元，手续费41,253.06元。扣除利息和手续费后，</w:t>
      </w:r>
      <w:r>
        <w:rPr>
          <w:spacing w:val="61"/>
          <w:w w:val="95"/>
        </w:rPr>
        <w:t> </w:t>
      </w:r>
      <w:r>
        <w:rPr>
          <w:spacing w:val="61"/>
          <w:w w:val="95"/>
        </w:rPr>
      </w:r>
      <w:r>
        <w:rPr/>
        <w:t>成都赛英科技有限公司收到贸易融资金额为10,760,746.94元。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2127"/>
        <w:jc w:val="left"/>
        <w:rPr>
          <w:b w:val="0"/>
          <w:bCs w:val="0"/>
        </w:rPr>
      </w:pPr>
      <w:bookmarkStart w:name="（2）已逾期未偿还的短期借款情况" w:id="299"/>
      <w:bookmarkEnd w:id="299"/>
      <w:r>
        <w:rPr>
          <w:b w:val="0"/>
          <w:bCs w:val="0"/>
        </w:rPr>
      </w:r>
      <w:r>
        <w:rPr/>
        <w:t>（2）已逾期未偿还的短期借款情况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7、以公允价值计量且其变动计入当期损益的金融负债" w:id="300"/>
      <w:bookmarkEnd w:id="300"/>
      <w:r>
        <w:rPr>
          <w:b w:val="0"/>
          <w:bCs w:val="0"/>
        </w:rPr>
      </w:r>
      <w:r>
        <w:rPr/>
        <w:t>27、以公允价值计量且其变动计入当期损益的金融负债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8、衍生金融负债" w:id="301"/>
      <w:bookmarkEnd w:id="301"/>
      <w:r>
        <w:rPr>
          <w:b w:val="0"/>
          <w:bCs w:val="0"/>
        </w:rPr>
      </w:r>
      <w:r>
        <w:rPr/>
        <w:t>28、衍生金融负债</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9、应付票据及应付账款" w:id="302"/>
      <w:bookmarkEnd w:id="302"/>
      <w:r>
        <w:rPr>
          <w:b w:val="0"/>
          <w:bCs w:val="0"/>
        </w:rPr>
      </w:r>
      <w:r>
        <w:rPr/>
        <w:t>29、应付票据及应付账款</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22,004,085.71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13,034,027.10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468,651,800.35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415,950,303.02</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97" w:right="0"/>
              <w:jc w:val="left"/>
              <w:rPr>
                <w:rFonts w:ascii="宋体" w:hAnsi="宋体" w:cs="宋体" w:eastAsia="宋体" w:hint="default"/>
                <w:sz w:val="18"/>
                <w:szCs w:val="18"/>
              </w:rPr>
            </w:pPr>
            <w:r>
              <w:rPr>
                <w:rFonts w:ascii="宋体"/>
                <w:sz w:val="18"/>
              </w:rPr>
              <w:t>490,655,886.06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97" w:right="0"/>
              <w:jc w:val="left"/>
              <w:rPr>
                <w:rFonts w:ascii="宋体" w:hAnsi="宋体" w:cs="宋体" w:eastAsia="宋体" w:hint="default"/>
                <w:sz w:val="18"/>
                <w:szCs w:val="18"/>
              </w:rPr>
            </w:pPr>
            <w:r>
              <w:rPr>
                <w:rFonts w:ascii="宋体"/>
                <w:sz w:val="18"/>
              </w:rPr>
              <w:t>428,984,330.12</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1）应付票据分类列示" w:id="303"/>
      <w:bookmarkEnd w:id="303"/>
      <w:r>
        <w:rPr>
          <w:b w:val="0"/>
          <w:bCs w:val="0"/>
        </w:rPr>
      </w:r>
      <w:r>
        <w:rPr/>
        <w:t>（1）应付票据分类列示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22,004,085.71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13,034,027.10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22,004,085.71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13,034,027.10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应付账款列示" w:id="304"/>
      <w:bookmarkEnd w:id="304"/>
      <w:r>
        <w:rPr>
          <w:b w:val="0"/>
          <w:bCs w:val="0"/>
        </w:rPr>
      </w:r>
      <w:r>
        <w:rPr/>
        <w:t>（2）应付账款列示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322,766,409.35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310,248,569.42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145,885,391.00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105,701,733.60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468,651,800.35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415,950,303.02</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3）账龄超过1年的重要应付账款" w:id="305"/>
      <w:bookmarkEnd w:id="305"/>
      <w:r>
        <w:rPr>
          <w:b w:val="0"/>
          <w:bCs w:val="0"/>
        </w:rPr>
      </w:r>
      <w:r>
        <w:rPr/>
        <w:t>（3）账龄超过</w:t>
      </w:r>
      <w:r>
        <w:rPr>
          <w:spacing w:val="-56"/>
        </w:rPr>
        <w:t> </w:t>
      </w:r>
      <w:r>
        <w:rPr/>
        <w:t>1</w:t>
      </w:r>
      <w:r>
        <w:rPr>
          <w:spacing w:val="-57"/>
        </w:rPr>
        <w:t> </w:t>
      </w:r>
      <w:r>
        <w:rPr/>
        <w:t>年的重要应付账款</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陕西汉唐计算机有限责任公司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10,883,609.00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92"/>
              <w:jc w:val="left"/>
              <w:rPr>
                <w:rFonts w:ascii="宋体" w:hAnsi="宋体" w:cs="宋体" w:eastAsia="宋体" w:hint="default"/>
                <w:sz w:val="18"/>
                <w:szCs w:val="18"/>
              </w:rPr>
            </w:pPr>
            <w:r>
              <w:rPr>
                <w:rFonts w:ascii="宋体" w:hAnsi="宋体" w:cs="宋体" w:eastAsia="宋体" w:hint="default"/>
                <w:sz w:val="18"/>
                <w:szCs w:val="18"/>
              </w:rPr>
              <w:t>北京中交国通智能交通系统技术有限公 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3,371,842.80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安徽庐峰交通工程有限公司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3,014,603.72</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17,270,055.52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0、预收款项" w:id="306"/>
      <w:bookmarkEnd w:id="306"/>
      <w:r>
        <w:rPr>
          <w:b w:val="0"/>
          <w:bCs w:val="0"/>
        </w:rPr>
      </w:r>
      <w:r>
        <w:rPr/>
        <w:t>30、预收款项</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预收款项列示" w:id="307"/>
      <w:bookmarkEnd w:id="307"/>
      <w:r>
        <w:rPr>
          <w:b w:val="0"/>
          <w:bCs w:val="0"/>
        </w:rPr>
      </w:r>
      <w:r>
        <w:rPr/>
        <w:t>（1）预收款项列示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124,649,404.12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85,061,648.46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124,649,404.12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85,061,648.46</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账龄超过1年的重要预收款项" w:id="308"/>
      <w:bookmarkEnd w:id="308"/>
      <w:r>
        <w:rPr>
          <w:b w:val="0"/>
          <w:bCs w:val="0"/>
        </w:rPr>
      </w:r>
      <w:r>
        <w:rPr/>
        <w:t>（2）账龄超过</w:t>
      </w:r>
      <w:r>
        <w:rPr>
          <w:spacing w:val="-56"/>
        </w:rPr>
        <w:t> </w:t>
      </w:r>
      <w:r>
        <w:rPr/>
        <w:t>1</w:t>
      </w:r>
      <w:r>
        <w:rPr>
          <w:spacing w:val="-57"/>
        </w:rPr>
        <w:t> </w:t>
      </w:r>
      <w:r>
        <w:rPr/>
        <w:t>年的重要预收款项</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山东高速信息工程有限公司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5,839,442.16</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南京港集团有限公司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1,158,000.00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山东省枣庄汽车运输有限公司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4,314,005.20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合肥城市轨道交通有限公司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2,649,167.02</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13,960,614.38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31、应付职工薪酬" w:id="309"/>
      <w:bookmarkEnd w:id="309"/>
      <w:r>
        <w:rPr>
          <w:b w:val="0"/>
          <w:bCs w:val="0"/>
        </w:rPr>
      </w:r>
      <w:r>
        <w:rPr/>
        <w:t>31、应付职工薪酬</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应付职工薪酬列示" w:id="310"/>
      <w:bookmarkEnd w:id="310"/>
      <w:r>
        <w:rPr>
          <w:b w:val="0"/>
          <w:bCs w:val="0"/>
        </w:rPr>
      </w:r>
      <w:r>
        <w:rPr/>
        <w:t>（1）应付职工薪酬列示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23,372,207.65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175,632,360.46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173,325,669.06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25,678,899.05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二、离职后福利-设定提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13,492,382.41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13,492,382.41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23,372,207.65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189,124,742.87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186,818,051.47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25,678,899.05</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2）短期薪酬列示" w:id="311"/>
      <w:bookmarkEnd w:id="311"/>
      <w:r>
        <w:rPr>
          <w:b w:val="0"/>
          <w:bCs w:val="0"/>
        </w:rPr>
      </w:r>
      <w:r>
        <w:rPr/>
        <w:t>（2）短期薪酬列示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4"/>
                <w:sz w:val="18"/>
                <w:szCs w:val="18"/>
              </w:rPr>
              <w:t>1、工资、奖金、津贴和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20,930,746.65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156,574,434.59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154,431,416.78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23,073,764.46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5,342,118.02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5,342,118.02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6,595,684.70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6,595,684.70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5,861,624.94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5,861,624.94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410,464.30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410,464.30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323,595.46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323,595.46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5,019,573.54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5,019,573.54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5、工会经费和职工教育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2,266,398.72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1,804,069.52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1,640,395.93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2,430,072.31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8、其他短期薪酬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296,480.09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296,480.09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175,062.28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23,372,207.65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175,632,360.46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173,325,669.06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25,678,899.05</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3）设定提存计划列示" w:id="312"/>
      <w:bookmarkEnd w:id="312"/>
      <w:r>
        <w:rPr>
          <w:b w:val="0"/>
          <w:bCs w:val="0"/>
        </w:rPr>
      </w:r>
      <w:r>
        <w:rPr/>
        <w:t>（3）设定提存计划列示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13,118,706.94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13,118,706.94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373,675.47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373,675.47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13,492,382.41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13,492,382.41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2127"/>
        <w:jc w:val="left"/>
      </w:pPr>
      <w:r>
        <w:rPr/>
        <w:t>期末应付职工薪酬中无拖欠性质的金额。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2127"/>
        <w:jc w:val="left"/>
        <w:rPr>
          <w:b w:val="0"/>
          <w:bCs w:val="0"/>
        </w:rPr>
      </w:pPr>
      <w:bookmarkStart w:name="32、应交税费" w:id="313"/>
      <w:bookmarkEnd w:id="313"/>
      <w:r>
        <w:rPr>
          <w:b w:val="0"/>
          <w:bCs w:val="0"/>
        </w:rPr>
      </w:r>
      <w:r>
        <w:rPr/>
        <w:t>32、应交税费</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5,084,769.88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2,263,127.43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11,356,911.53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3,846,037.93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280,250.93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556,816.77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1,121,451.94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250,091.89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161,429.27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207,156.01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1,042,481.69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287,818.75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74,474.58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84,814.85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481,959.25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55,089.19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146,888.68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35,836.77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239,040.10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68,426.05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321,939.67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43,750.97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6,365.27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1,066.90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20,317,962.79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7,700,033.51</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3、其他应付款" w:id="314"/>
      <w:bookmarkEnd w:id="314"/>
      <w:r>
        <w:rPr>
          <w:b w:val="0"/>
          <w:bCs w:val="0"/>
        </w:rPr>
      </w:r>
      <w:r>
        <w:rPr/>
        <w:t>33、其他应付款</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24,508.33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15,104.17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48,369,896.55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40,201,794.31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48,394,404.88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40,216,898.48</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1）应付利息" w:id="315"/>
      <w:bookmarkEnd w:id="315"/>
      <w:r>
        <w:rPr>
          <w:b w:val="0"/>
          <w:bCs w:val="0"/>
        </w:rPr>
      </w:r>
      <w:r>
        <w:rPr/>
        <w:t>（1）应付利息</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24,508.33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15,104.17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24,508.33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15,104.17</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应付股利" w:id="316"/>
      <w:bookmarkEnd w:id="316"/>
      <w:r>
        <w:rPr>
          <w:b w:val="0"/>
          <w:bCs w:val="0"/>
        </w:rPr>
      </w:r>
      <w:r>
        <w:rPr/>
        <w:t>（2）应付股利</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年未支付的应付股利，应披露未支付原因：</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其他应付款" w:id="317"/>
      <w:bookmarkEnd w:id="317"/>
      <w:r>
        <w:rPr>
          <w:b w:val="0"/>
          <w:bCs w:val="0"/>
        </w:rPr>
      </w:r>
      <w:r>
        <w:rPr/>
        <w:t>（3）其他应付款</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1)按款项性质列示其他应付款</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4,076,595.35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5,240,981.88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40,576,500.59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30,583,432.78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3,716,800.61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4,377,379.65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48,369,896.55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40,201,794.31</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2)账龄超过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年的重要其他应付款</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0"/>
        <w:jc w:val="left"/>
      </w:pPr>
      <w:r>
        <w:rPr>
          <w:w w:val="95"/>
        </w:rPr>
        <w:t>本期期末比期初大幅增长，主要是新增的代收款项，系子公司安徽行云天下科技有限公司代安徽省高速公</w:t>
      </w:r>
      <w:r>
        <w:rPr>
          <w:spacing w:val="40"/>
          <w:w w:val="95"/>
        </w:rPr>
        <w:t> </w:t>
      </w:r>
      <w:r>
        <w:rPr>
          <w:spacing w:val="40"/>
          <w:w w:val="95"/>
        </w:rPr>
      </w:r>
      <w:r>
        <w:rPr/>
        <w:t>路联网运营有限公司收取的客户充值款所致。</w:t>
      </w:r>
    </w:p>
    <w:p>
      <w:pPr>
        <w:spacing w:line="240" w:lineRule="auto" w:before="7"/>
        <w:rPr>
          <w:rFonts w:ascii="宋体" w:hAnsi="宋体" w:cs="宋体" w:eastAsia="宋体" w:hint="default"/>
          <w:sz w:val="23"/>
          <w:szCs w:val="23"/>
        </w:rPr>
      </w:pPr>
    </w:p>
    <w:p>
      <w:pPr>
        <w:pStyle w:val="Heading6"/>
        <w:spacing w:line="240" w:lineRule="auto"/>
        <w:ind w:right="2127"/>
        <w:jc w:val="left"/>
        <w:rPr>
          <w:b w:val="0"/>
          <w:bCs w:val="0"/>
        </w:rPr>
      </w:pPr>
      <w:bookmarkStart w:name="34、持有待售负债" w:id="318"/>
      <w:bookmarkEnd w:id="318"/>
      <w:r>
        <w:rPr>
          <w:b w:val="0"/>
          <w:bCs w:val="0"/>
        </w:rPr>
      </w:r>
      <w:r>
        <w:rPr/>
        <w:t>34、持有待售负债</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35、一年内到期的非流动负债" w:id="319"/>
      <w:bookmarkEnd w:id="319"/>
      <w:r>
        <w:rPr>
          <w:b w:val="0"/>
          <w:bCs w:val="0"/>
        </w:rPr>
      </w:r>
      <w:r>
        <w:rPr/>
        <w:t>35、一年内到期的非流动负债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6、其他流动负债" w:id="320"/>
      <w:bookmarkEnd w:id="320"/>
      <w:r>
        <w:rPr>
          <w:b w:val="0"/>
          <w:bCs w:val="0"/>
        </w:rPr>
      </w:r>
      <w:r>
        <w:rPr/>
        <w:t>36、其他流动负债</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7、长期借款" w:id="321"/>
      <w:bookmarkEnd w:id="321"/>
      <w:r>
        <w:rPr>
          <w:b w:val="0"/>
          <w:bCs w:val="0"/>
        </w:rPr>
      </w:r>
      <w:r>
        <w:rPr/>
        <w:t>37、长期借款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长期借款分类" w:id="322"/>
      <w:bookmarkEnd w:id="322"/>
      <w:r>
        <w:rPr>
          <w:b w:val="0"/>
          <w:bCs w:val="0"/>
        </w:rPr>
      </w:r>
      <w:r>
        <w:rPr/>
        <w:t>（1）长期借款分类</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50"/>
        <w:ind w:left="11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38、应付债券" w:id="323"/>
      <w:bookmarkEnd w:id="323"/>
      <w:r>
        <w:rPr>
          <w:b w:val="0"/>
          <w:bCs w:val="0"/>
        </w:rPr>
      </w:r>
      <w:r>
        <w:rPr/>
        <w:t>38、应付债券</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应付债券" w:id="324"/>
      <w:bookmarkEnd w:id="324"/>
      <w:r>
        <w:rPr>
          <w:b w:val="0"/>
          <w:bCs w:val="0"/>
        </w:rPr>
      </w:r>
      <w:r>
        <w:rPr/>
        <w:t>（1）应付债券</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2）应付债券的增减变动（不包括划分为金融负债的优先股、永续债等其他金融工具）" w:id="325"/>
      <w:bookmarkEnd w:id="325"/>
      <w:r>
        <w:rPr>
          <w:b w:val="0"/>
          <w:bCs w:val="0"/>
        </w:rPr>
      </w:r>
      <w:r>
        <w:rPr/>
        <w:t>（2）应付债券的增减变动（不包括划分为金融负债的优先股、永续债等其他金融工具）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4"/>
          <w:szCs w:val="24"/>
        </w:rPr>
      </w:pPr>
    </w:p>
    <w:p>
      <w:pPr>
        <w:pStyle w:val="Heading6"/>
        <w:spacing w:line="240" w:lineRule="auto" w:before="34"/>
        <w:ind w:right="2127"/>
        <w:jc w:val="left"/>
        <w:rPr>
          <w:b w:val="0"/>
          <w:bCs w:val="0"/>
        </w:rPr>
      </w:pPr>
      <w:bookmarkStart w:name="（3）可转换公司债券的转股条件、转股时间说明" w:id="326"/>
      <w:bookmarkEnd w:id="326"/>
      <w:r>
        <w:rPr>
          <w:b w:val="0"/>
          <w:bCs w:val="0"/>
        </w:rPr>
      </w:r>
      <w:r>
        <w:rPr/>
        <w:t>（3）可转换公司债券的转股条件、转股时间说明</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4）划分为金融负债的其他金融工具说明" w:id="327"/>
      <w:bookmarkEnd w:id="327"/>
      <w:r>
        <w:rPr>
          <w:b w:val="0"/>
          <w:bCs w:val="0"/>
        </w:rPr>
      </w:r>
      <w:r>
        <w:rPr/>
        <w:t>（4）划分为金融负债的其他金融工具说明</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254"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after="0" w:line="360" w:lineRule="auto"/>
        <w:jc w:val="left"/>
        <w:rPr>
          <w:rFonts w:ascii="宋体" w:hAnsi="宋体" w:cs="宋体" w:eastAsia="宋体" w:hint="default"/>
          <w:sz w:val="18"/>
          <w:szCs w:val="18"/>
        </w:rPr>
        <w:sectPr>
          <w:footerReference w:type="default" r:id="rId34"/>
          <w:pgSz w:w="11910" w:h="16840"/>
          <w:pgMar w:footer="978" w:header="746" w:top="1060" w:bottom="1160" w:left="1020" w:right="0"/>
          <w:pgNumType w:start="166"/>
        </w:sectPr>
      </w:pPr>
    </w:p>
    <w:p>
      <w:pPr>
        <w:spacing w:line="240" w:lineRule="auto" w:before="12"/>
        <w:rPr>
          <w:rFonts w:ascii="宋体" w:hAnsi="宋体" w:cs="宋体" w:eastAsia="宋体" w:hint="default"/>
          <w:sz w:val="25"/>
          <w:szCs w:val="25"/>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0"/>
        <w:ind w:left="11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39、长期应付款" w:id="328"/>
      <w:bookmarkEnd w:id="328"/>
      <w:r>
        <w:rPr>
          <w:b w:val="0"/>
          <w:bCs w:val="0"/>
        </w:rPr>
      </w:r>
      <w:r>
        <w:rPr/>
        <w:t>39、长期应付款</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1）按款项性质列示长期应付款" w:id="329"/>
      <w:bookmarkEnd w:id="329"/>
      <w:r>
        <w:rPr>
          <w:b w:val="0"/>
          <w:bCs w:val="0"/>
        </w:rPr>
      </w:r>
      <w:r>
        <w:rPr/>
        <w:t>（1）按款项性质列示长期应付款</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专项应付款" w:id="330"/>
      <w:bookmarkEnd w:id="330"/>
      <w:r>
        <w:rPr>
          <w:b w:val="0"/>
          <w:bCs w:val="0"/>
        </w:rPr>
      </w:r>
      <w:r>
        <w:rPr/>
        <w:t>（2）专项应付款</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0、长期应付职工薪酬" w:id="331"/>
      <w:bookmarkEnd w:id="331"/>
      <w:r>
        <w:rPr>
          <w:b w:val="0"/>
          <w:bCs w:val="0"/>
        </w:rPr>
      </w:r>
      <w:r>
        <w:rPr/>
        <w:t>40、长期应付职工薪酬</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长期应付职工薪酬表" w:id="332"/>
      <w:bookmarkEnd w:id="332"/>
      <w:r>
        <w:rPr>
          <w:b w:val="0"/>
          <w:bCs w:val="0"/>
        </w:rPr>
      </w:r>
      <w:r>
        <w:rPr/>
        <w:t>（1）长期应付职工薪酬表</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2）设定受益计划变动情况" w:id="333"/>
      <w:bookmarkEnd w:id="333"/>
      <w:r>
        <w:rPr>
          <w:b w:val="0"/>
          <w:bCs w:val="0"/>
        </w:rPr>
      </w:r>
      <w:r>
        <w:rPr/>
        <w:t>（2）设定受益计划变动情况</w:t>
      </w:r>
      <w:r>
        <w:rPr>
          <w:b w:val="0"/>
          <w:bCs w:val="0"/>
        </w:rPr>
      </w:r>
    </w:p>
    <w:p>
      <w:pPr>
        <w:spacing w:line="240" w:lineRule="auto" w:before="2"/>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1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1、预计负债" w:id="334"/>
      <w:bookmarkEnd w:id="334"/>
      <w:r>
        <w:rPr>
          <w:b w:val="0"/>
          <w:bCs w:val="0"/>
        </w:rPr>
      </w:r>
      <w:r>
        <w:rPr/>
        <w:t>41、预计负债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2、递延收益" w:id="335"/>
      <w:bookmarkEnd w:id="335"/>
      <w:r>
        <w:rPr>
          <w:b w:val="0"/>
          <w:bCs w:val="0"/>
        </w:rPr>
      </w:r>
      <w:r>
        <w:rPr/>
        <w:t>42、递延收益</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与资产相关政府补 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sz w:val="18"/>
              </w:rPr>
              <w:t>1,481,728.66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786,521.77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695,206.89</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按资产使用年限分 期计入损益</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与收益相关政府补 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项目已验收</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3" w:right="0"/>
              <w:jc w:val="left"/>
              <w:rPr>
                <w:rFonts w:ascii="宋体" w:hAnsi="宋体" w:cs="宋体" w:eastAsia="宋体" w:hint="default"/>
                <w:sz w:val="18"/>
                <w:szCs w:val="18"/>
              </w:rPr>
            </w:pPr>
            <w:r>
              <w:rPr>
                <w:rFonts w:ascii="宋体"/>
                <w:sz w:val="18"/>
              </w:rPr>
              <w:t>2,681,728.66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0" w:right="0"/>
              <w:jc w:val="left"/>
              <w:rPr>
                <w:rFonts w:ascii="宋体" w:hAnsi="宋体" w:cs="宋体" w:eastAsia="宋体" w:hint="default"/>
                <w:sz w:val="18"/>
                <w:szCs w:val="18"/>
              </w:rPr>
            </w:pPr>
            <w:r>
              <w:rPr>
                <w:rFonts w:ascii="宋体"/>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3,186,521.77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695,206.89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29" w:hanging="44"/>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8"/>
              <w:jc w:val="both"/>
              <w:rPr>
                <w:rFonts w:ascii="宋体" w:hAnsi="宋体" w:cs="宋体" w:eastAsia="宋体" w:hint="default"/>
                <w:sz w:val="18"/>
                <w:szCs w:val="18"/>
              </w:rPr>
            </w:pPr>
            <w:r>
              <w:rPr>
                <w:rFonts w:ascii="宋体" w:hAnsi="宋体" w:cs="宋体" w:eastAsia="宋体" w:hint="default"/>
                <w:sz w:val="18"/>
                <w:szCs w:val="18"/>
              </w:rPr>
              <w:t>企业自主创 新政策仪器 设备购置补 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1,481,728.6</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786,521.77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695,206.89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省智能语音 产业合肥基 地引导资金 支持项目</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雷达综合测 试仪</w:t>
            </w:r>
            <w:r>
              <w:rPr>
                <w:rFonts w:ascii="宋体" w:hAnsi="宋体" w:cs="宋体" w:eastAsia="宋体" w:hint="default"/>
                <w:spacing w:val="-47"/>
                <w:sz w:val="18"/>
                <w:szCs w:val="18"/>
              </w:rPr>
              <w:t> </w:t>
            </w:r>
            <w:r>
              <w:rPr>
                <w:rFonts w:ascii="宋体" w:hAnsi="宋体" w:cs="宋体" w:eastAsia="宋体" w:hint="default"/>
                <w:sz w:val="18"/>
                <w:szCs w:val="18"/>
              </w:rPr>
              <w:t>1130B</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产业化生产</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0" w:right="0"/>
              <w:jc w:val="left"/>
              <w:rPr>
                <w:rFonts w:ascii="宋体" w:hAnsi="宋体" w:cs="宋体" w:eastAsia="宋体" w:hint="default"/>
                <w:sz w:val="18"/>
                <w:szCs w:val="18"/>
              </w:rPr>
            </w:pPr>
            <w:r>
              <w:rPr>
                <w:rFonts w:ascii="宋体"/>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宽带频率合 成器</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近程警戒雷 达</w:t>
            </w:r>
            <w:r>
              <w:rPr>
                <w:rFonts w:ascii="宋体" w:hAnsi="宋体" w:cs="宋体" w:eastAsia="宋体" w:hint="default"/>
                <w:spacing w:val="-45"/>
                <w:sz w:val="18"/>
                <w:szCs w:val="18"/>
              </w:rPr>
              <w:t> </w:t>
            </w:r>
            <w:r>
              <w:rPr>
                <w:rFonts w:ascii="宋体" w:hAnsi="宋体" w:cs="宋体" w:eastAsia="宋体" w:hint="default"/>
                <w:sz w:val="18"/>
                <w:szCs w:val="18"/>
              </w:rPr>
              <w:t>NFWR</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0"/>
        <w:jc w:val="left"/>
      </w:pPr>
      <w:r>
        <w:rPr>
          <w:w w:val="95"/>
        </w:rPr>
        <w:t>本期计入当期损益金额中，计入其他收益3,186,521.77元。本期其他变动增加120.00万元，系购并日子公</w:t>
      </w:r>
      <w:r>
        <w:rPr>
          <w:spacing w:val="43"/>
          <w:w w:val="95"/>
        </w:rPr>
        <w:t> </w:t>
      </w:r>
      <w:r>
        <w:rPr>
          <w:spacing w:val="43"/>
          <w:w w:val="95"/>
        </w:rPr>
      </w:r>
      <w:r>
        <w:rPr/>
        <w:t>司成都赛英科技有限公司的递延收益余额转入所致。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2127"/>
        <w:jc w:val="left"/>
        <w:rPr>
          <w:b w:val="0"/>
          <w:bCs w:val="0"/>
        </w:rPr>
      </w:pPr>
      <w:bookmarkStart w:name="43、其他非流动负债" w:id="336"/>
      <w:bookmarkEnd w:id="336"/>
      <w:r>
        <w:rPr>
          <w:b w:val="0"/>
          <w:bCs w:val="0"/>
        </w:rPr>
      </w:r>
      <w:r>
        <w:rPr/>
        <w:t>43、其他非流动负债</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4、股本" w:id="337"/>
      <w:bookmarkEnd w:id="337"/>
      <w:r>
        <w:rPr>
          <w:b w:val="0"/>
          <w:bCs w:val="0"/>
        </w:rPr>
      </w:r>
      <w:r>
        <w:rPr/>
        <w:t>44、股本</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350,327,055.</w:t>
            </w:r>
          </w:p>
          <w:p>
            <w:pPr>
              <w:pStyle w:val="TableParagraph"/>
              <w:spacing w:line="240" w:lineRule="auto" w:before="76"/>
              <w:ind w:right="21"/>
              <w:jc w:val="right"/>
              <w:rPr>
                <w:rFonts w:ascii="宋体" w:hAnsi="宋体" w:cs="宋体" w:eastAsia="宋体" w:hint="default"/>
                <w:sz w:val="18"/>
                <w:szCs w:val="18"/>
              </w:rPr>
            </w:pPr>
            <w:r>
              <w:rPr>
                <w:rFonts w:ascii="宋体"/>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61,808,414.0</w:t>
            </w:r>
          </w:p>
          <w:p>
            <w:pPr>
              <w:pStyle w:val="TableParagraph"/>
              <w:spacing w:line="240" w:lineRule="auto" w:before="76"/>
              <w:ind w:right="22"/>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61,808,414.0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412,135,469.</w:t>
            </w:r>
          </w:p>
          <w:p>
            <w:pPr>
              <w:pStyle w:val="TableParagraph"/>
              <w:spacing w:line="240" w:lineRule="auto" w:before="76"/>
              <w:ind w:right="21"/>
              <w:jc w:val="right"/>
              <w:rPr>
                <w:rFonts w:ascii="宋体" w:hAnsi="宋体" w:cs="宋体" w:eastAsia="宋体" w:hint="default"/>
                <w:sz w:val="18"/>
                <w:szCs w:val="18"/>
              </w:rPr>
            </w:pPr>
            <w:r>
              <w:rPr>
                <w:rFonts w:ascii="宋体"/>
                <w:sz w:val="18"/>
              </w:rPr>
              <w:t>00</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1028" w:firstLine="420"/>
        <w:jc w:val="left"/>
      </w:pPr>
      <w:r>
        <w:rPr>
          <w:spacing w:val="-2"/>
        </w:rPr>
        <w:t>（1）经公司2017年第二次临时股东大会审议通过，并经中国证券监督管理委员会证监许可[2017]2457</w:t>
      </w:r>
      <w:r>
        <w:rPr>
          <w:w w:val="99"/>
        </w:rPr>
        <w:t> </w:t>
      </w:r>
      <w:r>
        <w:rPr>
          <w:spacing w:val="-3"/>
        </w:rPr>
        <w:t>号文《关于核准安徽皖通科技股份有限公司向易增辉等发行股份购买资产并配套募集资金的批复》的核准，</w:t>
      </w:r>
      <w:r>
        <w:rPr>
          <w:w w:val="99"/>
        </w:rPr>
        <w:t> </w:t>
      </w:r>
      <w:r>
        <w:rPr/>
        <w:t>公司申请向易增辉等12名自然人发行人民币普通股（A股）31,875,457.00股，购买成都赛英科技有限公司</w:t>
      </w:r>
      <w:r>
        <w:rPr>
          <w:w w:val="99"/>
        </w:rPr>
        <w:t> </w:t>
      </w:r>
      <w:r>
        <w:rPr/>
        <w:t>100%股权。购买日（2018年1月23日）当日收盘价为10.73元/股，支付购并成本为342,023,653.61元，计</w:t>
      </w:r>
      <w:r>
        <w:rPr>
          <w:w w:val="99"/>
        </w:rPr>
        <w:t> </w:t>
      </w:r>
      <w:r>
        <w:rPr/>
        <w:t>入资本公积-股本溢价310,148,196.61元。本次增资业经大华会计师事务所（特殊普通合伙）于2018年1月</w:t>
      </w:r>
      <w:r>
        <w:rPr>
          <w:w w:val="99"/>
        </w:rPr>
        <w:t> </w:t>
      </w:r>
      <w:r>
        <w:rPr/>
        <w:t>23日出具的大华验字[2018]000027号验资报告验证。</w:t>
      </w:r>
    </w:p>
    <w:p>
      <w:pPr>
        <w:pStyle w:val="BodyText"/>
        <w:spacing w:line="273" w:lineRule="auto"/>
        <w:ind w:right="1131" w:firstLine="420"/>
        <w:jc w:val="left"/>
      </w:pPr>
      <w:r>
        <w:rPr>
          <w:spacing w:val="-2"/>
          <w:w w:val="95"/>
        </w:rPr>
        <w:t>（2）经公司2018年第二次临时股东大会决议通过，以2018年4月25日为授予日，向符合授予条件的345</w:t>
      </w:r>
      <w:r>
        <w:rPr>
          <w:spacing w:val="-95"/>
          <w:w w:val="95"/>
        </w:rPr>
        <w:t> </w:t>
      </w:r>
      <w:r>
        <w:rPr>
          <w:spacing w:val="-95"/>
          <w:w w:val="95"/>
        </w:rPr>
      </w:r>
      <w:r>
        <w:rPr/>
        <w:t>名激励对象授予授予591.98万元股限制性股票。限制性股票的授予价格为4.98元/股，共募得股款人民币</w:t>
      </w:r>
      <w:r>
        <w:rPr>
          <w:w w:val="99"/>
        </w:rPr>
        <w:t> </w:t>
      </w:r>
      <w:r>
        <w:rPr/>
        <w:t>29,480,604.00元，计入资本公积-股本溢价23,560,804.00元。本次增资业经大华会计师事务所（特殊普</w:t>
      </w:r>
      <w:r>
        <w:rPr>
          <w:w w:val="99"/>
        </w:rPr>
        <w:t> </w:t>
      </w:r>
      <w:r>
        <w:rPr/>
        <w:t>通合伙）于2018年5月15日出具的大华验字[2018]000286号验资报告验证。</w:t>
      </w:r>
    </w:p>
    <w:p>
      <w:pPr>
        <w:pStyle w:val="BodyText"/>
        <w:spacing w:line="273" w:lineRule="auto"/>
        <w:ind w:right="1028" w:firstLine="420"/>
        <w:jc w:val="left"/>
      </w:pPr>
      <w:r>
        <w:rPr>
          <w:spacing w:val="-2"/>
        </w:rPr>
        <w:t>（3）经公司2017年第二次临时股东大会审议通过，并经中国证券监督管理委员会证监许可[2017]2457</w:t>
      </w:r>
      <w:r>
        <w:rPr>
          <w:w w:val="99"/>
        </w:rPr>
        <w:t> </w:t>
      </w:r>
      <w:r>
        <w:rPr>
          <w:spacing w:val="-3"/>
        </w:rPr>
        <w:t>号文《关于核准安徽皖通科技股份有限公司向易增辉等发行股份购买资产并配套募集资金的批复》的核准，</w:t>
      </w:r>
      <w:r>
        <w:rPr>
          <w:w w:val="99"/>
        </w:rPr>
        <w:t> </w:t>
      </w:r>
      <w:r>
        <w:rPr/>
        <w:t>向特定投资者发行24,013,157.00股股份募集配套资金，发行价格</w:t>
      </w:r>
      <w:r>
        <w:rPr>
          <w:spacing w:val="-1"/>
        </w:rPr>
        <w:t> </w:t>
      </w:r>
      <w:r>
        <w:rPr/>
        <w:t>7.60元/股，共募集股款人民币</w:t>
      </w:r>
      <w:r>
        <w:rPr>
          <w:w w:val="99"/>
        </w:rPr>
        <w:t> </w:t>
      </w:r>
      <w:r>
        <w:rPr/>
        <w:t>182,499,993.20元，扣除与发行有关的费用，实际可使用募集资金人民币166,390,980.11元，计入资本公</w:t>
      </w:r>
      <w:r>
        <w:rPr>
          <w:w w:val="99"/>
        </w:rPr>
        <w:t> </w:t>
      </w:r>
      <w:r>
        <w:rPr/>
        <w:t>积-股本溢价142,377,823.11元。本次验资业经大华会计师事务所(特殊普通合伙)于2018年11月15日出具</w:t>
      </w:r>
      <w:r>
        <w:rPr>
          <w:w w:val="99"/>
        </w:rPr>
        <w:t> </w:t>
      </w:r>
      <w:r>
        <w:rPr/>
        <w:t>大华验字[2018]000615号验资报告验证。</w:t>
      </w:r>
    </w:p>
    <w:p>
      <w:pPr>
        <w:spacing w:line="240" w:lineRule="auto" w:before="7"/>
        <w:rPr>
          <w:rFonts w:ascii="宋体" w:hAnsi="宋体" w:cs="宋体" w:eastAsia="宋体" w:hint="default"/>
          <w:sz w:val="23"/>
          <w:szCs w:val="23"/>
        </w:rPr>
      </w:pPr>
    </w:p>
    <w:p>
      <w:pPr>
        <w:pStyle w:val="Heading6"/>
        <w:spacing w:line="240" w:lineRule="auto"/>
        <w:ind w:right="2127"/>
        <w:jc w:val="left"/>
        <w:rPr>
          <w:b w:val="0"/>
          <w:bCs w:val="0"/>
        </w:rPr>
      </w:pPr>
      <w:bookmarkStart w:name="45、其他权益工具" w:id="338"/>
      <w:bookmarkEnd w:id="338"/>
      <w:r>
        <w:rPr>
          <w:b w:val="0"/>
          <w:bCs w:val="0"/>
        </w:rPr>
      </w:r>
      <w:r>
        <w:rPr/>
        <w:t>45、其他权益工具</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期末发行在外的优先股、永续债等其他金融工具基本情况" w:id="339"/>
      <w:bookmarkEnd w:id="339"/>
      <w:r>
        <w:rPr>
          <w:b w:val="0"/>
          <w:bCs w:val="0"/>
        </w:rPr>
      </w:r>
      <w:r>
        <w:rPr/>
        <w:t>（1）期末发行在外的优先股、永续债等其他金融工具基本情况</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2）期末发行在外的优先股、永续债等金融工具变动情况表" w:id="340"/>
      <w:bookmarkEnd w:id="340"/>
      <w:r>
        <w:rPr>
          <w:b w:val="0"/>
          <w:bCs w:val="0"/>
        </w:rPr>
      </w:r>
      <w:r>
        <w:rPr/>
        <w:t>（2）期末发行在外的优先股、永续债等金融工具变动情况表</w:t>
      </w:r>
      <w:r>
        <w:rPr>
          <w:b w:val="0"/>
          <w:bCs w:val="0"/>
        </w:rPr>
      </w:r>
    </w:p>
    <w:p>
      <w:pPr>
        <w:spacing w:line="240" w:lineRule="auto" w:before="7"/>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0"/>
        <w:ind w:left="11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46、资本公积" w:id="341"/>
      <w:bookmarkEnd w:id="341"/>
      <w:r>
        <w:rPr>
          <w:b w:val="0"/>
          <w:bCs w:val="0"/>
        </w:rPr>
      </w:r>
      <w:r>
        <w:rPr/>
        <w:t>46、资本公积</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543,767,469.75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476,086,823.72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1,019,854,293.47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855,250.40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13,630,045.00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14,964,107.07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544,622,720.15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489,716,868.72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1,034,339,588.87</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7"/>
          <w:szCs w:val="17"/>
        </w:rPr>
      </w:pPr>
    </w:p>
    <w:p>
      <w:pPr>
        <w:spacing w:before="0"/>
        <w:ind w:left="232" w:right="2127" w:firstLine="0"/>
        <w:jc w:val="left"/>
        <w:rPr>
          <w:rFonts w:ascii="宋体" w:hAnsi="宋体" w:cs="宋体" w:eastAsia="宋体" w:hint="default"/>
          <w:sz w:val="18"/>
          <w:szCs w:val="18"/>
        </w:rPr>
      </w:pPr>
      <w:r>
        <w:rPr>
          <w:rFonts w:ascii="宋体" w:hAnsi="宋体" w:cs="宋体" w:eastAsia="宋体" w:hint="default"/>
          <w:sz w:val="18"/>
          <w:szCs w:val="18"/>
        </w:rPr>
        <w:t>（1）本期资本公积（股本溢价）增加详见注释44股本说明；</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（2）其他资本公积本期增加13,630,045.00元，系限制性股权激励费用，详见十三、股份支付。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6"/>
        <w:spacing w:line="240" w:lineRule="auto"/>
        <w:ind w:right="2127"/>
        <w:jc w:val="left"/>
        <w:rPr>
          <w:b w:val="0"/>
          <w:bCs w:val="0"/>
        </w:rPr>
      </w:pPr>
      <w:bookmarkStart w:name="47、库存股" w:id="342"/>
      <w:bookmarkEnd w:id="342"/>
      <w:r>
        <w:rPr>
          <w:b w:val="0"/>
          <w:bCs w:val="0"/>
        </w:rPr>
      </w:r>
      <w:r>
        <w:rPr/>
        <w:t>47、库存股</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8、其他综合收益" w:id="343"/>
      <w:bookmarkEnd w:id="343"/>
      <w:r>
        <w:rPr>
          <w:b w:val="0"/>
          <w:bCs w:val="0"/>
        </w:rPr>
      </w:r>
      <w:r>
        <w:rPr/>
        <w:t>48、其他综合收益</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9、专项储备" w:id="344"/>
      <w:bookmarkEnd w:id="344"/>
      <w:r>
        <w:rPr>
          <w:b w:val="0"/>
          <w:bCs w:val="0"/>
        </w:rPr>
      </w:r>
      <w:r>
        <w:rPr/>
        <w:t>49、专项储备</w:t>
      </w:r>
      <w:r>
        <w:rPr>
          <w:b w:val="0"/>
          <w:bCs w:val="0"/>
        </w:rPr>
      </w:r>
    </w:p>
    <w:p>
      <w:pPr>
        <w:spacing w:line="240" w:lineRule="auto" w:before="7"/>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footerReference w:type="default" r:id="rId35"/>
          <w:pgSz w:w="11910" w:h="16840"/>
          <w:pgMar w:footer="978" w:header="746" w:top="1060" w:bottom="1160" w:left="1020" w:right="0"/>
          <w:pgNumType w:start="17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50、盈余公积" w:id="345"/>
      <w:bookmarkEnd w:id="345"/>
      <w:r>
        <w:rPr>
          <w:b w:val="0"/>
          <w:bCs w:val="0"/>
        </w:rPr>
      </w:r>
      <w:r>
        <w:rPr/>
        <w:t>50、盈余公积</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44,348,136.05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5,786,390.95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50,134,527.00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44,348,136.05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5,786,390.95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50,134,527.00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51、未分配利润" w:id="346"/>
      <w:bookmarkEnd w:id="346"/>
      <w:r>
        <w:rPr>
          <w:b w:val="0"/>
          <w:bCs w:val="0"/>
        </w:rPr>
      </w:r>
      <w:r>
        <w:rPr/>
        <w:t>51、未分配利润</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418,709,463.40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359,270,926.02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418,709,463.40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359,270,926.02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105,820,825.29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82,717,605.13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5,786,390.95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5,762,715.00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17,516,352.75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518,743,897.74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418,709,463.40</w:t>
            </w:r>
          </w:p>
        </w:tc>
      </w:tr>
    </w:tbl>
    <w:p>
      <w:pPr>
        <w:spacing w:line="360" w:lineRule="auto" w:before="49"/>
        <w:ind w:left="112" w:right="4094"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1)、由于《企业会计准则》及其相关新规定进行追溯调整，影响期初未分配利润元。</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2)、由于会计政策变更，影响期初未分配利润元。</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3)、由于重大会计差错更正，影响期初未分配利润元。</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4)、由于同一控制导致的合并范围变更，影响期初未分配利润元。</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5)、其他调整合计影响期初未分配利润元。</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52、营业收入和营业成本" w:id="347"/>
      <w:bookmarkEnd w:id="347"/>
      <w:r>
        <w:rPr>
          <w:b w:val="0"/>
          <w:bCs w:val="0"/>
        </w:rPr>
      </w:r>
      <w:r>
        <w:rPr/>
        <w:t>52、营业收入和营业成本</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1,248,472,433.34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878,173,563.46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995,167,322.26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749,819,135.80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897,806.71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216,338.48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649,915.91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226,623.85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1,249,370,240.05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878,389,901.94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995,817,238.17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750,045,759.65</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53、税金及附加" w:id="348"/>
      <w:bookmarkEnd w:id="348"/>
      <w:r>
        <w:rPr>
          <w:b w:val="0"/>
          <w:bCs w:val="0"/>
        </w:rPr>
      </w:r>
      <w:r>
        <w:rPr/>
        <w:t>53、税金及附加</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3,141,108.32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1,260,936.29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1,399,070.91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598,277.72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1,680,811.44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821,851.24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137,128.04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174,785.38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16,695.36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694,115.49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378,440.96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-19,698.27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-91,113.65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926,744.04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414,583.78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411,076.68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12,116.23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8,387,052.01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3,572,027.95</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32" w:right="0"/>
        <w:jc w:val="left"/>
      </w:pPr>
      <w:r>
        <w:rPr/>
        <w:t>主要系本期购并新增子公司成都赛英科技有限公司和本期支付的增值税增加导致附加税增加所致。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2127"/>
        <w:jc w:val="left"/>
        <w:rPr>
          <w:b w:val="0"/>
          <w:bCs w:val="0"/>
        </w:rPr>
      </w:pPr>
      <w:bookmarkStart w:name="54、销售费用" w:id="349"/>
      <w:bookmarkEnd w:id="349"/>
      <w:r>
        <w:rPr>
          <w:b w:val="0"/>
          <w:bCs w:val="0"/>
        </w:rPr>
      </w:r>
      <w:r>
        <w:rPr/>
        <w:t>54、销售费用</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9,626,285.48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8,421,640.04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401,062.09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374,333.01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1,584,987.32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1,748,010.86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5,141,553.01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3,522,052.21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16,825,280.44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16,429,714.76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291,020.79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722,299.47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946,193.08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740,346.12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749,625.18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937,371.74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655,213.58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221,748.88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213,050.02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350,470.06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5,460,747.20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5,697,431.62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41,895,018.19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39,165,418.77</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55、管理费用" w:id="350"/>
      <w:bookmarkEnd w:id="350"/>
      <w:r>
        <w:rPr>
          <w:b w:val="0"/>
          <w:bCs w:val="0"/>
        </w:rPr>
      </w:r>
      <w:r>
        <w:rPr/>
        <w:t>55、管理费用</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40,169,694.81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26,948,666.32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31,366,741.73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23,710,747.66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23,280.54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32,867.58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9,507,999.90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7,394,110.75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1,298,642.97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1,229,749.64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1,539,653.84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2,143,741.56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1,475,805.04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2,383,469.19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1,088,327.12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800,364.62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681,303.50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551,579.07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253,880.87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108,585.48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2,182,988.69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1,050,599.37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14,108,856.67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12,086,971.58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10,008,365.24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115,784,147.26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76,362,846.48</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1"/>
        <w:ind w:right="1125" w:firstLine="420"/>
        <w:jc w:val="left"/>
      </w:pPr>
      <w:r>
        <w:rPr>
          <w:w w:val="95"/>
        </w:rPr>
        <w:t>本期管理费用较上期增加幅度较大主要系本期购并新增子公司成都赛英科技有限公司和新增股权激</w:t>
      </w:r>
      <w:r>
        <w:rPr>
          <w:spacing w:val="-91"/>
          <w:w w:val="95"/>
        </w:rPr>
        <w:t> </w:t>
      </w:r>
      <w:r>
        <w:rPr>
          <w:spacing w:val="-91"/>
          <w:w w:val="95"/>
        </w:rPr>
      </w:r>
      <w:r>
        <w:rPr/>
        <w:t>励费用所致。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2127"/>
        <w:jc w:val="left"/>
        <w:rPr>
          <w:b w:val="0"/>
          <w:bCs w:val="0"/>
        </w:rPr>
      </w:pPr>
      <w:bookmarkStart w:name="56、研发费用" w:id="351"/>
      <w:bookmarkEnd w:id="351"/>
      <w:r>
        <w:rPr>
          <w:b w:val="0"/>
          <w:bCs w:val="0"/>
        </w:rPr>
      </w:r>
      <w:r>
        <w:rPr/>
        <w:t>56、研发费用</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41,711,696.27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33,050,208.16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1,525,731.78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707,265.52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1,549,190.53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175,584.06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委托外部研发费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1,440,648.34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763,447.07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1,404,851.10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1,719,658.00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1,567,956.88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1,938,642.26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49,200,074.90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38,354,805.07</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32" w:right="0"/>
        <w:jc w:val="left"/>
      </w:pPr>
      <w:r>
        <w:rPr/>
        <w:t>本期研发费用增加幅度较大主要系本期购并新增子公司成都赛英科技有限公司的研发费用所致。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2127"/>
        <w:jc w:val="left"/>
        <w:rPr>
          <w:b w:val="0"/>
          <w:bCs w:val="0"/>
        </w:rPr>
      </w:pPr>
      <w:bookmarkStart w:name="57、财务费用" w:id="352"/>
      <w:bookmarkEnd w:id="352"/>
      <w:r>
        <w:rPr>
          <w:b w:val="0"/>
          <w:bCs w:val="0"/>
        </w:rPr>
      </w:r>
      <w:r>
        <w:rPr/>
        <w:t>57、财务费用</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1,113,692.67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893,173.42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4,311,747.78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3,499,898.69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-13,065.06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-134,031.10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1,274,049.15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329,845.58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-1,937,071.02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-2,410,910.79</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58、资产减值损失" w:id="353"/>
      <w:bookmarkEnd w:id="353"/>
      <w:r>
        <w:rPr>
          <w:b w:val="0"/>
          <w:bCs w:val="0"/>
        </w:rPr>
      </w:r>
      <w:r>
        <w:rPr/>
        <w:t>58、资产减值损失</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15,808,444.31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9,587,057.29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3,841,889.61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689,815.65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32,318,106.33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51,968,440.25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10,276,872.94</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59、其他收益" w:id="354"/>
      <w:bookmarkEnd w:id="354"/>
      <w:r>
        <w:rPr>
          <w:b w:val="0"/>
          <w:bCs w:val="0"/>
        </w:rPr>
      </w:r>
      <w:r>
        <w:rPr/>
        <w:t>59、其他收益</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15,283,077.91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26,306,853.76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13,207.59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15,296,285.50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26,306,853.76</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60、投资收益" w:id="355"/>
      <w:bookmarkEnd w:id="355"/>
      <w:r>
        <w:rPr>
          <w:b w:val="0"/>
          <w:bCs w:val="0"/>
        </w:rPr>
      </w:r>
      <w:r>
        <w:rPr/>
        <w:t>60、投资收益</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1,338,416.58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-307,141.17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469,511.14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148,773.01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2,434,007.71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3,387,969.31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4,241,935.43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3,229,601.15</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61、公允价值变动收益" w:id="356"/>
      <w:bookmarkEnd w:id="356"/>
      <w:r>
        <w:rPr>
          <w:b w:val="0"/>
          <w:bCs w:val="0"/>
        </w:rPr>
      </w:r>
      <w:r>
        <w:rPr/>
        <w:t>61、公允价值变动收益</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62、资产处置收益" w:id="357"/>
      <w:bookmarkEnd w:id="357"/>
      <w:r>
        <w:rPr>
          <w:b w:val="0"/>
          <w:bCs w:val="0"/>
        </w:rPr>
      </w:r>
      <w:r>
        <w:rPr/>
        <w:t>62、资产处置收益</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591,560.22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24,213.23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591,560.22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24,213.23</w:t>
            </w:r>
          </w:p>
        </w:tc>
      </w:tr>
    </w:tbl>
    <w:p>
      <w:pPr>
        <w:spacing w:line="240" w:lineRule="auto" w:before="2"/>
        <w:rPr>
          <w:rFonts w:ascii="宋体" w:hAnsi="宋体" w:cs="宋体" w:eastAsia="宋体" w:hint="default"/>
          <w:sz w:val="19"/>
          <w:szCs w:val="19"/>
        </w:rPr>
      </w:pPr>
    </w:p>
    <w:p>
      <w:pPr>
        <w:pStyle w:val="Heading6"/>
        <w:spacing w:line="240" w:lineRule="auto" w:before="34"/>
        <w:ind w:right="2127"/>
        <w:jc w:val="left"/>
        <w:rPr>
          <w:b w:val="0"/>
          <w:bCs w:val="0"/>
        </w:rPr>
      </w:pPr>
      <w:bookmarkStart w:name="63、营业外收入" w:id="358"/>
      <w:bookmarkEnd w:id="358"/>
      <w:r>
        <w:rPr>
          <w:b w:val="0"/>
          <w:bCs w:val="0"/>
        </w:rPr>
      </w:r>
      <w:r>
        <w:rPr/>
        <w:t>63、营业外收入</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38,250.29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7,059.35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38,250.29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219,282.08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3,776.64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219,282.08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257,532.37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10,835.99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257,532.37</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29" w:hanging="44"/>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64、营业外支出" w:id="359"/>
      <w:bookmarkEnd w:id="359"/>
      <w:r>
        <w:rPr>
          <w:b w:val="0"/>
          <w:bCs w:val="0"/>
        </w:rPr>
      </w:r>
      <w:r>
        <w:rPr/>
        <w:t>64、营业外支出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72,778.00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72,778.00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38,048.87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38,048.87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2,513.78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76,759.89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45,378.47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76,759.89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3,264.12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4,758.67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192,345.43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52,103.37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192,345.43</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65、所得税费用" w:id="360"/>
      <w:bookmarkEnd w:id="360"/>
      <w:r>
        <w:rPr>
          <w:b w:val="0"/>
          <w:bCs w:val="0"/>
        </w:rPr>
      </w:r>
      <w:r>
        <w:rPr/>
        <w:t>65、所得税费用</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所得税费用表" w:id="361"/>
      <w:bookmarkEnd w:id="361"/>
      <w:r>
        <w:rPr>
          <w:b w:val="0"/>
          <w:bCs w:val="0"/>
        </w:rPr>
      </w:r>
      <w:r>
        <w:rPr/>
        <w:t>（1）所得税费用表</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25,191,368.26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20,119,036.24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-2,633,273.19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-2,167,163.05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22,558,095.07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17,951,873.19</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2）会计利润与所得税费用调整过程" w:id="362"/>
      <w:bookmarkEnd w:id="362"/>
      <w:r>
        <w:rPr>
          <w:b w:val="0"/>
          <w:bCs w:val="0"/>
        </w:rPr>
      </w:r>
      <w:r>
        <w:rPr/>
        <w:t>（2）会计利润与所得税费用调整过程</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125,877,644.61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18,881,646.69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12,656.02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-945,878.87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-1,140,420.41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1,810,847.46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-2,211,851.31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12,730,315.78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-7,468,663.77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889,443.48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22,558,095.07</w:t>
            </w:r>
          </w:p>
        </w:tc>
      </w:tr>
    </w:tbl>
    <w:p>
      <w:pPr>
        <w:spacing w:line="578" w:lineRule="auto" w:before="49"/>
        <w:ind w:left="112" w:right="8414"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66、其他综合收益" w:id="363"/>
      <w:bookmarkEnd w:id="363"/>
      <w:r>
        <w:rPr>
          <w:rFonts w:ascii="宋体" w:hAnsi="宋体" w:cs="宋体" w:eastAsia="宋体" w:hint="default"/>
          <w:sz w:val="18"/>
          <w:szCs w:val="18"/>
        </w:rPr>
      </w:r>
      <w:r>
        <w:rPr>
          <w:rFonts w:ascii="宋体" w:hAnsi="宋体" w:cs="宋体" w:eastAsia="宋体" w:hint="default"/>
          <w:b/>
          <w:bCs/>
          <w:sz w:val="21"/>
          <w:szCs w:val="21"/>
        </w:rPr>
        <w:t>66、其他综合收益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p>
    <w:p>
      <w:pPr>
        <w:pStyle w:val="Heading6"/>
        <w:spacing w:line="240" w:lineRule="auto" w:before="99"/>
        <w:ind w:right="2127"/>
        <w:jc w:val="left"/>
        <w:rPr>
          <w:b w:val="0"/>
          <w:bCs w:val="0"/>
        </w:rPr>
      </w:pPr>
      <w:bookmarkStart w:name="67、现金流量表项目" w:id="364"/>
      <w:bookmarkEnd w:id="364"/>
      <w:r>
        <w:rPr>
          <w:b w:val="0"/>
          <w:bCs w:val="0"/>
        </w:rPr>
      </w:r>
      <w:r>
        <w:rPr/>
        <w:t>67、现金流量表项目</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收到的其他与经营活动有关的现金" w:id="365"/>
      <w:bookmarkEnd w:id="365"/>
      <w:r>
        <w:rPr>
          <w:b w:val="0"/>
          <w:bCs w:val="0"/>
        </w:rPr>
      </w:r>
      <w:r>
        <w:rPr/>
        <w:t>（1）收到的其他与经营活动有关的现金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79" w:right="0"/>
              <w:jc w:val="left"/>
              <w:rPr>
                <w:rFonts w:ascii="宋体" w:hAnsi="宋体" w:cs="宋体" w:eastAsia="宋体" w:hint="default"/>
                <w:sz w:val="18"/>
                <w:szCs w:val="18"/>
              </w:rPr>
            </w:pPr>
            <w:r>
              <w:rPr>
                <w:rFonts w:ascii="宋体"/>
                <w:sz w:val="18"/>
              </w:rPr>
              <w:t>2,624,268.85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76" w:right="0"/>
              <w:jc w:val="left"/>
              <w:rPr>
                <w:rFonts w:ascii="宋体" w:hAnsi="宋体" w:cs="宋体" w:eastAsia="宋体" w:hint="default"/>
                <w:sz w:val="18"/>
                <w:szCs w:val="18"/>
              </w:rPr>
            </w:pPr>
            <w:r>
              <w:rPr>
                <w:rFonts w:ascii="宋体"/>
                <w:sz w:val="18"/>
              </w:rPr>
              <w:t>2,564,157.10</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6,787,195.00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21,260,853.09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投标履约保证金及往来款项收入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145,652,528.86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139,566,479.18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219,282.08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3,776.64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4,968,506.28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155,283,274.79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168,363,772.29</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支付的其他与经营活动有关的现金" w:id="366"/>
      <w:bookmarkEnd w:id="366"/>
      <w:r>
        <w:rPr>
          <w:b w:val="0"/>
          <w:bCs w:val="0"/>
        </w:rPr>
      </w:r>
      <w:r>
        <w:rPr/>
        <w:t>（2）支付的其他与经营活动有关的现金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115,585.54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6,724.90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1,274,049.15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329,845.58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保证金等往来款项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140,491,772.55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139,106,668.67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支付的营业、管理以及研发费用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57,515,844.48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47,909,905.16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199,397,251.72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187,353,144.31</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3）收到的其他与投资活动有关的现金" w:id="367"/>
      <w:bookmarkEnd w:id="367"/>
      <w:r>
        <w:rPr>
          <w:b w:val="0"/>
          <w:bCs w:val="0"/>
        </w:rPr>
      </w:r>
      <w:r>
        <w:rPr/>
        <w:t>（3）收到的其他与投资活动有关的现金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收回短期投资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并购日被并购方持有现金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8,444,253.87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8,444,253.87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370,000.00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支付的其他与投资活动有关的现金" w:id="368"/>
      <w:bookmarkEnd w:id="368"/>
      <w:r>
        <w:rPr>
          <w:b w:val="0"/>
          <w:bCs w:val="0"/>
        </w:rPr>
      </w:r>
      <w:r>
        <w:rPr/>
        <w:t>（4）支付的其他与投资活动有关的现金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5）收到的其他与筹资活动有关的现金" w:id="369"/>
      <w:bookmarkEnd w:id="369"/>
      <w:r>
        <w:rPr>
          <w:b w:val="0"/>
          <w:bCs w:val="0"/>
        </w:rPr>
      </w:r>
      <w:r>
        <w:rPr/>
        <w:t>（5）收到的其他与筹资活动有关的现金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806,530.98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935,741.59</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r>
        <w:rPr/>
        <w:pict>
          <v:shape style="position:absolute;margin-left:217.199997pt;margin-top:558.25pt;width:158.6pt;height:19.7pt;mso-position-horizontal-relative:page;mso-position-vertical-relative:page;z-index:-1107376"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23.199997pt;margin-top:558.25pt;width:152.6pt;height:19.850pt;mso-position-horizontal-relative:page;mso-position-vertical-relative:page;z-index:-1107352" coordorigin="4464,11165" coordsize="3052,397">
            <v:shape style="position:absolute;left:4464;top:11165;width:3052;height:397" coordorigin="4464,11165" coordsize="3052,397" path="m4464,11165l7516,11165,7516,11562,4464,11562,4464,11165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14,988,072.70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31,756,390.38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15,794,603.68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32,692,131.97</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6）支付的其他与筹资活动有关的现金" w:id="370"/>
      <w:bookmarkEnd w:id="370"/>
      <w:r>
        <w:rPr>
          <w:b w:val="0"/>
          <w:bCs w:val="0"/>
        </w:rPr>
      </w:r>
      <w:r>
        <w:rPr/>
        <w:t>（6）支付的其他与筹资活动有关的现金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26,274,706.88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14,988,072.70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26,274,706.88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14,988,072.70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68、现金流量表补充资料" w:id="371"/>
      <w:bookmarkEnd w:id="371"/>
      <w:r>
        <w:rPr>
          <w:b w:val="0"/>
          <w:bCs w:val="0"/>
        </w:rPr>
      </w:r>
      <w:r>
        <w:rPr/>
        <w:t>68、现金流量表补充资料</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现金流量表补充资料" w:id="372"/>
      <w:bookmarkEnd w:id="372"/>
      <w:r>
        <w:rPr>
          <w:b w:val="0"/>
          <w:bCs w:val="0"/>
        </w:rPr>
      </w:r>
      <w:r>
        <w:rPr/>
        <w:t>（1）现金流量表补充资料</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103,319,549.54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92,017,945.67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51,968,440.25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10,276,872.94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16,690,993.37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10,403,455.36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17,547,564.41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13,944,992.87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417,348.58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298,728.23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-591,560.22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14,105.89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38,509.60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294,096.63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-176,599.27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-4,241,935.43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-3,229,601.15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-2,146,166.36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-2,406,076.54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-487,106.83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-28,136.56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-64,504,438.88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-47,571,198.95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-113,253,804.62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-46,884,853.25</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46,164,655.06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3,249,351.58</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14,108,856.67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65,325,001.77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29,908,986.82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1"/>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3"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96" w:right="0"/>
              <w:jc w:val="left"/>
              <w:rPr>
                <w:rFonts w:ascii="宋体" w:hAnsi="宋体" w:cs="宋体" w:eastAsia="宋体" w:hint="default"/>
                <w:sz w:val="18"/>
                <w:szCs w:val="18"/>
              </w:rPr>
            </w:pPr>
            <w:r>
              <w:rPr>
                <w:rFonts w:ascii="宋体"/>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3"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859,582,722.96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651,295,154.65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651,295,154.65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714,033,790.20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208,287,568.31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-62,738,635.55</w:t>
            </w:r>
          </w:p>
        </w:tc>
      </w:tr>
    </w:tbl>
    <w:p>
      <w:pPr>
        <w:spacing w:line="240" w:lineRule="auto" w:before="5"/>
        <w:rPr>
          <w:rFonts w:ascii="宋体" w:hAnsi="宋体" w:cs="宋体" w:eastAsia="宋体" w:hint="default"/>
          <w:sz w:val="19"/>
          <w:szCs w:val="19"/>
        </w:rPr>
      </w:pPr>
    </w:p>
    <w:p>
      <w:pPr>
        <w:pStyle w:val="Heading6"/>
        <w:spacing w:line="240" w:lineRule="auto" w:before="34"/>
        <w:ind w:right="2127"/>
        <w:jc w:val="left"/>
        <w:rPr>
          <w:b w:val="0"/>
          <w:bCs w:val="0"/>
        </w:rPr>
      </w:pPr>
      <w:bookmarkStart w:name="（2）本期支付的取得子公司的现金净额" w:id="373"/>
      <w:bookmarkEnd w:id="373"/>
      <w:r>
        <w:rPr>
          <w:b w:val="0"/>
          <w:bCs w:val="0"/>
        </w:rPr>
      </w:r>
      <w:r>
        <w:rPr/>
        <w:t>（2）本期支付的取得子公司的现金净额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8,444,253.87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8,444,253.87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-8,444,253.87</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3）本期收到的处置子公司的现金净额" w:id="374"/>
      <w:bookmarkEnd w:id="374"/>
      <w:r>
        <w:rPr>
          <w:b w:val="0"/>
          <w:bCs w:val="0"/>
        </w:rPr>
      </w:r>
      <w:r>
        <w:rPr/>
        <w:t>（3）本期收到的处置子公司的现金净额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现金和现金等价物的构成" w:id="375"/>
      <w:bookmarkEnd w:id="375"/>
      <w:r>
        <w:rPr>
          <w:b w:val="0"/>
          <w:bCs w:val="0"/>
        </w:rPr>
      </w:r>
      <w:r>
        <w:rPr/>
        <w:t>（4）现金和现金等价物的构成</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859,582,722.96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651,295,154.65</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259,753.14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273,834.84</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855,073,703.09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647,873,949.80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4,249,266.73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3,147,370.01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859,582,722.96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651,295,154.65</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78" w:lineRule="auto" w:before="118"/>
        <w:ind w:left="112" w:right="5174" w:firstLine="0"/>
        <w:jc w:val="left"/>
        <w:rPr>
          <w:rFonts w:ascii="宋体" w:hAnsi="宋体" w:cs="宋体" w:eastAsia="宋体" w:hint="default"/>
          <w:sz w:val="21"/>
          <w:szCs w:val="21"/>
        </w:rPr>
      </w:pPr>
      <w:bookmarkStart w:name="69、所有者权益变动表项目注释" w:id="376"/>
      <w:bookmarkEnd w:id="376"/>
      <w:r>
        <w:rPr/>
      </w:r>
      <w:r>
        <w:rPr>
          <w:rFonts w:ascii="宋体" w:hAnsi="宋体" w:cs="宋体" w:eastAsia="宋体" w:hint="default"/>
          <w:b/>
          <w:bCs/>
          <w:sz w:val="21"/>
          <w:szCs w:val="21"/>
        </w:rPr>
        <w:t>69、所有者权益变动表项目注释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说明对上年期末余额进行调整的“其他”项目名称及调整金额等事项： </w:t>
      </w:r>
      <w:bookmarkStart w:name="70、所有权或使用权受到限制的资产" w:id="377"/>
      <w:bookmarkEnd w:id="377"/>
      <w:r>
        <w:rPr>
          <w:rFonts w:ascii="宋体" w:hAnsi="宋体" w:cs="宋体" w:eastAsia="宋体" w:hint="default"/>
          <w:sz w:val="18"/>
          <w:szCs w:val="18"/>
        </w:rPr>
      </w:r>
      <w:r>
        <w:rPr>
          <w:rFonts w:ascii="宋体" w:hAnsi="宋体" w:cs="宋体" w:eastAsia="宋体" w:hint="default"/>
          <w:b/>
          <w:bCs/>
          <w:sz w:val="21"/>
          <w:szCs w:val="21"/>
        </w:rPr>
        <w:t>70、所有权或使用权受到限制的资产</w:t>
      </w:r>
      <w:r>
        <w:rPr>
          <w:rFonts w:ascii="宋体" w:hAnsi="宋体" w:cs="宋体" w:eastAsia="宋体" w:hint="default"/>
          <w:sz w:val="21"/>
          <w:szCs w:val="21"/>
        </w:rPr>
      </w:r>
    </w:p>
    <w:p>
      <w:pPr>
        <w:spacing w:before="66"/>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26,274,706.88</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票据、保函保证金等</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8,490,340.64</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华东电子软件公司开具保函，授信已到 期，保函未到期</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10,992,223.00</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贸易融资借款质押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45,757,270.52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71、外币货币性项目" w:id="378"/>
      <w:bookmarkEnd w:id="378"/>
      <w:r>
        <w:rPr>
          <w:b w:val="0"/>
          <w:bCs w:val="0"/>
        </w:rPr>
      </w:r>
      <w:r>
        <w:rPr/>
        <w:t>71、外币货币性项目</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外币货币性项目" w:id="379"/>
      <w:bookmarkEnd w:id="379"/>
      <w:r>
        <w:rPr>
          <w:b w:val="0"/>
          <w:bCs w:val="0"/>
        </w:rPr>
      </w:r>
      <w:r>
        <w:rPr/>
        <w:t>（1）外币货币性项目</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290,335.01</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7.8573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2,281,249.27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344,000.00</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6.8755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2,365,172.00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978" w:header="746" w:top="1060" w:bottom="1160" w:left="1020" w:right="0"/>
          <w:pgNumType w:start="1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73" w:lineRule="auto" w:before="118"/>
        <w:ind w:right="0"/>
        <w:jc w:val="left"/>
        <w:rPr>
          <w:b w:val="0"/>
          <w:bCs w:val="0"/>
        </w:rPr>
      </w:pPr>
      <w:bookmarkStart w:name="（2）境外经营实体说明，包括对于重要的境外经营实体，应披露其境外主要经营地、记账" w:id="380"/>
      <w:bookmarkEnd w:id="380"/>
      <w:r>
        <w:rPr>
          <w:b w:val="0"/>
          <w:bCs w:val="0"/>
        </w:rPr>
      </w:r>
      <w:r>
        <w:rPr>
          <w:spacing w:val="3"/>
          <w:w w:val="95"/>
        </w:rPr>
        <w:t>（2）境外经营实体说明，包括对于重要的境外经营实体，应披露其境外主要经营地、记账本位币及选择</w:t>
      </w:r>
      <w:r>
        <w:rPr>
          <w:spacing w:val="95"/>
          <w:w w:val="95"/>
        </w:rPr>
        <w:t> </w:t>
      </w:r>
      <w:r>
        <w:rPr>
          <w:spacing w:val="95"/>
          <w:w w:val="95"/>
        </w:rPr>
      </w:r>
      <w:r>
        <w:rPr/>
        <w:t>依据，记账本位币发生变化的还应披露原因。</w:t>
      </w:r>
      <w:r>
        <w:rPr>
          <w:b w:val="0"/>
          <w:bCs w:val="0"/>
        </w:rPr>
      </w:r>
    </w:p>
    <w:p>
      <w:pPr>
        <w:spacing w:line="240" w:lineRule="auto" w:before="6"/>
        <w:rPr>
          <w:rFonts w:ascii="宋体" w:hAnsi="宋体" w:cs="宋体" w:eastAsia="宋体" w:hint="default"/>
          <w:b/>
          <w:bCs/>
          <w:sz w:val="25"/>
          <w:szCs w:val="25"/>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line="578" w:lineRule="auto" w:before="0"/>
        <w:ind w:left="112" w:right="4634" w:firstLine="0"/>
        <w:jc w:val="left"/>
        <w:rPr>
          <w:rFonts w:ascii="宋体" w:hAnsi="宋体" w:cs="宋体" w:eastAsia="宋体" w:hint="default"/>
          <w:sz w:val="21"/>
          <w:szCs w:val="21"/>
        </w:rPr>
      </w:pPr>
      <w:bookmarkStart w:name="72、套期" w:id="381"/>
      <w:bookmarkEnd w:id="381"/>
      <w:r>
        <w:rPr/>
      </w:r>
      <w:r>
        <w:rPr>
          <w:rFonts w:ascii="宋体" w:hAnsi="宋体" w:cs="宋体" w:eastAsia="宋体" w:hint="default"/>
          <w:b/>
          <w:bCs/>
          <w:sz w:val="21"/>
          <w:szCs w:val="21"/>
        </w:rPr>
        <w:t>72、套期</w:t>
      </w:r>
      <w:r>
        <w:rPr>
          <w:rFonts w:ascii="宋体" w:hAnsi="宋体" w:cs="宋体" w:eastAsia="宋体" w:hint="default"/>
          <w:b/>
          <w:bCs/>
          <w:w w:val="99"/>
          <w:sz w:val="21"/>
          <w:szCs w:val="21"/>
        </w:rPr>
        <w:t> </w:t>
      </w:r>
      <w:r>
        <w:rPr>
          <w:rFonts w:ascii="宋体" w:hAnsi="宋体" w:cs="宋体" w:eastAsia="宋体" w:hint="default"/>
          <w:sz w:val="18"/>
          <w:szCs w:val="18"/>
        </w:rPr>
        <w:t>按照套期类别披露套期项目及相关套期工具、被套期风险的定性和定量信息： </w:t>
      </w:r>
      <w:bookmarkStart w:name="73、政府补助" w:id="382"/>
      <w:bookmarkEnd w:id="382"/>
      <w:r>
        <w:rPr>
          <w:rFonts w:ascii="宋体" w:hAnsi="宋体" w:cs="宋体" w:eastAsia="宋体" w:hint="default"/>
          <w:sz w:val="18"/>
          <w:szCs w:val="18"/>
        </w:rPr>
      </w:r>
      <w:r>
        <w:rPr>
          <w:rFonts w:ascii="宋体" w:hAnsi="宋体" w:cs="宋体" w:eastAsia="宋体" w:hint="default"/>
          <w:b/>
          <w:bCs/>
          <w:sz w:val="21"/>
          <w:szCs w:val="21"/>
        </w:rPr>
        <w:t>73、政府补助</w:t>
      </w:r>
      <w:r>
        <w:rPr>
          <w:rFonts w:ascii="宋体" w:hAnsi="宋体" w:cs="宋体" w:eastAsia="宋体" w:hint="default"/>
          <w:sz w:val="21"/>
          <w:szCs w:val="21"/>
        </w:rPr>
      </w:r>
    </w:p>
    <w:p>
      <w:pPr>
        <w:pStyle w:val="Heading6"/>
        <w:spacing w:line="240" w:lineRule="auto" w:before="43"/>
        <w:ind w:right="2127"/>
        <w:jc w:val="left"/>
        <w:rPr>
          <w:b w:val="0"/>
          <w:bCs w:val="0"/>
        </w:rPr>
      </w:pPr>
      <w:bookmarkStart w:name="（1）政府补助基本情况" w:id="383"/>
      <w:bookmarkEnd w:id="383"/>
      <w:r>
        <w:rPr>
          <w:b w:val="0"/>
          <w:bCs w:val="0"/>
        </w:rPr>
      </w:r>
      <w:r>
        <w:rPr/>
        <w:t>（1）政府补助基本情况</w:t>
      </w:r>
      <w:r>
        <w:rPr>
          <w:b w:val="0"/>
          <w:bCs w:val="0"/>
        </w:rPr>
      </w:r>
    </w:p>
    <w:p>
      <w:pPr>
        <w:spacing w:line="240" w:lineRule="auto" w:before="7"/>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烟台高新区经济发展局专项 扶持基金补贴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4,700,000.00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5,309,361.14</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5,309,361.14</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合肥高新财政国库 2017</w:t>
            </w:r>
            <w:r>
              <w:rPr>
                <w:rFonts w:ascii="宋体" w:hAnsi="宋体" w:cs="宋体" w:eastAsia="宋体" w:hint="default"/>
                <w:spacing w:val="-47"/>
                <w:sz w:val="18"/>
                <w:szCs w:val="18"/>
              </w:rPr>
              <w:t> </w:t>
            </w:r>
            <w:r>
              <w:rPr>
                <w:rFonts w:ascii="宋体" w:hAnsi="宋体" w:cs="宋体" w:eastAsia="宋体" w:hint="default"/>
                <w:sz w:val="18"/>
                <w:szCs w:val="18"/>
              </w:rPr>
              <w:t>年合</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肥市扶持产业发展</w:t>
            </w:r>
            <w:r>
              <w:rPr>
                <w:rFonts w:ascii="宋体" w:hAnsi="宋体" w:cs="宋体" w:eastAsia="宋体" w:hint="default"/>
                <w:spacing w:val="-48"/>
                <w:sz w:val="18"/>
                <w:szCs w:val="18"/>
              </w:rPr>
              <w:t> </w:t>
            </w:r>
            <w:r>
              <w:rPr>
                <w:rFonts w:ascii="宋体" w:hAnsi="宋体" w:cs="宋体" w:eastAsia="宋体" w:hint="default"/>
                <w:sz w:val="18"/>
                <w:szCs w:val="18"/>
              </w:rPr>
              <w:t>1+3+5</w:t>
            </w:r>
            <w:r>
              <w:rPr>
                <w:rFonts w:ascii="宋体" w:hAnsi="宋体" w:cs="宋体" w:eastAsia="宋体" w:hint="default"/>
                <w:spacing w:val="-49"/>
                <w:sz w:val="18"/>
                <w:szCs w:val="18"/>
              </w:rPr>
              <w:t> </w:t>
            </w:r>
            <w:r>
              <w:rPr>
                <w:rFonts w:ascii="宋体" w:hAnsi="宋体" w:cs="宋体" w:eastAsia="宋体" w:hint="default"/>
                <w:sz w:val="18"/>
                <w:szCs w:val="18"/>
              </w:rPr>
              <w:t>政策</w:t>
            </w:r>
            <w:r>
              <w:rPr>
                <w:rFonts w:ascii="宋体" w:hAnsi="宋体" w:cs="宋体" w:eastAsia="宋体" w:hint="default"/>
                <w:sz w:val="18"/>
                <w:szCs w:val="18"/>
              </w:rPr>
              <w:t> 数据资源服务企业</w:t>
            </w:r>
            <w:r>
              <w:rPr>
                <w:rFonts w:ascii="宋体" w:hAnsi="宋体" w:cs="宋体" w:eastAsia="宋体" w:hint="default"/>
                <w:spacing w:val="1"/>
                <w:sz w:val="18"/>
                <w:szCs w:val="18"/>
              </w:rPr>
              <w:t> </w:t>
            </w:r>
            <w:r>
              <w:rPr>
                <w:rFonts w:ascii="宋体" w:hAnsi="宋体" w:cs="宋体" w:eastAsia="宋体" w:hint="default"/>
                <w:sz w:val="18"/>
                <w:szCs w:val="18"/>
              </w:rPr>
              <w:t>奖补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5,000.00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岗位补贴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144,165.00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144,165.00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促进产业转型发展专项资金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年合肥高新区鼓励自主</w:t>
            </w:r>
            <w:r>
              <w:rPr>
                <w:rFonts w:ascii="宋体" w:hAnsi="宋体" w:cs="宋体" w:eastAsia="宋体" w:hint="default"/>
                <w:sz w:val="18"/>
                <w:szCs w:val="18"/>
              </w:rPr>
              <w:t> 创新促进新兴产业发展若干 政策措施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76,000.00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76,000.00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人才培训补贴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29,610.00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29,610.00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高新区科技局知识产权奖励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06"/>
              <w:jc w:val="both"/>
              <w:rPr>
                <w:rFonts w:ascii="宋体" w:hAnsi="宋体" w:cs="宋体" w:eastAsia="宋体" w:hint="default"/>
                <w:sz w:val="18"/>
                <w:szCs w:val="18"/>
              </w:rPr>
            </w:pPr>
            <w:r>
              <w:rPr>
                <w:rFonts w:ascii="宋体" w:hAnsi="宋体" w:cs="宋体" w:eastAsia="宋体" w:hint="default"/>
                <w:sz w:val="18"/>
                <w:szCs w:val="18"/>
              </w:rPr>
              <w:t>合肥高新区</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年扶持产业</w:t>
            </w:r>
            <w:r>
              <w:rPr>
                <w:rFonts w:ascii="宋体" w:hAnsi="宋体" w:cs="宋体" w:eastAsia="宋体" w:hint="default"/>
                <w:sz w:val="18"/>
                <w:szCs w:val="18"/>
              </w:rPr>
              <w:t> 发展"2+2"政策省级新产品认 定企业奖励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外贸政策资金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55,000.00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高新技术企业补贴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1,200,000.00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06"/>
              <w:jc w:val="left"/>
              <w:rPr>
                <w:rFonts w:ascii="宋体" w:hAnsi="宋体" w:cs="宋体" w:eastAsia="宋体" w:hint="default"/>
                <w:sz w:val="18"/>
                <w:szCs w:val="18"/>
              </w:rPr>
            </w:pPr>
            <w:r>
              <w:rPr>
                <w:rFonts w:ascii="宋体" w:hAnsi="宋体" w:cs="宋体" w:eastAsia="宋体" w:hint="default"/>
                <w:sz w:val="18"/>
                <w:szCs w:val="18"/>
              </w:rPr>
              <w:t>科技局</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年市级自主创新</w:t>
            </w:r>
            <w:r>
              <w:rPr>
                <w:rFonts w:ascii="宋体" w:hAnsi="宋体" w:cs="宋体" w:eastAsia="宋体" w:hint="default"/>
                <w:sz w:val="18"/>
                <w:szCs w:val="18"/>
              </w:rPr>
              <w:t> 大数据奖励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高企培育库专项资金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人才引进奖励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3,420.00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3,420.00</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2）政府补助退回情况" w:id="384"/>
      <w:bookmarkEnd w:id="384"/>
      <w:r>
        <w:rPr>
          <w:b w:val="0"/>
          <w:bCs w:val="0"/>
        </w:rPr>
      </w:r>
      <w:r>
        <w:rPr/>
        <w:t>（2）政府补助退回情况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01" w:lineRule="auto" w:before="0"/>
        <w:ind w:left="112" w:right="8329" w:firstLine="0"/>
        <w:jc w:val="left"/>
        <w:rPr>
          <w:rFonts w:ascii="宋体" w:hAnsi="宋体" w:cs="宋体" w:eastAsia="宋体" w:hint="default"/>
          <w:sz w:val="21"/>
          <w:szCs w:val="21"/>
        </w:rPr>
      </w:pPr>
      <w:bookmarkStart w:name="74、其他" w:id="385"/>
      <w:bookmarkEnd w:id="385"/>
      <w:r>
        <w:rPr/>
      </w:r>
      <w:r>
        <w:rPr>
          <w:rFonts w:ascii="宋体" w:hAnsi="宋体" w:cs="宋体" w:eastAsia="宋体" w:hint="default"/>
          <w:b/>
          <w:bCs/>
          <w:sz w:val="21"/>
          <w:szCs w:val="21"/>
        </w:rPr>
        <w:t>74、其他</w:t>
      </w:r>
      <w:r>
        <w:rPr>
          <w:rFonts w:ascii="宋体" w:hAnsi="宋体" w:cs="宋体" w:eastAsia="宋体" w:hint="default"/>
          <w:b/>
          <w:bCs/>
          <w:w w:val="99"/>
          <w:sz w:val="21"/>
          <w:szCs w:val="21"/>
        </w:rPr>
        <w:t> </w:t>
      </w:r>
      <w:bookmarkStart w:name="八、合并范围的变更" w:id="386"/>
      <w:bookmarkEnd w:id="38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7"/>
      <w:bookmarkEnd w:id="387"/>
      <w:r>
        <w:rPr>
          <w:rFonts w:ascii="宋体" w:hAnsi="宋体" w:cs="宋体" w:eastAsia="宋体" w:hint="default"/>
          <w:b/>
          <w:bCs/>
          <w:w w:val="99"/>
          <w:sz w:val="24"/>
          <w:szCs w:val="24"/>
        </w:rPr>
      </w:r>
      <w:r>
        <w:rPr>
          <w:rFonts w:ascii="宋体" w:hAnsi="宋体" w:cs="宋体" w:eastAsia="宋体" w:hint="default"/>
          <w:b/>
          <w:bCs/>
          <w:sz w:val="21"/>
          <w:szCs w:val="21"/>
        </w:rPr>
        <w:t>1、非同一控制下企业合并</w:t>
      </w:r>
      <w:r>
        <w:rPr>
          <w:rFonts w:ascii="宋体" w:hAnsi="宋体" w:cs="宋体" w:eastAsia="宋体" w:hint="default"/>
          <w:sz w:val="21"/>
          <w:szCs w:val="21"/>
        </w:rPr>
      </w:r>
    </w:p>
    <w:p>
      <w:pPr>
        <w:pStyle w:val="Heading6"/>
        <w:spacing w:line="240" w:lineRule="auto" w:before="110"/>
        <w:ind w:right="2127"/>
        <w:jc w:val="left"/>
        <w:rPr>
          <w:b w:val="0"/>
          <w:bCs w:val="0"/>
        </w:rPr>
      </w:pPr>
      <w:bookmarkStart w:name="（1）本期发生的非同一控制下企业合并" w:id="388"/>
      <w:bookmarkEnd w:id="388"/>
      <w:r>
        <w:rPr>
          <w:b w:val="0"/>
          <w:bCs w:val="0"/>
        </w:rPr>
      </w:r>
      <w:r>
        <w:rPr/>
        <w:t>（1）本期发生的非同一控制下企业合并</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成都赛英科 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342,023,653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股权支付购 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6"/>
              <w:jc w:val="left"/>
              <w:rPr>
                <w:rFonts w:ascii="宋体" w:hAnsi="宋体" w:cs="宋体" w:eastAsia="宋体" w:hint="default"/>
                <w:sz w:val="18"/>
                <w:szCs w:val="18"/>
              </w:rPr>
            </w:pPr>
            <w:r>
              <w:rPr>
                <w:rFonts w:ascii="宋体" w:hAnsi="宋体" w:cs="宋体" w:eastAsia="宋体" w:hint="default"/>
                <w:sz w:val="18"/>
                <w:szCs w:val="18"/>
              </w:rPr>
              <w:t>工商变更登 记完成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95,065,852.</w:t>
            </w:r>
          </w:p>
          <w:p>
            <w:pPr>
              <w:pStyle w:val="TableParagraph"/>
              <w:spacing w:line="240" w:lineRule="auto" w:before="76"/>
              <w:ind w:right="21"/>
              <w:jc w:val="right"/>
              <w:rPr>
                <w:rFonts w:ascii="宋体" w:hAnsi="宋体" w:cs="宋体" w:eastAsia="宋体" w:hint="default"/>
                <w:sz w:val="18"/>
                <w:szCs w:val="18"/>
              </w:rPr>
            </w:pPr>
            <w:r>
              <w:rPr>
                <w:rFonts w:ascii="宋体"/>
                <w:sz w:val="18"/>
              </w:rPr>
              <w:t>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33,062,325.</w:t>
            </w:r>
          </w:p>
          <w:p>
            <w:pPr>
              <w:pStyle w:val="TableParagraph"/>
              <w:spacing w:line="240" w:lineRule="auto" w:before="76"/>
              <w:ind w:right="19"/>
              <w:jc w:val="right"/>
              <w:rPr>
                <w:rFonts w:ascii="宋体" w:hAnsi="宋体" w:cs="宋体" w:eastAsia="宋体" w:hint="default"/>
                <w:sz w:val="18"/>
                <w:szCs w:val="18"/>
              </w:rPr>
            </w:pPr>
            <w:r>
              <w:rPr>
                <w:rFonts w:ascii="宋体"/>
                <w:sz w:val="18"/>
              </w:rPr>
              <w:t>10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合并成本及商誉" w:id="389"/>
      <w:bookmarkEnd w:id="389"/>
      <w:r>
        <w:rPr>
          <w:b w:val="0"/>
          <w:bCs w:val="0"/>
        </w:rPr>
      </w:r>
      <w:r>
        <w:rPr/>
        <w:t>（2）合并成本及商誉</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342,023,653.61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116,442,096.28</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8"/>
              <w:jc w:val="left"/>
              <w:rPr>
                <w:rFonts w:ascii="宋体" w:hAnsi="宋体" w:cs="宋体" w:eastAsia="宋体" w:hint="default"/>
                <w:sz w:val="18"/>
                <w:szCs w:val="18"/>
              </w:rPr>
            </w:pPr>
            <w:r>
              <w:rPr>
                <w:rFonts w:ascii="宋体" w:hAnsi="宋体" w:cs="宋体" w:eastAsia="宋体" w:hint="default"/>
                <w:sz w:val="18"/>
                <w:szCs w:val="18"/>
              </w:rPr>
              <w:t>商誉/合并成本小于取得的可辨认净资产公允价值份额的金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225,581,557.33</w:t>
            </w:r>
          </w:p>
        </w:tc>
      </w:tr>
    </w:tbl>
    <w:p>
      <w:pPr>
        <w:spacing w:line="360" w:lineRule="auto" w:before="49"/>
        <w:ind w:left="11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3）被购买方于购买日可辨认资产、负债" w:id="390"/>
      <w:bookmarkEnd w:id="390"/>
      <w:r>
        <w:rPr>
          <w:b w:val="0"/>
          <w:bCs w:val="0"/>
        </w:rPr>
      </w:r>
      <w:r>
        <w:rPr/>
        <w:t>（3）被购买方于购买日可辨认资产、负债</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8,444,253.87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8,444,253.87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67,554,205.38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67,554,205.38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25,555,113.28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25,555,113.28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32,953,868.20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21,494,758.90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11,423,412.85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3,571,595.63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3,571,595.63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406,913.37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406,913.37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6,337,780.00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6,337,780.00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15,950,593.87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15,950,593.87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3,432,378.32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1,750,459.09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1,750,459.09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4,796,055.02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4,796,055.02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116,442,096.28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96,991,952.45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116,442,096.28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96,991,952.45</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pStyle w:val="BodyText"/>
        <w:spacing w:line="240" w:lineRule="auto" w:before="89"/>
        <w:ind w:left="532" w:right="2127"/>
        <w:jc w:val="left"/>
      </w:pPr>
      <w:r>
        <w:rPr/>
        <w:t>按照评估基准日的可辨认净资产的公允价值推算至购并日的公允价值</w:t>
      </w:r>
    </w:p>
    <w:p>
      <w:pPr>
        <w:spacing w:line="240" w:lineRule="auto" w:before="0"/>
        <w:rPr>
          <w:rFonts w:ascii="宋体" w:hAnsi="宋体" w:cs="宋体" w:eastAsia="宋体" w:hint="default"/>
          <w:sz w:val="20"/>
          <w:szCs w:val="20"/>
        </w:rPr>
      </w:pPr>
    </w:p>
    <w:p>
      <w:pPr>
        <w:spacing w:before="153"/>
        <w:ind w:left="112" w:right="2127"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w:t>
      </w:r>
    </w:p>
    <w:p>
      <w:pPr>
        <w:pStyle w:val="BodyText"/>
        <w:spacing w:line="240" w:lineRule="auto" w:before="92"/>
        <w:ind w:left="532" w:right="2127"/>
        <w:jc w:val="left"/>
      </w:pPr>
      <w:r>
        <w:rPr/>
        <w:t>企业合并中无需要承担的被购买方的或有负债情况。</w:t>
      </w:r>
    </w:p>
    <w:p>
      <w:pPr>
        <w:spacing w:line="240" w:lineRule="auto" w:before="0"/>
        <w:rPr>
          <w:rFonts w:ascii="宋体" w:hAnsi="宋体" w:cs="宋体" w:eastAsia="宋体" w:hint="default"/>
          <w:sz w:val="20"/>
          <w:szCs w:val="20"/>
        </w:rPr>
      </w:pPr>
    </w:p>
    <w:p>
      <w:pPr>
        <w:spacing w:before="1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购买日之前持有的股权按照公允价值重新计量产生的利得或损失" w:id="391"/>
      <w:bookmarkEnd w:id="391"/>
      <w:r>
        <w:rPr>
          <w:b w:val="0"/>
          <w:bCs w:val="0"/>
        </w:rPr>
      </w:r>
      <w:r>
        <w:rPr/>
        <w:t>（4）购买日之前持有的股权按照公允价值重新计量产生的利得或损失</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bookmarkStart w:name="（5）购买日或合并当期期末无法合理确定合并对价或被购买方可辨认资产、负债公允价值" w:id="392"/>
      <w:bookmarkEnd w:id="392"/>
      <w:r>
        <w:rPr>
          <w:b w:val="0"/>
          <w:bCs w:val="0"/>
        </w:rPr>
      </w:r>
      <w:r>
        <w:rPr/>
        <w:t>（5）购买日或合并当期期末无法合理确定合并对价或被购买方可辨认资产、负债公允价值的相关说明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5"/>
          <w:szCs w:val="25"/>
        </w:rPr>
      </w:pPr>
    </w:p>
    <w:p>
      <w:pPr>
        <w:pStyle w:val="Heading6"/>
        <w:spacing w:line="535" w:lineRule="auto"/>
        <w:ind w:right="8539"/>
        <w:jc w:val="left"/>
        <w:rPr>
          <w:b w:val="0"/>
          <w:bCs w:val="0"/>
        </w:rPr>
      </w:pPr>
      <w:bookmarkStart w:name="（6）其他说明" w:id="393"/>
      <w:bookmarkEnd w:id="393"/>
      <w:r>
        <w:rPr>
          <w:b w:val="0"/>
          <w:bCs w:val="0"/>
        </w:rPr>
      </w:r>
      <w:r>
        <w:rPr/>
        <w:t>（6）其他说明</w:t>
      </w:r>
      <w:r>
        <w:rPr>
          <w:w w:val="99"/>
        </w:rPr>
        <w:t> </w:t>
      </w:r>
      <w:bookmarkStart w:name="2、同一控制下企业合并" w:id="394"/>
      <w:bookmarkEnd w:id="394"/>
      <w:r>
        <w:rPr/>
        <w:t>2</w:t>
      </w:r>
      <w:r>
        <w:rPr/>
        <w:t>、同一控制下企业合并</w:t>
      </w:r>
      <w:r>
        <w:rPr>
          <w:b w:val="0"/>
          <w:bCs w:val="0"/>
        </w:rPr>
      </w:r>
    </w:p>
    <w:p>
      <w:pPr>
        <w:pStyle w:val="Heading6"/>
        <w:spacing w:line="240" w:lineRule="auto" w:before="79"/>
        <w:ind w:right="2127"/>
        <w:jc w:val="left"/>
        <w:rPr>
          <w:b w:val="0"/>
          <w:bCs w:val="0"/>
        </w:rPr>
      </w:pPr>
      <w:bookmarkStart w:name="（1）本期发生的同一控制下企业合并" w:id="395"/>
      <w:bookmarkEnd w:id="395"/>
      <w:r>
        <w:rPr>
          <w:b w:val="0"/>
          <w:bCs w:val="0"/>
        </w:rPr>
      </w:r>
      <w:r>
        <w:rPr/>
        <w:t>（1）本期发生的同一控制下企业合并</w:t>
      </w:r>
      <w:r>
        <w:rPr>
          <w:b w:val="0"/>
          <w:bCs w:val="0"/>
        </w:rPr>
      </w:r>
    </w:p>
    <w:p>
      <w:pPr>
        <w:spacing w:line="240" w:lineRule="auto" w:before="12"/>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合并成本" w:id="396"/>
      <w:bookmarkEnd w:id="396"/>
      <w:r>
        <w:rPr>
          <w:b w:val="0"/>
          <w:bCs w:val="0"/>
        </w:rPr>
      </w:r>
      <w:r>
        <w:rPr/>
        <w:t>（2）合并成本</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50"/>
        <w:ind w:left="11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3）合并日被合并方资产、负债的账面价值" w:id="397"/>
      <w:bookmarkEnd w:id="397"/>
      <w:r>
        <w:rPr>
          <w:b w:val="0"/>
          <w:bCs w:val="0"/>
        </w:rPr>
      </w:r>
      <w:r>
        <w:rPr/>
        <w:t>（3）合并日被合并方资产、负债的账面价值</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2;width:3185;height:397" coordorigin="13,12" coordsize="3185,397">
              <v:shape style="position:absolute;left:13;top:12;width:3185;height:397" coordorigin="13,12" coordsize="3185,397" path="m13,12l3198,12,3198,409,13,409,13,12xe" filled="true" fillcolor="#d2d2d2"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e0ffff" stroked="false">
                <v:path arrowok="t"/>
                <v:fill type="solid"/>
              </v:shape>
            </v:group>
            <v:group style="position:absolute;left:13;top:414;width:3185;height:397" coordorigin="13,414" coordsize="3185,397">
              <v:shape style="position:absolute;left:13;top:414;width:3185;height:397" coordorigin="13,414" coordsize="3185,397" path="m13,414l3198,414,3198,811,13,811,13,414xe" filled="true" fillcolor="#d2d2d2" stroked="false">
                <v:path arrowok="t"/>
                <v:fill type="solid"/>
              </v:shape>
            </v:group>
            <v:group style="position:absolute;left:3203;top:414;width:3185;height:397" coordorigin="3203,414" coordsize="3185,397">
              <v:shape style="position:absolute;left:3203;top:414;width:3185;height:397" coordorigin="3203,414" coordsize="3185,397" path="m3203,414l6388,414,6388,811,3203,811,3203,414xe" filled="true" fillcolor="#d2d2d2" stroked="false">
                <v:path arrowok="t"/>
                <v:fill type="solid"/>
              </v:shape>
            </v:group>
            <v:group style="position:absolute;left:6393;top:414;width:3185;height:397" coordorigin="6393,414" coordsize="3185,397">
              <v:shape style="position:absolute;left:6393;top:414;width:3185;height:397" coordorigin="6393,414" coordsize="3185,397" path="m6393,414l9578,414,9578,811,6393,811,6393,414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6"/>
        <w:ind w:left="11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20"/>
          <w:szCs w:val="20"/>
        </w:rPr>
      </w:pPr>
    </w:p>
    <w:p>
      <w:pPr>
        <w:pStyle w:val="Heading6"/>
        <w:spacing w:line="240" w:lineRule="auto"/>
        <w:ind w:right="2127"/>
        <w:jc w:val="left"/>
        <w:rPr>
          <w:b w:val="0"/>
          <w:bCs w:val="0"/>
        </w:rPr>
      </w:pPr>
      <w:bookmarkStart w:name="3、反向购买" w:id="398"/>
      <w:bookmarkEnd w:id="398"/>
      <w:r>
        <w:rPr>
          <w:b w:val="0"/>
          <w:bCs w:val="0"/>
        </w:rPr>
      </w:r>
      <w:r>
        <w:rPr/>
        <w:t>3、反向购买</w:t>
      </w:r>
      <w:r>
        <w:rPr>
          <w:b w:val="0"/>
          <w:bCs w:val="0"/>
        </w:rPr>
      </w:r>
    </w:p>
    <w:p>
      <w:pPr>
        <w:spacing w:line="240" w:lineRule="auto" w:before="9"/>
        <w:rPr>
          <w:rFonts w:ascii="宋体" w:hAnsi="宋体" w:cs="宋体" w:eastAsia="宋体" w:hint="default"/>
          <w:b/>
          <w:bCs/>
          <w:sz w:val="27"/>
          <w:szCs w:val="27"/>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6"/>
        <w:spacing w:line="240" w:lineRule="auto"/>
        <w:ind w:right="2127"/>
        <w:jc w:val="left"/>
        <w:rPr>
          <w:b w:val="0"/>
          <w:bCs w:val="0"/>
        </w:rPr>
      </w:pPr>
      <w:bookmarkStart w:name="4、处置子公司" w:id="399"/>
      <w:bookmarkEnd w:id="399"/>
      <w:r>
        <w:rPr>
          <w:b w:val="0"/>
          <w:bCs w:val="0"/>
        </w:rPr>
      </w:r>
      <w:r>
        <w:rPr/>
        <w:t>4、处置子公司</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60" w:lineRule="auto" w:before="115"/>
        <w:ind w:left="112" w:right="4994"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spacing w:line="578" w:lineRule="auto" w:before="34"/>
        <w:ind w:left="112" w:right="3914" w:firstLine="0"/>
        <w:jc w:val="left"/>
        <w:rPr>
          <w:rFonts w:ascii="宋体" w:hAnsi="宋体" w:cs="宋体" w:eastAsia="宋体" w:hint="default"/>
          <w:sz w:val="21"/>
          <w:szCs w:val="21"/>
        </w:rPr>
      </w:pPr>
      <w:bookmarkStart w:name="5、其他原因的合并范围变动" w:id="400"/>
      <w:bookmarkEnd w:id="400"/>
      <w:r>
        <w:rPr/>
      </w:r>
      <w:r>
        <w:rPr>
          <w:rFonts w:ascii="宋体" w:hAnsi="宋体" w:cs="宋体" w:eastAsia="宋体" w:hint="default"/>
          <w:b/>
          <w:bCs/>
          <w:sz w:val="21"/>
          <w:szCs w:val="21"/>
        </w:rPr>
        <w:t>5、其他原因的合并范围变动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说明其他原因导致的合并范围变动（如，新设子公司、清算子公司等）及其相关情况： </w:t>
      </w:r>
      <w:bookmarkStart w:name="6、其他" w:id="401"/>
      <w:bookmarkEnd w:id="401"/>
      <w:r>
        <w:rPr>
          <w:rFonts w:ascii="宋体" w:hAnsi="宋体" w:cs="宋体" w:eastAsia="宋体" w:hint="default"/>
          <w:sz w:val="18"/>
          <w:szCs w:val="18"/>
        </w:rPr>
      </w:r>
      <w:r>
        <w:rPr>
          <w:rFonts w:ascii="宋体" w:hAnsi="宋体" w:cs="宋体" w:eastAsia="宋体" w:hint="default"/>
          <w:b/>
          <w:bCs/>
          <w:sz w:val="21"/>
          <w:szCs w:val="21"/>
        </w:rPr>
        <w:t>6、其他</w:t>
      </w:r>
      <w:r>
        <w:rPr>
          <w:rFonts w:ascii="宋体" w:hAnsi="宋体" w:cs="宋体" w:eastAsia="宋体" w:hint="default"/>
          <w:sz w:val="21"/>
          <w:szCs w:val="21"/>
        </w:rPr>
      </w:r>
    </w:p>
    <w:p>
      <w:pPr>
        <w:pStyle w:val="Heading4"/>
        <w:spacing w:line="240" w:lineRule="auto" w:before="18"/>
        <w:ind w:right="2127"/>
        <w:jc w:val="left"/>
        <w:rPr>
          <w:b w:val="0"/>
          <w:bCs w:val="0"/>
        </w:rPr>
      </w:pPr>
      <w:bookmarkStart w:name="九、在其他主体中的权益" w:id="402"/>
      <w:bookmarkEnd w:id="402"/>
      <w:r>
        <w:rPr>
          <w:b w:val="0"/>
          <w:bCs w:val="0"/>
        </w:rPr>
      </w: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2127"/>
        <w:jc w:val="left"/>
        <w:rPr>
          <w:b w:val="0"/>
          <w:bCs w:val="0"/>
        </w:rPr>
      </w:pPr>
      <w:bookmarkStart w:name="1、在子公司中的权益" w:id="403"/>
      <w:bookmarkEnd w:id="403"/>
      <w:r>
        <w:rPr>
          <w:b w:val="0"/>
          <w:bCs w:val="0"/>
        </w:rPr>
      </w:r>
      <w:r>
        <w:rPr/>
        <w:t>1、在子公司中的权益</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企业集团的构成" w:id="404"/>
      <w:bookmarkEnd w:id="404"/>
      <w:r>
        <w:rPr>
          <w:b w:val="0"/>
          <w:bCs w:val="0"/>
        </w:rPr>
      </w:r>
      <w:r>
        <w:rPr/>
        <w:t>（1）企业集团的构成</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天津市金飞博光 通讯技术有限公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6"/>
              <w:jc w:val="both"/>
              <w:rPr>
                <w:rFonts w:ascii="宋体" w:hAnsi="宋体" w:cs="宋体" w:eastAsia="宋体" w:hint="default"/>
                <w:sz w:val="18"/>
                <w:szCs w:val="18"/>
              </w:rPr>
            </w:pPr>
            <w:r>
              <w:rPr>
                <w:rFonts w:ascii="宋体" w:hAnsi="宋体" w:cs="宋体" w:eastAsia="宋体" w:hint="default"/>
                <w:sz w:val="18"/>
                <w:szCs w:val="18"/>
              </w:rPr>
              <w:t>天津市天安怡和 信息技术有限公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天津信息港甲子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6"/>
              <w:jc w:val="both"/>
              <w:rPr>
                <w:rFonts w:ascii="宋体" w:hAnsi="宋体" w:cs="宋体" w:eastAsia="宋体" w:hint="default"/>
                <w:sz w:val="18"/>
                <w:szCs w:val="18"/>
              </w:rPr>
            </w:pPr>
            <w:r>
              <w:rPr>
                <w:rFonts w:ascii="宋体" w:hAnsi="宋体" w:cs="宋体" w:eastAsia="宋体" w:hint="default"/>
                <w:sz w:val="18"/>
                <w:szCs w:val="18"/>
              </w:rPr>
              <w:t>安徽皖通城市智 能交通科技有限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重庆皖通科技有 限责任公司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安徽行云天下科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烟台华东数据科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6"/>
              <w:jc w:val="both"/>
              <w:rPr>
                <w:rFonts w:ascii="宋体" w:hAnsi="宋体" w:cs="宋体" w:eastAsia="宋体" w:hint="default"/>
                <w:sz w:val="18"/>
                <w:szCs w:val="18"/>
              </w:rPr>
            </w:pPr>
            <w:r>
              <w:rPr>
                <w:rFonts w:ascii="宋体" w:hAnsi="宋体" w:cs="宋体" w:eastAsia="宋体" w:hint="default"/>
                <w:sz w:val="18"/>
                <w:szCs w:val="18"/>
              </w:rPr>
              <w:t>宁波拖柜宝物流 科技有限责任公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2"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烟台华东电子科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安徽光大保险代 理有限责任公司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保险代理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上海亲益保网络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上海舶云供应链 管理有限公司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52.50%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浙江自贸区舶云 智慧物流有限公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成都赛英科技有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军工产品生产销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04"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line="357" w:lineRule="auto" w:before="51"/>
        <w:ind w:left="11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1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2"/>
        <w:rPr>
          <w:rFonts w:ascii="宋体" w:hAnsi="宋体" w:cs="宋体" w:eastAsia="宋体" w:hint="default"/>
          <w:sz w:val="19"/>
          <w:szCs w:val="19"/>
        </w:rPr>
      </w:pPr>
    </w:p>
    <w:p>
      <w:pPr>
        <w:pStyle w:val="Heading6"/>
        <w:spacing w:line="240" w:lineRule="auto"/>
        <w:ind w:right="2127"/>
        <w:jc w:val="left"/>
        <w:rPr>
          <w:b w:val="0"/>
          <w:bCs w:val="0"/>
        </w:rPr>
      </w:pPr>
      <w:bookmarkStart w:name="（2）重要的非全资子公司" w:id="405"/>
      <w:bookmarkEnd w:id="405"/>
      <w:r>
        <w:rPr>
          <w:b w:val="0"/>
          <w:bCs w:val="0"/>
        </w:rPr>
      </w:r>
      <w:r>
        <w:rPr/>
        <w:t>（2）重要的非全资子公司</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安徽汉高信息科技有限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sz w:val="18"/>
              </w:rPr>
              <w:t>15,540,084.13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sz w:val="18"/>
              </w:rPr>
              <w:t>5,567,594.31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50,355,473.62</w:t>
            </w:r>
          </w:p>
        </w:tc>
      </w:tr>
    </w:tbl>
    <w:p>
      <w:pPr>
        <w:spacing w:line="360" w:lineRule="auto" w:before="50"/>
        <w:ind w:left="11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3）重要非全资子公司的主要财务信息" w:id="406"/>
      <w:bookmarkEnd w:id="406"/>
      <w:r>
        <w:rPr>
          <w:b w:val="0"/>
          <w:bCs w:val="0"/>
        </w:rPr>
      </w:r>
      <w:r>
        <w:rPr/>
        <w:t>（3）重要非全资子公司的主要财务信息</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高信息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228,080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33,855,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261,935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159,169</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159,169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 w:right="0"/>
              <w:jc w:val="center"/>
              <w:rPr>
                <w:rFonts w:ascii="宋体" w:hAnsi="宋体" w:cs="宋体" w:eastAsia="宋体" w:hint="default"/>
                <w:sz w:val="18"/>
                <w:szCs w:val="18"/>
              </w:rPr>
            </w:pPr>
            <w:r>
              <w:rPr>
                <w:rFonts w:ascii="宋体"/>
                <w:sz w:val="18"/>
              </w:rPr>
              <w:t>189,401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32,399,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221,800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140,363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140,363</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,301.96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537.35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,839.31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,566.61</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,566.61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 w:right="0"/>
              <w:jc w:val="center"/>
              <w:rPr>
                <w:rFonts w:ascii="宋体" w:hAnsi="宋体" w:cs="宋体" w:eastAsia="宋体" w:hint="default"/>
                <w:sz w:val="18"/>
                <w:szCs w:val="18"/>
              </w:rPr>
            </w:pPr>
            <w:r>
              <w:rPr>
                <w:rFonts w:ascii="宋体"/>
                <w:sz w:val="18"/>
              </w:rPr>
              <w:t>,810.89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147.12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,958.01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,809.38</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,809.38</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4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4253"/>
        <w:gridCol w:w="4255"/>
      </w:tblGrid>
      <w:tr>
        <w:trPr>
          <w:trHeight w:val="40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283,340,445</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31,714,457.</w:t>
            </w:r>
          </w:p>
          <w:p>
            <w:pPr>
              <w:pStyle w:val="TableParagraph"/>
              <w:spacing w:line="240" w:lineRule="auto" w:before="76"/>
              <w:ind w:right="21"/>
              <w:jc w:val="right"/>
              <w:rPr>
                <w:rFonts w:ascii="宋体" w:hAnsi="宋体" w:cs="宋体" w:eastAsia="宋体" w:hint="default"/>
                <w:sz w:val="18"/>
                <w:szCs w:val="18"/>
              </w:rPr>
            </w:pPr>
            <w:r>
              <w:rPr>
                <w:rFonts w:ascii="宋体"/>
                <w:sz w:val="18"/>
              </w:rPr>
              <w:t>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31,714,457.</w:t>
            </w:r>
          </w:p>
          <w:p>
            <w:pPr>
              <w:pStyle w:val="TableParagraph"/>
              <w:spacing w:line="240" w:lineRule="auto" w:before="76"/>
              <w:ind w:right="20"/>
              <w:jc w:val="right"/>
              <w:rPr>
                <w:rFonts w:ascii="宋体" w:hAnsi="宋体" w:cs="宋体" w:eastAsia="宋体" w:hint="default"/>
                <w:sz w:val="18"/>
                <w:szCs w:val="18"/>
              </w:rPr>
            </w:pPr>
            <w:r>
              <w:rPr>
                <w:rFonts w:ascii="宋体"/>
                <w:sz w:val="18"/>
              </w:rPr>
              <w:t>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32,935,560.</w:t>
            </w:r>
          </w:p>
          <w:p>
            <w:pPr>
              <w:pStyle w:val="TableParagraph"/>
              <w:spacing w:line="240" w:lineRule="auto" w:before="76"/>
              <w:ind w:right="20"/>
              <w:jc w:val="right"/>
              <w:rPr>
                <w:rFonts w:ascii="宋体" w:hAnsi="宋体" w:cs="宋体" w:eastAsia="宋体" w:hint="default"/>
                <w:sz w:val="18"/>
                <w:szCs w:val="18"/>
              </w:rPr>
            </w:pPr>
            <w:r>
              <w:rPr>
                <w:rFonts w:ascii="宋体"/>
                <w:sz w:val="18"/>
              </w:rPr>
              <w:t>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288,175,151</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20,970,491.</w:t>
            </w:r>
          </w:p>
          <w:p>
            <w:pPr>
              <w:pStyle w:val="TableParagraph"/>
              <w:spacing w:line="240" w:lineRule="auto" w:before="76"/>
              <w:ind w:right="19"/>
              <w:jc w:val="right"/>
              <w:rPr>
                <w:rFonts w:ascii="宋体" w:hAnsi="宋体" w:cs="宋体" w:eastAsia="宋体" w:hint="default"/>
                <w:sz w:val="18"/>
                <w:szCs w:val="18"/>
              </w:rPr>
            </w:pPr>
            <w:r>
              <w:rPr>
                <w:rFonts w:ascii="宋体"/>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20,970,491.</w:t>
            </w:r>
          </w:p>
          <w:p>
            <w:pPr>
              <w:pStyle w:val="TableParagraph"/>
              <w:spacing w:line="240" w:lineRule="auto" w:before="76"/>
              <w:ind w:right="19"/>
              <w:jc w:val="right"/>
              <w:rPr>
                <w:rFonts w:ascii="宋体" w:hAnsi="宋体" w:cs="宋体" w:eastAsia="宋体" w:hint="default"/>
                <w:sz w:val="18"/>
                <w:szCs w:val="18"/>
              </w:rPr>
            </w:pPr>
            <w:r>
              <w:rPr>
                <w:rFonts w:ascii="宋体"/>
                <w:sz w:val="18"/>
              </w:rPr>
              <w:t>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31,971,271.</w:t>
            </w:r>
          </w:p>
          <w:p>
            <w:pPr>
              <w:pStyle w:val="TableParagraph"/>
              <w:spacing w:line="240" w:lineRule="auto" w:before="76"/>
              <w:ind w:right="19"/>
              <w:jc w:val="right"/>
              <w:rPr>
                <w:rFonts w:ascii="宋体" w:hAnsi="宋体" w:cs="宋体" w:eastAsia="宋体" w:hint="default"/>
                <w:sz w:val="18"/>
                <w:szCs w:val="18"/>
              </w:rPr>
            </w:pPr>
            <w:r>
              <w:rPr>
                <w:rFonts w:ascii="宋体"/>
                <w:sz w:val="18"/>
              </w:rPr>
              <w:t>71</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使用企业集团资产和清偿企业集团债务的重大限制" w:id="407"/>
      <w:bookmarkEnd w:id="407"/>
      <w:r>
        <w:rPr>
          <w:b w:val="0"/>
          <w:bCs w:val="0"/>
        </w:rPr>
      </w:r>
      <w:r>
        <w:rPr/>
        <w:t>（4）使用企业集团资产和清偿企业集团债务的重大限制</w:t>
      </w:r>
      <w:r>
        <w:rPr>
          <w:b w:val="0"/>
          <w:bCs w:val="0"/>
        </w:rPr>
      </w:r>
    </w:p>
    <w:p>
      <w:pPr>
        <w:spacing w:line="240" w:lineRule="auto" w:before="10"/>
        <w:rPr>
          <w:rFonts w:ascii="宋体" w:hAnsi="宋体" w:cs="宋体" w:eastAsia="宋体" w:hint="default"/>
          <w:b/>
          <w:bCs/>
          <w:sz w:val="25"/>
          <w:szCs w:val="25"/>
        </w:rPr>
      </w:pPr>
    </w:p>
    <w:p>
      <w:pPr>
        <w:pStyle w:val="Heading6"/>
        <w:spacing w:line="578" w:lineRule="auto"/>
        <w:ind w:right="4184"/>
        <w:jc w:val="left"/>
        <w:rPr>
          <w:b w:val="0"/>
          <w:bCs w:val="0"/>
        </w:rPr>
      </w:pPr>
      <w:bookmarkStart w:name="（5）向纳入合并财务报表范围的结构化主体提供的财务支持或其他支持" w:id="408"/>
      <w:bookmarkEnd w:id="408"/>
      <w:r>
        <w:rPr>
          <w:b w:val="0"/>
          <w:bCs w:val="0"/>
        </w:rPr>
      </w:r>
      <w:r>
        <w:rPr>
          <w:w w:val="95"/>
        </w:rPr>
        <w:t>（5）向纳入合并财务报表范围的结构化主体提供的财务支持或其他支持</w:t>
      </w:r>
      <w:r>
        <w:rPr>
          <w:spacing w:val="18"/>
          <w:w w:val="95"/>
        </w:rPr>
        <w:t> </w:t>
      </w:r>
      <w:r>
        <w:rPr>
          <w:spacing w:val="18"/>
          <w:w w:val="95"/>
        </w:rPr>
      </w:r>
      <w:r>
        <w:rPr>
          <w:rFonts w:ascii="宋体" w:hAnsi="宋体" w:cs="宋体" w:eastAsia="宋体" w:hint="default"/>
          <w:b w:val="0"/>
          <w:bCs w:val="0"/>
          <w:sz w:val="18"/>
          <w:szCs w:val="18"/>
        </w:rPr>
        <w:t>其他说明： </w:t>
      </w:r>
      <w:bookmarkStart w:name="2、在子公司的所有者权益份额发生变化且仍控制子公司的交易" w:id="409"/>
      <w:bookmarkEnd w:id="409"/>
      <w:r>
        <w:rPr>
          <w:rFonts w:ascii="宋体" w:hAnsi="宋体" w:cs="宋体" w:eastAsia="宋体" w:hint="default"/>
          <w:b w:val="0"/>
          <w:bCs w:val="0"/>
          <w:sz w:val="18"/>
          <w:szCs w:val="18"/>
        </w:rPr>
      </w:r>
      <w:r>
        <w:rPr/>
        <w:t>2、在子公司的所有者权益份额发生变化且仍控制子公司的交易</w:t>
      </w:r>
      <w:r>
        <w:rPr>
          <w:b w:val="0"/>
          <w:bCs w:val="0"/>
        </w:rPr>
      </w:r>
    </w:p>
    <w:p>
      <w:pPr>
        <w:pStyle w:val="Heading6"/>
        <w:spacing w:line="240" w:lineRule="auto" w:before="41"/>
        <w:ind w:right="2127"/>
        <w:jc w:val="left"/>
        <w:rPr>
          <w:b w:val="0"/>
          <w:bCs w:val="0"/>
        </w:rPr>
      </w:pPr>
      <w:bookmarkStart w:name="（1）在子公司所有者权益份额发生变化的情况说明" w:id="410"/>
      <w:bookmarkEnd w:id="410"/>
      <w:r>
        <w:rPr>
          <w:b w:val="0"/>
          <w:bCs w:val="0"/>
        </w:rPr>
      </w:r>
      <w:r>
        <w:rPr/>
        <w:t>（1）在子公司所有者权益份额发生变化的情况说明</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2）交易对于少数股东权益及归属于母公司所有者权益的影响" w:id="411"/>
      <w:bookmarkEnd w:id="411"/>
      <w:r>
        <w:rPr>
          <w:b w:val="0"/>
          <w:bCs w:val="0"/>
        </w:rPr>
      </w:r>
      <w:r>
        <w:rPr/>
        <w:t>（2）交易对于少数股东权益及归属于母公司所有者权益的影响</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在合营安排或联营企业中的权益" w:id="412"/>
      <w:bookmarkEnd w:id="412"/>
      <w:r>
        <w:rPr>
          <w:b w:val="0"/>
          <w:bCs w:val="0"/>
        </w:rPr>
      </w:r>
      <w:r>
        <w:rPr/>
        <w:t>3、在合营安排或联营企业中的权益</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重要的合营企业或联营企业" w:id="413"/>
      <w:bookmarkEnd w:id="413"/>
      <w:r>
        <w:rPr>
          <w:b w:val="0"/>
          <w:bCs w:val="0"/>
        </w:rPr>
      </w:r>
      <w:r>
        <w:rPr/>
        <w:t>（1）重要的合营企业或联营企业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5"/>
          <w:sz w:val="18"/>
          <w:szCs w:val="18"/>
        </w:rPr>
        <w:t> </w:t>
      </w:r>
      <w:r>
        <w:rPr>
          <w:rFonts w:ascii="宋体" w:hAnsi="宋体" w:cs="宋体" w:eastAsia="宋体" w:hint="default"/>
          <w:sz w:val="18"/>
          <w:szCs w:val="18"/>
        </w:rPr>
        <w:t>20%以下表决权但具有重大影响，或者持有</w:t>
      </w:r>
      <w:r>
        <w:rPr>
          <w:rFonts w:ascii="宋体" w:hAnsi="宋体" w:cs="宋体" w:eastAsia="宋体" w:hint="default"/>
          <w:spacing w:val="-47"/>
          <w:sz w:val="18"/>
          <w:szCs w:val="18"/>
        </w:rPr>
        <w:t> </w:t>
      </w:r>
      <w:r>
        <w:rPr>
          <w:rFonts w:ascii="宋体" w:hAnsi="宋体" w:cs="宋体" w:eastAsia="宋体" w:hint="default"/>
          <w:sz w:val="18"/>
          <w:szCs w:val="18"/>
        </w:rPr>
        <w:t>20%或以上表决权但不具有重大影响的依据：</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重要合营企业的主要财务信息" w:id="414"/>
      <w:bookmarkEnd w:id="414"/>
      <w:r>
        <w:rPr>
          <w:b w:val="0"/>
          <w:bCs w:val="0"/>
        </w:rPr>
      </w:r>
      <w:r>
        <w:rPr/>
        <w:t>（2）重要合营企业的主要财务信息</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5"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3）重要联营企业的主要财务信息" w:id="415"/>
      <w:bookmarkEnd w:id="415"/>
      <w:r>
        <w:rPr>
          <w:b w:val="0"/>
          <w:bCs w:val="0"/>
        </w:rPr>
      </w:r>
      <w:r>
        <w:rPr/>
        <w:t>（3）重要联营企业的主要财务信息</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4）不重要的合营企业和联营企业的汇总财务信息" w:id="416"/>
      <w:bookmarkEnd w:id="416"/>
      <w:r>
        <w:rPr>
          <w:b w:val="0"/>
          <w:bCs w:val="0"/>
        </w:rPr>
      </w:r>
      <w:r>
        <w:rPr/>
        <w:t>（4）不重要的合营企业和联营企业的汇总财务信息</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8"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3,541,762.51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2,203,345.93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1,338,416.58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-16,654.07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1,338,416.58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-16,654.07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5）合营企业或联营企业向本公司转移资金的能力存在重大限制的说明" w:id="417"/>
      <w:bookmarkEnd w:id="417"/>
      <w:r>
        <w:rPr>
          <w:b w:val="0"/>
          <w:bCs w:val="0"/>
        </w:rPr>
      </w:r>
      <w:r>
        <w:rPr/>
        <w:t>（5）合营企业或联营企业向本公司转移资金的能力存在重大限制的说明</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6）合营企业或联营企业发生的超额亏损" w:id="418"/>
      <w:bookmarkEnd w:id="418"/>
      <w:r>
        <w:rPr>
          <w:b w:val="0"/>
          <w:bCs w:val="0"/>
        </w:rPr>
      </w:r>
      <w:r>
        <w:rPr/>
        <w:t>（6）合营企业或联营企业发生的超额亏损</w:t>
      </w:r>
      <w:r>
        <w:rPr>
          <w:b w:val="0"/>
          <w:bCs w:val="0"/>
        </w:rPr>
      </w:r>
    </w:p>
    <w:p>
      <w:pPr>
        <w:spacing w:line="240" w:lineRule="auto" w:before="7"/>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-13,416,447.25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-3,367,537.53</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-16,783,984.78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-13,416,447.25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-3,367,537.53</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-16,783,984.78</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35" w:lineRule="auto" w:before="0"/>
        <w:ind w:left="532" w:right="7064" w:hanging="420"/>
        <w:jc w:val="left"/>
        <w:rPr>
          <w:rFonts w:ascii="宋体" w:hAnsi="宋体" w:cs="宋体" w:eastAsia="宋体" w:hint="default"/>
          <w:sz w:val="21"/>
          <w:szCs w:val="21"/>
        </w:rPr>
      </w:pPr>
      <w:bookmarkStart w:name="（7）与合营企业投资相关的未确认承诺" w:id="419"/>
      <w:bookmarkEnd w:id="419"/>
      <w:r>
        <w:rPr/>
      </w:r>
      <w:r>
        <w:rPr>
          <w:rFonts w:ascii="宋体" w:hAnsi="宋体" w:cs="宋体" w:eastAsia="宋体" w:hint="default"/>
          <w:b/>
          <w:bCs/>
          <w:sz w:val="21"/>
          <w:szCs w:val="21"/>
        </w:rPr>
        <w:t>（7）与合营企业投资相关的未确认承诺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本公司无需要披露的承诺事项。</w:t>
      </w:r>
    </w:p>
    <w:p>
      <w:pPr>
        <w:spacing w:after="0" w:line="535" w:lineRule="auto"/>
        <w:jc w:val="left"/>
        <w:rPr>
          <w:rFonts w:ascii="宋体" w:hAnsi="宋体" w:cs="宋体" w:eastAsia="宋体" w:hint="default"/>
          <w:sz w:val="21"/>
          <w:szCs w:val="21"/>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537" w:lineRule="auto" w:before="34"/>
        <w:ind w:right="6220"/>
        <w:jc w:val="left"/>
        <w:rPr>
          <w:b w:val="0"/>
          <w:bCs w:val="0"/>
        </w:rPr>
      </w:pPr>
      <w:bookmarkStart w:name="（8）与合营企业或联营企业投资相关的或有负债" w:id="420"/>
      <w:bookmarkEnd w:id="420"/>
      <w:r>
        <w:rPr>
          <w:b w:val="0"/>
          <w:bCs w:val="0"/>
        </w:rPr>
      </w:r>
      <w:r>
        <w:rPr/>
        <w:t>（8）与合营企业或联营企业投资相关的或有负债</w:t>
      </w:r>
      <w:r>
        <w:rPr>
          <w:w w:val="99"/>
        </w:rPr>
        <w:t> </w:t>
      </w:r>
      <w:bookmarkStart w:name="4、重要的共同经营" w:id="421"/>
      <w:bookmarkEnd w:id="421"/>
      <w:r>
        <w:rPr/>
        <w:t>4</w:t>
      </w:r>
      <w:r>
        <w:rPr/>
        <w:t>、重要的共同经营</w:t>
      </w:r>
      <w:r>
        <w:rPr>
          <w:b w:val="0"/>
          <w:bCs w:val="0"/>
        </w:rPr>
      </w:r>
    </w:p>
    <w:p>
      <w:pPr>
        <w:spacing w:line="240" w:lineRule="auto" w:before="13"/>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持股比例/享有的份额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1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5、在未纳入合并财务报表范围的结构化主体中的权益" w:id="422"/>
      <w:bookmarkEnd w:id="422"/>
      <w:r>
        <w:rPr>
          <w:b w:val="0"/>
          <w:bCs w:val="0"/>
        </w:rPr>
      </w:r>
      <w:r>
        <w:rPr/>
        <w:t>5、在未纳入合并财务报表范围的结构化主体中的权益</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
        <w:rPr>
          <w:rFonts w:ascii="宋体" w:hAnsi="宋体" w:cs="宋体" w:eastAsia="宋体" w:hint="default"/>
          <w:sz w:val="13"/>
          <w:szCs w:val="13"/>
        </w:rPr>
      </w:pPr>
    </w:p>
    <w:p>
      <w:pPr>
        <w:pStyle w:val="BodyText"/>
        <w:spacing w:line="240" w:lineRule="auto" w:before="0"/>
        <w:ind w:left="532" w:right="2127"/>
        <w:jc w:val="left"/>
      </w:pPr>
      <w:r>
        <w:rPr/>
        <w:t>本公司不存在未纳入合并财务报表范围的结构化主体中的权益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2127"/>
        <w:jc w:val="left"/>
        <w:rPr>
          <w:b w:val="0"/>
          <w:bCs w:val="0"/>
        </w:rPr>
      </w:pPr>
      <w:bookmarkStart w:name="6、其他" w:id="423"/>
      <w:bookmarkEnd w:id="423"/>
      <w:r>
        <w:rPr>
          <w:b w:val="0"/>
          <w:bCs w:val="0"/>
        </w:rPr>
      </w:r>
      <w:r>
        <w:rPr/>
        <w:t>6、其他</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2127"/>
        <w:jc w:val="left"/>
        <w:rPr>
          <w:b w:val="0"/>
          <w:bCs w:val="0"/>
        </w:rPr>
      </w:pPr>
      <w:bookmarkStart w:name="十、与金融工具相关的风险" w:id="424"/>
      <w:bookmarkEnd w:id="424"/>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0"/>
        <w:jc w:val="both"/>
      </w:pPr>
      <w:r>
        <w:rPr>
          <w:w w:val="95"/>
        </w:rPr>
        <w:t>本公司的经营活动会面临各种金融风险：信用风险、流动风险和市场风险（主要为汇率风险和利率风</w:t>
      </w:r>
      <w:r>
        <w:rPr>
          <w:w w:val="99"/>
        </w:rPr>
        <w:t> </w:t>
      </w:r>
      <w:r>
        <w:rPr>
          <w:w w:val="95"/>
        </w:rPr>
        <w:t>险）。本公司整体的风险管理计划针对金融市场的不可预见性，力求减少对本公司财务业绩的潜在不利影   </w:t>
      </w:r>
      <w:r>
        <w:rPr>
          <w:spacing w:val="37"/>
          <w:w w:val="95"/>
        </w:rPr>
        <w:t> </w:t>
      </w:r>
      <w:r>
        <w:rPr>
          <w:spacing w:val="37"/>
          <w:w w:val="95"/>
        </w:rPr>
      </w:r>
      <w:r>
        <w:rPr/>
        <w:t>响</w:t>
      </w:r>
    </w:p>
    <w:p>
      <w:pPr>
        <w:pStyle w:val="BodyText"/>
        <w:spacing w:line="273" w:lineRule="auto"/>
        <w:ind w:left="532" w:right="1125"/>
        <w:jc w:val="left"/>
      </w:pPr>
      <w:r>
        <w:rPr>
          <w:rFonts w:ascii="宋体" w:hAnsi="宋体" w:cs="宋体" w:eastAsia="宋体" w:hint="default"/>
          <w:b/>
          <w:bCs/>
        </w:rPr>
        <w:t>1、信用风险</w:t>
      </w:r>
      <w:r>
        <w:rPr>
          <w:rFonts w:ascii="宋体" w:hAnsi="宋体" w:cs="宋体" w:eastAsia="宋体" w:hint="default"/>
          <w:b/>
          <w:bCs/>
          <w:w w:val="99"/>
        </w:rPr>
        <w:t> </w:t>
      </w:r>
      <w:r>
        <w:rPr>
          <w:w w:val="95"/>
        </w:rPr>
        <w:t>信用风险是指交易对手未能履行合同义务而导致本公司产生财务损失的风险。本公司的信用风险主要</w:t>
      </w:r>
      <w:r>
        <w:rPr/>
      </w:r>
    </w:p>
    <w:p>
      <w:pPr>
        <w:pStyle w:val="BodyText"/>
        <w:spacing w:line="273" w:lineRule="auto"/>
        <w:ind w:right="1025"/>
        <w:jc w:val="left"/>
      </w:pPr>
      <w:r>
        <w:rPr>
          <w:spacing w:val="-3"/>
        </w:rPr>
        <w:t>来自货币资金、应收票据、应收账款、其他应收款和可供出售金融资产等。管理层已制定适当的信用政策，</w:t>
      </w:r>
      <w:r>
        <w:rPr>
          <w:w w:val="99"/>
        </w:rPr>
        <w:t> </w:t>
      </w:r>
      <w:r>
        <w:rPr/>
        <w:t>并且不断监察这些信用风险的敞口。</w:t>
      </w:r>
    </w:p>
    <w:p>
      <w:pPr>
        <w:pStyle w:val="BodyText"/>
        <w:spacing w:line="273" w:lineRule="auto"/>
        <w:ind w:right="1135" w:firstLine="420"/>
        <w:jc w:val="both"/>
      </w:pPr>
      <w:r>
        <w:rPr>
          <w:w w:val="95"/>
        </w:rPr>
        <w:t>本公司持有的货币资金，主要存放于国有控股银行和其他大中型商业银行等金融机构，管理层认为这</w:t>
      </w:r>
      <w:r>
        <w:rPr>
          <w:w w:val="99"/>
        </w:rPr>
        <w:t> </w:t>
      </w:r>
      <w:r>
        <w:rPr>
          <w:w w:val="95"/>
        </w:rPr>
        <w:t>些商业银行具备较高信誉和资产状况，不存在重大的信用风险，不会产生因对方单位违约而导致的任何重</w:t>
      </w:r>
      <w:r>
        <w:rPr>
          <w:spacing w:val="37"/>
          <w:w w:val="95"/>
        </w:rPr>
        <w:t> </w:t>
      </w:r>
      <w:r>
        <w:rPr>
          <w:spacing w:val="37"/>
          <w:w w:val="95"/>
        </w:rPr>
      </w:r>
      <w:r>
        <w:rPr/>
        <w:t>大损失。</w:t>
      </w:r>
    </w:p>
    <w:p>
      <w:pPr>
        <w:pStyle w:val="BodyText"/>
        <w:spacing w:line="273" w:lineRule="auto"/>
        <w:ind w:right="1132" w:firstLine="420"/>
        <w:jc w:val="both"/>
      </w:pPr>
      <w:r>
        <w:rPr>
          <w:w w:val="95"/>
        </w:rPr>
        <w:t>对于应收账款、其他应收款和应收票据，本公司设定相关政策以控制信用风险敞口。本公司基于对客</w:t>
      </w:r>
      <w:r>
        <w:rPr>
          <w:w w:val="99"/>
        </w:rPr>
        <w:t> </w:t>
      </w:r>
      <w:r>
        <w:rPr>
          <w:w w:val="95"/>
        </w:rPr>
        <w:t>户的财务状况、从第三方获取担保的可能性、信用记录及其它因素诸如目前市场状况等评估客户的信用资</w:t>
      </w:r>
      <w:r>
        <w:rPr>
          <w:spacing w:val="37"/>
          <w:w w:val="95"/>
        </w:rPr>
        <w:t> </w:t>
      </w:r>
      <w:r>
        <w:rPr>
          <w:spacing w:val="37"/>
          <w:w w:val="95"/>
        </w:rPr>
      </w:r>
      <w:r>
        <w:rPr>
          <w:w w:val="95"/>
        </w:rPr>
        <w:t>质并设置相应信用期。本公司会定期对客户信用记录进行监控，对于信用记录不良的客户，本公司会采用</w:t>
      </w:r>
      <w:r>
        <w:rPr>
          <w:spacing w:val="37"/>
          <w:w w:val="95"/>
        </w:rPr>
        <w:t> </w:t>
      </w:r>
      <w:r>
        <w:rPr>
          <w:spacing w:val="37"/>
          <w:w w:val="95"/>
        </w:rPr>
      </w:r>
      <w:r>
        <w:rPr/>
        <w:t>书面催款、缩短信用期或取消信用期等方式，以确保本公司的整体信用风险在可控的范围内。</w:t>
      </w:r>
    </w:p>
    <w:p>
      <w:pPr>
        <w:pStyle w:val="BodyText"/>
        <w:spacing w:line="273" w:lineRule="auto"/>
        <w:ind w:right="1533" w:firstLine="420"/>
        <w:jc w:val="left"/>
      </w:pPr>
      <w:r>
        <w:rPr/>
        <w:t>截止2018年12月31日，本公司的前五大客户的应收账款占本公司应收账款总额23.30%</w:t>
      </w:r>
      <w:r>
        <w:rPr>
          <w:spacing w:val="-19"/>
        </w:rPr>
        <w:t> </w:t>
      </w:r>
      <w:r>
        <w:rPr/>
        <w:t>(2017年：</w:t>
      </w:r>
      <w:r>
        <w:rPr>
          <w:w w:val="99"/>
        </w:rPr>
        <w:t> </w:t>
      </w:r>
      <w:r>
        <w:rPr/>
        <w:t>20.94%)。</w:t>
      </w:r>
    </w:p>
    <w:p>
      <w:pPr>
        <w:pStyle w:val="BodyText"/>
        <w:spacing w:line="273" w:lineRule="auto"/>
        <w:ind w:right="1132" w:firstLine="420"/>
        <w:jc w:val="both"/>
      </w:pPr>
      <w:r>
        <w:rPr>
          <w:w w:val="95"/>
        </w:rPr>
        <w:t>本公司投资的银行理财产品，交易对方的信用评级须高于或与本公司相同。鉴于交易对方的信用评级</w:t>
      </w:r>
      <w:r>
        <w:rPr>
          <w:w w:val="99"/>
        </w:rPr>
        <w:t> </w:t>
      </w:r>
      <w:r>
        <w:rPr/>
        <w:t>良好，本公司管理层并不预期交易对方会无法履行义务。</w:t>
      </w:r>
    </w:p>
    <w:p>
      <w:pPr>
        <w:pStyle w:val="BodyText"/>
        <w:spacing w:line="273" w:lineRule="auto"/>
        <w:ind w:right="1112" w:firstLine="420"/>
        <w:jc w:val="both"/>
      </w:pPr>
      <w:r>
        <w:rPr/>
        <w:t>本公司所承受的最大信用风险敞口为资产负债表中每项金融资产(包括衍生金融工具)</w:t>
      </w:r>
      <w:r>
        <w:rPr>
          <w:spacing w:val="-10"/>
        </w:rPr>
        <w:t> </w:t>
      </w:r>
      <w:r>
        <w:rPr/>
        <w:t>的账面金额。</w:t>
      </w:r>
      <w:r>
        <w:rPr>
          <w:w w:val="99"/>
        </w:rPr>
        <w:t> </w:t>
      </w:r>
      <w:r>
        <w:rPr>
          <w:w w:val="95"/>
        </w:rPr>
        <w:t>除附注十二所载本公司作出的财务担保外，本公司没有提供任何其他可能令本公司承受信用风险的担保。</w:t>
      </w:r>
      <w:r>
        <w:rPr/>
      </w:r>
    </w:p>
    <w:p>
      <w:pPr>
        <w:pStyle w:val="BodyText"/>
        <w:spacing w:line="273" w:lineRule="auto"/>
        <w:ind w:left="532" w:right="1125"/>
        <w:jc w:val="left"/>
      </w:pPr>
      <w:r>
        <w:rPr>
          <w:rFonts w:ascii="宋体" w:hAnsi="宋体" w:cs="宋体" w:eastAsia="宋体" w:hint="default"/>
          <w:b/>
          <w:bCs/>
        </w:rPr>
        <w:t>2、流动性风险</w:t>
      </w:r>
      <w:r>
        <w:rPr>
          <w:rFonts w:ascii="宋体" w:hAnsi="宋体" w:cs="宋体" w:eastAsia="宋体" w:hint="default"/>
          <w:b/>
          <w:bCs/>
          <w:w w:val="99"/>
        </w:rPr>
        <w:t> </w:t>
      </w:r>
      <w:r>
        <w:rPr>
          <w:w w:val="95"/>
        </w:rPr>
        <w:t>流动性风险是指本公司无法及时获得充足资金,满足业务发展需要或偿付到期债务以及其他支付义务</w:t>
      </w:r>
      <w:r>
        <w:rPr/>
      </w:r>
    </w:p>
    <w:p>
      <w:pPr>
        <w:pStyle w:val="BodyText"/>
        <w:spacing w:line="240" w:lineRule="auto"/>
        <w:ind w:right="2127"/>
        <w:jc w:val="left"/>
      </w:pPr>
      <w:r>
        <w:rPr/>
        <w:t>的风险。</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12" w:firstLine="420"/>
        <w:jc w:val="right"/>
      </w:pPr>
      <w:r>
        <w:rPr>
          <w:w w:val="95"/>
        </w:rPr>
        <w:t>本公司财务部门持续监控公司短期和长期的资金需求，以确保维持充裕的现金储备；同时持续监控是</w:t>
      </w:r>
      <w:r>
        <w:rPr>
          <w:w w:val="99"/>
        </w:rPr>
        <w:t> </w:t>
      </w:r>
      <w:r>
        <w:rPr>
          <w:w w:val="95"/>
        </w:rPr>
        <w:t>否符合借款协议的规定，从主要金融机构获得提供足够备用资金的承诺，以满足短期和长期的资金需求。</w:t>
      </w:r>
      <w:r>
        <w:rPr>
          <w:spacing w:val="33"/>
          <w:w w:val="95"/>
        </w:rPr>
        <w:t> </w:t>
      </w:r>
      <w:r>
        <w:rPr>
          <w:spacing w:val="33"/>
          <w:w w:val="95"/>
        </w:rPr>
      </w:r>
      <w:r>
        <w:rPr>
          <w:w w:val="95"/>
        </w:rPr>
        <w:t>截止2018年12月31日，本公司各项金融资产及金融负债以未折现的合同现金流量按到期日列示如下：</w:t>
      </w:r>
      <w:r>
        <w:rPr/>
      </w:r>
    </w:p>
    <w:p>
      <w:pPr>
        <w:pStyle w:val="BodyText"/>
        <w:spacing w:line="240" w:lineRule="auto"/>
        <w:ind w:left="0" w:right="2267"/>
        <w:jc w:val="right"/>
      </w:pPr>
      <w:r>
        <w:rPr>
          <w:w w:val="95"/>
        </w:rPr>
        <w:t>单位：元</w:t>
      </w:r>
      <w:r>
        <w:rPr/>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84"/>
        <w:gridCol w:w="1418"/>
        <w:gridCol w:w="1417"/>
        <w:gridCol w:w="1418"/>
        <w:gridCol w:w="992"/>
        <w:gridCol w:w="992"/>
        <w:gridCol w:w="907"/>
      </w:tblGrid>
      <w:tr>
        <w:trPr>
          <w:trHeight w:val="354"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44"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38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4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87"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63"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62" w:right="0"/>
              <w:jc w:val="left"/>
              <w:rPr>
                <w:rFonts w:ascii="宋体" w:hAnsi="宋体" w:cs="宋体" w:eastAsia="宋体" w:hint="default"/>
                <w:sz w:val="18"/>
                <w:szCs w:val="18"/>
              </w:rPr>
            </w:pPr>
            <w:r>
              <w:rPr>
                <w:rFonts w:ascii="宋体" w:hAnsi="宋体" w:cs="宋体" w:eastAsia="宋体" w:hint="default"/>
                <w:sz w:val="18"/>
                <w:szCs w:val="18"/>
              </w:rPr>
              <w:t>2-5年</w:t>
            </w:r>
          </w:p>
        </w:tc>
        <w:tc>
          <w:tcPr>
            <w:tcW w:w="9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5年以上</w:t>
            </w:r>
          </w:p>
        </w:tc>
      </w:tr>
      <w:tr>
        <w:trPr>
          <w:trHeight w:val="36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885,857,429.84</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885,857,429.84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885,857,429.84</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3"/>
              <w:ind w:left="3" w:right="105"/>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472,817,055.61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506,580,336.11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506,580,336.11</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87,707,125.96</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106,882,981.61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106,882,981.61</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3,100,406.48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3,897,274.88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3,897,274.88</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10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4,862,149.17</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22,862,149.17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22,862,149.17</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3,541,762.51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3,541,762.51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3,541,762.51</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42"/>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1,457,885,929.5</w:t>
            </w:r>
          </w:p>
          <w:p>
            <w:pPr>
              <w:pStyle w:val="TableParagraph"/>
              <w:spacing w:line="240" w:lineRule="auto" w:before="76"/>
              <w:ind w:right="1"/>
              <w:jc w:val="right"/>
              <w:rPr>
                <w:rFonts w:ascii="宋体" w:hAnsi="宋体" w:cs="宋体" w:eastAsia="宋体" w:hint="default"/>
                <w:sz w:val="18"/>
                <w:szCs w:val="18"/>
              </w:rPr>
            </w:pPr>
            <w:r>
              <w:rPr>
                <w:rFonts w:ascii="宋体"/>
                <w:sz w:val="18"/>
              </w:rPr>
              <w:t>7</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1,529,621,934.1</w:t>
            </w:r>
          </w:p>
          <w:p>
            <w:pPr>
              <w:pStyle w:val="TableParagraph"/>
              <w:spacing w:line="240" w:lineRule="auto" w:before="76"/>
              <w:ind w:right="0"/>
              <w:jc w:val="right"/>
              <w:rPr>
                <w:rFonts w:ascii="宋体" w:hAnsi="宋体" w:cs="宋体" w:eastAsia="宋体" w:hint="default"/>
                <w:sz w:val="18"/>
                <w:szCs w:val="18"/>
              </w:rPr>
            </w:pPr>
            <w:r>
              <w:rPr>
                <w:rFonts w:ascii="宋体"/>
                <w:sz w:val="18"/>
              </w:rPr>
              <w:t>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1,529,621,934.1</w:t>
            </w:r>
          </w:p>
          <w:p>
            <w:pPr>
              <w:pStyle w:val="TableParagraph"/>
              <w:spacing w:line="240" w:lineRule="auto" w:before="76"/>
              <w:ind w:right="1"/>
              <w:jc w:val="right"/>
              <w:rPr>
                <w:rFonts w:ascii="宋体" w:hAnsi="宋体" w:cs="宋体" w:eastAsia="宋体" w:hint="default"/>
                <w:sz w:val="18"/>
                <w:szCs w:val="18"/>
              </w:rPr>
            </w:pPr>
            <w:r>
              <w:rPr>
                <w:rFonts w:ascii="宋体"/>
                <w:sz w:val="18"/>
              </w:rPr>
              <w:t>2</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27,000,000.00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27,000,000.00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27,000,000.00</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105"/>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490,655,886.06</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490,655,886.06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490,655,886.06</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48,394,404.88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48,394,404.88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48,394,404.88</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42"/>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566,050,290.94</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566,050,290.94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566,050,290.94</w:t>
            </w:r>
          </w:p>
        </w:tc>
        <w:tc>
          <w:tcPr>
            <w:tcW w:w="992"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20"/>
          <w:szCs w:val="20"/>
        </w:rPr>
      </w:pPr>
    </w:p>
    <w:p>
      <w:pPr>
        <w:pStyle w:val="BodyText"/>
        <w:spacing w:line="240" w:lineRule="auto" w:before="34"/>
        <w:ind w:left="532" w:right="2127"/>
        <w:jc w:val="left"/>
      </w:pPr>
      <w:r>
        <w:rPr/>
        <w:t>续：</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68"/>
        <w:gridCol w:w="1428"/>
        <w:gridCol w:w="1414"/>
        <w:gridCol w:w="1414"/>
        <w:gridCol w:w="1007"/>
        <w:gridCol w:w="994"/>
        <w:gridCol w:w="903"/>
      </w:tblGrid>
      <w:tr>
        <w:trPr>
          <w:trHeight w:val="354" w:hRule="exact"/>
        </w:trPr>
        <w:tc>
          <w:tcPr>
            <w:tcW w:w="136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60"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1368" w:type="dxa"/>
            <w:vMerge/>
            <w:tcBorders>
              <w:left w:val="single" w:sz="6" w:space="0" w:color="000000"/>
              <w:bottom w:val="single" w:sz="12" w:space="0" w:color="000000"/>
              <w:right w:val="single" w:sz="6" w:space="0" w:color="000000"/>
            </w:tcBorders>
          </w:tcPr>
          <w:p>
            <w:pP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4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39"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0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65" w:right="0"/>
              <w:jc w:val="left"/>
              <w:rPr>
                <w:rFonts w:ascii="宋体" w:hAnsi="宋体" w:cs="宋体" w:eastAsia="宋体" w:hint="default"/>
                <w:sz w:val="18"/>
                <w:szCs w:val="18"/>
              </w:rPr>
            </w:pPr>
            <w:r>
              <w:rPr>
                <w:rFonts w:ascii="宋体" w:hAnsi="宋体" w:cs="宋体" w:eastAsia="宋体" w:hint="default"/>
                <w:sz w:val="18"/>
                <w:szCs w:val="18"/>
              </w:rPr>
              <w:t>2-5年</w:t>
            </w:r>
          </w:p>
        </w:tc>
        <w:tc>
          <w:tcPr>
            <w:tcW w:w="9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28" w:right="0"/>
              <w:jc w:val="left"/>
              <w:rPr>
                <w:rFonts w:ascii="宋体" w:hAnsi="宋体" w:cs="宋体" w:eastAsia="宋体" w:hint="default"/>
                <w:sz w:val="18"/>
                <w:szCs w:val="18"/>
              </w:rPr>
            </w:pPr>
            <w:r>
              <w:rPr>
                <w:rFonts w:ascii="宋体" w:hAnsi="宋体" w:cs="宋体" w:eastAsia="宋体" w:hint="default"/>
                <w:sz w:val="18"/>
                <w:szCs w:val="18"/>
              </w:rPr>
              <w:t>5年以上</w:t>
            </w:r>
          </w:p>
        </w:tc>
      </w:tr>
      <w:tr>
        <w:trPr>
          <w:trHeight w:val="362"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666,283,227.35</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666,283,227.35</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666,283,227.35</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89"/>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302,748,404.79</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326,897,585.62</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326,897,585.62</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94,503,508.26</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106,071,872.01</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106,071,872.01</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5,777,990.71</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6,475,250.56</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6,475,250.56</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89"/>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5,000,000.00</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23,000,000.00</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23,000,000.00</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2,203,345.93</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2,203,345.93</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2,203,345.93</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37"/>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1,076,516,477.0</w:t>
            </w:r>
          </w:p>
          <w:p>
            <w:pPr>
              <w:pStyle w:val="TableParagraph"/>
              <w:spacing w:line="240" w:lineRule="auto" w:before="76"/>
              <w:ind w:right="0"/>
              <w:jc w:val="right"/>
              <w:rPr>
                <w:rFonts w:ascii="宋体" w:hAnsi="宋体" w:cs="宋体" w:eastAsia="宋体" w:hint="default"/>
                <w:sz w:val="18"/>
                <w:szCs w:val="18"/>
              </w:rPr>
            </w:pPr>
            <w:r>
              <w:rPr>
                <w:rFonts w:ascii="宋体"/>
                <w:sz w:val="18"/>
              </w:rPr>
              <w:t>4</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1,130,931,281.4</w:t>
            </w:r>
          </w:p>
          <w:p>
            <w:pPr>
              <w:pStyle w:val="TableParagraph"/>
              <w:spacing w:line="240" w:lineRule="auto" w:before="76"/>
              <w:ind w:right="0"/>
              <w:jc w:val="right"/>
              <w:rPr>
                <w:rFonts w:ascii="宋体" w:hAnsi="宋体" w:cs="宋体" w:eastAsia="宋体" w:hint="default"/>
                <w:sz w:val="18"/>
                <w:szCs w:val="18"/>
              </w:rPr>
            </w:pPr>
            <w:r>
              <w:rPr>
                <w:rFonts w:ascii="宋体"/>
                <w:sz w:val="18"/>
              </w:rPr>
              <w:t>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1,130,931,281.4</w:t>
            </w:r>
          </w:p>
          <w:p>
            <w:pPr>
              <w:pStyle w:val="TableParagraph"/>
              <w:spacing w:line="240" w:lineRule="auto" w:before="76"/>
              <w:ind w:right="1"/>
              <w:jc w:val="right"/>
              <w:rPr>
                <w:rFonts w:ascii="宋体" w:hAnsi="宋体" w:cs="宋体" w:eastAsia="宋体" w:hint="default"/>
                <w:sz w:val="18"/>
                <w:szCs w:val="18"/>
              </w:rPr>
            </w:pPr>
            <w:r>
              <w:rPr>
                <w:rFonts w:ascii="宋体"/>
                <w:sz w:val="18"/>
              </w:rPr>
              <w:t>7</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10,000,000.00</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10,000,000.00</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10,000,000.00</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3" w:right="89"/>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428,984,330.12</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428,984,330.12</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428,984,330.12</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40,216,898.48</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40,216,898.48</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40,216,898.48</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37"/>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479,201,228.60</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479,201,228.60</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479,201,228.60</w:t>
            </w:r>
          </w:p>
        </w:tc>
        <w:tc>
          <w:tcPr>
            <w:tcW w:w="1007" w:type="dxa"/>
            <w:tcBorders>
              <w:top w:val="single" w:sz="12" w:space="0" w:color="000000"/>
              <w:left w:val="single" w:sz="6" w:space="0" w:color="000000"/>
              <w:bottom w:val="single" w:sz="12" w:space="0" w:color="000000"/>
              <w:right w:val="single" w:sz="6" w:space="0" w:color="000000"/>
            </w:tcBorders>
          </w:tcPr>
          <w:p>
            <w:pPr/>
          </w:p>
        </w:tc>
        <w:tc>
          <w:tcPr>
            <w:tcW w:w="994" w:type="dxa"/>
            <w:tcBorders>
              <w:top w:val="single" w:sz="12" w:space="0" w:color="000000"/>
              <w:left w:val="single" w:sz="6" w:space="0" w:color="000000"/>
              <w:bottom w:val="single" w:sz="12" w:space="0" w:color="000000"/>
              <w:right w:val="single" w:sz="6" w:space="0" w:color="000000"/>
            </w:tcBorders>
          </w:tcPr>
          <w:p>
            <w:pPr/>
          </w:p>
        </w:tc>
        <w:tc>
          <w:tcPr>
            <w:tcW w:w="903" w:type="dxa"/>
            <w:tcBorders>
              <w:top w:val="single" w:sz="12" w:space="0" w:color="000000"/>
              <w:left w:val="single" w:sz="6" w:space="0" w:color="000000"/>
              <w:bottom w:val="single" w:sz="12" w:space="0" w:color="000000"/>
              <w:right w:val="nil" w:sz="6" w:space="0" w:color="auto"/>
            </w:tcBorders>
          </w:tcPr>
          <w:p>
            <w:pPr/>
          </w:p>
        </w:tc>
      </w:tr>
    </w:tbl>
    <w:p>
      <w:pPr>
        <w:spacing w:after="0"/>
        <w:sectPr>
          <w:footerReference w:type="default" r:id="rId37"/>
          <w:pgSz w:w="11910" w:h="16840"/>
          <w:pgMar w:footer="978" w:header="746" w:top="1060" w:bottom="1160" w:left="1020" w:right="0"/>
          <w:pgNumType w:start="190"/>
        </w:sectPr>
      </w:pPr>
    </w:p>
    <w:p>
      <w:pPr>
        <w:spacing w:line="240" w:lineRule="auto" w:before="10"/>
        <w:rPr>
          <w:rFonts w:ascii="宋体" w:hAnsi="宋体" w:cs="宋体" w:eastAsia="宋体" w:hint="default"/>
          <w:sz w:val="24"/>
          <w:szCs w:val="24"/>
        </w:rPr>
      </w:pPr>
    </w:p>
    <w:p>
      <w:pPr>
        <w:pStyle w:val="BodyText"/>
        <w:spacing w:line="273" w:lineRule="auto" w:before="34"/>
        <w:ind w:left="532" w:right="1125"/>
        <w:jc w:val="left"/>
      </w:pPr>
      <w:r>
        <w:rPr>
          <w:rFonts w:ascii="宋体" w:hAnsi="宋体" w:cs="宋体" w:eastAsia="宋体" w:hint="default"/>
          <w:b/>
          <w:bCs/>
        </w:rPr>
        <w:t>3、汇率风险</w:t>
      </w:r>
      <w:r>
        <w:rPr>
          <w:rFonts w:ascii="宋体" w:hAnsi="宋体" w:cs="宋体" w:eastAsia="宋体" w:hint="default"/>
          <w:b/>
          <w:bCs/>
          <w:w w:val="99"/>
        </w:rPr>
        <w:t> </w:t>
      </w:r>
      <w:r>
        <w:rPr>
          <w:w w:val="95"/>
        </w:rPr>
        <w:t>本公司的主要经营位于中国境内，主要业务以人民币结算。但本公司已确认的外币资产和负债及未来</w:t>
      </w:r>
      <w:r>
        <w:rPr/>
      </w:r>
    </w:p>
    <w:p>
      <w:pPr>
        <w:pStyle w:val="BodyText"/>
        <w:spacing w:line="273" w:lineRule="auto"/>
        <w:ind w:right="0"/>
        <w:jc w:val="left"/>
      </w:pPr>
      <w:r>
        <w:rPr>
          <w:w w:val="95"/>
        </w:rPr>
        <w:t>的外币交易依然存在汇率风险。本公司财务部门负责监控公司外币交易和外币资产及负债的规模，以最大</w:t>
      </w:r>
      <w:r>
        <w:rPr>
          <w:spacing w:val="40"/>
          <w:w w:val="95"/>
        </w:rPr>
        <w:t> </w:t>
      </w:r>
      <w:r>
        <w:rPr>
          <w:spacing w:val="40"/>
          <w:w w:val="95"/>
        </w:rPr>
      </w:r>
      <w:r>
        <w:rPr/>
        <w:t>程度降低面临的汇率风险。</w:t>
      </w:r>
    </w:p>
    <w:p>
      <w:pPr>
        <w:pStyle w:val="BodyText"/>
        <w:spacing w:line="273" w:lineRule="auto"/>
        <w:ind w:left="532" w:right="1125"/>
        <w:jc w:val="left"/>
      </w:pPr>
      <w:r>
        <w:rPr/>
        <w:t>截止2018年12月31日，本公司持有的外币金融资产和外币金融负债详见本报告六、注释46.</w:t>
      </w:r>
      <w:r>
        <w:rPr>
          <w:w w:val="99"/>
        </w:rPr>
        <w:t> </w:t>
      </w:r>
      <w:r>
        <w:rPr>
          <w:rFonts w:ascii="宋体" w:hAnsi="宋体" w:cs="宋体" w:eastAsia="宋体" w:hint="default"/>
          <w:b/>
          <w:bCs/>
        </w:rPr>
        <w:t>4、利率风险</w:t>
      </w:r>
      <w:r>
        <w:rPr>
          <w:rFonts w:ascii="宋体" w:hAnsi="宋体" w:cs="宋体" w:eastAsia="宋体" w:hint="default"/>
          <w:b/>
          <w:bCs/>
          <w:w w:val="99"/>
        </w:rPr>
        <w:t> </w:t>
      </w:r>
      <w:r>
        <w:rPr>
          <w:w w:val="95"/>
        </w:rPr>
        <w:t>本公司的利率风险主要产生于银行借款。浮动利率的金融负债使本公司面临现金流量利率风险，固定</w:t>
      </w:r>
      <w:r>
        <w:rPr/>
      </w:r>
    </w:p>
    <w:p>
      <w:pPr>
        <w:pStyle w:val="BodyText"/>
        <w:spacing w:line="273" w:lineRule="auto"/>
        <w:ind w:right="0"/>
        <w:jc w:val="left"/>
      </w:pPr>
      <w:r>
        <w:rPr>
          <w:w w:val="95"/>
        </w:rPr>
        <w:t>利率的金融负债使本公司面临公允价值利率风险。本公司根据当时的市场环境来决定固定利率及浮动利率</w:t>
      </w:r>
      <w:r>
        <w:rPr>
          <w:spacing w:val="37"/>
          <w:w w:val="95"/>
        </w:rPr>
        <w:t> </w:t>
      </w:r>
      <w:r>
        <w:rPr>
          <w:spacing w:val="37"/>
          <w:w w:val="95"/>
        </w:rPr>
      </w:r>
      <w:r>
        <w:rPr/>
        <w:t>合同的相对比例。</w:t>
      </w:r>
    </w:p>
    <w:p>
      <w:pPr>
        <w:pStyle w:val="BodyText"/>
        <w:spacing w:line="273" w:lineRule="auto"/>
        <w:ind w:right="1135" w:firstLine="420"/>
        <w:jc w:val="both"/>
      </w:pPr>
      <w:r>
        <w:rPr>
          <w:w w:val="95"/>
        </w:rPr>
        <w:t>本公司财务部门持续监控公司利率水平。利率上升会增加新增带息债务的成本以及本公司尚未付清的</w:t>
      </w:r>
      <w:r>
        <w:rPr>
          <w:w w:val="99"/>
        </w:rPr>
        <w:t> </w:t>
      </w:r>
      <w:r>
        <w:rPr>
          <w:w w:val="95"/>
        </w:rPr>
        <w:t>以浮动利率计息的带息债务的利息支出，并对本公司的财务业绩产生重大的不利影响，管理层会依据最新</w:t>
      </w:r>
      <w:r>
        <w:rPr>
          <w:spacing w:val="37"/>
          <w:w w:val="95"/>
        </w:rPr>
        <w:t> </w:t>
      </w:r>
      <w:r>
        <w:rPr>
          <w:spacing w:val="37"/>
          <w:w w:val="95"/>
        </w:rPr>
      </w:r>
      <w:r>
        <w:rPr/>
        <w:t>的市场状况及时做出调整。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2127"/>
        <w:jc w:val="left"/>
        <w:rPr>
          <w:b w:val="0"/>
          <w:bCs w:val="0"/>
        </w:rPr>
      </w:pPr>
      <w:bookmarkStart w:name="十一、公允价值的披露" w:id="425"/>
      <w:bookmarkEnd w:id="42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以公允价值计量的资产和负债的期末公允价值" w:id="426"/>
      <w:bookmarkEnd w:id="426"/>
      <w:r>
        <w:rPr>
          <w:b w:val="0"/>
          <w:bCs w:val="0"/>
        </w:rPr>
      </w:r>
      <w:r>
        <w:rPr/>
        <w:t>1、以公允价值计量的资产和负债的期末公允价值</w:t>
      </w:r>
      <w:r>
        <w:rPr>
          <w:b w:val="0"/>
          <w:bCs w:val="0"/>
        </w:rPr>
      </w:r>
    </w:p>
    <w:p>
      <w:pPr>
        <w:spacing w:line="240" w:lineRule="auto" w:before="7"/>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持续和非持续第一层次公允价值计量项目市价的确定依据" w:id="427"/>
      <w:bookmarkEnd w:id="427"/>
      <w:r>
        <w:rPr>
          <w:b w:val="0"/>
          <w:bCs w:val="0"/>
        </w:rPr>
      </w:r>
      <w:r>
        <w:rPr/>
        <w:t>2、持续和非持续第一层次公允价值计量项目市价的确定依据</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3、持续和非持续第二层次公允价值计量项目，采用的估值技术和重要参数的定性及定量信" w:id="428"/>
      <w:bookmarkEnd w:id="428"/>
      <w:r>
        <w:rPr>
          <w:b w:val="0"/>
          <w:bCs w:val="0"/>
        </w:rPr>
      </w:r>
      <w:r>
        <w:rPr/>
        <w:t>3、持续和非持续第二层次公允价值计量项目，采用的估值技术和重要参数的定性及定量信息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4、持续和非持续第三层次公允价值计量项目，采用的估值技术和重要参数的定性及定量信" w:id="429"/>
      <w:bookmarkEnd w:id="429"/>
      <w:r>
        <w:rPr>
          <w:b w:val="0"/>
          <w:bCs w:val="0"/>
        </w:rPr>
      </w:r>
      <w:r>
        <w:rPr/>
        <w:t>4、持续和非持续第三层次公允价值计量项目，采用的估值技术和重要参数的定性及定量信息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0"/>
        <w:jc w:val="left"/>
        <w:rPr>
          <w:b w:val="0"/>
          <w:bCs w:val="0"/>
        </w:rPr>
      </w:pPr>
      <w:bookmarkStart w:name="5、持续的第三层次公允价值计量项目，期初与期末账面价值间的调节信息及不可观察参数" w:id="430"/>
      <w:bookmarkEnd w:id="430"/>
      <w:r>
        <w:rPr>
          <w:b w:val="0"/>
          <w:bCs w:val="0"/>
        </w:rPr>
      </w:r>
      <w:r>
        <w:rPr/>
        <w:t>5、持续的第三层次公允价值计量项目，期初与期末账面价值间的调节信息及不可观察参数敏感性分析</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0"/>
        <w:jc w:val="left"/>
        <w:rPr>
          <w:b w:val="0"/>
          <w:bCs w:val="0"/>
        </w:rPr>
      </w:pPr>
      <w:bookmarkStart w:name="6、持续的公允价值计量项目，本期内发生各层级之间转换的，转换的原因及确定转换时点" w:id="431"/>
      <w:bookmarkEnd w:id="431"/>
      <w:r>
        <w:rPr>
          <w:b w:val="0"/>
          <w:bCs w:val="0"/>
        </w:rPr>
      </w:r>
      <w:r>
        <w:rPr/>
        <w:t>6、持续的公允价值计量项目，本期内发生各层级之间转换的，转换的原因及确定转换时点的政策</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7、本期内发生的估值技术变更及变更原因" w:id="432"/>
      <w:bookmarkEnd w:id="432"/>
      <w:r>
        <w:rPr>
          <w:b w:val="0"/>
          <w:bCs w:val="0"/>
        </w:rPr>
      </w:r>
      <w:r>
        <w:rPr/>
        <w:t>7、本期内发生的估值技术变更及变更原因</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8、不以公允价值计量的金融资产和金融负债的公允价值情况" w:id="433"/>
      <w:bookmarkEnd w:id="433"/>
      <w:r>
        <w:rPr>
          <w:b w:val="0"/>
          <w:bCs w:val="0"/>
        </w:rPr>
      </w:r>
      <w:r>
        <w:rPr/>
        <w:t>8、不以公允价值计量的金融资产和金融负债的公允价值情况</w:t>
      </w:r>
      <w:r>
        <w:rPr>
          <w:b w:val="0"/>
          <w:bCs w:val="0"/>
        </w:rPr>
      </w:r>
    </w:p>
    <w:p>
      <w:pPr>
        <w:spacing w:line="240" w:lineRule="auto" w:before="12"/>
        <w:rPr>
          <w:rFonts w:ascii="宋体" w:hAnsi="宋体" w:cs="宋体" w:eastAsia="宋体" w:hint="default"/>
          <w:b/>
          <w:bCs/>
          <w:sz w:val="25"/>
          <w:szCs w:val="25"/>
        </w:rPr>
      </w:pPr>
    </w:p>
    <w:p>
      <w:pPr>
        <w:spacing w:line="501" w:lineRule="auto" w:before="0"/>
        <w:ind w:left="112" w:right="8103" w:firstLine="0"/>
        <w:jc w:val="left"/>
        <w:rPr>
          <w:rFonts w:ascii="宋体" w:hAnsi="宋体" w:cs="宋体" w:eastAsia="宋体" w:hint="default"/>
          <w:sz w:val="21"/>
          <w:szCs w:val="21"/>
        </w:rPr>
      </w:pPr>
      <w:bookmarkStart w:name="9、其他" w:id="434"/>
      <w:bookmarkEnd w:id="434"/>
      <w:r>
        <w:rPr/>
      </w:r>
      <w:r>
        <w:rPr>
          <w:rFonts w:ascii="宋体" w:hAnsi="宋体" w:cs="宋体" w:eastAsia="宋体" w:hint="default"/>
          <w:b/>
          <w:bCs/>
          <w:sz w:val="21"/>
          <w:szCs w:val="21"/>
        </w:rPr>
        <w:t>9、其他</w:t>
      </w:r>
      <w:r>
        <w:rPr>
          <w:rFonts w:ascii="宋体" w:hAnsi="宋体" w:cs="宋体" w:eastAsia="宋体" w:hint="default"/>
          <w:b/>
          <w:bCs/>
          <w:w w:val="99"/>
          <w:sz w:val="21"/>
          <w:szCs w:val="21"/>
        </w:rPr>
        <w:t> </w:t>
      </w:r>
      <w:bookmarkStart w:name="十二、关联方及关联交易" w:id="435"/>
      <w:bookmarkEnd w:id="435"/>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36"/>
      <w:bookmarkEnd w:id="436"/>
      <w:r>
        <w:rPr>
          <w:rFonts w:ascii="宋体" w:hAnsi="宋体" w:cs="宋体" w:eastAsia="宋体" w:hint="default"/>
          <w:b/>
          <w:bCs/>
          <w:w w:val="99"/>
          <w:sz w:val="24"/>
          <w:szCs w:val="24"/>
        </w:rPr>
      </w:r>
      <w:r>
        <w:rPr>
          <w:rFonts w:ascii="宋体" w:hAnsi="宋体" w:cs="宋体" w:eastAsia="宋体" w:hint="default"/>
          <w:b/>
          <w:bCs/>
          <w:sz w:val="21"/>
          <w:szCs w:val="21"/>
        </w:rPr>
        <w:t>1、本企业的母公司情况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4.12%</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3.28%</w:t>
            </w:r>
          </w:p>
        </w:tc>
      </w:tr>
    </w:tbl>
    <w:p>
      <w:pPr>
        <w:spacing w:line="357" w:lineRule="auto" w:before="51"/>
        <w:ind w:left="112" w:right="84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3"/>
        <w:rPr>
          <w:rFonts w:ascii="宋体" w:hAnsi="宋体" w:cs="宋体" w:eastAsia="宋体" w:hint="default"/>
          <w:sz w:val="20"/>
          <w:szCs w:val="20"/>
        </w:rPr>
      </w:pPr>
    </w:p>
    <w:p>
      <w:pPr>
        <w:spacing w:line="576" w:lineRule="auto" w:before="0"/>
        <w:ind w:left="112" w:right="6794" w:firstLine="0"/>
        <w:jc w:val="left"/>
        <w:rPr>
          <w:rFonts w:ascii="宋体" w:hAnsi="宋体" w:cs="宋体" w:eastAsia="宋体" w:hint="default"/>
          <w:sz w:val="21"/>
          <w:szCs w:val="21"/>
        </w:rPr>
      </w:pPr>
      <w:bookmarkStart w:name="2、本企业的子公司情况" w:id="437"/>
      <w:bookmarkEnd w:id="437"/>
      <w:r>
        <w:rPr/>
      </w:r>
      <w:r>
        <w:rPr>
          <w:rFonts w:ascii="宋体" w:hAnsi="宋体" w:cs="宋体" w:eastAsia="宋体" w:hint="default"/>
          <w:b/>
          <w:bCs/>
          <w:sz w:val="21"/>
          <w:szCs w:val="21"/>
        </w:rPr>
        <w:t>2、本企业的子公司情况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 </w:t>
      </w:r>
      <w:bookmarkStart w:name="3、本企业合营和联营企业情况" w:id="438"/>
      <w:bookmarkEnd w:id="438"/>
      <w:r>
        <w:rPr>
          <w:rFonts w:ascii="宋体" w:hAnsi="宋体" w:cs="宋体" w:eastAsia="宋体" w:hint="default"/>
          <w:sz w:val="18"/>
          <w:szCs w:val="18"/>
        </w:rPr>
      </w:r>
      <w:r>
        <w:rPr>
          <w:rFonts w:ascii="宋体" w:hAnsi="宋体" w:cs="宋体" w:eastAsia="宋体" w:hint="default"/>
          <w:b/>
          <w:bCs/>
          <w:sz w:val="21"/>
          <w:szCs w:val="21"/>
        </w:rPr>
        <w:t>3、本企业合营和联营企业情况</w:t>
      </w:r>
      <w:r>
        <w:rPr>
          <w:rFonts w:ascii="宋体" w:hAnsi="宋体" w:cs="宋体" w:eastAsia="宋体" w:hint="default"/>
          <w:sz w:val="21"/>
          <w:szCs w:val="21"/>
        </w:rPr>
      </w:r>
    </w:p>
    <w:p>
      <w:pPr>
        <w:spacing w:line="360" w:lineRule="auto" w:before="68"/>
        <w:ind w:left="11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6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4、其他关联方情况" w:id="439"/>
      <w:bookmarkEnd w:id="439"/>
      <w:r>
        <w:rPr>
          <w:b w:val="0"/>
          <w:bCs w:val="0"/>
        </w:rPr>
      </w:r>
      <w:r>
        <w:rPr/>
        <w:t>4、其他关联方情况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持本公司股份</w:t>
            </w:r>
            <w:r>
              <w:rPr>
                <w:rFonts w:ascii="宋体" w:hAnsi="宋体" w:cs="宋体" w:eastAsia="宋体" w:hint="default"/>
                <w:spacing w:val="-48"/>
                <w:sz w:val="18"/>
                <w:szCs w:val="18"/>
              </w:rPr>
              <w:t> </w:t>
            </w:r>
            <w:r>
              <w:rPr>
                <w:rFonts w:ascii="宋体" w:hAnsi="宋体" w:cs="宋体" w:eastAsia="宋体" w:hint="default"/>
                <w:sz w:val="18"/>
                <w:szCs w:val="18"/>
              </w:rPr>
              <w:t>6.55%的股东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董事、子公司烟台华东电子软件技术有限公司董事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副总经理、子公司安徽皖通城市智能交通科技有限公司董事 长</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5、关联交易情况" w:id="440"/>
      <w:bookmarkEnd w:id="440"/>
      <w:r>
        <w:rPr>
          <w:b w:val="0"/>
          <w:bCs w:val="0"/>
        </w:rPr>
      </w:r>
      <w:r>
        <w:rPr/>
        <w:t>5、关联交易情况</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购销商品、提供和接受劳务的关联交易" w:id="441"/>
      <w:bookmarkEnd w:id="441"/>
      <w:r>
        <w:rPr>
          <w:b w:val="0"/>
          <w:bCs w:val="0"/>
        </w:rPr>
      </w:r>
      <w:r>
        <w:rPr/>
        <w:t>（1）购销商品、提供和接受劳务的关联交易</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采购商品/接受劳务情况表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2）关联受托管理/承包及委托管理/出包情况" w:id="442"/>
      <w:bookmarkEnd w:id="442"/>
      <w:r>
        <w:rPr>
          <w:b w:val="0"/>
          <w:bCs w:val="0"/>
        </w:rPr>
      </w:r>
      <w:r>
        <w:rPr/>
        <w:t>（2）关联受托管理/承包及委托管理/出包情况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本公司受托管理/承包情况表：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59"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委托方/出包方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受托方/承包方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受托/承包资产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受托/承包起始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受托/承包终止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托管收益/承包</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本期确认的托管</w:t>
            </w:r>
          </w:p>
        </w:tc>
      </w:tr>
      <w:tr>
        <w:trPr>
          <w:trHeight w:val="35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收益定价依据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收益/承包收益</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360" w:lineRule="auto" w:before="51"/>
        <w:ind w:left="112" w:right="-18" w:firstLine="0"/>
        <w:jc w:val="left"/>
        <w:rPr>
          <w:rFonts w:ascii="宋体" w:hAnsi="宋体" w:cs="宋体" w:eastAsia="宋体" w:hint="default"/>
          <w:sz w:val="18"/>
          <w:szCs w:val="18"/>
        </w:rPr>
      </w:pPr>
      <w:r>
        <w:rPr>
          <w:rFonts w:ascii="宋体" w:hAnsi="宋体" w:cs="宋体" w:eastAsia="宋体" w:hint="default"/>
          <w:sz w:val="18"/>
          <w:szCs w:val="18"/>
        </w:rPr>
        <w:t>关联托管/承包情况说明 本公司委托管理/出包情况表：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545" w:space="6285"/>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委托方/出包方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受托方/承包方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委托/出包资产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委托/出包起始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委托/出包终止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托管费/出包费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本期确认的托管</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费/出包费</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关联管理/出包情况说明</w:t>
      </w:r>
    </w:p>
    <w:p>
      <w:pPr>
        <w:spacing w:after="0"/>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3）关联租赁情况" w:id="443"/>
      <w:bookmarkEnd w:id="443"/>
      <w:r>
        <w:rPr>
          <w:b w:val="0"/>
          <w:bCs w:val="0"/>
        </w:rPr>
      </w:r>
      <w:r>
        <w:rPr/>
        <w:t>（3）关联租赁情况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关联担保情况" w:id="444"/>
      <w:bookmarkEnd w:id="444"/>
      <w:r>
        <w:rPr>
          <w:b w:val="0"/>
          <w:bCs w:val="0"/>
        </w:rPr>
      </w:r>
      <w:r>
        <w:rPr/>
        <w:t>（4）关联担保情况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8"/>
              <w:jc w:val="left"/>
              <w:rPr>
                <w:rFonts w:ascii="宋体" w:hAnsi="宋体" w:cs="宋体" w:eastAsia="宋体" w:hint="default"/>
                <w:sz w:val="18"/>
                <w:szCs w:val="18"/>
              </w:rPr>
            </w:pPr>
            <w:r>
              <w:rPr>
                <w:rFonts w:ascii="宋体" w:hAnsi="宋体" w:cs="宋体" w:eastAsia="宋体" w:hint="default"/>
                <w:sz w:val="18"/>
                <w:szCs w:val="18"/>
              </w:rPr>
              <w:t>安徽汉高信息科技有限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安徽汉高信息科技有限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8"/>
              <w:jc w:val="left"/>
              <w:rPr>
                <w:rFonts w:ascii="宋体" w:hAnsi="宋体" w:cs="宋体" w:eastAsia="宋体" w:hint="default"/>
                <w:sz w:val="18"/>
                <w:szCs w:val="18"/>
              </w:rPr>
            </w:pPr>
            <w:r>
              <w:rPr>
                <w:rFonts w:ascii="宋体" w:hAnsi="宋体" w:cs="宋体" w:eastAsia="宋体" w:hint="default"/>
                <w:sz w:val="18"/>
                <w:szCs w:val="18"/>
              </w:rPr>
              <w:t>安徽汉高信息科技有限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安徽汉高信息科技有限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5）关联方资金拆借" w:id="445"/>
      <w:bookmarkEnd w:id="445"/>
      <w:r>
        <w:rPr>
          <w:b w:val="0"/>
          <w:bCs w:val="0"/>
        </w:rPr>
      </w:r>
      <w:r>
        <w:rPr/>
        <w:t>（5）关联方资金拆借</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6）关联方资产转让、债务重组情况" w:id="446"/>
      <w:bookmarkEnd w:id="446"/>
      <w:r>
        <w:rPr>
          <w:b w:val="0"/>
          <w:bCs w:val="0"/>
        </w:rPr>
      </w:r>
      <w:r>
        <w:rPr/>
        <w:t>（6）关联方资产转让、债务重组情况</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7）关键管理人员报酬" w:id="447"/>
      <w:bookmarkEnd w:id="447"/>
      <w:r>
        <w:rPr>
          <w:b w:val="0"/>
          <w:bCs w:val="0"/>
        </w:rPr>
      </w:r>
      <w:r>
        <w:rPr/>
        <w:t>（7）关键管理人员报酬</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6" w:right="0"/>
              <w:jc w:val="left"/>
              <w:rPr>
                <w:rFonts w:ascii="宋体" w:hAnsi="宋体" w:cs="宋体" w:eastAsia="宋体" w:hint="default"/>
                <w:sz w:val="18"/>
                <w:szCs w:val="18"/>
              </w:rPr>
            </w:pPr>
            <w:r>
              <w:rPr>
                <w:rFonts w:ascii="宋体"/>
                <w:sz w:val="18"/>
              </w:rPr>
              <w:t>3,509,900.00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3,312,900.00</w:t>
            </w:r>
          </w:p>
        </w:tc>
      </w:tr>
    </w:tbl>
    <w:p>
      <w:pPr>
        <w:spacing w:line="240" w:lineRule="auto" w:before="4"/>
        <w:rPr>
          <w:rFonts w:ascii="宋体" w:hAnsi="宋体" w:cs="宋体" w:eastAsia="宋体" w:hint="default"/>
          <w:sz w:val="19"/>
          <w:szCs w:val="19"/>
        </w:rPr>
      </w:pPr>
    </w:p>
    <w:p>
      <w:pPr>
        <w:pStyle w:val="Heading6"/>
        <w:spacing w:line="537" w:lineRule="auto" w:before="34"/>
        <w:ind w:right="8539"/>
        <w:jc w:val="left"/>
        <w:rPr>
          <w:b w:val="0"/>
          <w:bCs w:val="0"/>
        </w:rPr>
      </w:pPr>
      <w:bookmarkStart w:name="（8）其他关联交易" w:id="448"/>
      <w:bookmarkEnd w:id="448"/>
      <w:r>
        <w:rPr>
          <w:b w:val="0"/>
          <w:bCs w:val="0"/>
        </w:rPr>
      </w:r>
      <w:r>
        <w:rPr/>
        <w:t>（8）其他关联交易</w:t>
      </w:r>
      <w:r>
        <w:rPr>
          <w:w w:val="99"/>
        </w:rPr>
        <w:t> </w:t>
      </w:r>
      <w:bookmarkStart w:name="6、关联方应收应付款项" w:id="449"/>
      <w:bookmarkEnd w:id="449"/>
      <w:r>
        <w:rPr/>
        <w:t>6</w:t>
      </w:r>
      <w:r>
        <w:rPr/>
        <w:t>、关联方应收应付款项</w:t>
      </w:r>
      <w:r>
        <w:rPr>
          <w:b w:val="0"/>
          <w:bCs w:val="0"/>
        </w:rPr>
      </w:r>
    </w:p>
    <w:p>
      <w:pPr>
        <w:pStyle w:val="Heading6"/>
        <w:spacing w:line="240" w:lineRule="auto" w:before="76"/>
        <w:ind w:right="2127"/>
        <w:jc w:val="left"/>
        <w:rPr>
          <w:b w:val="0"/>
          <w:bCs w:val="0"/>
        </w:rPr>
      </w:pPr>
      <w:bookmarkStart w:name="（1）应收项目" w:id="450"/>
      <w:bookmarkEnd w:id="450"/>
      <w:r>
        <w:rPr>
          <w:b w:val="0"/>
          <w:bCs w:val="0"/>
        </w:rPr>
      </w:r>
      <w:r>
        <w:rPr/>
        <w:t>（1）应收项目</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5"/>
        <w:rPr>
          <w:rFonts w:ascii="宋体" w:hAnsi="宋体" w:cs="宋体" w:eastAsia="宋体" w:hint="default"/>
          <w:sz w:val="19"/>
          <w:szCs w:val="19"/>
        </w:rPr>
      </w:pPr>
    </w:p>
    <w:p>
      <w:pPr>
        <w:pStyle w:val="Heading6"/>
        <w:spacing w:line="240" w:lineRule="auto" w:before="34"/>
        <w:ind w:right="2127"/>
        <w:jc w:val="left"/>
        <w:rPr>
          <w:b w:val="0"/>
          <w:bCs w:val="0"/>
        </w:rPr>
      </w:pPr>
      <w:bookmarkStart w:name="（2）应付项目" w:id="451"/>
      <w:bookmarkEnd w:id="451"/>
      <w:r>
        <w:rPr>
          <w:b w:val="0"/>
          <w:bCs w:val="0"/>
        </w:rPr>
      </w:r>
      <w:r>
        <w:rPr/>
        <w:t>（2）应付项目</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6"/>
        <w:spacing w:line="240" w:lineRule="auto" w:before="34"/>
        <w:ind w:right="2127"/>
        <w:jc w:val="left"/>
        <w:rPr>
          <w:b w:val="0"/>
          <w:bCs w:val="0"/>
        </w:rPr>
      </w:pPr>
      <w:bookmarkStart w:name="7、关联方承诺" w:id="452"/>
      <w:bookmarkEnd w:id="452"/>
      <w:r>
        <w:rPr>
          <w:b w:val="0"/>
          <w:bCs w:val="0"/>
        </w:rPr>
      </w:r>
      <w:r>
        <w:rPr/>
        <w:t>7、关联方承诺</w:t>
      </w:r>
      <w:r>
        <w:rPr>
          <w:b w:val="0"/>
          <w:bCs w:val="0"/>
        </w:rPr>
      </w:r>
    </w:p>
    <w:p>
      <w:pPr>
        <w:spacing w:line="240" w:lineRule="auto" w:before="12"/>
        <w:rPr>
          <w:rFonts w:ascii="宋体" w:hAnsi="宋体" w:cs="宋体" w:eastAsia="宋体" w:hint="default"/>
          <w:b/>
          <w:bCs/>
          <w:sz w:val="25"/>
          <w:szCs w:val="25"/>
        </w:rPr>
      </w:pPr>
    </w:p>
    <w:p>
      <w:pPr>
        <w:spacing w:line="501" w:lineRule="auto" w:before="0"/>
        <w:ind w:left="112" w:right="8750" w:firstLine="0"/>
        <w:jc w:val="left"/>
        <w:rPr>
          <w:rFonts w:ascii="宋体" w:hAnsi="宋体" w:cs="宋体" w:eastAsia="宋体" w:hint="default"/>
          <w:sz w:val="21"/>
          <w:szCs w:val="21"/>
        </w:rPr>
      </w:pPr>
      <w:bookmarkStart w:name="8、其他" w:id="453"/>
      <w:bookmarkEnd w:id="453"/>
      <w:r>
        <w:rPr/>
      </w:r>
      <w:r>
        <w:rPr>
          <w:rFonts w:ascii="宋体" w:hAnsi="宋体" w:cs="宋体" w:eastAsia="宋体" w:hint="default"/>
          <w:b/>
          <w:bCs/>
          <w:sz w:val="21"/>
          <w:szCs w:val="21"/>
        </w:rPr>
        <w:t>8、其他</w:t>
      </w:r>
      <w:r>
        <w:rPr>
          <w:rFonts w:ascii="宋体" w:hAnsi="宋体" w:cs="宋体" w:eastAsia="宋体" w:hint="default"/>
          <w:b/>
          <w:bCs/>
          <w:w w:val="99"/>
          <w:sz w:val="21"/>
          <w:szCs w:val="21"/>
        </w:rPr>
        <w:t> </w:t>
      </w:r>
      <w:bookmarkStart w:name="十三、股份支付" w:id="454"/>
      <w:bookmarkEnd w:id="454"/>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5"/>
      <w:bookmarkEnd w:id="455"/>
      <w:r>
        <w:rPr>
          <w:rFonts w:ascii="宋体" w:hAnsi="宋体" w:cs="宋体" w:eastAsia="宋体" w:hint="default"/>
          <w:b/>
          <w:bCs/>
          <w:w w:val="99"/>
          <w:sz w:val="24"/>
          <w:szCs w:val="24"/>
        </w:rPr>
      </w:r>
      <w:r>
        <w:rPr>
          <w:rFonts w:ascii="宋体" w:hAnsi="宋体" w:cs="宋体" w:eastAsia="宋体" w:hint="default"/>
          <w:b/>
          <w:bCs/>
          <w:sz w:val="21"/>
          <w:szCs w:val="21"/>
        </w:rPr>
        <w:t>1、股份支付总体情况</w:t>
      </w:r>
      <w:r>
        <w:rPr>
          <w:rFonts w:ascii="宋体" w:hAnsi="宋体" w:cs="宋体" w:eastAsia="宋体" w:hint="default"/>
          <w:sz w:val="21"/>
          <w:szCs w:val="21"/>
        </w:rPr>
      </w:r>
    </w:p>
    <w:p>
      <w:pPr>
        <w:spacing w:before="133"/>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5,919,800.00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r>
      <w:tr>
        <w:trPr>
          <w:trHeight w:val="714"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9" w:firstLine="2248"/>
              <w:jc w:val="left"/>
              <w:rPr>
                <w:rFonts w:ascii="宋体" w:hAnsi="宋体" w:cs="宋体" w:eastAsia="宋体" w:hint="default"/>
                <w:sz w:val="18"/>
                <w:szCs w:val="18"/>
              </w:rPr>
            </w:pPr>
            <w:r>
              <w:rPr>
                <w:rFonts w:ascii="宋体" w:hAnsi="宋体" w:cs="宋体" w:eastAsia="宋体" w:hint="default"/>
                <w:sz w:val="18"/>
                <w:szCs w:val="18"/>
              </w:rPr>
              <w:t>限制性股票行权价格为 4.98</w:t>
            </w:r>
            <w:r>
              <w:rPr>
                <w:rFonts w:ascii="宋体" w:hAnsi="宋体" w:cs="宋体" w:eastAsia="宋体" w:hint="default"/>
                <w:spacing w:val="-3"/>
                <w:sz w:val="18"/>
                <w:szCs w:val="18"/>
              </w:rPr>
              <w:t> </w:t>
            </w:r>
            <w:r>
              <w:rPr>
                <w:rFonts w:ascii="宋体" w:hAnsi="宋体" w:cs="宋体" w:eastAsia="宋体" w:hint="default"/>
                <w:sz w:val="18"/>
                <w:szCs w:val="18"/>
              </w:rPr>
              <w:t>元，合同剩余二年零八个月</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5"/>
        <w:spacing w:line="240" w:lineRule="auto" w:before="85"/>
        <w:ind w:left="554" w:right="2127"/>
        <w:jc w:val="left"/>
      </w:pPr>
      <w:r>
        <w:rPr/>
        <w:t>股份支付情况的说明：</w:t>
      </w:r>
    </w:p>
    <w:p>
      <w:pPr>
        <w:pStyle w:val="BodyText"/>
        <w:spacing w:line="240" w:lineRule="auto" w:before="31"/>
        <w:ind w:left="532" w:right="0"/>
        <w:jc w:val="left"/>
      </w:pPr>
      <w:r>
        <w:rPr/>
        <w:t>经公司于2018年2月9日召开的第四届董事会第十二次会议审议通过了《安徽皖通科技股份有限公司第</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BodyText"/>
        <w:spacing w:line="273" w:lineRule="auto" w:before="34"/>
        <w:ind w:right="1130"/>
        <w:jc w:val="both"/>
      </w:pPr>
      <w:r>
        <w:rPr>
          <w:w w:val="95"/>
        </w:rPr>
        <w:t>一期限制性股票激励计划(草案)及摘要》、《关于核实&lt;公司第一期限制性股票激励计划激励对象名单&gt;的</w:t>
      </w:r>
      <w:r>
        <w:rPr>
          <w:spacing w:val="42"/>
          <w:w w:val="95"/>
        </w:rPr>
        <w:t> </w:t>
      </w:r>
      <w:r>
        <w:rPr>
          <w:spacing w:val="42"/>
          <w:w w:val="95"/>
        </w:rPr>
      </w:r>
      <w:r>
        <w:rPr>
          <w:w w:val="95"/>
        </w:rPr>
        <w:t>议案》。于2018年3月7日召开的2018年第二次临时股东大会审议通过了《安徽皖通科技股份有限公司第一</w:t>
      </w:r>
      <w:r>
        <w:rPr>
          <w:spacing w:val="43"/>
          <w:w w:val="95"/>
        </w:rPr>
        <w:t> </w:t>
      </w:r>
      <w:r>
        <w:rPr>
          <w:spacing w:val="43"/>
          <w:w w:val="95"/>
        </w:rPr>
      </w:r>
      <w:r>
        <w:rPr>
          <w:w w:val="95"/>
        </w:rPr>
        <w:t>期限制性股票激励计划(草案)》、《安徽皖通科技股份有限公司第一期限制性股票激励计划实施考核管理</w:t>
      </w:r>
      <w:r>
        <w:rPr>
          <w:spacing w:val="40"/>
          <w:w w:val="95"/>
        </w:rPr>
        <w:t> </w:t>
      </w:r>
      <w:r>
        <w:rPr>
          <w:spacing w:val="40"/>
          <w:w w:val="95"/>
        </w:rPr>
      </w:r>
      <w:r>
        <w:rPr>
          <w:spacing w:val="2"/>
          <w:w w:val="95"/>
        </w:rPr>
        <w:t>办法》、《关于提请公司股东大会授权董事会办理股权激励相关事宜的议案》等的相关规定，2018年4月</w:t>
      </w:r>
      <w:r>
        <w:rPr>
          <w:spacing w:val="46"/>
          <w:w w:val="95"/>
        </w:rPr>
        <w:t> </w:t>
      </w:r>
      <w:r>
        <w:rPr>
          <w:spacing w:val="46"/>
          <w:w w:val="95"/>
        </w:rPr>
      </w:r>
      <w:r>
        <w:rPr>
          <w:w w:val="95"/>
        </w:rPr>
        <w:t>23日第四届董事会第十四次会议审议通过了《关于调整公司第一期限制性股票激励计划激励对象名单和授</w:t>
      </w:r>
      <w:r>
        <w:rPr>
          <w:spacing w:val="36"/>
          <w:w w:val="95"/>
        </w:rPr>
        <w:t> </w:t>
      </w:r>
      <w:r>
        <w:rPr>
          <w:spacing w:val="36"/>
          <w:w w:val="95"/>
        </w:rPr>
      </w:r>
      <w:r>
        <w:rPr>
          <w:spacing w:val="2"/>
          <w:w w:val="95"/>
        </w:rPr>
        <w:t>予数量的议案》、《关于向激励对象授予限制性股票的议案》，以2018年4月25日为授予日，向符合授予</w:t>
      </w:r>
      <w:r>
        <w:rPr>
          <w:spacing w:val="43"/>
          <w:w w:val="95"/>
        </w:rPr>
        <w:t> </w:t>
      </w:r>
      <w:r>
        <w:rPr>
          <w:spacing w:val="43"/>
          <w:w w:val="95"/>
        </w:rPr>
      </w:r>
      <w:r>
        <w:rPr/>
        <w:t>条件的345名激励对象授予595万股限制性股票，限制性股票的授予价格为4.98元/股。</w:t>
      </w:r>
    </w:p>
    <w:p>
      <w:pPr>
        <w:pStyle w:val="BodyText"/>
        <w:spacing w:line="273" w:lineRule="auto"/>
        <w:ind w:right="1135" w:firstLine="420"/>
        <w:jc w:val="both"/>
      </w:pPr>
      <w:r>
        <w:rPr/>
        <w:t>变更后注册资本为388,122,312.00元，其中新增注册资本5,919,800.00元（3名激励对象未认缴，涉</w:t>
      </w:r>
      <w:r>
        <w:rPr>
          <w:w w:val="99"/>
        </w:rPr>
        <w:t> </w:t>
      </w:r>
      <w:r>
        <w:rPr/>
        <w:t>及股数为30,200股），新增资本公积23,560,804.00元。</w:t>
      </w:r>
    </w:p>
    <w:p>
      <w:pPr>
        <w:pStyle w:val="BodyText"/>
        <w:spacing w:line="273" w:lineRule="auto"/>
        <w:ind w:right="1132" w:firstLine="420"/>
        <w:jc w:val="both"/>
      </w:pPr>
      <w:r>
        <w:rPr>
          <w:w w:val="95"/>
        </w:rPr>
        <w:t>根据上述计算，本公司向激励对象授予的权益工具公允价值总额为3,255.89万元，该等公允价值总额</w:t>
      </w:r>
      <w:r>
        <w:rPr>
          <w:w w:val="99"/>
        </w:rPr>
        <w:t> </w:t>
      </w:r>
      <w:r>
        <w:rPr>
          <w:w w:val="95"/>
        </w:rPr>
        <w:t>作为本次股权激励计划的总成本将在股权激励计划的实施过程中按照解除限售比例进行分期确认，应该摊</w:t>
      </w:r>
      <w:r>
        <w:rPr>
          <w:spacing w:val="39"/>
          <w:w w:val="95"/>
        </w:rPr>
        <w:t> </w:t>
      </w:r>
      <w:r>
        <w:rPr>
          <w:spacing w:val="39"/>
          <w:w w:val="95"/>
        </w:rPr>
      </w:r>
      <w:r>
        <w:rPr/>
        <w:t>销的股份支付费用具体摊销详见下表：</w:t>
      </w:r>
    </w:p>
    <w:p>
      <w:pPr>
        <w:pStyle w:val="BodyText"/>
        <w:spacing w:line="240" w:lineRule="auto"/>
        <w:ind w:left="0" w:right="2371"/>
        <w:jc w:val="right"/>
      </w:pPr>
      <w:r>
        <w:rPr>
          <w:w w:val="95"/>
        </w:rPr>
        <w:t>单位：万元</w:t>
      </w:r>
      <w:r>
        <w:rPr/>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660"/>
        <w:gridCol w:w="1559"/>
        <w:gridCol w:w="1276"/>
        <w:gridCol w:w="1134"/>
        <w:gridCol w:w="992"/>
        <w:gridCol w:w="907"/>
      </w:tblGrid>
      <w:tr>
        <w:trPr>
          <w:trHeight w:val="354" w:hRule="exact"/>
        </w:trPr>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授予的限制性股票数量（万股）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需摊销的总费用</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41"/>
              <w:jc w:val="right"/>
              <w:rPr>
                <w:rFonts w:ascii="宋体" w:hAnsi="宋体" w:cs="宋体" w:eastAsia="宋体" w:hint="default"/>
                <w:sz w:val="18"/>
                <w:szCs w:val="18"/>
              </w:rPr>
            </w:pPr>
            <w:r>
              <w:rPr>
                <w:rFonts w:ascii="宋体" w:hAnsi="宋体" w:cs="宋体" w:eastAsia="宋体" w:hint="default"/>
                <w:sz w:val="18"/>
                <w:szCs w:val="18"/>
              </w:rPr>
              <w:t>2019 年</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9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2021 年</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591.98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3,255.89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70" w:right="0"/>
              <w:jc w:val="left"/>
              <w:rPr>
                <w:rFonts w:ascii="宋体" w:hAnsi="宋体" w:cs="宋体" w:eastAsia="宋体" w:hint="default"/>
                <w:sz w:val="18"/>
                <w:szCs w:val="18"/>
              </w:rPr>
            </w:pPr>
            <w:r>
              <w:rPr>
                <w:rFonts w:ascii="宋体"/>
                <w:sz w:val="18"/>
              </w:rPr>
              <w:t>1,410.89</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97"/>
              <w:jc w:val="right"/>
              <w:rPr>
                <w:rFonts w:ascii="宋体" w:hAnsi="宋体" w:cs="宋体" w:eastAsia="宋体" w:hint="default"/>
                <w:sz w:val="18"/>
                <w:szCs w:val="18"/>
              </w:rPr>
            </w:pPr>
            <w:r>
              <w:rPr>
                <w:rFonts w:ascii="宋体"/>
                <w:spacing w:val="-1"/>
                <w:sz w:val="18"/>
              </w:rPr>
              <w:t>1,248.09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488.38</w:t>
            </w:r>
          </w:p>
        </w:tc>
        <w:tc>
          <w:tcPr>
            <w:tcW w:w="9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108.53</w:t>
            </w:r>
          </w:p>
        </w:tc>
      </w:tr>
    </w:tbl>
    <w:p>
      <w:pPr>
        <w:pStyle w:val="BodyText"/>
        <w:spacing w:line="262" w:lineRule="exact" w:before="0"/>
        <w:ind w:left="532" w:right="2127"/>
        <w:jc w:val="left"/>
      </w:pPr>
      <w:r>
        <w:rPr/>
        <w:t>限制性股票的限售期安排：</w:t>
      </w:r>
    </w:p>
    <w:p>
      <w:pPr>
        <w:pStyle w:val="BodyText"/>
        <w:spacing w:line="273" w:lineRule="auto" w:before="37"/>
        <w:ind w:right="1130" w:firstLine="420"/>
        <w:jc w:val="both"/>
      </w:pPr>
      <w:r>
        <w:rPr>
          <w:spacing w:val="2"/>
        </w:rPr>
        <w:t>本激励计划授予限制性股票的限售期为自授予登记完成之日起12 个月、 </w:t>
      </w:r>
      <w:r>
        <w:rPr/>
        <w:t>24 </w:t>
      </w:r>
      <w:r>
        <w:rPr>
          <w:spacing w:val="2"/>
        </w:rPr>
        <w:t>个月、 </w:t>
      </w:r>
      <w:r>
        <w:rPr/>
        <w:t>36</w:t>
      </w:r>
      <w:r>
        <w:rPr>
          <w:spacing w:val="-10"/>
        </w:rPr>
        <w:t> </w:t>
      </w:r>
      <w:r>
        <w:rPr/>
        <w:t>个月。激励</w:t>
      </w:r>
      <w:r>
        <w:rPr>
          <w:w w:val="99"/>
        </w:rPr>
        <w:t> </w:t>
      </w:r>
      <w:r>
        <w:rPr>
          <w:w w:val="95"/>
        </w:rPr>
        <w:t>对象根据本激励计划获授的限制性股票在解除限售前不得转让、用于担保或偿还债务。限售期满后，公司</w:t>
      </w:r>
      <w:r>
        <w:rPr>
          <w:spacing w:val="43"/>
          <w:w w:val="95"/>
        </w:rPr>
        <w:t> </w:t>
      </w:r>
      <w:r>
        <w:rPr>
          <w:spacing w:val="43"/>
          <w:w w:val="95"/>
        </w:rPr>
      </w:r>
      <w:r>
        <w:rPr>
          <w:w w:val="95"/>
        </w:rPr>
        <w:t>为满足解除限售条件的激励对象办理解除限售事宜，未满足解除限售条件的激励对象持有的限制性股票由</w:t>
      </w:r>
      <w:r>
        <w:rPr>
          <w:spacing w:val="39"/>
          <w:w w:val="95"/>
        </w:rPr>
        <w:t> </w:t>
      </w:r>
      <w:r>
        <w:rPr>
          <w:spacing w:val="39"/>
          <w:w w:val="95"/>
        </w:rPr>
      </w:r>
      <w:r>
        <w:rPr/>
        <w:t>公司回购注销。</w:t>
      </w:r>
    </w:p>
    <w:p>
      <w:pPr>
        <w:pStyle w:val="BodyText"/>
        <w:spacing w:line="240" w:lineRule="auto"/>
        <w:ind w:left="532" w:right="2127"/>
        <w:jc w:val="left"/>
      </w:pPr>
      <w:r>
        <w:rPr/>
        <w:t>本激励计划授予的限制性股票的解除限售期及各期解除限售时间安排如下表所示：</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40"/>
        <w:gridCol w:w="5456"/>
        <w:gridCol w:w="1099"/>
      </w:tblGrid>
      <w:tr>
        <w:trPr>
          <w:trHeight w:val="666" w:hRule="exact"/>
        </w:trPr>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20"/>
              <w:jc w:val="right"/>
              <w:rPr>
                <w:rFonts w:ascii="宋体" w:hAnsi="宋体" w:cs="宋体" w:eastAsia="宋体" w:hint="default"/>
                <w:sz w:val="18"/>
                <w:szCs w:val="18"/>
              </w:rPr>
            </w:pPr>
            <w:r>
              <w:rPr>
                <w:rFonts w:ascii="宋体" w:hAnsi="宋体" w:cs="宋体" w:eastAsia="宋体" w:hint="default"/>
                <w:sz w:val="18"/>
                <w:szCs w:val="18"/>
              </w:rPr>
              <w:t>解除限售安排</w:t>
            </w:r>
          </w:p>
        </w:tc>
        <w:tc>
          <w:tcPr>
            <w:tcW w:w="5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09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51" w:right="98" w:hanging="360"/>
              <w:jc w:val="left"/>
              <w:rPr>
                <w:rFonts w:ascii="宋体" w:hAnsi="宋体" w:cs="宋体" w:eastAsia="宋体" w:hint="default"/>
                <w:sz w:val="18"/>
                <w:szCs w:val="18"/>
              </w:rPr>
            </w:pPr>
            <w:r>
              <w:rPr>
                <w:rFonts w:ascii="宋体" w:hAnsi="宋体" w:cs="宋体" w:eastAsia="宋体" w:hint="default"/>
                <w:sz w:val="18"/>
                <w:szCs w:val="18"/>
              </w:rPr>
              <w:t>解除限售比 例</w:t>
            </w:r>
          </w:p>
        </w:tc>
      </w:tr>
      <w:tr>
        <w:trPr>
          <w:trHeight w:val="674"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4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37"/>
              <w:jc w:val="left"/>
              <w:rPr>
                <w:rFonts w:ascii="宋体" w:hAnsi="宋体" w:cs="宋体" w:eastAsia="宋体" w:hint="default"/>
                <w:sz w:val="18"/>
                <w:szCs w:val="18"/>
              </w:rPr>
            </w:pPr>
            <w:r>
              <w:rPr>
                <w:rFonts w:ascii="宋体" w:hAnsi="宋体" w:cs="宋体" w:eastAsia="宋体" w:hint="default"/>
                <w:sz w:val="18"/>
                <w:szCs w:val="18"/>
              </w:rPr>
              <w:t>自限制性股票授予登记完成之日起12个月后的首个交易日起至限制性 股票授予登记完成之日起24个月内的最后一个交易日当日止</w:t>
            </w:r>
          </w:p>
        </w:tc>
        <w:tc>
          <w:tcPr>
            <w:tcW w:w="1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40%</w:t>
            </w:r>
          </w:p>
        </w:tc>
      </w:tr>
      <w:tr>
        <w:trPr>
          <w:trHeight w:val="674"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4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37"/>
              <w:jc w:val="left"/>
              <w:rPr>
                <w:rFonts w:ascii="宋体" w:hAnsi="宋体" w:cs="宋体" w:eastAsia="宋体" w:hint="default"/>
                <w:sz w:val="18"/>
                <w:szCs w:val="18"/>
              </w:rPr>
            </w:pPr>
            <w:r>
              <w:rPr>
                <w:rFonts w:ascii="宋体" w:hAnsi="宋体" w:cs="宋体" w:eastAsia="宋体" w:hint="default"/>
                <w:sz w:val="18"/>
                <w:szCs w:val="18"/>
              </w:rPr>
              <w:t>自限制性股票授予登记完成之日起24个月后的首个交易日起至限制性 股票授予登记完成之日起36个月内的最后一个交易日当日止</w:t>
            </w:r>
          </w:p>
        </w:tc>
        <w:tc>
          <w:tcPr>
            <w:tcW w:w="1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30%</w:t>
            </w:r>
          </w:p>
        </w:tc>
      </w:tr>
      <w:tr>
        <w:trPr>
          <w:trHeight w:val="674"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81"/>
              <w:jc w:val="righ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4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3" w:right="37"/>
              <w:jc w:val="left"/>
              <w:rPr>
                <w:rFonts w:ascii="宋体" w:hAnsi="宋体" w:cs="宋体" w:eastAsia="宋体" w:hint="default"/>
                <w:sz w:val="18"/>
                <w:szCs w:val="18"/>
              </w:rPr>
            </w:pPr>
            <w:r>
              <w:rPr>
                <w:rFonts w:ascii="宋体" w:hAnsi="宋体" w:cs="宋体" w:eastAsia="宋体" w:hint="default"/>
                <w:sz w:val="18"/>
                <w:szCs w:val="18"/>
              </w:rPr>
              <w:t>自限制性股票授予登记完成之日起36个月后的首个交易日起至限制性 股票授予登记完成之日起48个月内的最后一个交易日当日止</w:t>
            </w:r>
          </w:p>
        </w:tc>
        <w:tc>
          <w:tcPr>
            <w:tcW w:w="1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sz w:val="18"/>
              </w:rPr>
              <w:t>30%</w:t>
            </w:r>
          </w:p>
        </w:tc>
      </w:tr>
    </w:tbl>
    <w:p>
      <w:pPr>
        <w:pStyle w:val="BodyText"/>
        <w:spacing w:line="261" w:lineRule="exact" w:before="0"/>
        <w:ind w:right="0" w:firstLine="405"/>
        <w:jc w:val="left"/>
      </w:pPr>
      <w:r>
        <w:rPr/>
        <w:t>在上述约定期间内若根据本计划不能解除限售，则由公司收回。激励对象根据本激励计划获授的限制</w:t>
      </w:r>
    </w:p>
    <w:p>
      <w:pPr>
        <w:pStyle w:val="BodyText"/>
        <w:spacing w:line="273" w:lineRule="auto" w:before="37"/>
        <w:ind w:right="1130"/>
        <w:jc w:val="both"/>
      </w:pPr>
      <w:r>
        <w:rPr>
          <w:w w:val="95"/>
        </w:rPr>
        <w:t>性股票在解除限售前不得转让、用于担保或偿还债务。激励对象获授的限制性股票由于资本公积金转增股</w:t>
      </w:r>
      <w:r>
        <w:rPr>
          <w:spacing w:val="37"/>
          <w:w w:val="95"/>
        </w:rPr>
        <w:t> </w:t>
      </w:r>
      <w:r>
        <w:rPr>
          <w:spacing w:val="37"/>
          <w:w w:val="95"/>
        </w:rPr>
      </w:r>
      <w:r>
        <w:rPr>
          <w:w w:val="95"/>
        </w:rPr>
        <w:t>本、股票红利、股票拆细而取得的股份同时限售，不得在二级市场出售或以其他方式转让，该等股份的解</w:t>
      </w:r>
      <w:r>
        <w:rPr>
          <w:spacing w:val="44"/>
          <w:w w:val="95"/>
        </w:rPr>
        <w:t> </w:t>
      </w:r>
      <w:r>
        <w:rPr>
          <w:spacing w:val="44"/>
          <w:w w:val="95"/>
        </w:rPr>
      </w:r>
      <w:r>
        <w:rPr/>
        <w:t>除限售期与限制性股票解除限售期相同。</w:t>
      </w:r>
    </w:p>
    <w:p>
      <w:pPr>
        <w:pStyle w:val="BodyText"/>
        <w:spacing w:line="273" w:lineRule="auto"/>
        <w:ind w:right="0" w:firstLine="405"/>
        <w:jc w:val="left"/>
      </w:pPr>
      <w:r>
        <w:rPr>
          <w:w w:val="95"/>
        </w:rPr>
        <w:t>解除限售后，公司为满足解除限售条件的激励对象办理解除限售事宜，未满足解除限售条件的激励对</w:t>
      </w:r>
      <w:r>
        <w:rPr>
          <w:spacing w:val="-71"/>
          <w:w w:val="95"/>
        </w:rPr>
        <w:t> </w:t>
      </w:r>
      <w:r>
        <w:rPr>
          <w:spacing w:val="-71"/>
          <w:w w:val="95"/>
        </w:rPr>
      </w:r>
      <w:r>
        <w:rPr/>
        <w:t>象持有的限制性股票由公司回购注销。</w:t>
      </w:r>
    </w:p>
    <w:p>
      <w:pPr>
        <w:pStyle w:val="BodyText"/>
        <w:spacing w:line="240" w:lineRule="auto"/>
        <w:ind w:left="518" w:right="2127"/>
        <w:jc w:val="left"/>
      </w:pPr>
      <w:r>
        <w:rPr/>
        <w:t>授予的限制性股票的解除限售需同时满足公司业绩考核要求和个人考核要求，具体如下：</w:t>
      </w:r>
    </w:p>
    <w:p>
      <w:pPr>
        <w:pStyle w:val="BodyText"/>
        <w:spacing w:line="273" w:lineRule="auto" w:before="37"/>
        <w:ind w:left="518" w:right="6778"/>
        <w:jc w:val="left"/>
      </w:pPr>
      <w:r>
        <w:rPr/>
        <w:t>①公司层面业绩考核要求</w:t>
      </w:r>
      <w:r>
        <w:rPr>
          <w:w w:val="99"/>
        </w:rPr>
        <w:t> </w:t>
      </w:r>
      <w:r>
        <w:rPr/>
        <w:t>财务业绩考核的指标：净利润增长率。</w:t>
      </w:r>
    </w:p>
    <w:p>
      <w:pPr>
        <w:pStyle w:val="BodyText"/>
        <w:spacing w:line="273" w:lineRule="auto"/>
        <w:ind w:right="0" w:firstLine="405"/>
        <w:jc w:val="left"/>
      </w:pPr>
      <w:r>
        <w:rPr>
          <w:spacing w:val="2"/>
        </w:rPr>
        <w:t>本激励计划的解除限售考核年度为 </w:t>
      </w:r>
      <w:r>
        <w:rPr/>
        <w:t>2018-2020</w:t>
      </w:r>
      <w:r>
        <w:rPr>
          <w:spacing w:val="-1"/>
        </w:rPr>
        <w:t> </w:t>
      </w:r>
      <w:r>
        <w:rPr>
          <w:spacing w:val="2"/>
        </w:rPr>
        <w:t>年三个会计年度，每个会计年度考核一次，各年度业</w:t>
      </w:r>
      <w:r>
        <w:rPr>
          <w:w w:val="99"/>
        </w:rPr>
        <w:t> </w:t>
      </w:r>
      <w:r>
        <w:rPr/>
        <w:t>绩考核目标如下表所示：</w:t>
      </w:r>
    </w:p>
    <w:p>
      <w:pPr>
        <w:pStyle w:val="BodyText"/>
        <w:spacing w:line="240" w:lineRule="auto"/>
        <w:ind w:left="518" w:right="2127"/>
        <w:jc w:val="left"/>
      </w:pPr>
      <w:r>
        <w:rPr/>
        <w:t>在本激励计划有效期内，各年度财务业绩考核目标如下表所示：</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10"/>
        <w:gridCol w:w="6585"/>
      </w:tblGrid>
      <w:tr>
        <w:trPr>
          <w:trHeight w:val="354" w:hRule="exact"/>
        </w:trPr>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解锁期</w:t>
            </w:r>
          </w:p>
        </w:tc>
        <w:tc>
          <w:tcPr>
            <w:tcW w:w="65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业绩考核指标</w:t>
            </w:r>
          </w:p>
        </w:tc>
      </w:tr>
      <w:tr>
        <w:trPr>
          <w:trHeight w:val="360" w:hRule="exact"/>
        </w:trPr>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65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 2017年公司净利润为基数，</w:t>
            </w:r>
            <w:r>
              <w:rPr>
                <w:rFonts w:ascii="宋体" w:hAnsi="宋体" w:cs="宋体" w:eastAsia="宋体" w:hint="default"/>
                <w:spacing w:val="-5"/>
                <w:sz w:val="18"/>
                <w:szCs w:val="18"/>
              </w:rPr>
              <w:t> </w:t>
            </w:r>
            <w:r>
              <w:rPr>
                <w:rFonts w:ascii="宋体" w:hAnsi="宋体" w:cs="宋体" w:eastAsia="宋体" w:hint="default"/>
                <w:sz w:val="18"/>
                <w:szCs w:val="18"/>
              </w:rPr>
              <w:t>2018年净利润增长率不低于10%；</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710"/>
        <w:gridCol w:w="6585"/>
      </w:tblGrid>
      <w:tr>
        <w:trPr>
          <w:trHeight w:val="369" w:hRule="exact"/>
        </w:trPr>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97" w:right="0"/>
              <w:jc w:val="left"/>
              <w:rPr>
                <w:rFonts w:ascii="宋体" w:hAnsi="宋体" w:cs="宋体" w:eastAsia="宋体" w:hint="default"/>
                <w:sz w:val="18"/>
                <w:szCs w:val="18"/>
              </w:rPr>
            </w:pPr>
            <w:r>
              <w:rPr>
                <w:rFonts w:ascii="宋体" w:hAnsi="宋体" w:cs="宋体" w:eastAsia="宋体" w:hint="default"/>
                <w:sz w:val="18"/>
                <w:szCs w:val="18"/>
              </w:rPr>
              <w:t>第二次解锁</w:t>
            </w:r>
          </w:p>
        </w:tc>
        <w:tc>
          <w:tcPr>
            <w:tcW w:w="65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2" w:right="0"/>
              <w:jc w:val="left"/>
              <w:rPr>
                <w:rFonts w:ascii="宋体" w:hAnsi="宋体" w:cs="宋体" w:eastAsia="宋体" w:hint="default"/>
                <w:sz w:val="18"/>
                <w:szCs w:val="18"/>
              </w:rPr>
            </w:pPr>
            <w:r>
              <w:rPr>
                <w:rFonts w:ascii="宋体" w:hAnsi="宋体" w:cs="宋体" w:eastAsia="宋体" w:hint="default"/>
                <w:sz w:val="18"/>
                <w:szCs w:val="18"/>
              </w:rPr>
              <w:t>以 2017年公司净利润为基数，</w:t>
            </w:r>
            <w:r>
              <w:rPr>
                <w:rFonts w:ascii="宋体" w:hAnsi="宋体" w:cs="宋体" w:eastAsia="宋体" w:hint="default"/>
                <w:spacing w:val="-5"/>
                <w:sz w:val="18"/>
                <w:szCs w:val="18"/>
              </w:rPr>
              <w:t> </w:t>
            </w:r>
            <w:r>
              <w:rPr>
                <w:rFonts w:ascii="宋体" w:hAnsi="宋体" w:cs="宋体" w:eastAsia="宋体" w:hint="default"/>
                <w:sz w:val="18"/>
                <w:szCs w:val="18"/>
              </w:rPr>
              <w:t>2019年净利润增长率不低于20%；</w:t>
            </w:r>
          </w:p>
        </w:tc>
      </w:tr>
      <w:tr>
        <w:trPr>
          <w:trHeight w:val="362" w:hRule="exact"/>
        </w:trPr>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97" w:right="0"/>
              <w:jc w:val="left"/>
              <w:rPr>
                <w:rFonts w:ascii="宋体" w:hAnsi="宋体" w:cs="宋体" w:eastAsia="宋体" w:hint="default"/>
                <w:sz w:val="18"/>
                <w:szCs w:val="18"/>
              </w:rPr>
            </w:pPr>
            <w:r>
              <w:rPr>
                <w:rFonts w:ascii="宋体" w:hAnsi="宋体" w:cs="宋体" w:eastAsia="宋体" w:hint="default"/>
                <w:sz w:val="18"/>
                <w:szCs w:val="18"/>
              </w:rPr>
              <w:t>第三次解锁</w:t>
            </w:r>
          </w:p>
        </w:tc>
        <w:tc>
          <w:tcPr>
            <w:tcW w:w="65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 2017年公司净利润为基数，</w:t>
            </w:r>
            <w:r>
              <w:rPr>
                <w:rFonts w:ascii="宋体" w:hAnsi="宋体" w:cs="宋体" w:eastAsia="宋体" w:hint="default"/>
                <w:spacing w:val="-5"/>
                <w:sz w:val="18"/>
                <w:szCs w:val="18"/>
              </w:rPr>
              <w:t> </w:t>
            </w:r>
            <w:r>
              <w:rPr>
                <w:rFonts w:ascii="宋体" w:hAnsi="宋体" w:cs="宋体" w:eastAsia="宋体" w:hint="default"/>
                <w:sz w:val="18"/>
                <w:szCs w:val="18"/>
              </w:rPr>
              <w:t>2020年净利润增长率不低于30%。</w:t>
            </w:r>
          </w:p>
        </w:tc>
      </w:tr>
    </w:tbl>
    <w:p>
      <w:pPr>
        <w:pStyle w:val="Heading5"/>
        <w:spacing w:line="268" w:lineRule="exact"/>
        <w:ind w:right="0"/>
        <w:jc w:val="left"/>
      </w:pPr>
      <w:r>
        <w:rPr>
          <w:spacing w:val="-3"/>
        </w:rPr>
        <w:t>注：上述“净利润”、“净利润增长率”指标，均以未扣除本次及其他股权激励成本前归属于上</w:t>
      </w:r>
    </w:p>
    <w:p>
      <w:pPr>
        <w:pStyle w:val="Heading5"/>
        <w:spacing w:line="259" w:lineRule="auto" w:before="24"/>
        <w:ind w:right="0" w:hanging="428"/>
        <w:jc w:val="left"/>
      </w:pPr>
      <w:r>
        <w:rPr/>
        <w:t>市公司股东的净利润数值作为计算依据。</w:t>
      </w:r>
      <w:r>
        <w:rPr>
          <w:w w:val="100"/>
        </w:rPr>
        <w:t> </w:t>
      </w:r>
      <w:r>
        <w:rPr>
          <w:spacing w:val="-3"/>
        </w:rPr>
        <w:t>公司未满足上述业绩考核目标的，所有激励对象对应考核当年可解除限售的限制性股票均不得解</w:t>
      </w:r>
    </w:p>
    <w:p>
      <w:pPr>
        <w:pStyle w:val="Heading5"/>
        <w:spacing w:line="240" w:lineRule="auto" w:before="6"/>
        <w:ind w:left="112" w:right="2127"/>
        <w:jc w:val="left"/>
      </w:pPr>
      <w:r>
        <w:rPr/>
        <w:t>除限售，由公司回购注销。</w:t>
      </w:r>
    </w:p>
    <w:p>
      <w:pPr>
        <w:pStyle w:val="BodyText"/>
        <w:spacing w:line="266" w:lineRule="auto" w:before="24"/>
        <w:ind w:left="532" w:right="1132" w:firstLine="21"/>
        <w:jc w:val="left"/>
      </w:pPr>
      <w:r>
        <w:rPr>
          <w:sz w:val="22"/>
          <w:szCs w:val="22"/>
        </w:rPr>
        <w:t>②</w:t>
      </w:r>
      <w:r>
        <w:rPr/>
        <w:t>个人层面绩效考核要求</w:t>
      </w:r>
      <w:r>
        <w:rPr>
          <w:w w:val="99"/>
        </w:rPr>
        <w:t> </w:t>
      </w:r>
      <w:r>
        <w:rPr>
          <w:spacing w:val="4"/>
        </w:rPr>
        <w:t>激励对象的个人层面的考核按照公司现行薪酬与考核的相关规定组织实施，个人层面解除限售比例</w:t>
      </w:r>
    </w:p>
    <w:p>
      <w:pPr>
        <w:pStyle w:val="BodyText"/>
        <w:spacing w:line="240" w:lineRule="auto" w:before="14"/>
        <w:ind w:right="2127"/>
        <w:jc w:val="left"/>
      </w:pPr>
      <w:r>
        <w:rPr/>
        <w:t>（N）按下表考核结果确定：</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000"/>
        <w:gridCol w:w="1361"/>
        <w:gridCol w:w="1417"/>
        <w:gridCol w:w="1418"/>
        <w:gridCol w:w="1417"/>
      </w:tblGrid>
      <w:tr>
        <w:trPr>
          <w:trHeight w:val="354" w:hRule="exact"/>
        </w:trPr>
        <w:tc>
          <w:tcPr>
            <w:tcW w:w="3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个人上一年度考核结果（M）</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M≥90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90＞M≥80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80＞M≥60</w:t>
            </w:r>
          </w:p>
        </w:tc>
        <w:tc>
          <w:tcPr>
            <w:tcW w:w="14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M＜60</w:t>
            </w:r>
          </w:p>
        </w:tc>
      </w:tr>
      <w:tr>
        <w:trPr>
          <w:trHeight w:val="362" w:hRule="exact"/>
        </w:trPr>
        <w:tc>
          <w:tcPr>
            <w:tcW w:w="3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评价标准</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优秀（A）</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良好（B）</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合格（C）</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不合格（D）</w:t>
            </w:r>
          </w:p>
        </w:tc>
      </w:tr>
      <w:tr>
        <w:trPr>
          <w:trHeight w:val="362" w:hRule="exact"/>
        </w:trPr>
        <w:tc>
          <w:tcPr>
            <w:tcW w:w="3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个人解除限售比例（N）</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w:t>
            </w:r>
          </w:p>
        </w:tc>
      </w:tr>
    </w:tbl>
    <w:p>
      <w:pPr>
        <w:pStyle w:val="BodyText"/>
        <w:spacing w:line="273" w:lineRule="auto" w:before="0"/>
        <w:ind w:right="0" w:firstLine="420"/>
        <w:jc w:val="left"/>
      </w:pPr>
      <w:r>
        <w:rPr>
          <w:w w:val="95"/>
        </w:rPr>
        <w:t>若各年度公司层面业绩考核达标，激励对象个人当年实际解除限售额度＝个人当年可解除限售额度×</w:t>
      </w:r>
      <w:r>
        <w:rPr>
          <w:w w:val="99"/>
        </w:rPr>
        <w:t> </w:t>
      </w:r>
      <w:r>
        <w:rPr/>
        <w:t>个人层面解除限售比例（N）。</w:t>
      </w:r>
    </w:p>
    <w:p>
      <w:pPr>
        <w:pStyle w:val="BodyText"/>
        <w:spacing w:line="240" w:lineRule="auto"/>
        <w:ind w:left="532" w:right="2127"/>
        <w:jc w:val="left"/>
      </w:pPr>
      <w:r>
        <w:rPr/>
        <w:t>激励对象考核当年不能解除限售的限制性股票，由公司回购注销。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2127"/>
        <w:jc w:val="left"/>
        <w:rPr>
          <w:b w:val="0"/>
          <w:bCs w:val="0"/>
        </w:rPr>
      </w:pPr>
      <w:bookmarkStart w:name="2、以权益结算的股份支付情况" w:id="456"/>
      <w:bookmarkEnd w:id="456"/>
      <w:r>
        <w:rPr>
          <w:b w:val="0"/>
          <w:bCs w:val="0"/>
        </w:rPr>
      </w:r>
      <w:r>
        <w:rPr/>
        <w:t>2、以权益结算的股份支付情况</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授予日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日收盘价</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合同约定的转股数量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14,108,856.67</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14,108,856.67</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3、以现金结算的股份支付情况" w:id="457"/>
      <w:bookmarkEnd w:id="457"/>
      <w:r>
        <w:rPr>
          <w:b w:val="0"/>
          <w:bCs w:val="0"/>
        </w:rPr>
      </w:r>
      <w:r>
        <w:rPr/>
        <w:t>3、以现金结算的股份支付情况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4、股份支付的修改、终止情况" w:id="458"/>
      <w:bookmarkEnd w:id="458"/>
      <w:r>
        <w:rPr>
          <w:b w:val="0"/>
          <w:bCs w:val="0"/>
        </w:rPr>
      </w:r>
      <w:r>
        <w:rPr/>
        <w:t>4、股份支付的修改、终止情况</w:t>
      </w:r>
      <w:r>
        <w:rPr>
          <w:b w:val="0"/>
          <w:bCs w:val="0"/>
        </w:rPr>
      </w:r>
    </w:p>
    <w:p>
      <w:pPr>
        <w:spacing w:line="240" w:lineRule="auto" w:before="10"/>
        <w:rPr>
          <w:rFonts w:ascii="宋体" w:hAnsi="宋体" w:cs="宋体" w:eastAsia="宋体" w:hint="default"/>
          <w:b/>
          <w:bCs/>
          <w:sz w:val="25"/>
          <w:szCs w:val="25"/>
        </w:rPr>
      </w:pPr>
    </w:p>
    <w:p>
      <w:pPr>
        <w:spacing w:line="501" w:lineRule="auto" w:before="0"/>
        <w:ind w:left="112" w:right="8344" w:firstLine="0"/>
        <w:jc w:val="left"/>
        <w:rPr>
          <w:rFonts w:ascii="宋体" w:hAnsi="宋体" w:cs="宋体" w:eastAsia="宋体" w:hint="default"/>
          <w:sz w:val="21"/>
          <w:szCs w:val="21"/>
        </w:rPr>
      </w:pPr>
      <w:bookmarkStart w:name="5、其他" w:id="459"/>
      <w:bookmarkEnd w:id="459"/>
      <w:r>
        <w:rPr/>
      </w:r>
      <w:r>
        <w:rPr>
          <w:rFonts w:ascii="宋体" w:hAnsi="宋体" w:cs="宋体" w:eastAsia="宋体" w:hint="default"/>
          <w:b/>
          <w:bCs/>
          <w:sz w:val="21"/>
          <w:szCs w:val="21"/>
        </w:rPr>
        <w:t>5、其他</w:t>
      </w:r>
      <w:r>
        <w:rPr>
          <w:rFonts w:ascii="宋体" w:hAnsi="宋体" w:cs="宋体" w:eastAsia="宋体" w:hint="default"/>
          <w:b/>
          <w:bCs/>
          <w:w w:val="99"/>
          <w:sz w:val="21"/>
          <w:szCs w:val="21"/>
        </w:rPr>
        <w:t> </w:t>
      </w:r>
      <w:bookmarkStart w:name="十四、承诺及或有事项" w:id="460"/>
      <w:bookmarkEnd w:id="460"/>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1"/>
      <w:bookmarkEnd w:id="461"/>
      <w:r>
        <w:rPr>
          <w:rFonts w:ascii="宋体" w:hAnsi="宋体" w:cs="宋体" w:eastAsia="宋体" w:hint="default"/>
          <w:b/>
          <w:bCs/>
          <w:w w:val="99"/>
          <w:sz w:val="24"/>
          <w:szCs w:val="24"/>
        </w:rPr>
      </w:r>
      <w:r>
        <w:rPr>
          <w:rFonts w:ascii="宋体" w:hAnsi="宋体" w:cs="宋体" w:eastAsia="宋体" w:hint="default"/>
          <w:b/>
          <w:bCs/>
          <w:sz w:val="21"/>
          <w:szCs w:val="21"/>
        </w:rPr>
        <w:t>1、重要承诺事项</w:t>
      </w:r>
      <w:r>
        <w:rPr>
          <w:rFonts w:ascii="宋体" w:hAnsi="宋体" w:cs="宋体" w:eastAsia="宋体" w:hint="default"/>
          <w:sz w:val="21"/>
          <w:szCs w:val="21"/>
        </w:rPr>
      </w:r>
    </w:p>
    <w:p>
      <w:pPr>
        <w:spacing w:before="133"/>
        <w:ind w:left="112" w:right="2127"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或有事项" w:id="462"/>
      <w:bookmarkEnd w:id="462"/>
      <w:r>
        <w:rPr>
          <w:b w:val="0"/>
          <w:bCs w:val="0"/>
        </w:rPr>
      </w:r>
      <w:r>
        <w:rPr/>
        <w:t>2、或有事项</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1）资产负债表日存在的重要或有事项" w:id="463"/>
      <w:bookmarkEnd w:id="463"/>
      <w:r>
        <w:rPr>
          <w:b w:val="0"/>
          <w:bCs w:val="0"/>
        </w:rPr>
      </w:r>
      <w:r>
        <w:rPr/>
        <w:t>（1）资产负债表日存在的重要或有事项</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2）公司没有需要披露的重要或有事项，也应予以说明" w:id="464"/>
      <w:bookmarkEnd w:id="464"/>
      <w:r>
        <w:rPr>
          <w:b w:val="0"/>
          <w:bCs w:val="0"/>
        </w:rPr>
      </w:r>
      <w:r>
        <w:rPr/>
        <w:t>（2）公司没有需要披露的重要或有事项，也应予以说明</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501" w:lineRule="auto" w:before="0"/>
        <w:ind w:left="112" w:right="7862" w:firstLine="0"/>
        <w:jc w:val="left"/>
        <w:rPr>
          <w:rFonts w:ascii="宋体" w:hAnsi="宋体" w:cs="宋体" w:eastAsia="宋体" w:hint="default"/>
          <w:sz w:val="21"/>
          <w:szCs w:val="21"/>
        </w:rPr>
      </w:pPr>
      <w:bookmarkStart w:name="3、其他" w:id="465"/>
      <w:bookmarkEnd w:id="465"/>
      <w:r>
        <w:rPr/>
      </w:r>
      <w:r>
        <w:rPr>
          <w:rFonts w:ascii="宋体" w:hAnsi="宋体" w:cs="宋体" w:eastAsia="宋体" w:hint="default"/>
          <w:b/>
          <w:bCs/>
          <w:sz w:val="21"/>
          <w:szCs w:val="21"/>
        </w:rPr>
        <w:t>3、其他</w:t>
      </w:r>
      <w:r>
        <w:rPr>
          <w:rFonts w:ascii="宋体" w:hAnsi="宋体" w:cs="宋体" w:eastAsia="宋体" w:hint="default"/>
          <w:b/>
          <w:bCs/>
          <w:w w:val="99"/>
          <w:sz w:val="21"/>
          <w:szCs w:val="21"/>
        </w:rPr>
        <w:t> </w:t>
      </w:r>
      <w:bookmarkStart w:name="十五、资产负债表日后事项" w:id="466"/>
      <w:bookmarkEnd w:id="466"/>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67"/>
      <w:bookmarkEnd w:id="467"/>
      <w:r>
        <w:rPr>
          <w:rFonts w:ascii="宋体" w:hAnsi="宋体" w:cs="宋体" w:eastAsia="宋体" w:hint="default"/>
          <w:b/>
          <w:bCs/>
          <w:w w:val="99"/>
          <w:sz w:val="24"/>
          <w:szCs w:val="24"/>
        </w:rPr>
      </w:r>
      <w:r>
        <w:rPr>
          <w:rFonts w:ascii="宋体" w:hAnsi="宋体" w:cs="宋体" w:eastAsia="宋体" w:hint="default"/>
          <w:b/>
          <w:bCs/>
          <w:sz w:val="21"/>
          <w:szCs w:val="21"/>
        </w:rPr>
        <w:t>1、重要的非调整事项</w:t>
      </w:r>
      <w:r>
        <w:rPr>
          <w:rFonts w:ascii="宋体" w:hAnsi="宋体" w:cs="宋体" w:eastAsia="宋体" w:hint="default"/>
          <w:sz w:val="21"/>
          <w:szCs w:val="21"/>
        </w:rPr>
      </w:r>
    </w:p>
    <w:p>
      <w:pPr>
        <w:spacing w:before="13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6"/>
        <w:spacing w:line="240" w:lineRule="auto" w:before="34"/>
        <w:ind w:right="2127"/>
        <w:jc w:val="left"/>
        <w:rPr>
          <w:b w:val="0"/>
          <w:bCs w:val="0"/>
        </w:rPr>
      </w:pPr>
      <w:bookmarkStart w:name="2、利润分配情况" w:id="468"/>
      <w:bookmarkEnd w:id="468"/>
      <w:r>
        <w:rPr>
          <w:b w:val="0"/>
          <w:bCs w:val="0"/>
        </w:rPr>
      </w:r>
      <w:r>
        <w:rPr/>
        <w:t>2、利润分配情况</w:t>
      </w:r>
      <w:r>
        <w:rPr>
          <w:b w:val="0"/>
          <w:bCs w:val="0"/>
        </w:rPr>
      </w:r>
    </w:p>
    <w:p>
      <w:pPr>
        <w:spacing w:line="240" w:lineRule="auto" w:before="7"/>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6"/>
        <w:spacing w:line="240" w:lineRule="auto" w:before="34"/>
        <w:ind w:right="2127"/>
        <w:jc w:val="left"/>
        <w:rPr>
          <w:b w:val="0"/>
          <w:bCs w:val="0"/>
        </w:rPr>
      </w:pPr>
      <w:bookmarkStart w:name="3、销售退回" w:id="469"/>
      <w:bookmarkEnd w:id="469"/>
      <w:r>
        <w:rPr>
          <w:b w:val="0"/>
          <w:bCs w:val="0"/>
        </w:rPr>
      </w:r>
      <w:r>
        <w:rPr/>
        <w:t>3、销售退回</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4、其他资产负债表日后事项说明" w:id="470"/>
      <w:bookmarkEnd w:id="470"/>
      <w:r>
        <w:rPr>
          <w:b w:val="0"/>
          <w:bCs w:val="0"/>
        </w:rPr>
      </w:r>
      <w:r>
        <w:rPr/>
        <w:t>4、其他资产负债表日后事项说明</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BodyText"/>
        <w:spacing w:line="273" w:lineRule="auto" w:before="0"/>
        <w:ind w:right="0" w:firstLine="420"/>
        <w:jc w:val="left"/>
      </w:pPr>
      <w:r>
        <w:rPr>
          <w:w w:val="95"/>
        </w:rPr>
        <w:t>除存在上述资产负债表日后事项外，截至财务报告批准报出日止，本公司无其他应披露未披露的重大</w:t>
      </w:r>
      <w:r>
        <w:rPr>
          <w:w w:val="99"/>
        </w:rPr>
        <w:t> </w:t>
      </w:r>
      <w:r>
        <w:rPr/>
        <w:t>资产负债表日后事项。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2127"/>
        <w:jc w:val="left"/>
        <w:rPr>
          <w:b w:val="0"/>
          <w:bCs w:val="0"/>
        </w:rPr>
      </w:pPr>
      <w:bookmarkStart w:name="十六、其他重要事项" w:id="471"/>
      <w:bookmarkEnd w:id="471"/>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前期会计差错更正" w:id="472"/>
      <w:bookmarkEnd w:id="472"/>
      <w:r>
        <w:rPr>
          <w:b w:val="0"/>
          <w:bCs w:val="0"/>
        </w:rPr>
      </w:r>
      <w:r>
        <w:rPr/>
        <w:t>1、前期会计差错更正</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追溯重述法" w:id="473"/>
      <w:bookmarkEnd w:id="473"/>
      <w:r>
        <w:rPr>
          <w:b w:val="0"/>
          <w:bCs w:val="0"/>
        </w:rPr>
      </w:r>
      <w:r>
        <w:rPr/>
        <w:t>（1）追溯重述法</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2）未来适用法" w:id="474"/>
      <w:bookmarkEnd w:id="474"/>
      <w:r>
        <w:rPr>
          <w:b w:val="0"/>
          <w:bCs w:val="0"/>
        </w:rPr>
      </w:r>
      <w:r>
        <w:rPr/>
        <w:t>（2）未来适用法</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b/>
          <w:bCs/>
          <w:sz w:val="24"/>
          <w:szCs w:val="24"/>
        </w:rPr>
      </w:pPr>
    </w:p>
    <w:p>
      <w:pPr>
        <w:pStyle w:val="Heading6"/>
        <w:spacing w:line="240" w:lineRule="auto" w:before="34"/>
        <w:ind w:right="2127"/>
        <w:jc w:val="left"/>
        <w:rPr>
          <w:b w:val="0"/>
          <w:bCs w:val="0"/>
        </w:rPr>
      </w:pPr>
      <w:bookmarkStart w:name="2、债务重组" w:id="475"/>
      <w:bookmarkEnd w:id="475"/>
      <w:r>
        <w:rPr>
          <w:b w:val="0"/>
          <w:bCs w:val="0"/>
        </w:rPr>
      </w:r>
      <w:r>
        <w:rPr/>
        <w:t>2、债务重组</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2127"/>
        <w:jc w:val="left"/>
        <w:rPr>
          <w:b w:val="0"/>
          <w:bCs w:val="0"/>
        </w:rPr>
      </w:pPr>
      <w:bookmarkStart w:name="3、资产置换" w:id="476"/>
      <w:bookmarkEnd w:id="476"/>
      <w:r>
        <w:rPr>
          <w:b w:val="0"/>
          <w:bCs w:val="0"/>
        </w:rPr>
      </w:r>
      <w:r>
        <w:rPr/>
        <w:t>3、资产置换</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非货币性资产交换" w:id="477"/>
      <w:bookmarkEnd w:id="477"/>
      <w:r>
        <w:rPr>
          <w:b w:val="0"/>
          <w:bCs w:val="0"/>
        </w:rPr>
      </w:r>
      <w:r>
        <w:rPr/>
        <w:t>（1）非货币性资产交换</w:t>
      </w:r>
      <w:r>
        <w:rPr>
          <w:b w:val="0"/>
          <w:bCs w:val="0"/>
        </w:rPr>
      </w:r>
    </w:p>
    <w:p>
      <w:pPr>
        <w:spacing w:line="240" w:lineRule="auto" w:before="10"/>
        <w:rPr>
          <w:rFonts w:ascii="宋体" w:hAnsi="宋体" w:cs="宋体" w:eastAsia="宋体" w:hint="default"/>
          <w:b/>
          <w:bCs/>
          <w:sz w:val="25"/>
          <w:szCs w:val="25"/>
        </w:rPr>
      </w:pPr>
    </w:p>
    <w:p>
      <w:pPr>
        <w:pStyle w:val="Heading6"/>
        <w:spacing w:line="537" w:lineRule="auto"/>
        <w:ind w:right="8961"/>
        <w:jc w:val="left"/>
        <w:rPr>
          <w:b w:val="0"/>
          <w:bCs w:val="0"/>
        </w:rPr>
      </w:pPr>
      <w:bookmarkStart w:name="（2）其他资产置换" w:id="478"/>
      <w:bookmarkEnd w:id="478"/>
      <w:r>
        <w:rPr>
          <w:b w:val="0"/>
          <w:bCs w:val="0"/>
        </w:rPr>
      </w:r>
      <w:r>
        <w:rPr/>
        <w:t>（2）其他资产置换</w:t>
      </w:r>
      <w:r>
        <w:rPr>
          <w:w w:val="99"/>
        </w:rPr>
        <w:t> </w:t>
      </w:r>
      <w:bookmarkStart w:name="4、年金计划" w:id="479"/>
      <w:bookmarkEnd w:id="479"/>
      <w:r>
        <w:rPr/>
        <w:t>4</w:t>
      </w:r>
      <w:r>
        <w:rPr/>
        <w:t>、年金计划</w:t>
      </w:r>
      <w:r>
        <w:rPr>
          <w:b w:val="0"/>
          <w:bCs w:val="0"/>
        </w:rPr>
      </w:r>
    </w:p>
    <w:p>
      <w:pPr>
        <w:pStyle w:val="Heading6"/>
        <w:spacing w:line="240" w:lineRule="auto" w:before="79"/>
        <w:ind w:right="2127"/>
        <w:jc w:val="left"/>
        <w:rPr>
          <w:b w:val="0"/>
          <w:bCs w:val="0"/>
        </w:rPr>
      </w:pPr>
      <w:bookmarkStart w:name="5、终止经营" w:id="480"/>
      <w:bookmarkEnd w:id="480"/>
      <w:r>
        <w:rPr>
          <w:b w:val="0"/>
          <w:bCs w:val="0"/>
        </w:rPr>
      </w:r>
      <w:r>
        <w:rPr/>
        <w:t>5、终止经营</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6、分部信息" w:id="481"/>
      <w:bookmarkEnd w:id="481"/>
      <w:r>
        <w:rPr>
          <w:b w:val="0"/>
          <w:bCs w:val="0"/>
        </w:rPr>
      </w:r>
      <w:r>
        <w:rPr/>
        <w:t>6、分部信息</w:t>
      </w:r>
      <w:r>
        <w:rPr>
          <w:b w:val="0"/>
          <w:bCs w:val="0"/>
        </w:rPr>
      </w:r>
    </w:p>
    <w:p>
      <w:pPr>
        <w:spacing w:line="610" w:lineRule="atLeast" w:before="4"/>
        <w:ind w:left="532" w:right="0" w:hanging="420"/>
        <w:jc w:val="left"/>
        <w:rPr>
          <w:rFonts w:ascii="宋体" w:hAnsi="宋体" w:cs="宋体" w:eastAsia="宋体" w:hint="default"/>
          <w:sz w:val="21"/>
          <w:szCs w:val="21"/>
        </w:rPr>
      </w:pPr>
      <w:bookmarkStart w:name="（1）报告分部的确定依据与会计政策" w:id="482"/>
      <w:bookmarkEnd w:id="482"/>
      <w:r>
        <w:rPr/>
      </w:r>
      <w:r>
        <w:rPr>
          <w:rFonts w:ascii="宋体" w:hAnsi="宋体" w:cs="宋体" w:eastAsia="宋体" w:hint="default"/>
          <w:b/>
          <w:bCs/>
          <w:sz w:val="21"/>
          <w:szCs w:val="21"/>
        </w:rPr>
        <w:t>（1）报告分部的确定依据与会计政策</w:t>
      </w:r>
      <w:r>
        <w:rPr>
          <w:rFonts w:ascii="宋体" w:hAnsi="宋体" w:cs="宋体" w:eastAsia="宋体" w:hint="default"/>
          <w:b/>
          <w:bCs/>
          <w:w w:val="99"/>
          <w:sz w:val="21"/>
          <w:szCs w:val="21"/>
        </w:rPr>
        <w:t> </w:t>
      </w:r>
      <w:r>
        <w:rPr>
          <w:rFonts w:ascii="宋体" w:hAnsi="宋体" w:cs="宋体" w:eastAsia="宋体" w:hint="default"/>
          <w:w w:val="95"/>
          <w:sz w:val="21"/>
          <w:szCs w:val="21"/>
        </w:rPr>
        <w:t>本公司以内部组织结构、管理要求、内部报告制度为依据确定经营分部。本公司的经营分部是指同时</w:t>
      </w:r>
      <w:r>
        <w:rPr>
          <w:rFonts w:ascii="宋体" w:hAnsi="宋体" w:cs="宋体" w:eastAsia="宋体" w:hint="default"/>
          <w:sz w:val="21"/>
          <w:szCs w:val="21"/>
        </w:rPr>
      </w:r>
    </w:p>
    <w:p>
      <w:pPr>
        <w:pStyle w:val="BodyText"/>
        <w:spacing w:line="273" w:lineRule="auto" w:before="37"/>
        <w:ind w:left="532" w:right="5294" w:hanging="420"/>
        <w:jc w:val="left"/>
      </w:pPr>
      <w:r>
        <w:rPr/>
        <w:t>满足下列条件的组成部分：</w:t>
      </w:r>
      <w:r>
        <w:rPr>
          <w:w w:val="99"/>
        </w:rPr>
        <w:t> </w:t>
      </w:r>
      <w:r>
        <w:rPr/>
        <w:t>1.该组成部分能够在日常活动中产生收入、发生费用；</w:t>
      </w:r>
    </w:p>
    <w:p>
      <w:pPr>
        <w:pStyle w:val="BodyText"/>
        <w:spacing w:line="240" w:lineRule="auto"/>
        <w:ind w:left="532" w:right="2127"/>
        <w:jc w:val="left"/>
      </w:pPr>
      <w:r>
        <w:rPr/>
        <w:t>2.管理层能够定期评价该组成部分的经营成果，以决定向其配置资源、评价其业绩；</w:t>
      </w:r>
    </w:p>
    <w:p>
      <w:pPr>
        <w:pStyle w:val="BodyText"/>
        <w:spacing w:line="273" w:lineRule="auto" w:before="37"/>
        <w:ind w:left="532" w:right="2127"/>
        <w:jc w:val="left"/>
      </w:pPr>
      <w:r>
        <w:rPr/>
        <w:t>3.能够取得该组成部分的财务状况、经营成果和现金流量等有关会计信息。</w:t>
      </w:r>
      <w:r>
        <w:rPr>
          <w:w w:val="99"/>
        </w:rPr>
        <w:t> </w:t>
      </w:r>
      <w:r>
        <w:rPr>
          <w:w w:val="95"/>
        </w:rPr>
        <w:t>本公司以经营分部为基础确定报告分部，满足下列条件之一的经营分部确定为报告分部：</w:t>
      </w:r>
      <w:r>
        <w:rPr>
          <w:spacing w:val="90"/>
          <w:w w:val="95"/>
        </w:rPr>
        <w:t> </w:t>
      </w:r>
      <w:r>
        <w:rPr>
          <w:spacing w:val="90"/>
          <w:w w:val="95"/>
        </w:rPr>
      </w:r>
      <w:r>
        <w:rPr/>
        <w:t>1.该经营分部的分部收入占所有分部收入合计的10%或者以上；</w:t>
      </w:r>
    </w:p>
    <w:p>
      <w:pPr>
        <w:pStyle w:val="BodyText"/>
        <w:spacing w:line="273" w:lineRule="auto"/>
        <w:ind w:right="0" w:firstLine="420"/>
        <w:jc w:val="left"/>
      </w:pPr>
      <w:r>
        <w:rPr>
          <w:w w:val="95"/>
        </w:rPr>
        <w:t>2.该分部的分部利润（亏损）的绝对额，占所有盈利分部利润合计额或者所有亏损分部亏损合计额的</w:t>
      </w:r>
      <w:r>
        <w:rPr>
          <w:w w:val="99"/>
        </w:rPr>
        <w:t> </w:t>
      </w:r>
      <w:r>
        <w:rPr/>
        <w:t>绝对额两者中较大者的10%或者以上。</w:t>
      </w:r>
    </w:p>
    <w:p>
      <w:pPr>
        <w:pStyle w:val="BodyText"/>
        <w:spacing w:line="273" w:lineRule="auto"/>
        <w:ind w:right="1125" w:firstLine="420"/>
        <w:jc w:val="left"/>
      </w:pPr>
      <w:r>
        <w:rPr/>
        <w:t>按上述会计政策确定的报告分部的经营分部的对外交易收入合计额占合并总收入的比重未达到75%</w:t>
      </w:r>
      <w:r>
        <w:rPr>
          <w:w w:val="99"/>
        </w:rPr>
        <w:t> </w:t>
      </w:r>
      <w:r>
        <w:rPr>
          <w:w w:val="95"/>
        </w:rPr>
        <w:t>时，增加报告分部的数量，按下述规定将其他未作为报告分部的经营分部纳入报告分部的范围，直到该比</w:t>
      </w:r>
      <w:r>
        <w:rPr>
          <w:spacing w:val="37"/>
          <w:w w:val="95"/>
        </w:rPr>
        <w:t> </w:t>
      </w:r>
      <w:r>
        <w:rPr>
          <w:spacing w:val="37"/>
          <w:w w:val="95"/>
        </w:rPr>
      </w:r>
      <w:r>
        <w:rPr/>
        <w:t>重达到75%：</w:t>
      </w:r>
    </w:p>
    <w:p>
      <w:pPr>
        <w:pStyle w:val="BodyText"/>
        <w:spacing w:line="240" w:lineRule="auto"/>
        <w:ind w:left="532" w:right="0"/>
        <w:jc w:val="left"/>
      </w:pPr>
      <w:r>
        <w:rPr/>
        <w:t>1.将管理层认为披露该经营分部信息对会计信息使用者有用的经营分部确定为报告分部；</w:t>
      </w:r>
    </w:p>
    <w:p>
      <w:pPr>
        <w:pStyle w:val="BodyText"/>
        <w:spacing w:line="273" w:lineRule="auto" w:before="37"/>
        <w:ind w:right="0" w:firstLine="420"/>
        <w:jc w:val="left"/>
      </w:pPr>
      <w:r>
        <w:rPr>
          <w:w w:val="95"/>
        </w:rPr>
        <w:t>2.将该经营分部与一个或一个以上的具有相似经济特征、满足经营分部合并条件的其他经营分部合</w:t>
      </w:r>
      <w:r>
        <w:rPr>
          <w:spacing w:val="-91"/>
          <w:w w:val="95"/>
        </w:rPr>
        <w:t> </w:t>
      </w:r>
      <w:r>
        <w:rPr>
          <w:spacing w:val="-91"/>
          <w:w w:val="95"/>
        </w:rPr>
      </w:r>
      <w:r>
        <w:rPr/>
        <w:t>并，作为一个报告分部。</w:t>
      </w:r>
    </w:p>
    <w:p>
      <w:pPr>
        <w:pStyle w:val="BodyText"/>
        <w:spacing w:line="273" w:lineRule="auto"/>
        <w:ind w:right="1125" w:firstLine="420"/>
        <w:jc w:val="left"/>
      </w:pPr>
      <w:r>
        <w:rPr>
          <w:w w:val="95"/>
        </w:rPr>
        <w:t>分部间转移价格参照市场价格确定，与各分部共同使用的资产、相关的费用按照收入比例在不同的分</w:t>
      </w:r>
      <w:r>
        <w:rPr>
          <w:w w:val="99"/>
        </w:rPr>
        <w:t> </w:t>
      </w:r>
      <w:r>
        <w:rPr/>
        <w:t>部之间分配。</w:t>
      </w:r>
    </w:p>
    <w:p>
      <w:pPr>
        <w:spacing w:line="240" w:lineRule="auto" w:before="7"/>
        <w:rPr>
          <w:rFonts w:ascii="宋体" w:hAnsi="宋体" w:cs="宋体" w:eastAsia="宋体" w:hint="default"/>
          <w:sz w:val="23"/>
          <w:szCs w:val="23"/>
        </w:rPr>
      </w:pPr>
    </w:p>
    <w:p>
      <w:pPr>
        <w:pStyle w:val="Heading6"/>
        <w:spacing w:line="240" w:lineRule="auto"/>
        <w:ind w:right="2127"/>
        <w:jc w:val="left"/>
        <w:rPr>
          <w:b w:val="0"/>
          <w:bCs w:val="0"/>
        </w:rPr>
      </w:pPr>
      <w:bookmarkStart w:name="（2）报告分部的财务信息" w:id="483"/>
      <w:bookmarkEnd w:id="483"/>
      <w:r>
        <w:rPr>
          <w:b w:val="0"/>
          <w:bCs w:val="0"/>
        </w:rPr>
      </w:r>
      <w:r>
        <w:rPr/>
        <w:t>（2）报告分部的财务信息</w:t>
      </w:r>
      <w:r>
        <w:rPr>
          <w:b w:val="0"/>
          <w:bCs w:val="0"/>
        </w:rPr>
      </w:r>
    </w:p>
    <w:p>
      <w:pPr>
        <w:spacing w:line="240" w:lineRule="auto" w:before="9"/>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技术工程施工分部</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1,106,297,927.00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143,491,958.30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-419,645.67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1,249,370,240.00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169,775,500.80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35,359,670.07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-193,001.55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204,942,169.30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其中：销售费用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37,056,258.19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4,838,760.00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41,895,018.19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94,861,607.64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21,115,541.17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-193,001.55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115,784,147.30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40,420,599.03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8,779,475.87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49,200,074.90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-2,562,964.05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625,893.03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-1,937,071.02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125,626,474.40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251,170.24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125,877,644.60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18,298,112.70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4,259,982.37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22,558,095.07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五、净利润（亏损）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107,328,361.70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-4,008,812.13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103,319,549.50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2,550,898,171.00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302,914,657.00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-16,788,992.43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2,837,023,836.00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657,175,201.50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96,628,826.97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-13,203,140.58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740,600,887.90</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3）公司无报告分部的，或者不能披露各报告分部的资产总额和负债总额的，应说明原因" w:id="484"/>
      <w:bookmarkEnd w:id="484"/>
      <w:r>
        <w:rPr>
          <w:b w:val="0"/>
          <w:bCs w:val="0"/>
        </w:rPr>
      </w:r>
      <w:r>
        <w:rPr/>
        <w:t>（3）公司无报告分部的，或者不能披露各报告分部的资产总额和负债总额的，应说明原因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5"/>
          <w:szCs w:val="25"/>
        </w:rPr>
      </w:pPr>
    </w:p>
    <w:p>
      <w:pPr>
        <w:pStyle w:val="Heading6"/>
        <w:spacing w:line="537" w:lineRule="auto"/>
        <w:ind w:right="6431"/>
        <w:jc w:val="left"/>
        <w:rPr>
          <w:b w:val="0"/>
          <w:bCs w:val="0"/>
        </w:rPr>
      </w:pPr>
      <w:bookmarkStart w:name="（4）其他说明" w:id="485"/>
      <w:bookmarkEnd w:id="485"/>
      <w:r>
        <w:rPr>
          <w:b w:val="0"/>
          <w:bCs w:val="0"/>
        </w:rPr>
      </w:r>
      <w:r>
        <w:rPr/>
        <w:t>（4）其他说明</w:t>
      </w:r>
      <w:r>
        <w:rPr>
          <w:w w:val="99"/>
        </w:rPr>
        <w:t> </w:t>
      </w:r>
      <w:bookmarkStart w:name="7、其他对投资者决策有影响的重要交易和事项" w:id="486"/>
      <w:bookmarkEnd w:id="486"/>
      <w:r>
        <w:rPr/>
        <w:t>7</w:t>
      </w:r>
      <w:r>
        <w:rPr/>
        <w:t>、其他对投资者决策有影响的重要交易和事项</w:t>
      </w:r>
      <w:r>
        <w:rPr>
          <w:b w:val="0"/>
          <w:bCs w:val="0"/>
        </w:rPr>
      </w:r>
    </w:p>
    <w:p>
      <w:pPr>
        <w:spacing w:line="501" w:lineRule="auto" w:before="76"/>
        <w:ind w:left="112" w:right="6899" w:firstLine="0"/>
        <w:jc w:val="left"/>
        <w:rPr>
          <w:rFonts w:ascii="宋体" w:hAnsi="宋体" w:cs="宋体" w:eastAsia="宋体" w:hint="default"/>
          <w:sz w:val="21"/>
          <w:szCs w:val="21"/>
        </w:rPr>
      </w:pPr>
      <w:bookmarkStart w:name="8、其他" w:id="487"/>
      <w:bookmarkEnd w:id="487"/>
      <w:r>
        <w:rPr/>
      </w:r>
      <w:r>
        <w:rPr>
          <w:rFonts w:ascii="宋体" w:hAnsi="宋体" w:cs="宋体" w:eastAsia="宋体" w:hint="default"/>
          <w:b/>
          <w:bCs/>
          <w:sz w:val="21"/>
          <w:szCs w:val="21"/>
        </w:rPr>
        <w:t>8、其他</w:t>
      </w:r>
      <w:r>
        <w:rPr>
          <w:rFonts w:ascii="宋体" w:hAnsi="宋体" w:cs="宋体" w:eastAsia="宋体" w:hint="default"/>
          <w:b/>
          <w:bCs/>
          <w:w w:val="99"/>
          <w:sz w:val="21"/>
          <w:szCs w:val="21"/>
        </w:rPr>
        <w:t> </w:t>
      </w:r>
      <w:bookmarkStart w:name="十七、母公司财务报表主要项目注释" w:id="488"/>
      <w:bookmarkEnd w:id="488"/>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票据及应收账款" w:id="489"/>
      <w:bookmarkEnd w:id="489"/>
      <w:r>
        <w:rPr>
          <w:rFonts w:ascii="宋体" w:hAnsi="宋体" w:cs="宋体" w:eastAsia="宋体" w:hint="default"/>
          <w:b/>
          <w:bCs/>
          <w:w w:val="99"/>
          <w:sz w:val="24"/>
          <w:szCs w:val="24"/>
        </w:rPr>
      </w:r>
      <w:r>
        <w:rPr>
          <w:rFonts w:ascii="宋体" w:hAnsi="宋体" w:cs="宋体" w:eastAsia="宋体" w:hint="default"/>
          <w:b/>
          <w:bCs/>
          <w:sz w:val="21"/>
          <w:szCs w:val="21"/>
        </w:rPr>
        <w:t>1、应收票据及应收账款</w:t>
      </w:r>
      <w:r>
        <w:rPr>
          <w:rFonts w:ascii="宋体" w:hAnsi="宋体" w:cs="宋体" w:eastAsia="宋体" w:hint="default"/>
          <w:sz w:val="21"/>
          <w:szCs w:val="21"/>
        </w:rPr>
      </w:r>
    </w:p>
    <w:p>
      <w:pPr>
        <w:spacing w:before="13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200,821.00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175,991,431.30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172,502,393.31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176,391,431.30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172,703,214.31</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1）应收票据" w:id="490"/>
      <w:bookmarkEnd w:id="490"/>
      <w:r>
        <w:rPr>
          <w:b w:val="0"/>
          <w:bCs w:val="0"/>
        </w:rPr>
      </w:r>
      <w:r>
        <w:rPr/>
        <w:t>（1）应收票据</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1)应收票据分类列示</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200,821.00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200,821.00</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2)期末公司已质押的应收票据</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8"/>
          <w:pgSz w:w="11910" w:h="16840"/>
          <w:pgMar w:footer="978" w:header="746" w:top="1060" w:bottom="1160" w:left="1020" w:right="0"/>
          <w:pgNumType w:start="200"/>
        </w:sectPr>
      </w:pPr>
    </w:p>
    <w:p>
      <w:pPr>
        <w:spacing w:line="240" w:lineRule="auto" w:before="1"/>
        <w:rPr>
          <w:rFonts w:ascii="宋体" w:hAnsi="宋体" w:cs="宋体" w:eastAsia="宋体" w:hint="default"/>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3)期末公司已背书或贴现且在资产负债表日尚未到期的应收票据</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240" w:lineRule="auto" w:before="34"/>
        <w:ind w:right="2127"/>
        <w:jc w:val="left"/>
        <w:rPr>
          <w:b w:val="0"/>
          <w:bCs w:val="0"/>
        </w:rPr>
      </w:pPr>
      <w:bookmarkStart w:name="4)期末公司因出票人未履约而将其转应收账款的票据" w:id="491"/>
      <w:bookmarkEnd w:id="491"/>
      <w:r>
        <w:rPr>
          <w:b w:val="0"/>
          <w:bCs w:val="0"/>
        </w:rPr>
      </w:r>
      <w:r>
        <w:rPr/>
        <w:t>4)期末公司因出票人未履约而将其转应收账款的票据</w:t>
      </w:r>
      <w:r>
        <w:rPr>
          <w:b w:val="0"/>
          <w:bCs w:val="0"/>
        </w:rPr>
      </w:r>
    </w:p>
    <w:p>
      <w:pPr>
        <w:spacing w:line="240" w:lineRule="auto" w:before="2"/>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应收账款" w:id="492"/>
      <w:bookmarkEnd w:id="492"/>
      <w:r>
        <w:rPr>
          <w:b w:val="0"/>
          <w:bCs w:val="0"/>
        </w:rPr>
      </w:r>
      <w:r>
        <w:rPr/>
        <w:t>（2）应收账款</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1)应收账款分类披露</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2.02%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74.00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3,999,</w:t>
            </w:r>
          </w:p>
          <w:p>
            <w:pPr>
              <w:pStyle w:val="TableParagraph"/>
              <w:spacing w:line="240" w:lineRule="auto" w:before="76"/>
              <w:ind w:left="81" w:right="0"/>
              <w:jc w:val="left"/>
              <w:rPr>
                <w:rFonts w:ascii="宋体" w:hAnsi="宋体" w:cs="宋体" w:eastAsia="宋体" w:hint="default"/>
                <w:sz w:val="18"/>
                <w:szCs w:val="18"/>
              </w:rPr>
            </w:pPr>
            <w:r>
              <w:rPr>
                <w:rFonts w:ascii="宋体"/>
                <w:sz w:val="18"/>
              </w:rPr>
              <w:t>174.00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2.11%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3,999,17</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193,512</w:t>
            </w:r>
          </w:p>
          <w:p>
            <w:pPr>
              <w:pStyle w:val="TableParagraph"/>
              <w:spacing w:line="240" w:lineRule="auto" w:before="76"/>
              <w:ind w:left="99" w:right="0"/>
              <w:jc w:val="left"/>
              <w:rPr>
                <w:rFonts w:ascii="宋体" w:hAnsi="宋体" w:cs="宋体" w:eastAsia="宋体" w:hint="default"/>
                <w:sz w:val="18"/>
                <w:szCs w:val="18"/>
              </w:rPr>
            </w:pPr>
            <w:r>
              <w:rPr>
                <w:rFonts w:ascii="宋体"/>
                <w:sz w:val="18"/>
              </w:rPr>
              <w:t>,821.07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97.98%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17,521,</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389.77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9.05%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175,991,</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431.30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185,86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4,722.</w:t>
            </w:r>
          </w:p>
          <w:p>
            <w:pPr>
              <w:pStyle w:val="TableParagraph"/>
              <w:spacing w:line="240" w:lineRule="auto" w:before="76"/>
              <w:ind w:right="19"/>
              <w:jc w:val="right"/>
              <w:rPr>
                <w:rFonts w:ascii="宋体" w:hAnsi="宋体" w:cs="宋体" w:eastAsia="宋体" w:hint="default"/>
                <w:sz w:val="18"/>
                <w:szCs w:val="18"/>
              </w:rPr>
            </w:pPr>
            <w:r>
              <w:rPr>
                <w:rFonts w:ascii="宋体"/>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97.89%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13,362,3</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29.24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7.19%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172,502,3</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93.31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197,511</w:t>
            </w:r>
          </w:p>
          <w:p>
            <w:pPr>
              <w:pStyle w:val="TableParagraph"/>
              <w:spacing w:line="240" w:lineRule="auto" w:before="76"/>
              <w:ind w:left="99" w:right="0"/>
              <w:jc w:val="left"/>
              <w:rPr>
                <w:rFonts w:ascii="宋体" w:hAnsi="宋体" w:cs="宋体" w:eastAsia="宋体" w:hint="default"/>
                <w:sz w:val="18"/>
                <w:szCs w:val="18"/>
              </w:rPr>
            </w:pPr>
            <w:r>
              <w:rPr>
                <w:rFonts w:ascii="宋体"/>
                <w:sz w:val="18"/>
              </w:rPr>
              <w:t>,995.07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21,520,</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563.77</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175,991,</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431.30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189,86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3,896.</w:t>
            </w:r>
          </w:p>
          <w:p>
            <w:pPr>
              <w:pStyle w:val="TableParagraph"/>
              <w:spacing w:line="240" w:lineRule="auto" w:before="76"/>
              <w:ind w:right="19"/>
              <w:jc w:val="right"/>
              <w:rPr>
                <w:rFonts w:ascii="宋体" w:hAnsi="宋体" w:cs="宋体" w:eastAsia="宋体" w:hint="default"/>
                <w:sz w:val="18"/>
                <w:szCs w:val="18"/>
              </w:rPr>
            </w:pPr>
            <w:r>
              <w:rPr>
                <w:rFonts w:ascii="宋体"/>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17,361,5</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03.24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172,502,3</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93.31</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253" w:space="457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北京星纪开元科技发展 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50" w:right="0"/>
              <w:jc w:val="left"/>
              <w:rPr>
                <w:rFonts w:ascii="宋体" w:hAnsi="宋体" w:cs="宋体" w:eastAsia="宋体" w:hint="default"/>
                <w:sz w:val="18"/>
                <w:szCs w:val="18"/>
              </w:rPr>
            </w:pPr>
            <w:r>
              <w:rPr>
                <w:rFonts w:ascii="宋体"/>
                <w:sz w:val="18"/>
              </w:rPr>
              <w:t>100.00%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073" w:space="475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80,823,639.38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34,892,785.21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1,744,639.26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115,716,424.59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1,744,639.26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39,145,863.71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3,914,586.37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21,156,296.29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4,231,259.26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17,494,236.48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7,630,904.88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10,773,483.55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3,232,045.07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3,869,821.87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1,547,928.75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2,850,931.06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2,850,931.06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193,512,821.07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17,521,389.77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360" w:lineRule="auto" w:before="51"/>
        <w:ind w:left="112" w:right="214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5"/>
        <w:ind w:left="112" w:right="250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 2)本期计提、收回或转回的坏账准备情况</w:t>
      </w:r>
    </w:p>
    <w:p>
      <w:pPr>
        <w:spacing w:line="360" w:lineRule="auto" w:before="25"/>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4,159,060.53</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6593" w:space="223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3)本期实际核销的应收账款情况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60" w:lineRule="auto" w:before="51"/>
        <w:ind w:left="112" w:right="6794" w:firstLine="0"/>
        <w:jc w:val="left"/>
        <w:rPr>
          <w:rFonts w:ascii="宋体" w:hAnsi="宋体" w:cs="宋体" w:eastAsia="宋体" w:hint="default"/>
          <w:sz w:val="18"/>
          <w:szCs w:val="18"/>
        </w:rPr>
      </w:pPr>
      <w:r>
        <w:rPr>
          <w:rFonts w:ascii="宋体" w:hAnsi="宋体" w:cs="宋体" w:eastAsia="宋体" w:hint="default"/>
          <w:sz w:val="18"/>
          <w:szCs w:val="18"/>
        </w:rPr>
        <w:t>应收账款核销说明： 4)按欠款方归集的期末余额前五名的应收账款情况</w:t>
      </w:r>
    </w:p>
    <w:tbl>
      <w:tblPr>
        <w:tblW w:w="0" w:type="auto"/>
        <w:jc w:val="left"/>
        <w:tblInd w:w="106" w:type="dxa"/>
        <w:tblLayout w:type="fixed"/>
        <w:tblCellMar>
          <w:top w:w="0" w:type="dxa"/>
          <w:left w:w="0" w:type="dxa"/>
          <w:bottom w:w="0" w:type="dxa"/>
          <w:right w:w="0" w:type="dxa"/>
        </w:tblCellMar>
        <w:tblLook w:val="01E0"/>
      </w:tblPr>
      <w:tblGrid>
        <w:gridCol w:w="3369"/>
        <w:gridCol w:w="1559"/>
        <w:gridCol w:w="1559"/>
        <w:gridCol w:w="1985"/>
      </w:tblGrid>
      <w:tr>
        <w:trPr>
          <w:trHeight w:val="66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40"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2"/>
              <w:ind w:left="276" w:right="51" w:hanging="226"/>
              <w:jc w:val="left"/>
              <w:rPr>
                <w:rFonts w:ascii="宋体" w:hAnsi="宋体" w:cs="宋体" w:eastAsia="宋体" w:hint="default"/>
                <w:sz w:val="18"/>
                <w:szCs w:val="18"/>
              </w:rPr>
            </w:pPr>
            <w:r>
              <w:rPr>
                <w:rFonts w:ascii="宋体" w:hAnsi="宋体" w:cs="宋体" w:eastAsia="宋体" w:hint="default"/>
                <w:sz w:val="18"/>
                <w:szCs w:val="18"/>
              </w:rPr>
              <w:t>占应收账款期末余 额的比例(%)</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85" w:right="0"/>
              <w:jc w:val="left"/>
              <w:rPr>
                <w:rFonts w:ascii="宋体" w:hAnsi="宋体" w:cs="宋体" w:eastAsia="宋体" w:hint="default"/>
                <w:sz w:val="18"/>
                <w:szCs w:val="18"/>
              </w:rPr>
            </w:pPr>
            <w:r>
              <w:rPr>
                <w:rFonts w:ascii="宋体" w:hAnsi="宋体" w:cs="宋体" w:eastAsia="宋体" w:hint="default"/>
                <w:sz w:val="18"/>
                <w:szCs w:val="18"/>
              </w:rPr>
              <w:t>已计提坏账准备（元）</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369"/>
        <w:gridCol w:w="1559"/>
        <w:gridCol w:w="1559"/>
        <w:gridCol w:w="1985"/>
      </w:tblGrid>
      <w:tr>
        <w:trPr>
          <w:trHeight w:val="369"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right"/>
              <w:rPr>
                <w:rFonts w:ascii="宋体" w:hAnsi="宋体" w:cs="宋体" w:eastAsia="宋体" w:hint="default"/>
                <w:sz w:val="18"/>
                <w:szCs w:val="18"/>
              </w:rPr>
            </w:pPr>
            <w:r>
              <w:rPr>
                <w:rFonts w:ascii="宋体"/>
                <w:spacing w:val="-1"/>
                <w:sz w:val="18"/>
              </w:rPr>
              <w:t>19,133,988.51</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590" w:right="0"/>
              <w:jc w:val="left"/>
              <w:rPr>
                <w:rFonts w:ascii="宋体" w:hAnsi="宋体" w:cs="宋体" w:eastAsia="宋体" w:hint="default"/>
                <w:sz w:val="18"/>
                <w:szCs w:val="18"/>
              </w:rPr>
            </w:pPr>
            <w:r>
              <w:rPr>
                <w:rFonts w:ascii="宋体"/>
                <w:sz w:val="18"/>
              </w:rPr>
              <w:t>9.69</w:t>
            </w:r>
          </w:p>
        </w:tc>
        <w:tc>
          <w:tcPr>
            <w:tcW w:w="1985" w:type="dxa"/>
            <w:tcBorders>
              <w:top w:val="single" w:sz="6" w:space="0" w:color="000000"/>
              <w:left w:val="single" w:sz="6" w:space="0" w:color="000000"/>
              <w:bottom w:val="single" w:sz="12" w:space="0" w:color="000000"/>
              <w:right w:val="nil" w:sz="6" w:space="0" w:color="auto"/>
            </w:tcBorders>
          </w:tcPr>
          <w:p>
            <w:pP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10,792,228.86</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90" w:right="0"/>
              <w:jc w:val="left"/>
              <w:rPr>
                <w:rFonts w:ascii="宋体" w:hAnsi="宋体" w:cs="宋体" w:eastAsia="宋体" w:hint="default"/>
                <w:sz w:val="18"/>
                <w:szCs w:val="18"/>
              </w:rPr>
            </w:pPr>
            <w:r>
              <w:rPr>
                <w:rFonts w:ascii="宋体"/>
                <w:sz w:val="18"/>
              </w:rPr>
              <w:t>5.46</w:t>
            </w: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9,786,791.45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90" w:right="0"/>
              <w:jc w:val="left"/>
              <w:rPr>
                <w:rFonts w:ascii="宋体" w:hAnsi="宋体" w:cs="宋体" w:eastAsia="宋体" w:hint="default"/>
                <w:sz w:val="18"/>
                <w:szCs w:val="18"/>
              </w:rPr>
            </w:pPr>
            <w:r>
              <w:rPr>
                <w:rFonts w:ascii="宋体"/>
                <w:sz w:val="18"/>
              </w:rPr>
              <w:t>4.96</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978,679.15</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9,336,274.64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90" w:right="0"/>
              <w:jc w:val="left"/>
              <w:rPr>
                <w:rFonts w:ascii="宋体" w:hAnsi="宋体" w:cs="宋体" w:eastAsia="宋体" w:hint="default"/>
                <w:sz w:val="18"/>
                <w:szCs w:val="18"/>
              </w:rPr>
            </w:pPr>
            <w:r>
              <w:rPr>
                <w:rFonts w:ascii="宋体"/>
                <w:sz w:val="18"/>
              </w:rPr>
              <w:t>4.73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835,151.89</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7,789,105.96</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90" w:right="0"/>
              <w:jc w:val="left"/>
              <w:rPr>
                <w:rFonts w:ascii="宋体" w:hAnsi="宋体" w:cs="宋体" w:eastAsia="宋体" w:hint="default"/>
                <w:sz w:val="18"/>
                <w:szCs w:val="18"/>
              </w:rPr>
            </w:pPr>
            <w:r>
              <w:rPr>
                <w:rFonts w:ascii="宋体"/>
                <w:sz w:val="18"/>
              </w:rPr>
              <w:t>3.94</w:t>
            </w:r>
          </w:p>
        </w:tc>
        <w:tc>
          <w:tcPr>
            <w:tcW w:w="1985"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56,838,389.42</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672" w:right="0"/>
              <w:jc w:val="left"/>
              <w:rPr>
                <w:rFonts w:ascii="宋体" w:hAnsi="宋体" w:cs="宋体" w:eastAsia="宋体" w:hint="default"/>
                <w:sz w:val="18"/>
                <w:szCs w:val="18"/>
              </w:rPr>
            </w:pPr>
            <w:r>
              <w:rPr>
                <w:rFonts w:ascii="宋体"/>
                <w:sz w:val="18"/>
              </w:rPr>
              <w:t>28.78</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1,813,831.04</w:t>
            </w:r>
          </w:p>
        </w:tc>
      </w:tr>
    </w:tbl>
    <w:p>
      <w:pPr>
        <w:spacing w:line="240" w:lineRule="auto" w:before="6"/>
        <w:rPr>
          <w:rFonts w:ascii="宋体" w:hAnsi="宋体" w:cs="宋体" w:eastAsia="宋体" w:hint="default"/>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5)因金融资产转移而终止确认的应收账款</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6)转移应收账款且继续涉入形成的资产、负债金额 其他说明：</w:t>
      </w:r>
    </w:p>
    <w:p>
      <w:pPr>
        <w:spacing w:line="240" w:lineRule="auto" w:before="2"/>
        <w:rPr>
          <w:rFonts w:ascii="宋体" w:hAnsi="宋体" w:cs="宋体" w:eastAsia="宋体" w:hint="default"/>
          <w:sz w:val="20"/>
          <w:szCs w:val="20"/>
        </w:rPr>
      </w:pPr>
    </w:p>
    <w:p>
      <w:pPr>
        <w:pStyle w:val="Heading6"/>
        <w:spacing w:line="240" w:lineRule="auto"/>
        <w:ind w:right="2127"/>
        <w:jc w:val="left"/>
        <w:rPr>
          <w:b w:val="0"/>
          <w:bCs w:val="0"/>
        </w:rPr>
      </w:pPr>
      <w:bookmarkStart w:name="2、其他应收款" w:id="493"/>
      <w:bookmarkEnd w:id="493"/>
      <w:r>
        <w:rPr>
          <w:b w:val="0"/>
          <w:bCs w:val="0"/>
        </w:rPr>
      </w:r>
      <w:r>
        <w:rPr/>
        <w:t>2、其他应收款</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880,947.95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83,650,428.47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81,774,760.14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84,531,376.42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81,774,760.14</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1）应收利息" w:id="494"/>
      <w:bookmarkEnd w:id="494"/>
      <w:r>
        <w:rPr>
          <w:b w:val="0"/>
          <w:bCs w:val="0"/>
        </w:rPr>
      </w:r>
      <w:r>
        <w:rPr/>
        <w:t>（1）应收利息</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1)应收利息分类</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880,947.95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880,947.95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2)重要逾期利息</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应收股利" w:id="495"/>
      <w:bookmarkEnd w:id="495"/>
      <w:r>
        <w:rPr>
          <w:b w:val="0"/>
          <w:bCs w:val="0"/>
        </w:rPr>
      </w:r>
      <w:r>
        <w:rPr/>
        <w:t>（2）应收股利</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1)应收股利</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1"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2)重要的账龄超过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年的应收股利</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3）其他应收款" w:id="496"/>
      <w:bookmarkEnd w:id="496"/>
      <w:r>
        <w:rPr>
          <w:b w:val="0"/>
          <w:bCs w:val="0"/>
        </w:rPr>
      </w:r>
      <w:r>
        <w:rPr/>
        <w:t>（3）其他应收款</w:t>
      </w:r>
      <w:r>
        <w:rPr>
          <w:b w:val="0"/>
          <w:bCs w:val="0"/>
        </w:rPr>
      </w:r>
    </w:p>
    <w:p>
      <w:pPr>
        <w:spacing w:line="240" w:lineRule="auto" w:before="2"/>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1)其他应收款分类披露</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95,678,</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819.26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99.58%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12,028,</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390.79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12.57%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83,650,4</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28.47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91,051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,117.9</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99.17%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9,276,35</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7.76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10.19%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81,774,76</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0.14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400,000</w:t>
            </w:r>
          </w:p>
          <w:p>
            <w:pPr>
              <w:pStyle w:val="TableParagraph"/>
              <w:spacing w:line="240" w:lineRule="auto" w:before="76"/>
              <w:ind w:left="459"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0.42%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400,000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center"/>
              <w:rPr>
                <w:rFonts w:ascii="宋体" w:hAnsi="宋体" w:cs="宋体" w:eastAsia="宋体" w:hint="default"/>
                <w:sz w:val="18"/>
                <w:szCs w:val="18"/>
              </w:rPr>
            </w:pPr>
            <w:r>
              <w:rPr>
                <w:rFonts w:ascii="宋体"/>
                <w:sz w:val="18"/>
              </w:rPr>
              <w:t>762,88</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0.83%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762,880.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96,078,</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819.26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12,428,</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390.79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83,650,4</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28.47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91,813</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,997.9</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10,039,2</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37.76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81,774,76</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0.14</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before="52"/>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5"/>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433" w:space="43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36,390,388.08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8,029,651.88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401,482.59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44,420,039.96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401,482.59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29,409,595.56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2,940,959.56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8,255,270.09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1,651,054.02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13,593,913.65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7,034,894.62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5,691,818.05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1,707,545.42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4,291,244.00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1,716,497.60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3,610,851.60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3,610,851.60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91" w:right="0"/>
              <w:jc w:val="left"/>
              <w:rPr>
                <w:rFonts w:ascii="宋体" w:hAnsi="宋体" w:cs="宋体" w:eastAsia="宋体" w:hint="default"/>
                <w:sz w:val="18"/>
                <w:szCs w:val="18"/>
              </w:rPr>
            </w:pPr>
            <w:r>
              <w:rPr>
                <w:rFonts w:ascii="宋体"/>
                <w:sz w:val="18"/>
              </w:rPr>
              <w:t>95,678,819.26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86" w:right="0"/>
              <w:jc w:val="left"/>
              <w:rPr>
                <w:rFonts w:ascii="宋体" w:hAnsi="宋体" w:cs="宋体" w:eastAsia="宋体" w:hint="default"/>
                <w:sz w:val="18"/>
                <w:szCs w:val="18"/>
              </w:rPr>
            </w:pPr>
            <w:r>
              <w:rPr>
                <w:rFonts w:ascii="宋体"/>
                <w:sz w:val="18"/>
              </w:rPr>
              <w:t>12,028,390.79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360" w:lineRule="auto" w:before="51"/>
        <w:ind w:left="112" w:right="196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5"/>
        <w:ind w:left="112" w:right="23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line="357" w:lineRule="auto" w:before="27"/>
        <w:ind w:left="112" w:right="3220" w:firstLine="0"/>
        <w:jc w:val="left"/>
        <w:rPr>
          <w:rFonts w:ascii="宋体" w:hAnsi="宋体" w:cs="宋体" w:eastAsia="宋体" w:hint="default"/>
          <w:sz w:val="18"/>
          <w:szCs w:val="18"/>
        </w:rPr>
      </w:pPr>
      <w:r>
        <w:rPr>
          <w:rFonts w:ascii="宋体" w:hAnsi="宋体" w:cs="宋体" w:eastAsia="宋体" w:hint="default"/>
          <w:sz w:val="18"/>
          <w:szCs w:val="18"/>
        </w:rPr>
        <w:t>□ 适用 √ 不适用 2)本期计提、收回或转回的坏账准备情况</w:t>
      </w:r>
    </w:p>
    <w:p>
      <w:pPr>
        <w:spacing w:line="360" w:lineRule="auto" w:before="29"/>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2,389,153.03</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6593" w:space="223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3)本期实际核销的其他应收款情况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1020" w:right="0"/>
        </w:sectPr>
      </w:pPr>
    </w:p>
    <w:p>
      <w:pPr>
        <w:spacing w:line="357" w:lineRule="auto" w:before="52"/>
        <w:ind w:left="112"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 4)其他应收款按款项性质分类情况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813" w:space="60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76,737,115.55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85,292,613.18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3,408,666.21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2,327,102.94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15,933,037.50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794,281.78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96,078,819.26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91,813,997.90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5)按欠款方归集的期末余额前五名的其他应收款情况</w:t>
      </w:r>
    </w:p>
    <w:p>
      <w:pPr>
        <w:spacing w:before="117"/>
        <w:ind w:left="0" w:right="1132" w:firstLine="0"/>
        <w:jc w:val="right"/>
        <w:rPr>
          <w:rFonts w:ascii="宋体" w:hAnsi="宋体" w:cs="宋体" w:eastAsia="宋体" w:hint="default"/>
          <w:sz w:val="18"/>
          <w:szCs w:val="18"/>
        </w:rPr>
      </w:pPr>
      <w:r>
        <w:rPr/>
        <w:pict>
          <v:group style="position:absolute;margin-left:373.799988pt;margin-top:59.031727pt;width:80.5pt;height:66.650pt;mso-position-horizontal-relative:page;mso-position-vertical-relative:paragraph;z-index:-1106824" coordorigin="7476,1181" coordsize="1610,1333">
            <v:shape style="position:absolute;left:7476;top:1181;width:1610;height:1333" coordorigin="7476,1181" coordsize="1610,1333" path="m7476,1181l9086,1181,9086,2514,7476,2514,7476,1181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549"/>
        <w:gridCol w:w="106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57" w:hRule="exact"/>
        </w:trPr>
        <w:tc>
          <w:tcPr>
            <w:tcW w:w="168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51" w:type="dxa"/>
            <w:tcBorders>
              <w:top w:val="single" w:sz="4" w:space="0" w:color="000000"/>
              <w:left w:val="single" w:sz="4" w:space="0" w:color="000000"/>
              <w:bottom w:val="nil" w:sz="6" w:space="0" w:color="auto"/>
              <w:right w:val="single" w:sz="4" w:space="0" w:color="000000"/>
            </w:tcBorders>
            <w:shd w:val="clear" w:color="auto" w:fill="C6ECCC"/>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549" w:type="dxa"/>
            <w:tcBorders>
              <w:top w:val="single" w:sz="4" w:space="0" w:color="000000"/>
              <w:left w:val="single" w:sz="4" w:space="0" w:color="000000"/>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22,876,541.62</w:t>
            </w:r>
          </w:p>
        </w:tc>
        <w:tc>
          <w:tcPr>
            <w:tcW w:w="15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19,827,227.02</w:t>
            </w:r>
            <w:r>
              <w:rPr>
                <w:rFonts w:ascii="宋体" w:hAnsi="宋体" w:cs="宋体" w:eastAsia="宋体" w:hint="default"/>
                <w:spacing w:val="-52"/>
                <w:sz w:val="18"/>
                <w:szCs w:val="18"/>
              </w:rPr>
              <w:t> </w:t>
            </w:r>
            <w:r>
              <w:rPr>
                <w:rFonts w:ascii="宋体" w:hAnsi="宋体" w:cs="宋体" w:eastAsia="宋体" w:hint="default"/>
                <w:sz w:val="18"/>
                <w:szCs w:val="18"/>
              </w:rPr>
              <w:t>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54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7" w:right="0"/>
              <w:jc w:val="left"/>
              <w:rPr>
                <w:rFonts w:ascii="宋体" w:hAnsi="宋体" w:cs="宋体" w:eastAsia="宋体" w:hint="default"/>
                <w:sz w:val="18"/>
                <w:szCs w:val="18"/>
              </w:rPr>
            </w:pPr>
            <w:r>
              <w:rPr>
                <w:rFonts w:ascii="宋体"/>
                <w:sz w:val="18"/>
              </w:rPr>
              <w:t>23.81%</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2,897,517.08</w:t>
            </w:r>
          </w:p>
        </w:tc>
      </w:tr>
      <w:tr>
        <w:trPr>
          <w:trHeight w:val="357" w:hRule="exact"/>
        </w:trPr>
        <w:tc>
          <w:tcPr>
            <w:tcW w:w="168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51" w:type="dxa"/>
            <w:tcBorders>
              <w:top w:val="nil" w:sz="6" w:space="0" w:color="auto"/>
              <w:left w:val="single" w:sz="4" w:space="0" w:color="000000"/>
              <w:bottom w:val="single" w:sz="4" w:space="0" w:color="000000"/>
              <w:right w:val="single" w:sz="4" w:space="0" w:color="000000"/>
            </w:tcBorders>
            <w:shd w:val="clear" w:color="auto" w:fill="C6ECCC"/>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3,049,314.60</w:t>
            </w:r>
            <w:r>
              <w:rPr>
                <w:rFonts w:ascii="宋体" w:hAnsi="宋体" w:cs="宋体" w:eastAsia="宋体" w:hint="default"/>
                <w:spacing w:val="-52"/>
                <w:sz w:val="18"/>
                <w:szCs w:val="18"/>
              </w:rPr>
              <w:t> </w:t>
            </w:r>
            <w:r>
              <w:rPr>
                <w:rFonts w:ascii="宋体" w:hAnsi="宋体" w:cs="宋体" w:eastAsia="宋体" w:hint="default"/>
                <w:sz w:val="18"/>
                <w:szCs w:val="18"/>
              </w:rPr>
              <w:t>元</w:t>
            </w:r>
          </w:p>
        </w:tc>
        <w:tc>
          <w:tcPr>
            <w:tcW w:w="549" w:type="dxa"/>
            <w:tcBorders>
              <w:top w:val="nil" w:sz="6" w:space="0" w:color="auto"/>
              <w:left w:val="single" w:sz="4" w:space="0" w:color="000000"/>
              <w:bottom w:val="single" w:sz="4" w:space="0" w:color="000000"/>
              <w:right w:val="nil" w:sz="6" w:space="0" w:color="auto"/>
            </w:tcBorders>
          </w:tcPr>
          <w:p>
            <w:pPr/>
          </w:p>
        </w:tc>
        <w:tc>
          <w:tcPr>
            <w:tcW w:w="1066" w:type="dxa"/>
            <w:tcBorders>
              <w:top w:val="nil" w:sz="6" w:space="0" w:color="auto"/>
              <w:left w:val="nil" w:sz="6" w:space="0" w:color="auto"/>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r>
        <w:trPr>
          <w:trHeight w:val="67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3,553,816.00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1,019,831.00</w:t>
            </w:r>
            <w:r>
              <w:rPr>
                <w:rFonts w:ascii="宋体" w:hAnsi="宋体" w:cs="宋体" w:eastAsia="宋体" w:hint="default"/>
                <w:spacing w:val="-52"/>
                <w:sz w:val="18"/>
                <w:szCs w:val="18"/>
              </w:rPr>
              <w:t> </w:t>
            </w:r>
            <w:r>
              <w:rPr>
                <w:rFonts w:ascii="宋体" w:hAnsi="宋体" w:cs="宋体" w:eastAsia="宋体" w:hint="default"/>
                <w:sz w:val="18"/>
                <w:szCs w:val="18"/>
              </w:rPr>
              <w:t>元，</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608,780.10</w:t>
            </w:r>
          </w:p>
        </w:tc>
      </w:tr>
    </w:tbl>
    <w:p>
      <w:pPr>
        <w:spacing w:after="0" w:line="240" w:lineRule="auto"/>
        <w:jc w:val="righ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674"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2,533,985.00</w:t>
            </w:r>
            <w:r>
              <w:rPr>
                <w:rFonts w:ascii="宋体" w:hAnsi="宋体" w:cs="宋体" w:eastAsia="宋体" w:hint="default"/>
                <w:spacing w:val="-52"/>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2,458,200.00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2,118,055.90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2,118,055.90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33,406,613.52</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5,624,353.08</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6)涉及政府补助的应收款项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7)因金融资产转移而终止确认的其他应收款</w:t>
      </w:r>
    </w:p>
    <w:p>
      <w:pPr>
        <w:spacing w:line="357" w:lineRule="auto" w:before="117"/>
        <w:ind w:left="112" w:right="6614" w:firstLine="0"/>
        <w:jc w:val="left"/>
        <w:rPr>
          <w:rFonts w:ascii="宋体" w:hAnsi="宋体" w:cs="宋体" w:eastAsia="宋体" w:hint="default"/>
          <w:sz w:val="18"/>
          <w:szCs w:val="18"/>
        </w:rPr>
      </w:pPr>
      <w:r>
        <w:rPr>
          <w:rFonts w:ascii="宋体" w:hAnsi="宋体" w:cs="宋体" w:eastAsia="宋体" w:hint="default"/>
          <w:sz w:val="18"/>
          <w:szCs w:val="18"/>
        </w:rPr>
        <w:t>8)转移其他应收款且继续涉入形成的资产、负债金额 其他说明：</w:t>
      </w:r>
    </w:p>
    <w:p>
      <w:pPr>
        <w:spacing w:line="240" w:lineRule="auto" w:before="3"/>
        <w:rPr>
          <w:rFonts w:ascii="宋体" w:hAnsi="宋体" w:cs="宋体" w:eastAsia="宋体" w:hint="default"/>
          <w:sz w:val="20"/>
          <w:szCs w:val="20"/>
        </w:rPr>
      </w:pPr>
    </w:p>
    <w:p>
      <w:pPr>
        <w:pStyle w:val="Heading6"/>
        <w:spacing w:line="240" w:lineRule="auto"/>
        <w:ind w:right="2127"/>
        <w:jc w:val="left"/>
        <w:rPr>
          <w:b w:val="0"/>
          <w:bCs w:val="0"/>
        </w:rPr>
      </w:pPr>
      <w:bookmarkStart w:name="3、长期股权投资" w:id="497"/>
      <w:bookmarkEnd w:id="497"/>
      <w:r>
        <w:rPr>
          <w:b w:val="0"/>
          <w:bCs w:val="0"/>
        </w:rPr>
      </w:r>
      <w:r>
        <w:rPr/>
        <w:t>3、长期股权投资</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宋体" w:hAnsi="宋体" w:cs="宋体" w:eastAsia="宋体" w:hint="default"/>
                <w:sz w:val="18"/>
                <w:szCs w:val="18"/>
              </w:rPr>
            </w:pPr>
            <w:r>
              <w:rPr>
                <w:rFonts w:ascii="宋体"/>
                <w:sz w:val="18"/>
              </w:rPr>
              <w:t>793,041,781.69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center"/>
              <w:rPr>
                <w:rFonts w:ascii="宋体" w:hAnsi="宋体" w:cs="宋体" w:eastAsia="宋体" w:hint="default"/>
                <w:sz w:val="18"/>
                <w:szCs w:val="18"/>
              </w:rPr>
            </w:pPr>
            <w:r>
              <w:rPr>
                <w:rFonts w:ascii="宋体"/>
                <w:sz w:val="18"/>
              </w:rPr>
              <w:t>793,041,781.69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 w:right="0"/>
              <w:jc w:val="center"/>
              <w:rPr>
                <w:rFonts w:ascii="宋体" w:hAnsi="宋体" w:cs="宋体" w:eastAsia="宋体" w:hint="default"/>
                <w:sz w:val="18"/>
                <w:szCs w:val="18"/>
              </w:rPr>
            </w:pPr>
            <w:r>
              <w:rPr>
                <w:rFonts w:ascii="宋体"/>
                <w:sz w:val="18"/>
              </w:rPr>
              <w:t>443,204,131.41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宋体" w:hAnsi="宋体" w:cs="宋体" w:eastAsia="宋体" w:hint="default"/>
                <w:sz w:val="18"/>
                <w:szCs w:val="18"/>
              </w:rPr>
            </w:pPr>
            <w:r>
              <w:rPr>
                <w:rFonts w:ascii="宋体"/>
                <w:sz w:val="18"/>
              </w:rPr>
              <w:t>443,204,131.41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 w:right="0"/>
              <w:jc w:val="center"/>
              <w:rPr>
                <w:rFonts w:ascii="宋体" w:hAnsi="宋体" w:cs="宋体" w:eastAsia="宋体" w:hint="default"/>
                <w:sz w:val="18"/>
                <w:szCs w:val="18"/>
              </w:rPr>
            </w:pPr>
            <w:r>
              <w:rPr>
                <w:rFonts w:ascii="宋体"/>
                <w:sz w:val="18"/>
              </w:rPr>
              <w:t>793,041,781.69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793,041,781.69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 w:right="0"/>
              <w:jc w:val="center"/>
              <w:rPr>
                <w:rFonts w:ascii="宋体" w:hAnsi="宋体" w:cs="宋体" w:eastAsia="宋体" w:hint="default"/>
                <w:sz w:val="18"/>
                <w:szCs w:val="18"/>
              </w:rPr>
            </w:pPr>
            <w:r>
              <w:rPr>
                <w:rFonts w:ascii="宋体"/>
                <w:sz w:val="18"/>
              </w:rPr>
              <w:t>443,204,131.41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 w:right="0"/>
              <w:jc w:val="center"/>
              <w:rPr>
                <w:rFonts w:ascii="宋体" w:hAnsi="宋体" w:cs="宋体" w:eastAsia="宋体" w:hint="default"/>
                <w:sz w:val="18"/>
                <w:szCs w:val="18"/>
              </w:rPr>
            </w:pPr>
            <w:r>
              <w:rPr>
                <w:rFonts w:ascii="宋体"/>
                <w:sz w:val="18"/>
              </w:rPr>
              <w:t>443,204,131.41</w:t>
            </w:r>
          </w:p>
        </w:tc>
      </w:tr>
    </w:tbl>
    <w:p>
      <w:pPr>
        <w:spacing w:line="240" w:lineRule="auto" w:before="4"/>
        <w:rPr>
          <w:rFonts w:ascii="宋体" w:hAnsi="宋体" w:cs="宋体" w:eastAsia="宋体" w:hint="default"/>
          <w:sz w:val="19"/>
          <w:szCs w:val="19"/>
        </w:rPr>
      </w:pPr>
    </w:p>
    <w:p>
      <w:pPr>
        <w:pStyle w:val="Heading6"/>
        <w:spacing w:line="240" w:lineRule="auto" w:before="34"/>
        <w:ind w:right="2127"/>
        <w:jc w:val="left"/>
        <w:rPr>
          <w:b w:val="0"/>
          <w:bCs w:val="0"/>
        </w:rPr>
      </w:pPr>
      <w:bookmarkStart w:name="（1）对子公司投资" w:id="498"/>
      <w:bookmarkEnd w:id="498"/>
      <w:r>
        <w:rPr>
          <w:b w:val="0"/>
          <w:bCs w:val="0"/>
        </w:rPr>
      </w:r>
      <w:r>
        <w:rPr/>
        <w:t>（1）对子公司投资</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天津市金飞博光 通讯技术有限公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4,027,343.90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4,027,343.90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52"/>
              <w:jc w:val="both"/>
              <w:rPr>
                <w:rFonts w:ascii="宋体" w:hAnsi="宋体" w:cs="宋体" w:eastAsia="宋体" w:hint="default"/>
                <w:sz w:val="18"/>
                <w:szCs w:val="18"/>
              </w:rPr>
            </w:pPr>
            <w:r>
              <w:rPr>
                <w:rFonts w:ascii="宋体" w:hAnsi="宋体" w:cs="宋体" w:eastAsia="宋体" w:hint="default"/>
                <w:sz w:val="18"/>
                <w:szCs w:val="18"/>
              </w:rPr>
              <w:t>天津市天安怡和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45,964,273.77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413,746.67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46,378,020.44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重庆皖通科技有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21,030,000.00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977,166.67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22,007,166.67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330,232,513.74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2,848,083.33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333,080,597.07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安徽皖通城市智 能交通科技有限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安徽行云天下科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成都赛英科技有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345,598,653.61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345,598,653.61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443,204,131.41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349,837,650.28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793,041,781.69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4"/>
        <w:ind w:right="2127"/>
        <w:jc w:val="left"/>
        <w:rPr>
          <w:b w:val="0"/>
          <w:bCs w:val="0"/>
        </w:rPr>
      </w:pPr>
      <w:bookmarkStart w:name="（2）对联营、合营企业投资" w:id="499"/>
      <w:bookmarkEnd w:id="499"/>
      <w:r>
        <w:rPr>
          <w:b w:val="0"/>
          <w:bCs w:val="0"/>
        </w:rPr>
      </w:r>
      <w:r>
        <w:rPr/>
        <w:t>（2）对联营、合营企业投资</w:t>
      </w:r>
      <w:r>
        <w:rPr>
          <w:b w:val="0"/>
          <w:bCs w:val="0"/>
        </w:rPr>
      </w:r>
    </w:p>
    <w:p>
      <w:pPr>
        <w:spacing w:line="240" w:lineRule="auto" w:before="4"/>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5"/>
        <w:rPr>
          <w:rFonts w:ascii="宋体" w:hAnsi="宋体" w:cs="宋体" w:eastAsia="宋体" w:hint="default"/>
          <w:sz w:val="19"/>
          <w:szCs w:val="19"/>
        </w:rPr>
      </w:pPr>
    </w:p>
    <w:p>
      <w:pPr>
        <w:pStyle w:val="Heading6"/>
        <w:spacing w:line="535" w:lineRule="auto" w:before="34"/>
        <w:ind w:right="8539"/>
        <w:jc w:val="left"/>
        <w:rPr>
          <w:b w:val="0"/>
          <w:bCs w:val="0"/>
        </w:rPr>
      </w:pPr>
      <w:bookmarkStart w:name="（3）其他说明" w:id="500"/>
      <w:bookmarkEnd w:id="500"/>
      <w:r>
        <w:rPr>
          <w:b w:val="0"/>
          <w:bCs w:val="0"/>
        </w:rPr>
      </w:r>
      <w:r>
        <w:rPr/>
        <w:t>（3）其他说明</w:t>
      </w:r>
      <w:r>
        <w:rPr>
          <w:w w:val="99"/>
        </w:rPr>
        <w:t> </w:t>
      </w:r>
      <w:bookmarkStart w:name="4、营业收入和营业成本" w:id="501"/>
      <w:bookmarkEnd w:id="501"/>
      <w:r>
        <w:rPr/>
        <w:t>4</w:t>
      </w:r>
      <w:r>
        <w:rPr/>
        <w:t>、营业收入和营业成本</w:t>
      </w:r>
      <w:r>
        <w:rPr>
          <w:b w:val="0"/>
          <w:bCs w:val="0"/>
        </w:rPr>
      </w:r>
    </w:p>
    <w:p>
      <w:pPr>
        <w:spacing w:before="10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598,980,633.77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462,857,853.02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560,857,343.31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432,293,875.65</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158,600.32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42,612.40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599,139,234.09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462,857,853.02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560,899,955.71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432,293,875.65</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2127"/>
        <w:jc w:val="left"/>
        <w:rPr>
          <w:b w:val="0"/>
          <w:bCs w:val="0"/>
        </w:rPr>
      </w:pPr>
      <w:bookmarkStart w:name="5、投资收益" w:id="502"/>
      <w:bookmarkEnd w:id="502"/>
      <w:r>
        <w:rPr>
          <w:b w:val="0"/>
          <w:bCs w:val="0"/>
        </w:rPr>
      </w:r>
      <w:r>
        <w:rPr/>
        <w:t>5、投资收益</w:t>
      </w:r>
      <w:r>
        <w:rPr>
          <w:b w:val="0"/>
          <w:bCs w:val="0"/>
        </w:rPr>
      </w:r>
    </w:p>
    <w:p>
      <w:pPr>
        <w:spacing w:line="240" w:lineRule="auto" w:before="7"/>
        <w:rPr>
          <w:rFonts w:ascii="宋体" w:hAnsi="宋体" w:cs="宋体" w:eastAsia="宋体" w:hint="default"/>
          <w:b/>
          <w:bCs/>
          <w:sz w:val="24"/>
          <w:szCs w:val="24"/>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5,794,875.00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5,151,000.00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469,511.14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148,773.01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2,270,536.45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3,371,109.59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8,534,922.59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8,670,882.60</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6、其他" w:id="503"/>
      <w:bookmarkEnd w:id="503"/>
      <w:r>
        <w:rPr>
          <w:b w:val="0"/>
          <w:bCs w:val="0"/>
        </w:rPr>
      </w:r>
      <w:r>
        <w:rPr/>
        <w:t>6、其他</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2127"/>
        <w:jc w:val="left"/>
        <w:rPr>
          <w:b w:val="0"/>
          <w:bCs w:val="0"/>
        </w:rPr>
      </w:pPr>
      <w:bookmarkStart w:name="十八、补充资料" w:id="504"/>
      <w:bookmarkEnd w:id="504"/>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27"/>
        <w:jc w:val="left"/>
        <w:rPr>
          <w:b w:val="0"/>
          <w:bCs w:val="0"/>
        </w:rPr>
      </w:pPr>
      <w:bookmarkStart w:name="1、当期非经常性损益明细表" w:id="505"/>
      <w:bookmarkEnd w:id="505"/>
      <w:r>
        <w:rPr>
          <w:b w:val="0"/>
          <w:bCs w:val="0"/>
        </w:rPr>
      </w:r>
      <w:r>
        <w:rPr/>
        <w:t>1、当期非经常性损益明细表</w:t>
      </w:r>
      <w:r>
        <w:rPr>
          <w:b w:val="0"/>
          <w:bCs w:val="0"/>
        </w:rPr>
      </w:r>
    </w:p>
    <w:p>
      <w:pPr>
        <w:spacing w:line="240" w:lineRule="auto" w:before="4"/>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553,050.62</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9,973,716.77</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2,434,007.71</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103,696.54</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13,207.59</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2,510,067.69</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643,625.75</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9,923,985.79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6" w:lineRule="auto" w:before="76"/>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5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2127"/>
        <w:jc w:val="left"/>
        <w:rPr>
          <w:b w:val="0"/>
          <w:bCs w:val="0"/>
        </w:rPr>
      </w:pPr>
      <w:bookmarkStart w:name="2、净资产收益率及每股收益" w:id="506"/>
      <w:bookmarkEnd w:id="506"/>
      <w:r>
        <w:rPr>
          <w:b w:val="0"/>
          <w:bCs w:val="0"/>
        </w:rPr>
      </w:r>
      <w:r>
        <w:rPr/>
        <w:t>2、净资产收益率及每股收益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1"/>
                <w:sz w:val="18"/>
                <w:szCs w:val="18"/>
              </w:rPr>
              <w:t>基本每股收益（元/股）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1"/>
                <w:sz w:val="18"/>
                <w:szCs w:val="18"/>
              </w:rPr>
              <w:t>稀释每股收益（元/股）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0.2745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0.2745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0.2488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0.2488</w:t>
            </w:r>
          </w:p>
        </w:tc>
      </w:tr>
    </w:tbl>
    <w:p>
      <w:pPr>
        <w:spacing w:line="240" w:lineRule="auto" w:before="5"/>
        <w:rPr>
          <w:rFonts w:ascii="宋体" w:hAnsi="宋体" w:cs="宋体" w:eastAsia="宋体" w:hint="default"/>
          <w:b/>
          <w:bCs/>
          <w:sz w:val="19"/>
          <w:szCs w:val="19"/>
        </w:rPr>
      </w:pPr>
    </w:p>
    <w:p>
      <w:pPr>
        <w:pStyle w:val="Heading6"/>
        <w:spacing w:line="240" w:lineRule="auto" w:before="34"/>
        <w:ind w:right="2127"/>
        <w:jc w:val="left"/>
        <w:rPr>
          <w:b w:val="0"/>
          <w:bCs w:val="0"/>
        </w:rPr>
      </w:pPr>
      <w:bookmarkStart w:name="3、境内外会计准则下会计数据差异" w:id="507"/>
      <w:bookmarkEnd w:id="507"/>
      <w:r>
        <w:rPr>
          <w:b w:val="0"/>
          <w:bCs w:val="0"/>
        </w:rPr>
      </w:r>
      <w:r>
        <w:rPr/>
        <w:t>3、境内外会计准则下会计数据差异</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2127"/>
        <w:jc w:val="left"/>
        <w:rPr>
          <w:b w:val="0"/>
          <w:bCs w:val="0"/>
        </w:rPr>
      </w:pPr>
      <w:bookmarkStart w:name="（1）同时按照国际会计准则与按中国会计准则披露的财务报告中净利润和净资产差异情况" w:id="508"/>
      <w:bookmarkEnd w:id="508"/>
      <w:r>
        <w:rPr>
          <w:b w:val="0"/>
          <w:bCs w:val="0"/>
        </w:rPr>
      </w:r>
      <w:r>
        <w:rPr/>
        <w:t>（1）同时按照国际会计准则与按中国会计准则披露的财务报告中净利润和净资产差异情况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6"/>
        <w:spacing w:line="240" w:lineRule="auto" w:before="34"/>
        <w:ind w:right="2127"/>
        <w:jc w:val="left"/>
        <w:rPr>
          <w:b w:val="0"/>
          <w:bCs w:val="0"/>
        </w:rPr>
      </w:pPr>
      <w:bookmarkStart w:name="（2）同时按照境外会计准则与按中国会计准则披露的财务报告中净利润和净资产差异情况" w:id="509"/>
      <w:bookmarkEnd w:id="509"/>
      <w:r>
        <w:rPr>
          <w:b w:val="0"/>
          <w:bCs w:val="0"/>
        </w:rPr>
      </w:r>
      <w:r>
        <w:rPr/>
        <w:t>（2）同时按照境外会计准则与按中国会计准则披露的财务报告中净利润和净资产差异情况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73" w:lineRule="auto" w:before="118"/>
        <w:ind w:right="0"/>
        <w:jc w:val="left"/>
        <w:rPr>
          <w:b w:val="0"/>
          <w:bCs w:val="0"/>
        </w:rPr>
      </w:pPr>
      <w:bookmarkStart w:name="（3）境内外会计准则下会计数据差异原因说明，对已经境外审计机构审计的数据进行差异" w:id="510"/>
      <w:bookmarkEnd w:id="510"/>
      <w:r>
        <w:rPr>
          <w:b w:val="0"/>
          <w:bCs w:val="0"/>
        </w:rPr>
      </w:r>
      <w:r>
        <w:rPr>
          <w:spacing w:val="3"/>
          <w:w w:val="95"/>
        </w:rPr>
        <w:t>（3）境内外会计准则下会计数据差异原因说明，对已经境外审计机构审计的数据进行差异调节的，应注</w:t>
      </w:r>
      <w:r>
        <w:rPr>
          <w:spacing w:val="95"/>
          <w:w w:val="95"/>
        </w:rPr>
        <w:t> </w:t>
      </w:r>
      <w:r>
        <w:rPr>
          <w:spacing w:val="95"/>
          <w:w w:val="95"/>
        </w:rPr>
      </w:r>
      <w:r>
        <w:rPr/>
        <w:t>明该境外机构的名称</w:t>
      </w:r>
      <w:r>
        <w:rPr>
          <w:b w:val="0"/>
          <w:bCs w:val="0"/>
        </w:rPr>
      </w:r>
    </w:p>
    <w:p>
      <w:pPr>
        <w:spacing w:line="240" w:lineRule="auto" w:before="7"/>
        <w:rPr>
          <w:rFonts w:ascii="宋体" w:hAnsi="宋体" w:cs="宋体" w:eastAsia="宋体" w:hint="default"/>
          <w:b/>
          <w:bCs/>
          <w:sz w:val="23"/>
          <w:szCs w:val="23"/>
        </w:rPr>
      </w:pPr>
    </w:p>
    <w:p>
      <w:pPr>
        <w:pStyle w:val="Heading6"/>
        <w:spacing w:line="240" w:lineRule="auto"/>
        <w:ind w:right="2127"/>
        <w:jc w:val="left"/>
        <w:rPr>
          <w:b w:val="0"/>
          <w:bCs w:val="0"/>
        </w:rPr>
      </w:pPr>
      <w:bookmarkStart w:name="4、其他" w:id="511"/>
      <w:bookmarkEnd w:id="511"/>
      <w:r>
        <w:rPr>
          <w:b w:val="0"/>
          <w:bCs w:val="0"/>
        </w:rPr>
      </w:r>
      <w:r>
        <w:rPr/>
        <w:t>4、其他</w:t>
      </w:r>
      <w:r>
        <w:rPr>
          <w:b w:val="0"/>
          <w:bCs w:val="0"/>
        </w:rPr>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3247" w:right="2127"/>
        <w:jc w:val="left"/>
        <w:rPr>
          <w:b w:val="0"/>
          <w:bCs w:val="0"/>
        </w:rPr>
      </w:pPr>
      <w:bookmarkStart w:name="第十二节 备查文件目录" w:id="512"/>
      <w:bookmarkEnd w:id="512"/>
      <w:r>
        <w:rPr>
          <w:b w:val="0"/>
          <w:bCs w:val="0"/>
        </w:rPr>
      </w:r>
      <w:bookmarkStart w:name="_bookmark11" w:id="513"/>
      <w:bookmarkEnd w:id="513"/>
      <w:r>
        <w:rPr>
          <w:b w:val="0"/>
          <w:bCs w:val="0"/>
        </w:rPr>
      </w:r>
      <w:r>
        <w:rPr/>
        <w:t>第十二节</w:t>
      </w:r>
      <w:r>
        <w:rPr>
          <w:spacing w:val="-10"/>
        </w:rPr>
        <w:t> </w:t>
      </w:r>
      <w:r>
        <w:rPr/>
        <w:t>备查文件目录</w:t>
      </w:r>
      <w:r>
        <w:rPr>
          <w:b w:val="0"/>
          <w:bCs w:val="0"/>
        </w:rPr>
      </w:r>
    </w:p>
    <w:p>
      <w:pPr>
        <w:spacing w:line="240" w:lineRule="auto" w:before="5"/>
        <w:rPr>
          <w:rFonts w:ascii="宋体" w:hAnsi="宋体" w:cs="宋体" w:eastAsia="宋体" w:hint="default"/>
          <w:b/>
          <w:bCs/>
          <w:sz w:val="46"/>
          <w:szCs w:val="46"/>
        </w:rPr>
      </w:pPr>
    </w:p>
    <w:p>
      <w:pPr>
        <w:pStyle w:val="BodyText"/>
        <w:spacing w:line="408" w:lineRule="auto" w:before="0"/>
        <w:ind w:right="1125"/>
        <w:jc w:val="left"/>
      </w:pPr>
      <w:r>
        <w:rPr/>
        <w:t>一、载有公司法定代表人签名的公司2018年年度报告全文；</w:t>
      </w:r>
      <w:r>
        <w:rPr>
          <w:w w:val="99"/>
        </w:rPr>
        <w:t> </w:t>
      </w:r>
      <w:r>
        <w:rPr/>
        <w:t>二、载有公司法定代表人、主管会计工作负责人、会计机构负责人签名并盖章的财务报告文本；</w:t>
      </w:r>
      <w:r>
        <w:rPr>
          <w:w w:val="99"/>
        </w:rPr>
        <w:t> </w:t>
      </w:r>
      <w:r>
        <w:rPr>
          <w:w w:val="95"/>
        </w:rPr>
        <w:t>三、报告期内在《证券时报》、《中国证券报》、巨潮资讯网上公开披露过的所有公司文件的正本及公告</w:t>
      </w:r>
      <w:r>
        <w:rPr>
          <w:spacing w:val="38"/>
          <w:w w:val="95"/>
        </w:rPr>
        <w:t> </w:t>
      </w:r>
      <w:r>
        <w:rPr>
          <w:spacing w:val="38"/>
          <w:w w:val="95"/>
        </w:rPr>
      </w:r>
      <w:r>
        <w:rPr/>
        <w:t>的原稿；</w:t>
      </w:r>
    </w:p>
    <w:p>
      <w:pPr>
        <w:pStyle w:val="BodyText"/>
        <w:spacing w:line="240" w:lineRule="auto" w:before="46"/>
        <w:ind w:right="2127"/>
        <w:jc w:val="left"/>
      </w:pPr>
      <w:r>
        <w:rPr/>
        <w:t>四、以上备查文件备置地点：公司董事会办公室。</w:t>
      </w:r>
    </w:p>
    <w:sectPr>
      <w:footerReference w:type="default" r:id="rId39"/>
      <w:pgSz w:w="11910" w:h="16840"/>
      <w:pgMar w:footer="978" w:header="746" w:top="1060" w:bottom="1160" w:left="1020" w:right="0"/>
      <w:pgNumType w:start="2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440" type="#_x0000_t75" stroked="false">
          <v:imagedata r:id="rId1" o:title=""/>
        </v:shape>
      </w:pict>
    </w:r>
    <w:r>
      <w:rPr/>
      <w:pict>
        <v:shape style="position:absolute;margin-left:294.440002pt;margin-top:795.687988pt;width:6.5pt;height:11pt;mso-position-horizontal-relative:page;mso-position-vertical-relative:page;z-index:-1109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008" type="#_x0000_t75" stroked="false">
          <v:imagedata r:id="rId1" o:title=""/>
        </v:shape>
      </w:pict>
    </w:r>
    <w:r>
      <w:rPr/>
      <w:pict>
        <v:shape style="position:absolute;margin-left:291.158997pt;margin-top:782.007935pt;width:13.1pt;height:11pt;mso-position-horizontal-relative:page;mso-position-vertical-relative:page;z-index:-1108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960" type="#_x0000_t75" stroked="false">
          <v:imagedata r:id="rId1" o:title=""/>
        </v:shape>
      </w:pict>
    </w:r>
    <w:r>
      <w:rPr/>
      <w:pict>
        <v:shape style="position:absolute;margin-left:291.158997pt;margin-top:782.007935pt;width:13.1pt;height:11pt;mso-position-horizontal-relative:page;mso-position-vertical-relative:page;z-index:-1108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912" type="#_x0000_t75" stroked="false">
          <v:imagedata r:id="rId1" o:title=""/>
        </v:shape>
      </w:pict>
    </w:r>
    <w:r>
      <w:rPr/>
      <w:pict>
        <v:shape style="position:absolute;margin-left:288.880005pt;margin-top:782.007935pt;width:17.5pt;height:11pt;mso-position-horizontal-relative:page;mso-position-vertical-relative:page;z-index:-1108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864" type="#_x0000_t75" stroked="false">
          <v:imagedata r:id="rId1" o:title=""/>
        </v:shape>
      </w:pict>
    </w:r>
    <w:r>
      <w:rPr/>
      <w:pict>
        <v:shape style="position:absolute;margin-left:289pt;margin-top:782.007935pt;width:17.3pt;height:11pt;mso-position-horizontal-relative:page;mso-position-vertical-relative:page;z-index:-1108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816" type="#_x0000_t75" stroked="false">
          <v:imagedata r:id="rId1" o:title=""/>
        </v:shape>
      </w:pict>
    </w:r>
    <w:r>
      <w:rPr/>
      <w:pict>
        <v:shape style="position:absolute;margin-left:288.880005pt;margin-top:782.007935pt;width:17.5pt;height:11pt;mso-position-horizontal-relative:page;mso-position-vertical-relative:page;z-index:-1108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768" type="#_x0000_t75" stroked="false">
          <v:imagedata r:id="rId1" o:title=""/>
        </v:shape>
      </w:pict>
    </w:r>
    <w:r>
      <w:rPr/>
      <w:pict>
        <v:shape style="position:absolute;margin-left:288.880005pt;margin-top:782.007935pt;width:17.5pt;height:11pt;mso-position-horizontal-relative:page;mso-position-vertical-relative:page;z-index:-1108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720" type="#_x0000_t75" stroked="false">
          <v:imagedata r:id="rId1" o:title=""/>
        </v:shape>
      </w:pict>
    </w:r>
    <w:r>
      <w:rPr/>
      <w:pict>
        <v:shape style="position:absolute;margin-left:288.880005pt;margin-top:782.007935pt;width:17.5pt;height:11pt;mso-position-horizontal-relative:page;mso-position-vertical-relative:page;z-index:-1108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672" type="#_x0000_t75" stroked="false">
          <v:imagedata r:id="rId1" o:title=""/>
        </v:shape>
      </w:pict>
    </w:r>
    <w:r>
      <w:rPr/>
      <w:pict>
        <v:shape style="position:absolute;margin-left:288.880005pt;margin-top:782.007935pt;width:17.5pt;height:11pt;mso-position-horizontal-relative:page;mso-position-vertical-relative:page;z-index:-1108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624" type="#_x0000_t75" stroked="false">
          <v:imagedata r:id="rId1" o:title=""/>
        </v:shape>
      </w:pict>
    </w:r>
    <w:r>
      <w:rPr/>
      <w:pict>
        <v:shape style="position:absolute;margin-left:288.880005pt;margin-top:782.007935pt;width:17.5pt;height:11pt;mso-position-horizontal-relative:page;mso-position-vertical-relative:page;z-index:-1108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576" type="#_x0000_t75" stroked="false">
          <v:imagedata r:id="rId1" o:title=""/>
        </v:shape>
      </w:pict>
    </w:r>
    <w:r>
      <w:rPr/>
      <w:pict>
        <v:shape style="position:absolute;margin-left:288.880005pt;margin-top:782.007935pt;width:17.5pt;height:11pt;mso-position-horizontal-relative:page;mso-position-vertical-relative:page;z-index:-1108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392" type="#_x0000_t75" stroked="false">
          <v:imagedata r:id="rId1" o:title=""/>
        </v:shape>
      </w:pict>
    </w:r>
    <w:r>
      <w:rPr/>
      <w:pict>
        <v:shape style="position:absolute;margin-left:293.440002pt;margin-top:782.007935pt;width:8.5pt;height:11pt;mso-position-horizontal-relative:page;mso-position-vertical-relative:page;z-index:-110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528" type="#_x0000_t75" stroked="false">
          <v:imagedata r:id="rId1" o:title=""/>
        </v:shape>
      </w:pict>
    </w:r>
    <w:r>
      <w:rPr/>
      <w:pict>
        <v:shape style="position:absolute;margin-left:288.880005pt;margin-top:782.007935pt;width:17.5pt;height:11pt;mso-position-horizontal-relative:page;mso-position-vertical-relative:page;z-index:-1108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480" type="#_x0000_t75" stroked="false">
          <v:imagedata r:id="rId1" o:title=""/>
        </v:shape>
      </w:pict>
    </w:r>
    <w:r>
      <w:rPr/>
      <w:pict>
        <v:shape style="position:absolute;margin-left:288.880005pt;margin-top:782.007935pt;width:17.5pt;height:11pt;mso-position-horizontal-relative:page;mso-position-vertical-relative:page;z-index:-1108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432" type="#_x0000_t75" stroked="false">
          <v:imagedata r:id="rId1" o:title=""/>
        </v:shape>
      </w:pict>
    </w:r>
    <w:r>
      <w:rPr/>
      <w:pict>
        <v:shape style="position:absolute;margin-left:288.880005pt;margin-top:782.007935pt;width:17.5pt;height:11pt;mso-position-horizontal-relative:page;mso-position-vertical-relative:page;z-index:-1108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384" type="#_x0000_t75" stroked="false">
          <v:imagedata r:id="rId1" o:title=""/>
        </v:shape>
      </w:pict>
    </w:r>
    <w:r>
      <w:rPr/>
      <w:pict>
        <v:shape style="position:absolute;margin-left:288.880005pt;margin-top:782.007935pt;width:17.5pt;height:11pt;mso-position-horizontal-relative:page;mso-position-vertical-relative:page;z-index:-1108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8336" type="#_x0000_t75" stroked="false">
          <v:imagedata r:id="rId1" o:title=""/>
        </v:shape>
      </w:pict>
    </w:r>
    <w:r>
      <w:rPr/>
      <w:pict>
        <v:shape style="position:absolute;margin-left:288.880005pt;margin-top:782.007935pt;width:17.5pt;height:11pt;mso-position-horizontal-relative:page;mso-position-vertical-relative:page;z-index:-1108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344" type="#_x0000_t75" stroked="false">
          <v:imagedata r:id="rId1" o:title=""/>
        </v:shape>
      </w:pict>
    </w:r>
    <w:r>
      <w:rPr/>
      <w:pict>
        <v:shape style="position:absolute;margin-left:291.158997pt;margin-top:782.007935pt;width:13.1pt;height:11pt;mso-position-horizontal-relative:page;mso-position-vertical-relative:page;z-index:-1109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296" type="#_x0000_t75" stroked="false">
          <v:imagedata r:id="rId1" o:title=""/>
        </v:shape>
      </w:pict>
    </w:r>
    <w:r>
      <w:rPr/>
      <w:pict>
        <v:shape style="position:absolute;margin-left:291.158997pt;margin-top:782.007935pt;width:13.1pt;height:11pt;mso-position-horizontal-relative:page;mso-position-vertical-relative:page;z-index:-110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248" type="#_x0000_t75" stroked="false">
          <v:imagedata r:id="rId1" o:title=""/>
        </v:shape>
      </w:pict>
    </w:r>
    <w:r>
      <w:rPr/>
      <w:pict>
        <v:shape style="position:absolute;margin-left:291.158997pt;margin-top:782.007935pt;width:13.1pt;height:11pt;mso-position-horizontal-relative:page;mso-position-vertical-relative:page;z-index:-1109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200" type="#_x0000_t75" stroked="false">
          <v:imagedata r:id="rId1" o:title=""/>
        </v:shape>
      </w:pict>
    </w:r>
    <w:r>
      <w:rPr/>
      <w:pict>
        <v:shape style="position:absolute;margin-left:291.158997pt;margin-top:782.007935pt;width:13.1pt;height:11pt;mso-position-horizontal-relative:page;mso-position-vertical-relative:page;z-index:-110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152" type="#_x0000_t75" stroked="false">
          <v:imagedata r:id="rId1" o:title=""/>
        </v:shape>
      </w:pict>
    </w:r>
    <w:r>
      <w:rPr/>
      <w:pict>
        <v:shape style="position:absolute;margin-left:291.158997pt;margin-top:782.007935pt;width:13.1pt;height:11pt;mso-position-horizontal-relative:page;mso-position-vertical-relative:page;z-index:-1109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104" type="#_x0000_t75" stroked="false">
          <v:imagedata r:id="rId1" o:title=""/>
        </v:shape>
      </w:pict>
    </w:r>
    <w:r>
      <w:rPr/>
      <w:pict>
        <v:shape style="position:absolute;margin-left:291.158997pt;margin-top:782.007935pt;width:13.1pt;height:11pt;mso-position-horizontal-relative:page;mso-position-vertical-relative:page;z-index:-110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109056" type="#_x0000_t75" stroked="false">
          <v:imagedata r:id="rId1" o:title=""/>
        </v:shape>
      </w:pict>
    </w:r>
    <w:r>
      <w:rPr/>
      <w:pict>
        <v:shape style="position:absolute;margin-left:291.158997pt;margin-top:782.007935pt;width:13.1pt;height:11pt;mso-position-horizontal-relative:page;mso-position-vertical-relative:page;z-index:-1109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15651pt;width:195.45pt;height:11.5pt;mso-position-horizontal-relative:page;mso-position-vertical-relative:page;z-index:-1109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12"/>
    </w:pPr>
    <w:rPr>
      <w:rFonts w:ascii="宋体" w:hAnsi="宋体" w:eastAsia="宋体"/>
      <w:b/>
      <w:bCs/>
      <w:sz w:val="24"/>
      <w:szCs w:val="24"/>
    </w:rPr>
  </w:style>
  <w:style w:styleId="BodyText" w:type="paragraph">
    <w:name w:val="Body Text"/>
    <w:basedOn w:val="Normal"/>
    <w:uiPriority w:val="1"/>
    <w:qFormat/>
    <w:pPr>
      <w:spacing w:before="7"/>
      <w:ind w:left="11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spacing w:before="61"/>
      <w:ind w:left="112" w:firstLine="561"/>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540"/>
      <w:outlineLvl w:val="5"/>
    </w:pPr>
    <w:rPr>
      <w:rFonts w:ascii="宋体" w:hAnsi="宋体" w:eastAsia="宋体"/>
      <w:sz w:val="22"/>
      <w:szCs w:val="22"/>
    </w:rPr>
  </w:style>
  <w:style w:styleId="Heading6" w:type="paragraph">
    <w:name w:val="Heading 6"/>
    <w:basedOn w:val="Normal"/>
    <w:uiPriority w:val="1"/>
    <w:qFormat/>
    <w:pPr>
      <w:ind w:left="11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antong-tech.net/" TargetMode="External"/><Relationship Id="rId10" Type="http://schemas.openxmlformats.org/officeDocument/2006/relationships/hyperlink" Target="mailto:wtkj@wantong-tech.net" TargetMode="External"/><Relationship Id="rId11" Type="http://schemas.openxmlformats.org/officeDocument/2006/relationships/hyperlink" Target="mailto:dspan@wantong-tech.net" TargetMode="External"/><Relationship Id="rId12" Type="http://schemas.openxmlformats.org/officeDocument/2006/relationships/hyperlink" Target="mailto:lzye@wantong-tech.net"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yperlink" Target="http://www.chinaports.com/" TargetMode="External"/><Relationship Id="rId16" Type="http://schemas.openxmlformats.org/officeDocument/2006/relationships/hyperlink" Target="http://www.boyunscm.com/"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yperlink" Target="http://www.cninfo.c/" TargetMode="External"/><Relationship Id="rId21" Type="http://schemas.openxmlformats.org/officeDocument/2006/relationships/footer" Target="footer7.xml"/><Relationship Id="rId22" Type="http://schemas.openxmlformats.org/officeDocument/2006/relationships/image" Target="media/image3.png"/><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安徽皖通科技股份有限公司</dc:creator>
  <dc:title>安徽皖通科技股份有限公司2018年年度报告全文</dc:title>
  <dcterms:created xsi:type="dcterms:W3CDTF">2020-05-05T01:09:01Z</dcterms:created>
  <dcterms:modified xsi:type="dcterms:W3CDTF">2020-05-05T01:09:01Z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WPS 文字</vt:lpwstr>
  </property>
  <property fmtid="{D5CDD505-2E9C-101B-9397-08002B2CF9AE}" pid="4" name="LastSaved">
    <vt:filetime>2020-05-04T00:00:00Z</vt:filetime>
  </property>
</Properties>
</file>