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621" w:lineRule="exact" w:before="0"/>
        <w:ind w:left="0" w:right="1019" w:firstLine="0"/>
        <w:jc w:val="center"/>
        <w:rPr>
          <w:rFonts w:ascii="宋体" w:hAnsi="宋体" w:cs="宋体" w:eastAsia="宋体" w:hint="default"/>
          <w:sz w:val="52"/>
          <w:szCs w:val="52"/>
        </w:rPr>
      </w:pPr>
      <w:r>
        <w:rPr>
          <w:rFonts w:ascii="宋体" w:hAnsi="宋体" w:cs="宋体" w:eastAsia="宋体" w:hint="default"/>
          <w:b/>
          <w:bCs/>
          <w:sz w:val="52"/>
          <w:szCs w:val="52"/>
        </w:rPr>
        <w:t>安徽皖通科技股份有限公司</w:t>
      </w:r>
      <w:r>
        <w:rPr>
          <w:rFonts w:ascii="宋体" w:hAnsi="宋体" w:cs="宋体" w:eastAsia="宋体" w:hint="default"/>
          <w:sz w:val="52"/>
          <w:szCs w:val="52"/>
        </w:rPr>
      </w:r>
    </w:p>
    <w:p>
      <w:pPr>
        <w:spacing w:before="337"/>
        <w:ind w:left="0" w:right="998" w:firstLine="0"/>
        <w:jc w:val="center"/>
        <w:rPr>
          <w:rFonts w:ascii="Arial" w:hAnsi="Arial" w:cs="Arial" w:eastAsia="Arial" w:hint="default"/>
          <w:sz w:val="32"/>
          <w:szCs w:val="32"/>
        </w:rPr>
      </w:pPr>
      <w:r>
        <w:rPr>
          <w:rFonts w:ascii="Arial"/>
          <w:b/>
          <w:sz w:val="32"/>
        </w:rPr>
        <w:t>Anhui Wantong Technology</w:t>
      </w:r>
      <w:r>
        <w:rPr>
          <w:rFonts w:ascii="Arial"/>
          <w:b/>
          <w:spacing w:val="-15"/>
          <w:sz w:val="32"/>
        </w:rPr>
        <w:t> </w:t>
      </w:r>
      <w:r>
        <w:rPr>
          <w:rFonts w:ascii="Arial"/>
          <w:b/>
          <w:sz w:val="32"/>
        </w:rPr>
        <w:t>Co.,Ltd.</w:t>
      </w:r>
      <w:r>
        <w:rPr>
          <w:rFonts w:ascii="Arial"/>
          <w:sz w:val="32"/>
        </w:rPr>
      </w:r>
    </w:p>
    <w:p>
      <w:pPr>
        <w:spacing w:line="240" w:lineRule="auto" w:before="10"/>
        <w:rPr>
          <w:rFonts w:ascii="Arial" w:hAnsi="Arial" w:cs="Arial" w:eastAsia="Arial" w:hint="default"/>
          <w:b/>
          <w:bCs/>
          <w:sz w:val="30"/>
          <w:szCs w:val="30"/>
        </w:rPr>
      </w:pPr>
    </w:p>
    <w:p>
      <w:pPr>
        <w:spacing w:before="0"/>
        <w:ind w:left="0" w:right="1021" w:firstLine="0"/>
        <w:jc w:val="center"/>
        <w:rPr>
          <w:rFonts w:ascii="宋体" w:hAnsi="宋体" w:cs="宋体" w:eastAsia="宋体" w:hint="default"/>
          <w:sz w:val="30"/>
          <w:szCs w:val="30"/>
        </w:rPr>
      </w:pPr>
      <w:r>
        <w:rPr>
          <w:rFonts w:ascii="宋体" w:hAnsi="宋体" w:cs="宋体" w:eastAsia="宋体" w:hint="default"/>
          <w:b/>
          <w:bCs/>
          <w:sz w:val="30"/>
          <w:szCs w:val="30"/>
        </w:rPr>
        <w:t>（安徽省合肥市高新区皖水路589号）</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line="1320" w:lineRule="exact"/>
        <w:ind w:left="3996"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1188720" cy="8382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88720" cy="838200"/>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940" w:lineRule="exact" w:before="0"/>
        <w:ind w:left="1980" w:right="2127" w:firstLine="0"/>
        <w:jc w:val="left"/>
        <w:rPr>
          <w:rFonts w:ascii="黑体" w:hAnsi="黑体" w:cs="黑体" w:eastAsia="黑体" w:hint="default"/>
          <w:sz w:val="84"/>
          <w:szCs w:val="84"/>
        </w:rPr>
      </w:pPr>
      <w:r>
        <w:rPr>
          <w:rFonts w:ascii="黑体" w:hAnsi="黑体" w:cs="黑体" w:eastAsia="黑体" w:hint="default"/>
          <w:b/>
          <w:bCs/>
          <w:spacing w:val="2"/>
          <w:sz w:val="84"/>
          <w:szCs w:val="84"/>
        </w:rPr>
        <w:t>2019年年度报告</w:t>
      </w:r>
      <w:r>
        <w:rPr>
          <w:rFonts w:ascii="黑体" w:hAnsi="黑体" w:cs="黑体" w:eastAsia="黑体" w:hint="default"/>
          <w:spacing w:val="2"/>
          <w:sz w:val="84"/>
          <w:szCs w:val="84"/>
        </w:rPr>
      </w:r>
    </w:p>
    <w:p>
      <w:pPr>
        <w:spacing w:line="240" w:lineRule="auto" w:before="5"/>
        <w:rPr>
          <w:rFonts w:ascii="黑体" w:hAnsi="黑体" w:cs="黑体" w:eastAsia="黑体" w:hint="default"/>
          <w:b/>
          <w:bCs/>
          <w:sz w:val="119"/>
          <w:szCs w:val="119"/>
        </w:rPr>
      </w:pPr>
    </w:p>
    <w:p>
      <w:pPr>
        <w:spacing w:line="379" w:lineRule="auto" w:before="0"/>
        <w:ind w:left="3314" w:right="2127" w:firstLine="0"/>
        <w:jc w:val="left"/>
        <w:rPr>
          <w:rFonts w:ascii="宋体" w:hAnsi="宋体" w:cs="宋体" w:eastAsia="宋体" w:hint="default"/>
          <w:sz w:val="32"/>
          <w:szCs w:val="32"/>
        </w:rPr>
      </w:pPr>
      <w:r>
        <w:rPr>
          <w:rFonts w:ascii="宋体" w:hAnsi="宋体" w:cs="宋体" w:eastAsia="宋体" w:hint="default"/>
          <w:b/>
          <w:bCs/>
          <w:sz w:val="32"/>
          <w:szCs w:val="32"/>
        </w:rPr>
        <w:t>股票代码：002331</w:t>
      </w:r>
      <w:r>
        <w:rPr>
          <w:rFonts w:ascii="宋体" w:hAnsi="宋体" w:cs="宋体" w:eastAsia="宋体" w:hint="default"/>
          <w:b/>
          <w:bCs/>
          <w:w w:val="98"/>
          <w:sz w:val="32"/>
          <w:szCs w:val="32"/>
        </w:rPr>
        <w:t> </w:t>
      </w:r>
      <w:r>
        <w:rPr>
          <w:rFonts w:ascii="宋体" w:hAnsi="宋体" w:cs="宋体" w:eastAsia="宋体" w:hint="default"/>
          <w:b/>
          <w:bCs/>
          <w:sz w:val="32"/>
          <w:szCs w:val="32"/>
        </w:rPr>
        <w:t>股票简称：皖通科技</w:t>
      </w:r>
      <w:r>
        <w:rPr>
          <w:rFonts w:ascii="宋体" w:hAnsi="宋体" w:cs="宋体" w:eastAsia="宋体" w:hint="default"/>
          <w:b/>
          <w:bCs/>
          <w:w w:val="99"/>
          <w:sz w:val="32"/>
          <w:szCs w:val="32"/>
        </w:rPr>
        <w:t> </w:t>
      </w:r>
      <w:r>
        <w:rPr>
          <w:rFonts w:ascii="宋体" w:hAnsi="宋体" w:cs="宋体" w:eastAsia="宋体" w:hint="default"/>
          <w:b/>
          <w:bCs/>
          <w:w w:val="95"/>
          <w:sz w:val="32"/>
          <w:szCs w:val="32"/>
        </w:rPr>
        <w:t>披露日期：2020年4月28日</w:t>
      </w:r>
      <w:r>
        <w:rPr>
          <w:rFonts w:ascii="宋体" w:hAnsi="宋体" w:cs="宋体" w:eastAsia="宋体" w:hint="default"/>
          <w:sz w:val="32"/>
          <w:szCs w:val="32"/>
        </w:rPr>
      </w:r>
    </w:p>
    <w:p>
      <w:pPr>
        <w:spacing w:after="0" w:line="379" w:lineRule="auto"/>
        <w:jc w:val="left"/>
        <w:rPr>
          <w:rFonts w:ascii="宋体" w:hAnsi="宋体" w:cs="宋体" w:eastAsia="宋体" w:hint="default"/>
          <w:sz w:val="32"/>
          <w:szCs w:val="32"/>
        </w:rPr>
        <w:sectPr>
          <w:headerReference w:type="default" r:id="rId5"/>
          <w:footerReference w:type="default" r:id="rId6"/>
          <w:type w:val="continuous"/>
          <w:pgSz w:w="11910" w:h="16840"/>
          <w:pgMar w:header="919" w:footer="1016" w:top="1120" w:bottom="1200" w:left="1020" w:right="0"/>
          <w:pgNumType w:start="1"/>
        </w:sectPr>
      </w:pPr>
    </w:p>
    <w:p>
      <w:pPr>
        <w:spacing w:line="240" w:lineRule="auto" w:before="0"/>
        <w:rPr>
          <w:rFonts w:ascii="宋体" w:hAnsi="宋体" w:cs="宋体" w:eastAsia="宋体" w:hint="default"/>
          <w:b/>
          <w:bCs/>
          <w:sz w:val="20"/>
          <w:szCs w:val="20"/>
        </w:rPr>
      </w:pPr>
    </w:p>
    <w:p>
      <w:pPr>
        <w:pStyle w:val="Heading1"/>
        <w:spacing w:line="240" w:lineRule="auto" w:before="171"/>
        <w:ind w:left="2846" w:right="2127"/>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128" w:firstLine="561"/>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spacing w:val="-135"/>
        </w:rPr>
        <w:t> </w:t>
      </w:r>
      <w:r>
        <w:rPr>
          <w:spacing w:val="-135"/>
        </w:rPr>
      </w:r>
      <w:r>
        <w:rPr/>
        <w:t>带的法律责任。</w:t>
      </w:r>
      <w:r>
        <w:rPr>
          <w:b w:val="0"/>
          <w:bCs w:val="0"/>
        </w:rPr>
      </w:r>
    </w:p>
    <w:p>
      <w:pPr>
        <w:pStyle w:val="Heading2"/>
        <w:spacing w:line="408" w:lineRule="auto" w:before="162"/>
        <w:ind w:right="1128" w:firstLine="561"/>
        <w:jc w:val="both"/>
        <w:rPr>
          <w:b w:val="0"/>
          <w:bCs w:val="0"/>
        </w:rPr>
      </w:pPr>
      <w:r>
        <w:rPr>
          <w:spacing w:val="2"/>
        </w:rPr>
        <w:t>公司负责人廖凯、主管会计工作负责人卢玉平及会计机构负责人（会计主</w:t>
      </w:r>
      <w:r>
        <w:rPr>
          <w:w w:val="99"/>
        </w:rPr>
        <w:t> </w:t>
      </w:r>
      <w:r>
        <w:rPr/>
        <w:t>管人员）诸黎明声明：保证年度报告中财务报告的真实、准确、完整。</w:t>
      </w:r>
      <w:r>
        <w:rPr>
          <w:b w:val="0"/>
          <w:bCs w:val="0"/>
        </w:rPr>
      </w:r>
    </w:p>
    <w:p>
      <w:pPr>
        <w:pStyle w:val="Heading2"/>
        <w:spacing w:line="408" w:lineRule="auto" w:before="162"/>
        <w:ind w:right="0" w:firstLine="561"/>
        <w:jc w:val="left"/>
        <w:rPr>
          <w:b w:val="0"/>
          <w:bCs w:val="0"/>
        </w:rPr>
      </w:pPr>
      <w:r>
        <w:rPr>
          <w:spacing w:val="-3"/>
        </w:rPr>
        <w:t>董事周发展对年度报告内容存在异议，无法保证本报告内容的真实、准确、</w:t>
      </w:r>
      <w:r>
        <w:rPr>
          <w:w w:val="99"/>
        </w:rPr>
        <w:t> </w:t>
      </w:r>
      <w:r>
        <w:rPr>
          <w:spacing w:val="2"/>
        </w:rPr>
        <w:t>完整，理由为资产负债表日后事项说明表述不实，与事实相悖，与年报公司治</w:t>
      </w:r>
      <w:r>
        <w:rPr>
          <w:spacing w:val="-135"/>
        </w:rPr>
        <w:t> </w:t>
      </w:r>
      <w:r>
        <w:rPr>
          <w:spacing w:val="-135"/>
        </w:rPr>
      </w:r>
      <w:r>
        <w:rPr/>
        <w:t>理章节内容和年度内部控制报告等内容相违背。请投资者特别关注。</w:t>
      </w:r>
      <w:r>
        <w:rPr>
          <w:b w:val="0"/>
          <w:bCs w:val="0"/>
        </w:rPr>
      </w:r>
    </w:p>
    <w:p>
      <w:pPr>
        <w:pStyle w:val="Heading2"/>
        <w:spacing w:line="475" w:lineRule="auto" w:before="160"/>
        <w:ind w:left="674" w:right="0"/>
        <w:jc w:val="left"/>
        <w:rPr>
          <w:b w:val="0"/>
          <w:bCs w:val="0"/>
        </w:rPr>
      </w:pPr>
      <w:r>
        <w:rPr/>
        <w:t>所有董事均已出席了审议本报告的董事会会议。</w:t>
      </w:r>
      <w:r>
        <w:rPr>
          <w:w w:val="99"/>
        </w:rPr>
        <w:t> </w:t>
      </w:r>
      <w:r>
        <w:rPr>
          <w:spacing w:val="2"/>
        </w:rPr>
        <w:t>本报告中涉及的对未来年度计划及发展规划等前瞻性陈述，不构成公司对</w:t>
      </w:r>
      <w:r>
        <w:rPr>
          <w:b w:val="0"/>
          <w:bCs w:val="0"/>
          <w:spacing w:val="2"/>
        </w:rPr>
      </w:r>
    </w:p>
    <w:p>
      <w:pPr>
        <w:pStyle w:val="Heading2"/>
        <w:spacing w:line="350" w:lineRule="exact"/>
        <w:ind w:right="2127"/>
        <w:jc w:val="left"/>
        <w:rPr>
          <w:b w:val="0"/>
          <w:bCs w:val="0"/>
        </w:rPr>
      </w:pPr>
      <w:r>
        <w:rPr/>
        <w:t>投资者的实质承诺，请投资者注意投资风险。</w:t>
      </w:r>
      <w:r>
        <w:rPr>
          <w:b w:val="0"/>
          <w:bCs w:val="0"/>
        </w:rPr>
      </w:r>
    </w:p>
    <w:p>
      <w:pPr>
        <w:spacing w:line="240" w:lineRule="auto" w:before="5"/>
        <w:rPr>
          <w:rFonts w:ascii="宋体" w:hAnsi="宋体" w:cs="宋体" w:eastAsia="宋体" w:hint="default"/>
          <w:b/>
          <w:bCs/>
          <w:sz w:val="27"/>
          <w:szCs w:val="27"/>
        </w:rPr>
      </w:pPr>
    </w:p>
    <w:p>
      <w:pPr>
        <w:pStyle w:val="Heading2"/>
        <w:spacing w:line="408" w:lineRule="auto"/>
        <w:ind w:right="1127" w:firstLine="561"/>
        <w:jc w:val="both"/>
        <w:rPr>
          <w:b w:val="0"/>
          <w:bCs w:val="0"/>
        </w:rPr>
      </w:pPr>
      <w:r>
        <w:rPr/>
        <w:t>公司在本报告“第四节</w:t>
      </w:r>
      <w:r>
        <w:rPr>
          <w:spacing w:val="-7"/>
        </w:rPr>
        <w:t> </w:t>
      </w:r>
      <w:r>
        <w:rPr>
          <w:spacing w:val="-3"/>
        </w:rPr>
        <w:t>经营情况讨论与分析”中“九、公司未来发展的展</w:t>
      </w:r>
      <w:r>
        <w:rPr>
          <w:w w:val="99"/>
        </w:rPr>
        <w:t> </w:t>
      </w:r>
      <w:r>
        <w:rPr>
          <w:spacing w:val="-6"/>
          <w:w w:val="99"/>
        </w:rPr>
        <w:t>望”之“（四）企业面临的风险及应对措施”，详细描述了公司经营中可能存在</w:t>
      </w:r>
      <w:r>
        <w:rPr>
          <w:spacing w:val="-135"/>
          <w:w w:val="99"/>
        </w:rPr>
        <w:t> </w:t>
      </w:r>
      <w:r>
        <w:rPr>
          <w:spacing w:val="-135"/>
          <w:w w:val="99"/>
        </w:rPr>
      </w:r>
      <w:r>
        <w:rPr/>
        <w:t>的风险及应对措施，敬请投资者关注相关内容。</w:t>
      </w:r>
      <w:r>
        <w:rPr>
          <w:b w:val="0"/>
          <w:bCs w:val="0"/>
        </w:rPr>
      </w:r>
    </w:p>
    <w:p>
      <w:pPr>
        <w:pStyle w:val="Heading2"/>
        <w:spacing w:line="240" w:lineRule="auto" w:before="160"/>
        <w:ind w:left="674" w:right="0"/>
        <w:jc w:val="left"/>
        <w:rPr>
          <w:b w:val="0"/>
          <w:bCs w:val="0"/>
        </w:rPr>
      </w:pPr>
      <w:r>
        <w:rPr>
          <w:spacing w:val="2"/>
        </w:rPr>
        <w:t>公司经本次董事会审议通过的利润分配预案为：以公司截至</w:t>
      </w:r>
      <w:r>
        <w:rPr>
          <w:spacing w:val="-68"/>
        </w:rPr>
        <w:t> </w:t>
      </w:r>
      <w:r>
        <w:rPr/>
        <w:t>2019</w:t>
      </w:r>
      <w:r>
        <w:rPr>
          <w:spacing w:val="-66"/>
        </w:rPr>
        <w:t> </w:t>
      </w:r>
      <w:r>
        <w:rPr/>
        <w:t>年</w:t>
      </w:r>
      <w:r>
        <w:rPr>
          <w:spacing w:val="-65"/>
        </w:rPr>
        <w:t> </w:t>
      </w:r>
      <w:r>
        <w:rPr/>
        <w:t>12</w:t>
      </w:r>
      <w:r>
        <w:rPr>
          <w:spacing w:val="-69"/>
        </w:rPr>
        <w:t> </w:t>
      </w:r>
      <w:r>
        <w:rPr/>
        <w:t>月</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right="0"/>
        <w:jc w:val="left"/>
        <w:rPr>
          <w:b w:val="0"/>
          <w:bCs w:val="0"/>
        </w:rPr>
      </w:pPr>
      <w:r>
        <w:rPr>
          <w:spacing w:val="1"/>
          <w:w w:val="99"/>
        </w:rPr>
        <w:t>3</w:t>
      </w:r>
      <w:r>
        <w:rPr>
          <w:w w:val="99"/>
        </w:rPr>
        <w:t>1</w:t>
      </w:r>
      <w:r>
        <w:rPr>
          <w:spacing w:val="-90"/>
        </w:rPr>
        <w:t> </w:t>
      </w:r>
      <w:r>
        <w:rPr>
          <w:spacing w:val="-1"/>
          <w:w w:val="99"/>
        </w:rPr>
        <w:t>日总股</w:t>
      </w:r>
      <w:r>
        <w:rPr>
          <w:w w:val="99"/>
        </w:rPr>
        <w:t>本</w:t>
      </w:r>
      <w:r>
        <w:rPr>
          <w:spacing w:val="-89"/>
        </w:rPr>
        <w:t> </w:t>
      </w:r>
      <w:r>
        <w:rPr>
          <w:spacing w:val="1"/>
          <w:w w:val="99"/>
        </w:rPr>
        <w:t>412,072,</w:t>
      </w:r>
      <w:r>
        <w:rPr>
          <w:spacing w:val="-2"/>
          <w:w w:val="99"/>
        </w:rPr>
        <w:t>46</w:t>
      </w:r>
      <w:r>
        <w:rPr>
          <w:w w:val="99"/>
        </w:rPr>
        <w:t>9</w:t>
      </w:r>
      <w:r>
        <w:rPr>
          <w:spacing w:val="-92"/>
        </w:rPr>
        <w:t> </w:t>
      </w:r>
      <w:r>
        <w:rPr>
          <w:spacing w:val="-1"/>
          <w:w w:val="99"/>
        </w:rPr>
        <w:t>股为</w:t>
      </w:r>
      <w:r>
        <w:rPr>
          <w:spacing w:val="2"/>
          <w:w w:val="99"/>
        </w:rPr>
        <w:t>基</w:t>
      </w:r>
      <w:r>
        <w:rPr>
          <w:spacing w:val="-1"/>
          <w:w w:val="99"/>
        </w:rPr>
        <w:t>数</w:t>
      </w:r>
      <w:r>
        <w:rPr>
          <w:spacing w:val="-140"/>
          <w:w w:val="99"/>
        </w:rPr>
        <w:t>，</w:t>
      </w:r>
      <w:r>
        <w:rPr>
          <w:spacing w:val="-1"/>
          <w:w w:val="99"/>
        </w:rPr>
        <w:t>向全</w:t>
      </w:r>
      <w:r>
        <w:rPr>
          <w:spacing w:val="2"/>
          <w:w w:val="99"/>
        </w:rPr>
        <w:t>体</w:t>
      </w:r>
      <w:r>
        <w:rPr>
          <w:spacing w:val="-1"/>
          <w:w w:val="99"/>
        </w:rPr>
        <w:t>股东</w:t>
      </w:r>
      <w:r>
        <w:rPr>
          <w:w w:val="99"/>
        </w:rPr>
        <w:t>每</w:t>
      </w:r>
      <w:r>
        <w:rPr>
          <w:spacing w:val="-91"/>
        </w:rPr>
        <w:t> </w:t>
      </w:r>
      <w:r>
        <w:rPr>
          <w:spacing w:val="1"/>
          <w:w w:val="99"/>
        </w:rPr>
        <w:t>1</w:t>
      </w:r>
      <w:r>
        <w:rPr>
          <w:w w:val="99"/>
        </w:rPr>
        <w:t>0</w:t>
      </w:r>
      <w:r>
        <w:rPr>
          <w:spacing w:val="-90"/>
        </w:rPr>
        <w:t> </w:t>
      </w:r>
      <w:r>
        <w:rPr>
          <w:spacing w:val="-1"/>
          <w:w w:val="99"/>
        </w:rPr>
        <w:t>股派</w:t>
      </w:r>
      <w:r>
        <w:rPr>
          <w:spacing w:val="2"/>
          <w:w w:val="99"/>
        </w:rPr>
        <w:t>发</w:t>
      </w:r>
      <w:r>
        <w:rPr>
          <w:spacing w:val="-1"/>
          <w:w w:val="99"/>
        </w:rPr>
        <w:t>现金红</w:t>
      </w:r>
      <w:r>
        <w:rPr>
          <w:w w:val="99"/>
        </w:rPr>
        <w:t>利</w:t>
      </w:r>
      <w:r>
        <w:rPr>
          <w:spacing w:val="-91"/>
        </w:rPr>
        <w:t> </w:t>
      </w:r>
      <w:r>
        <w:rPr>
          <w:spacing w:val="1"/>
          <w:w w:val="99"/>
        </w:rPr>
        <w:t>0.</w:t>
      </w:r>
      <w:r>
        <w:rPr>
          <w:w w:val="99"/>
        </w:rPr>
        <w:t>7</w:t>
      </w:r>
      <w:r>
        <w:rPr>
          <w:spacing w:val="-90"/>
        </w:rPr>
        <w:t> </w:t>
      </w:r>
      <w:r>
        <w:rPr>
          <w:spacing w:val="-140"/>
          <w:w w:val="99"/>
        </w:rPr>
        <w:t>元</w:t>
      </w:r>
      <w:r>
        <w:rPr>
          <w:spacing w:val="-1"/>
          <w:w w:val="99"/>
        </w:rPr>
        <w:t>（</w:t>
      </w:r>
      <w:r>
        <w:rPr>
          <w:w w:val="99"/>
        </w:rPr>
        <w:t>含</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right="2127"/>
        <w:jc w:val="left"/>
        <w:rPr>
          <w:b w:val="0"/>
          <w:bCs w:val="0"/>
        </w:rPr>
      </w:pPr>
      <w:r>
        <w:rPr>
          <w:spacing w:val="2"/>
          <w:w w:val="99"/>
        </w:rPr>
        <w:t>税</w:t>
      </w:r>
      <w:r>
        <w:rPr>
          <w:spacing w:val="-142"/>
          <w:w w:val="99"/>
        </w:rPr>
        <w:t>）</w:t>
      </w:r>
      <w:r>
        <w:rPr>
          <w:spacing w:val="-1"/>
          <w:w w:val="99"/>
        </w:rPr>
        <w:t>，送红</w:t>
      </w:r>
      <w:r>
        <w:rPr>
          <w:w w:val="99"/>
        </w:rPr>
        <w:t>股</w:t>
      </w:r>
      <w:r>
        <w:rPr>
          <w:spacing w:val="-70"/>
        </w:rPr>
        <w:t> </w:t>
      </w:r>
      <w:r>
        <w:rPr>
          <w:w w:val="99"/>
        </w:rPr>
        <w:t>0</w:t>
      </w:r>
      <w:r>
        <w:rPr>
          <w:spacing w:val="-71"/>
        </w:rPr>
        <w:t> </w:t>
      </w:r>
      <w:r>
        <w:rPr>
          <w:spacing w:val="-1"/>
          <w:w w:val="99"/>
        </w:rPr>
        <w:t>股（含税</w:t>
      </w:r>
      <w:r>
        <w:rPr>
          <w:spacing w:val="-140"/>
          <w:w w:val="99"/>
        </w:rPr>
        <w:t>）</w:t>
      </w:r>
      <w:r>
        <w:rPr>
          <w:spacing w:val="-1"/>
          <w:w w:val="99"/>
        </w:rPr>
        <w:t>，不以公</w:t>
      </w:r>
      <w:r>
        <w:rPr>
          <w:spacing w:val="2"/>
          <w:w w:val="99"/>
        </w:rPr>
        <w:t>积</w:t>
      </w:r>
      <w:r>
        <w:rPr>
          <w:spacing w:val="-1"/>
          <w:w w:val="99"/>
        </w:rPr>
        <w:t>金转增股本</w:t>
      </w:r>
      <w:r>
        <w:rPr>
          <w:w w:val="99"/>
        </w:rPr>
        <w:t>。</w:t>
      </w:r>
      <w:r>
        <w:rPr>
          <w:b w:val="0"/>
          <w:bCs w:val="0"/>
        </w:rPr>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tabs>
          <w:tab w:pos="719" w:val="left" w:leader="none"/>
        </w:tabs>
        <w:spacing w:line="460" w:lineRule="exact" w:before="0"/>
        <w:ind w:left="0" w:right="1021"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51" w:val="right" w:leader="dot"/>
            </w:tabs>
            <w:spacing w:line="240" w:lineRule="auto" w:before="0"/>
            <w:ind w:right="0"/>
            <w:jc w:val="left"/>
            <w:rPr>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b w:val="0"/>
                <w:bCs w:val="0"/>
              </w:rPr>
              <w:tab/>
            </w:r>
            <w:r>
              <w:rPr/>
              <w:t>2</w:t>
            </w:r>
            <w:r>
              <w:rPr>
                <w:b w:val="0"/>
                <w:bCs w:val="0"/>
              </w:rPr>
            </w:r>
          </w:hyperlink>
        </w:p>
        <w:p>
          <w:pPr>
            <w:pStyle w:val="TOC1"/>
            <w:tabs>
              <w:tab w:pos="9751" w:val="right" w:leader="dot"/>
            </w:tabs>
            <w:spacing w:line="240" w:lineRule="auto"/>
            <w:ind w:right="0"/>
            <w:jc w:val="left"/>
            <w:rPr>
              <w:b w:val="0"/>
              <w:bCs w:val="0"/>
            </w:rPr>
          </w:pPr>
          <w:hyperlink w:history="true" w:anchor="_bookmark1">
            <w:r>
              <w:rPr/>
              <w:t>第二节 公司简介和主要财务指标</w:t>
            </w:r>
            <w:r>
              <w:rPr>
                <w:rFonts w:ascii="Times New Roman" w:hAnsi="Times New Roman" w:cs="Times New Roman" w:eastAsia="Times New Roman" w:hint="default"/>
                <w:b w:val="0"/>
                <w:bCs w:val="0"/>
              </w:rPr>
              <w:tab/>
            </w:r>
            <w:r>
              <w:rPr/>
              <w:t>6</w:t>
            </w:r>
            <w:r>
              <w:rPr>
                <w:b w:val="0"/>
                <w:bCs w:val="0"/>
              </w:rPr>
            </w:r>
          </w:hyperlink>
        </w:p>
        <w:p>
          <w:pPr>
            <w:pStyle w:val="TOC1"/>
            <w:tabs>
              <w:tab w:pos="9751" w:val="right" w:leader="dot"/>
            </w:tabs>
            <w:spacing w:line="240" w:lineRule="auto"/>
            <w:ind w:right="0"/>
            <w:jc w:val="left"/>
            <w:rPr>
              <w:b w:val="0"/>
              <w:bCs w:val="0"/>
            </w:rPr>
          </w:pPr>
          <w:hyperlink w:history="true" w:anchor="_bookmark2">
            <w:r>
              <w:rPr/>
              <w:t>第三节 公司业务概要</w:t>
            </w:r>
            <w:r>
              <w:rPr>
                <w:rFonts w:ascii="Times New Roman" w:hAnsi="Times New Roman" w:cs="Times New Roman" w:eastAsia="Times New Roman" w:hint="default"/>
                <w:b w:val="0"/>
                <w:bCs w:val="0"/>
              </w:rPr>
              <w:tab/>
            </w:r>
            <w:r>
              <w:rPr/>
              <w:t>10</w:t>
            </w:r>
            <w:r>
              <w:rPr>
                <w:b w:val="0"/>
                <w:bCs w:val="0"/>
              </w:rPr>
            </w:r>
          </w:hyperlink>
        </w:p>
        <w:p>
          <w:pPr>
            <w:pStyle w:val="TOC1"/>
            <w:tabs>
              <w:tab w:pos="9751" w:val="right" w:leader="dot"/>
            </w:tabs>
            <w:spacing w:line="240" w:lineRule="auto"/>
            <w:ind w:right="0"/>
            <w:jc w:val="left"/>
            <w:rPr>
              <w:b w:val="0"/>
              <w:bCs w:val="0"/>
            </w:rPr>
          </w:pPr>
          <w:hyperlink w:history="true" w:anchor="_bookmark3">
            <w:r>
              <w:rPr/>
              <w:t>第四节 经营情况讨论与分析</w:t>
            </w:r>
            <w:r>
              <w:rPr>
                <w:rFonts w:ascii="Times New Roman" w:hAnsi="Times New Roman" w:cs="Times New Roman" w:eastAsia="Times New Roman" w:hint="default"/>
                <w:b w:val="0"/>
                <w:bCs w:val="0"/>
              </w:rPr>
              <w:tab/>
            </w:r>
            <w:r>
              <w:rPr/>
              <w:t>13</w:t>
            </w:r>
            <w:r>
              <w:rPr>
                <w:b w:val="0"/>
                <w:bCs w:val="0"/>
              </w:rPr>
            </w:r>
          </w:hyperlink>
        </w:p>
        <w:p>
          <w:pPr>
            <w:pStyle w:val="TOC1"/>
            <w:tabs>
              <w:tab w:pos="9753" w:val="right" w:leader="dot"/>
            </w:tabs>
            <w:spacing w:line="240" w:lineRule="auto"/>
            <w:ind w:right="0"/>
            <w:jc w:val="left"/>
            <w:rPr>
              <w:b w:val="0"/>
              <w:bCs w:val="0"/>
            </w:rPr>
          </w:pPr>
          <w:hyperlink w:history="true" w:anchor="_bookmark4">
            <w:r>
              <w:rPr/>
              <w:t>第五节 重要事项</w:t>
            </w:r>
            <w:r>
              <w:rPr>
                <w:rFonts w:ascii="Times New Roman" w:hAnsi="Times New Roman" w:cs="Times New Roman" w:eastAsia="Times New Roman" w:hint="default"/>
                <w:b w:val="0"/>
                <w:bCs w:val="0"/>
              </w:rPr>
              <w:tab/>
            </w:r>
            <w:r>
              <w:rPr/>
              <w:t>35</w:t>
            </w:r>
            <w:r>
              <w:rPr>
                <w:b w:val="0"/>
                <w:bCs w:val="0"/>
              </w:rPr>
            </w:r>
          </w:hyperlink>
        </w:p>
        <w:p>
          <w:pPr>
            <w:pStyle w:val="TOC1"/>
            <w:tabs>
              <w:tab w:pos="9751" w:val="right" w:leader="dot"/>
            </w:tabs>
            <w:spacing w:line="240" w:lineRule="auto"/>
            <w:ind w:right="0"/>
            <w:jc w:val="left"/>
            <w:rPr>
              <w:b w:val="0"/>
              <w:bCs w:val="0"/>
            </w:rPr>
          </w:pPr>
          <w:hyperlink w:history="true" w:anchor="_bookmark5">
            <w:r>
              <w:rPr/>
              <w:t>第六节 股份变动及股东情况</w:t>
            </w:r>
            <w:r>
              <w:rPr>
                <w:rFonts w:ascii="Times New Roman" w:hAnsi="Times New Roman" w:cs="Times New Roman" w:eastAsia="Times New Roman" w:hint="default"/>
                <w:b w:val="0"/>
                <w:bCs w:val="0"/>
              </w:rPr>
              <w:tab/>
            </w:r>
            <w:r>
              <w:rPr/>
              <w:t>60</w:t>
            </w:r>
            <w:r>
              <w:rPr>
                <w:b w:val="0"/>
                <w:bCs w:val="0"/>
              </w:rPr>
            </w:r>
          </w:hyperlink>
        </w:p>
        <w:p>
          <w:pPr>
            <w:pStyle w:val="TOC1"/>
            <w:tabs>
              <w:tab w:pos="9751" w:val="right" w:leader="dot"/>
            </w:tabs>
            <w:spacing w:line="240" w:lineRule="auto"/>
            <w:ind w:right="0"/>
            <w:jc w:val="left"/>
            <w:rPr>
              <w:b w:val="0"/>
              <w:bCs w:val="0"/>
            </w:rPr>
          </w:pPr>
          <w:hyperlink w:history="true" w:anchor="_bookmark6">
            <w:r>
              <w:rPr/>
              <w:t>第七节 优先股相关情况</w:t>
            </w:r>
            <w:r>
              <w:rPr>
                <w:rFonts w:ascii="Times New Roman" w:hAnsi="Times New Roman" w:cs="Times New Roman" w:eastAsia="Times New Roman" w:hint="default"/>
                <w:b w:val="0"/>
                <w:bCs w:val="0"/>
              </w:rPr>
              <w:tab/>
            </w:r>
            <w:r>
              <w:rPr/>
              <w:t>70</w:t>
            </w:r>
            <w:r>
              <w:rPr>
                <w:b w:val="0"/>
                <w:bCs w:val="0"/>
              </w:rPr>
            </w:r>
          </w:hyperlink>
        </w:p>
        <w:p>
          <w:pPr>
            <w:pStyle w:val="TOC1"/>
            <w:tabs>
              <w:tab w:pos="9751" w:val="right" w:leader="dot"/>
            </w:tabs>
            <w:spacing w:line="240" w:lineRule="auto"/>
            <w:ind w:right="0"/>
            <w:jc w:val="left"/>
            <w:rPr>
              <w:b w:val="0"/>
              <w:bCs w:val="0"/>
            </w:rPr>
          </w:pPr>
          <w:hyperlink w:history="true" w:anchor="_bookmark7">
            <w:r>
              <w:rPr/>
              <w:t>第八节 可转换公司债券相关情况</w:t>
            </w:r>
            <w:r>
              <w:rPr>
                <w:rFonts w:ascii="Times New Roman" w:hAnsi="Times New Roman" w:cs="Times New Roman" w:eastAsia="Times New Roman" w:hint="default"/>
                <w:b w:val="0"/>
                <w:bCs w:val="0"/>
              </w:rPr>
              <w:tab/>
            </w:r>
            <w:r>
              <w:rPr/>
              <w:t>71</w:t>
            </w:r>
            <w:r>
              <w:rPr>
                <w:b w:val="0"/>
                <w:bCs w:val="0"/>
              </w:rPr>
            </w:r>
          </w:hyperlink>
        </w:p>
        <w:p>
          <w:pPr>
            <w:pStyle w:val="TOC1"/>
            <w:tabs>
              <w:tab w:pos="9751" w:val="right" w:leader="dot"/>
            </w:tabs>
            <w:spacing w:line="240" w:lineRule="auto"/>
            <w:ind w:right="0"/>
            <w:jc w:val="left"/>
            <w:rPr>
              <w:b w:val="0"/>
              <w:bCs w:val="0"/>
            </w:rPr>
          </w:pPr>
          <w:hyperlink w:history="true" w:anchor="_bookmark8">
            <w:r>
              <w:rPr/>
              <w:t>第九节 董事、监事、高级管理人员和员工情况</w:t>
            </w:r>
            <w:r>
              <w:rPr>
                <w:rFonts w:ascii="Times New Roman" w:hAnsi="Times New Roman" w:cs="Times New Roman" w:eastAsia="Times New Roman" w:hint="default"/>
                <w:b w:val="0"/>
                <w:bCs w:val="0"/>
              </w:rPr>
              <w:tab/>
            </w:r>
            <w:r>
              <w:rPr/>
              <w:t>72</w:t>
            </w:r>
            <w:r>
              <w:rPr>
                <w:b w:val="0"/>
                <w:bCs w:val="0"/>
              </w:rPr>
            </w:r>
          </w:hyperlink>
        </w:p>
        <w:p>
          <w:pPr>
            <w:pStyle w:val="TOC1"/>
            <w:tabs>
              <w:tab w:pos="9753" w:val="right" w:leader="dot"/>
            </w:tabs>
            <w:spacing w:line="240" w:lineRule="auto"/>
            <w:ind w:right="0"/>
            <w:jc w:val="left"/>
            <w:rPr>
              <w:b w:val="0"/>
              <w:bCs w:val="0"/>
            </w:rPr>
          </w:pPr>
          <w:hyperlink w:history="true" w:anchor="_bookmark9">
            <w:r>
              <w:rPr/>
              <w:t>第十节 公司治理</w:t>
            </w:r>
            <w:r>
              <w:rPr>
                <w:rFonts w:ascii="Times New Roman" w:hAnsi="Times New Roman" w:cs="Times New Roman" w:eastAsia="Times New Roman" w:hint="default"/>
                <w:b w:val="0"/>
                <w:bCs w:val="0"/>
              </w:rPr>
              <w:tab/>
            </w:r>
            <w:r>
              <w:rPr/>
              <w:t>84</w:t>
            </w:r>
            <w:r>
              <w:rPr>
                <w:b w:val="0"/>
                <w:bCs w:val="0"/>
              </w:rPr>
            </w:r>
          </w:hyperlink>
        </w:p>
        <w:p>
          <w:pPr>
            <w:pStyle w:val="TOC1"/>
            <w:tabs>
              <w:tab w:pos="9751" w:val="right" w:leader="dot"/>
            </w:tabs>
            <w:spacing w:line="240" w:lineRule="auto"/>
            <w:ind w:right="0"/>
            <w:jc w:val="left"/>
            <w:rPr>
              <w:b w:val="0"/>
              <w:bCs w:val="0"/>
            </w:rPr>
          </w:pPr>
          <w:hyperlink w:history="true" w:anchor="_bookmark10">
            <w:r>
              <w:rPr/>
              <w:t>第十一节 公司债券相关情况</w:t>
            </w:r>
            <w:r>
              <w:rPr>
                <w:rFonts w:ascii="Times New Roman" w:hAnsi="Times New Roman" w:cs="Times New Roman" w:eastAsia="Times New Roman" w:hint="default"/>
                <w:b w:val="0"/>
                <w:bCs w:val="0"/>
              </w:rPr>
              <w:tab/>
            </w:r>
            <w:r>
              <w:rPr/>
              <w:t>91</w:t>
            </w:r>
            <w:r>
              <w:rPr>
                <w:b w:val="0"/>
                <w:bCs w:val="0"/>
              </w:rPr>
            </w:r>
          </w:hyperlink>
        </w:p>
        <w:p>
          <w:pPr>
            <w:pStyle w:val="TOC1"/>
            <w:tabs>
              <w:tab w:pos="9751" w:val="right" w:leader="dot"/>
            </w:tabs>
            <w:spacing w:line="240" w:lineRule="auto"/>
            <w:ind w:right="0"/>
            <w:jc w:val="left"/>
            <w:rPr>
              <w:b w:val="0"/>
              <w:bCs w:val="0"/>
            </w:rPr>
          </w:pPr>
          <w:hyperlink w:history="true" w:anchor="_bookmark11">
            <w:r>
              <w:rPr/>
              <w:t>第十二节 财务报告</w:t>
            </w:r>
            <w:r>
              <w:rPr>
                <w:rFonts w:ascii="Times New Roman" w:hAnsi="Times New Roman" w:cs="Times New Roman" w:eastAsia="Times New Roman" w:hint="default"/>
                <w:b w:val="0"/>
                <w:bCs w:val="0"/>
              </w:rPr>
              <w:tab/>
            </w:r>
            <w:r>
              <w:rPr/>
              <w:t>92</w:t>
            </w:r>
            <w:r>
              <w:rPr>
                <w:b w:val="0"/>
                <w:bCs w:val="0"/>
              </w:rPr>
            </w:r>
          </w:hyperlink>
        </w:p>
        <w:p>
          <w:pPr>
            <w:pStyle w:val="TOC1"/>
            <w:tabs>
              <w:tab w:pos="9751" w:val="right" w:leader="dot"/>
            </w:tabs>
            <w:spacing w:line="240" w:lineRule="auto"/>
            <w:ind w:right="0"/>
            <w:jc w:val="left"/>
            <w:rPr>
              <w:b w:val="0"/>
              <w:bCs w:val="0"/>
            </w:rPr>
          </w:pPr>
          <w:hyperlink w:history="true" w:anchor="_bookmark12">
            <w:r>
              <w:rPr/>
              <w:t>第十三节 备查文件目录</w:t>
            </w:r>
            <w:r>
              <w:rPr>
                <w:rFonts w:ascii="Times New Roman" w:hAnsi="Times New Roman" w:cs="Times New Roman" w:eastAsia="Times New Roman" w:hint="default"/>
                <w:b w:val="0"/>
                <w:bCs w:val="0"/>
              </w:rPr>
              <w:tab/>
            </w:r>
            <w:r>
              <w:rPr/>
              <w:t>245</w:t>
            </w:r>
            <w:r>
              <w:rPr>
                <w:b w:val="0"/>
                <w:bCs w:val="0"/>
              </w:rPr>
            </w:r>
          </w:hyperlink>
        </w:p>
        <w:p>
          <w:pPr/>
          <w:r>
            <w:fldChar w:fldCharType="end"/>
          </w:r>
        </w:p>
      </w:sdtContent>
    </w:sdt>
    <w:p>
      <w:pPr>
        <w:spacing w:after="0"/>
        <w:sectPr>
          <w:pgSz w:w="11910" w:h="16840"/>
          <w:pgMar w:header="919" w:footer="1016" w:top="1120" w:bottom="1200" w:left="1020" w:right="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24"/>
        <w:ind w:left="0" w:right="1020" w:firstLine="0"/>
        <w:jc w:val="center"/>
        <w:rPr>
          <w:rFonts w:ascii="宋体" w:hAnsi="宋体" w:cs="宋体" w:eastAsia="宋体" w:hint="default"/>
          <w:sz w:val="32"/>
          <w:szCs w:val="32"/>
        </w:rPr>
      </w:pPr>
      <w:r>
        <w:rPr>
          <w:rFonts w:ascii="宋体" w:hAnsi="宋体" w:cs="宋体" w:eastAsia="宋体" w:hint="default"/>
          <w:b/>
          <w:bCs/>
          <w:sz w:val="32"/>
          <w:szCs w:val="32"/>
        </w:rPr>
        <w:t>释</w:t>
      </w:r>
      <w:r>
        <w:rPr>
          <w:rFonts w:ascii="宋体" w:hAnsi="宋体" w:cs="宋体" w:eastAsia="宋体" w:hint="default"/>
          <w:b/>
          <w:bCs/>
          <w:spacing w:val="-3"/>
          <w:sz w:val="32"/>
          <w:szCs w:val="32"/>
        </w:rPr>
        <w:t> </w:t>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本公司、公司、皖通科技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独立财务顾问、华泰联合证券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会计师、大华会计师事务所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华东电子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华东数据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汉高信息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天安怡和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重庆皖通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行云天下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赛英科技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亲益保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光大保险代理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舶云供应链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EDI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电子数据交换</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高频交流变化电磁波，频率范围在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300KHz</w:t>
            </w:r>
            <w:r>
              <w:rPr>
                <w:rFonts w:ascii="宋体" w:hAnsi="宋体" w:cs="宋体" w:eastAsia="宋体" w:hint="default"/>
                <w:sz w:val="18"/>
                <w:szCs w:val="18"/>
              </w:rPr>
              <w:t>～</w:t>
            </w:r>
            <w:r>
              <w:rPr>
                <w:rFonts w:ascii="Times New Roman" w:hAnsi="Times New Roman" w:cs="Times New Roman" w:eastAsia="Times New Roman" w:hint="default"/>
                <w:sz w:val="18"/>
                <w:szCs w:val="18"/>
              </w:rPr>
              <w:t>300GHz</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之间</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微波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4" w:right="100"/>
              <w:jc w:val="left"/>
              <w:rPr>
                <w:rFonts w:ascii="宋体" w:hAnsi="宋体" w:cs="宋体" w:eastAsia="宋体" w:hint="default"/>
                <w:sz w:val="18"/>
                <w:szCs w:val="18"/>
              </w:rPr>
            </w:pPr>
            <w:r>
              <w:rPr>
                <w:rFonts w:ascii="宋体" w:hAnsi="宋体" w:cs="宋体" w:eastAsia="宋体" w:hint="default"/>
                <w:sz w:val="18"/>
                <w:szCs w:val="18"/>
              </w:rPr>
              <w:t>频率为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300MHz~300GHz</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的电磁波，是无线电波中一个有限频带的 简称，即波长在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毫米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米之间的电磁波</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AI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人工智能</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IoT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物联网</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V2X</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4"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V2X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Vehicle </w:t>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Everything)</w:t>
            </w:r>
            <w:r>
              <w:rPr>
                <w:rFonts w:ascii="宋体" w:hAnsi="宋体" w:cs="宋体" w:eastAsia="宋体" w:hint="default"/>
                <w:sz w:val="18"/>
                <w:szCs w:val="18"/>
              </w:rPr>
              <w:t>，即车对车的信息交换、车对外界的信 息交换。是未来智能交通运输系统的关键技术。它使得车与车、车 </w:t>
            </w:r>
            <w:r>
              <w:rPr>
                <w:rFonts w:ascii="宋体" w:hAnsi="宋体" w:cs="宋体" w:eastAsia="宋体" w:hint="default"/>
                <w:spacing w:val="-4"/>
                <w:sz w:val="18"/>
                <w:szCs w:val="18"/>
              </w:rPr>
              <w:t>与基站、基站与基站之间能够通信。从而获得实时路况、道路信息、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行人信息等一系列交通信息，从而提高驾驶安全性、减少拥堵、提</w:t>
            </w:r>
            <w:r>
              <w:rPr>
                <w:rFonts w:ascii="宋体" w:hAnsi="宋体" w:cs="宋体" w:eastAsia="宋体" w:hint="default"/>
                <w:sz w:val="18"/>
                <w:szCs w:val="18"/>
              </w:rPr>
              <w:t> 高交通效率、提供车载娱乐信息等</w:t>
            </w:r>
          </w:p>
        </w:tc>
      </w:tr>
      <w:tr>
        <w:trPr>
          <w:trHeight w:val="9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101" w:right="0"/>
              <w:jc w:val="left"/>
              <w:rPr>
                <w:rFonts w:ascii="Times New Roman" w:hAnsi="Times New Roman" w:cs="Times New Roman" w:eastAsia="Times New Roman" w:hint="default"/>
                <w:sz w:val="18"/>
                <w:szCs w:val="18"/>
              </w:rPr>
            </w:pPr>
            <w:r>
              <w:rPr>
                <w:rFonts w:ascii="Times New Roman"/>
                <w:sz w:val="18"/>
              </w:rPr>
              <w:t>ETC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4" w:right="100"/>
              <w:jc w:val="both"/>
              <w:rPr>
                <w:rFonts w:ascii="宋体" w:hAnsi="宋体" w:cs="宋体" w:eastAsia="宋体" w:hint="default"/>
                <w:sz w:val="18"/>
                <w:szCs w:val="18"/>
              </w:rPr>
            </w:pPr>
            <w:r>
              <w:rPr>
                <w:rFonts w:ascii="宋体" w:hAnsi="宋体" w:cs="宋体" w:eastAsia="宋体" w:hint="default"/>
                <w:spacing w:val="-1"/>
                <w:w w:val="99"/>
                <w:sz w:val="18"/>
                <w:szCs w:val="18"/>
              </w:rPr>
              <w:t>电子不停车收费系统（</w:t>
            </w:r>
            <w:r>
              <w:rPr>
                <w:rFonts w:ascii="Times New Roman" w:hAnsi="Times New Roman" w:cs="Times New Roman" w:eastAsia="Times New Roman" w:hint="default"/>
                <w:spacing w:val="-1"/>
                <w:w w:val="99"/>
                <w:sz w:val="18"/>
                <w:szCs w:val="18"/>
              </w:rPr>
              <w:t>Electronic</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4"/>
                <w:w w:val="99"/>
                <w:sz w:val="18"/>
                <w:szCs w:val="18"/>
              </w:rPr>
              <w:t>Toll</w:t>
            </w:r>
            <w:r>
              <w:rPr>
                <w:rFonts w:ascii="Times New Roman" w:hAnsi="Times New Roman" w:cs="Times New Roman" w:eastAsia="Times New Roman" w:hint="default"/>
                <w:spacing w:val="8"/>
                <w:w w:val="99"/>
                <w:sz w:val="18"/>
                <w:szCs w:val="18"/>
              </w:rPr>
              <w:t> </w:t>
            </w:r>
            <w:r>
              <w:rPr>
                <w:rFonts w:ascii="Times New Roman" w:hAnsi="Times New Roman" w:cs="Times New Roman" w:eastAsia="Times New Roman" w:hint="default"/>
                <w:spacing w:val="-1"/>
                <w:w w:val="99"/>
                <w:sz w:val="18"/>
                <w:szCs w:val="18"/>
              </w:rPr>
              <w:t>Collection</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9"/>
                <w:w w:val="99"/>
                <w:sz w:val="18"/>
                <w:szCs w:val="18"/>
              </w:rPr>
              <w:t>System</w:t>
            </w:r>
            <w:r>
              <w:rPr>
                <w:rFonts w:ascii="宋体" w:hAnsi="宋体" w:cs="宋体" w:eastAsia="宋体" w:hint="default"/>
                <w:spacing w:val="-9"/>
                <w:w w:val="99"/>
                <w:sz w:val="18"/>
                <w:szCs w:val="18"/>
              </w:rPr>
              <w:t>），实现了车</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1"/>
                <w:sz w:val="18"/>
                <w:szCs w:val="18"/>
              </w:rPr>
              <w:t>辆在通过收费节点时，通过专用短程通信技术实现车辆识别、信息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写入并自动从预先绑定的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卡或银行账户上扣除相应资金。这一</w:t>
            </w:r>
          </w:p>
        </w:tc>
      </w:tr>
    </w:tbl>
    <w:p>
      <w:pPr>
        <w:spacing w:after="0" w:line="309" w:lineRule="auto"/>
        <w:jc w:val="both"/>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技术使得道路的通行能力与收费效率大幅度提高</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IDC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spacing w:val="-3"/>
                <w:w w:val="99"/>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w w:val="99"/>
                <w:sz w:val="18"/>
                <w:szCs w:val="18"/>
              </w:rPr>
              <w:t>r</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w w:val="99"/>
                <w:sz w:val="18"/>
                <w:szCs w:val="18"/>
              </w:rPr>
              <w:t>C</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w w:val="99"/>
                <w:sz w:val="18"/>
                <w:szCs w:val="18"/>
              </w:rPr>
              <w:t>r</w:t>
            </w:r>
            <w:r>
              <w:rPr>
                <w:rFonts w:ascii="宋体" w:hAnsi="宋体" w:cs="宋体" w:eastAsia="宋体" w:hint="default"/>
                <w:spacing w:val="-92"/>
                <w:w w:val="99"/>
                <w:sz w:val="18"/>
                <w:szCs w:val="18"/>
              </w:rPr>
              <w:t>）</w:t>
            </w:r>
            <w:r>
              <w:rPr>
                <w:rFonts w:ascii="宋体" w:hAnsi="宋体" w:cs="宋体" w:eastAsia="宋体" w:hint="default"/>
                <w:w w:val="99"/>
                <w:sz w:val="18"/>
                <w:szCs w:val="18"/>
              </w:rPr>
              <w:t>，互联网数据中心</w:t>
            </w:r>
            <w:r>
              <w:rPr>
                <w:rFonts w:ascii="宋体" w:hAnsi="宋体" w:cs="宋体" w:eastAsia="宋体" w:hint="default"/>
                <w:sz w:val="18"/>
                <w:szCs w:val="18"/>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软件即服务</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GCTOS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通用码头生产管理操作系统</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Heading1"/>
        <w:spacing w:line="240" w:lineRule="auto"/>
        <w:ind w:left="2606" w:right="212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皖通科技</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002331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皖通科技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Anhui </w:t>
            </w:r>
            <w:r>
              <w:rPr>
                <w:rFonts w:ascii="Times New Roman"/>
                <w:spacing w:val="-3"/>
                <w:sz w:val="18"/>
              </w:rPr>
              <w:t>Wantong </w:t>
            </w:r>
            <w:r>
              <w:rPr>
                <w:rFonts w:ascii="Times New Roman"/>
                <w:sz w:val="18"/>
              </w:rPr>
              <w:t>Technology</w:t>
            </w:r>
            <w:r>
              <w:rPr>
                <w:rFonts w:ascii="Times New Roman"/>
                <w:spacing w:val="-20"/>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pacing w:val="-4"/>
                <w:sz w:val="18"/>
              </w:rPr>
              <w:t>WANTONG</w:t>
            </w:r>
            <w:r>
              <w:rPr>
                <w:rFonts w:ascii="Times New Roman"/>
                <w:spacing w:val="-5"/>
                <w:sz w:val="18"/>
              </w:rPr>
              <w:t> </w:t>
            </w:r>
            <w:r>
              <w:rPr>
                <w:rFonts w:ascii="Times New Roman"/>
                <w:sz w:val="18"/>
              </w:rPr>
              <w:t>TECH</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廖凯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230088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230088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8">
              <w:r>
                <w:rPr>
                  <w:rFonts w:ascii="Times New Roman"/>
                  <w:sz w:val="18"/>
                </w:rPr>
                <w:t>www.wantong-tech.net</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9">
              <w:r>
                <w:rPr>
                  <w:rFonts w:ascii="Times New Roman"/>
                  <w:sz w:val="18"/>
                </w:rPr>
                <w:t>wtkj@wantong-tech.net</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212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0551-62969206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0551-62969207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0">
              <w:r>
                <w:rPr>
                  <w:rFonts w:ascii="Times New Roman"/>
                  <w:sz w:val="18"/>
                </w:rPr>
                <w:t>dspan@wantong-tech.net</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4"/>
        <w:spacing w:line="240" w:lineRule="auto" w:before="26"/>
        <w:ind w:right="212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8"/>
        <w:rPr>
          <w:rFonts w:ascii="宋体" w:hAnsi="宋体" w:cs="宋体" w:eastAsia="宋体" w:hint="default"/>
          <w:b/>
          <w:bCs/>
          <w:sz w:val="18"/>
          <w:szCs w:val="18"/>
        </w:rPr>
      </w:pPr>
    </w:p>
    <w:p>
      <w:pPr>
        <w:pStyle w:val="Heading4"/>
        <w:spacing w:line="240" w:lineRule="auto" w:before="26"/>
        <w:ind w:right="2127"/>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91340100711761244Q</w:t>
            </w:r>
          </w:p>
        </w:tc>
      </w:tr>
      <w:tr>
        <w:trPr>
          <w:trHeight w:val="3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w:t>
            </w:r>
            <w:r>
              <w:rPr>
                <w:rFonts w:ascii="宋体" w:hAnsi="宋体" w:cs="宋体" w:eastAsia="宋体" w:hint="default"/>
                <w:spacing w:val="-84"/>
                <w:sz w:val="18"/>
                <w:szCs w:val="18"/>
              </w:rPr>
              <w:t>况</w:t>
            </w:r>
            <w:r>
              <w:rPr>
                <w:rFonts w:ascii="宋体" w:hAnsi="宋体" w:cs="宋体" w:eastAsia="宋体" w:hint="default"/>
                <w:sz w:val="18"/>
                <w:szCs w:val="18"/>
              </w:rPr>
              <w:t>（如</w:t>
            </w: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月，公司完成对赛英科技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股权的收购，主营业务新增军工电子</w:t>
            </w:r>
          </w:p>
        </w:tc>
      </w:tr>
      <w:tr>
        <w:trPr>
          <w:trHeight w:val="35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信息版块。</w:t>
            </w:r>
          </w:p>
        </w:tc>
      </w:tr>
      <w:tr>
        <w:trPr>
          <w:trHeight w:val="3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日，安徽皖通高速公路股份有限公司</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为公司控股股东，持股比例为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日，安徽皖通高速公路股份有限公司</w:t>
            </w:r>
          </w:p>
        </w:tc>
      </w:tr>
      <w:tr>
        <w:trPr>
          <w:trHeight w:val="33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为公司控股股东，持股比例为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75.5%</w:t>
            </w:r>
            <w:r>
              <w:rPr>
                <w:rFonts w:ascii="宋体" w:hAnsi="宋体" w:cs="宋体" w:eastAsia="宋体" w:hint="default"/>
                <w:sz w:val="18"/>
                <w:szCs w:val="18"/>
              </w:rPr>
              <w:t>；</w:t>
            </w:r>
          </w:p>
        </w:tc>
      </w:tr>
      <w:tr>
        <w:trPr>
          <w:trHeight w:val="665"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300" w:lineRule="auto" w:before="26"/>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日，安徽国元信托投资有限责任公司为 公司控股股东，持股比例为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75.5%</w:t>
            </w:r>
            <w:r>
              <w:rPr>
                <w:rFonts w:ascii="宋体" w:hAnsi="宋体" w:cs="宋体" w:eastAsia="宋体" w:hint="default"/>
                <w:sz w:val="18"/>
                <w:szCs w:val="18"/>
              </w:rPr>
              <w:t>；</w:t>
            </w:r>
          </w:p>
        </w:tc>
      </w:tr>
      <w:tr>
        <w:trPr>
          <w:trHeight w:val="33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日，王中胜、杨世宁和杨新子为公司实</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际控制人，持股比例为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12.16%</w:t>
            </w:r>
            <w:r>
              <w:rPr>
                <w:rFonts w:ascii="宋体" w:hAnsi="宋体" w:cs="宋体" w:eastAsia="宋体" w:hint="default"/>
                <w:sz w:val="18"/>
                <w:szCs w:val="18"/>
              </w:rPr>
              <w:t>；</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日至本报告期末，南方银谷科技有限公司为公司控股股东，</w:t>
            </w:r>
          </w:p>
        </w:tc>
      </w:tr>
      <w:tr>
        <w:trPr>
          <w:trHeight w:val="352"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13.73%</w:t>
            </w:r>
            <w:r>
              <w:rPr>
                <w:rFonts w:ascii="宋体" w:hAnsi="宋体" w:cs="宋体" w:eastAsia="宋体" w:hint="default"/>
                <w:sz w:val="18"/>
                <w:szCs w:val="18"/>
              </w:rPr>
              <w:t>，拥有表决权股数比例为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18.73%</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8"/>
          <w:szCs w:val="18"/>
        </w:rPr>
      </w:pPr>
    </w:p>
    <w:p>
      <w:pPr>
        <w:pStyle w:val="Heading4"/>
        <w:spacing w:line="240" w:lineRule="auto" w:before="26"/>
        <w:ind w:right="2127"/>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吴琳、王原</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上海市浦东新区东方路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号保利广场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陈劭悦、李明晟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1"/>
        <w:rPr>
          <w:rFonts w:ascii="宋体" w:hAnsi="宋体" w:cs="宋体" w:eastAsia="宋体" w:hint="default"/>
          <w:sz w:val="18"/>
          <w:szCs w:val="18"/>
        </w:rPr>
      </w:pPr>
    </w:p>
    <w:p>
      <w:pPr>
        <w:pStyle w:val="Heading4"/>
        <w:spacing w:line="240" w:lineRule="auto" w:before="26"/>
        <w:ind w:right="2127"/>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1,459,618,234.55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1,249,370,240.05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995,817,238.17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168,576,777.26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105,820,825.29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82,717,605.13</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152,465,103.18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95,896,839.50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58,948,473.97</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168,115,075.40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65,325,001.77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29,908,986.82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0.4091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0.2745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0.2361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0.4091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0.2745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0.2361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8.01%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6.26%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3,228,605,273.87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2,837,023,835.92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2,034,197,628.59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2,183,029,029.85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2,015,353,482.61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1,358,007,374.60</w:t>
            </w:r>
          </w:p>
        </w:tc>
      </w:tr>
    </w:tbl>
    <w:p>
      <w:pPr>
        <w:spacing w:line="240" w:lineRule="auto" w:before="1"/>
        <w:rPr>
          <w:rFonts w:ascii="宋体" w:hAnsi="宋体" w:cs="宋体" w:eastAsia="宋体" w:hint="default"/>
          <w:sz w:val="18"/>
          <w:szCs w:val="18"/>
        </w:rPr>
      </w:pPr>
    </w:p>
    <w:p>
      <w:pPr>
        <w:pStyle w:val="Heading4"/>
        <w:spacing w:line="240" w:lineRule="auto" w:before="26"/>
        <w:ind w:right="212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26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278,648,906.67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345,199,653.17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257,033,249.47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578,736,425.24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9,476,641.20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42,544,911.39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28,524,456.00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88,030,768.67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7,980,604.69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42,952,814.84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22,987,398.55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78,544,285.10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-136,364,210.30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9,425,741.33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26,861,145.57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268,192,398.80</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4,696,183.51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553,050.62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-14,105.89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10,497,765.80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9,973,716.77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26,306,853.76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4,923,778.71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2,434,007.71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 产减值准备转回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169,746.26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103,696.54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-2,948.26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61,523.05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13,207.59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4,323,710.90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3,648,215.76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2,510,067.69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6,723,244.49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589,107.49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643,625.75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336,134.86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16,111,674.08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9,923,985.79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23,769,131.16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3"/>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2"/>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7"/>
        <w:ind w:left="11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408" w:right="2127"/>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pStyle w:val="BodyText"/>
        <w:spacing w:line="408" w:lineRule="auto" w:before="157"/>
        <w:ind w:left="592" w:right="1122"/>
        <w:jc w:val="left"/>
      </w:pPr>
      <w:r>
        <w:rPr/>
        <w:t>（一）公司主要业务、产品、经营模式及业绩驱动因素</w:t>
      </w:r>
      <w:r>
        <w:rPr>
          <w:w w:val="99"/>
        </w:rPr>
        <w:t> </w:t>
      </w:r>
      <w:r>
        <w:rPr>
          <w:spacing w:val="-2"/>
        </w:rPr>
        <w:t>皖通科技是以物联网为支撑的大交通行业数字化龙头企业和信息化、智能化、物联化融于一体的产业</w:t>
      </w:r>
    </w:p>
    <w:p>
      <w:pPr>
        <w:pStyle w:val="BodyText"/>
        <w:spacing w:line="408" w:lineRule="auto" w:before="46"/>
        <w:ind w:right="1130"/>
        <w:jc w:val="both"/>
      </w:pPr>
      <w:r>
        <w:rPr>
          <w:w w:val="95"/>
        </w:rPr>
        <w:t>互联网综合服务提供商。公司围绕大交通SaaS应用，深耕交通运输、智慧城市、军工电子、公共安全等核</w:t>
      </w:r>
      <w:r>
        <w:rPr>
          <w:spacing w:val="44"/>
          <w:w w:val="95"/>
        </w:rPr>
        <w:t> </w:t>
      </w:r>
      <w:r>
        <w:rPr>
          <w:spacing w:val="44"/>
          <w:w w:val="95"/>
        </w:rPr>
      </w:r>
      <w:r>
        <w:rPr>
          <w:w w:val="95"/>
        </w:rPr>
        <w:t>心行业领域，以市场需求为导向，提供集专业性和适用性为一体的系统集成整体解决方案，并将其广泛应</w:t>
      </w:r>
      <w:r>
        <w:rPr>
          <w:spacing w:val="43"/>
          <w:w w:val="95"/>
        </w:rPr>
        <w:t> </w:t>
      </w:r>
      <w:r>
        <w:rPr>
          <w:spacing w:val="43"/>
          <w:w w:val="95"/>
        </w:rPr>
      </w:r>
      <w:r>
        <w:rPr>
          <w:w w:val="95"/>
        </w:rPr>
        <w:t>用到高速公路、港口码头、城市智能交通、干线公路、内河航道、物流跟踪以及司法、税务、保险、教育</w:t>
      </w:r>
      <w:r>
        <w:rPr>
          <w:spacing w:val="41"/>
          <w:w w:val="95"/>
        </w:rPr>
        <w:t> </w:t>
      </w:r>
      <w:r>
        <w:rPr>
          <w:spacing w:val="41"/>
          <w:w w:val="95"/>
        </w:rPr>
      </w:r>
      <w:r>
        <w:rPr/>
        <w:t>等各行业信息化领域，构建智慧交通产业链的开放生态系统，致力于做大交通行业引领者。</w:t>
      </w:r>
    </w:p>
    <w:p>
      <w:pPr>
        <w:pStyle w:val="BodyText"/>
        <w:spacing w:line="408" w:lineRule="auto" w:before="46"/>
        <w:ind w:right="0" w:firstLine="480"/>
        <w:jc w:val="left"/>
      </w:pPr>
      <w:r>
        <w:rPr>
          <w:w w:val="95"/>
        </w:rPr>
        <w:t>报告期内，公司不断优化“大交通信息化”产业链布局，践行“深耕国内，面向海外”的市场布局，</w:t>
      </w:r>
      <w:r>
        <w:rPr>
          <w:w w:val="99"/>
        </w:rPr>
        <w:t> </w:t>
      </w:r>
      <w:r>
        <w:rPr/>
        <w:t>坚持新建市场与运维市场双轮驱动的发展模式，凭借成熟的产品开发、系统建设、运营管理及服务经验，</w:t>
      </w:r>
      <w:r>
        <w:rPr>
          <w:w w:val="99"/>
        </w:rPr>
        <w:t> </w:t>
      </w:r>
      <w:r>
        <w:rPr/>
        <w:t>通过为相关行业用户提供集软件开发、系统集成和运行维护为一体的信息化产品和服务，牢牢巩固高速公</w:t>
      </w:r>
      <w:r>
        <w:rPr>
          <w:w w:val="99"/>
        </w:rPr>
        <w:t> </w:t>
      </w:r>
      <w:r>
        <w:rPr/>
        <w:t>路信息化和港口航运信息化的市场龙头地位，不断拓展智慧城市业务领域市场版图；公司深度布局军工电</w:t>
      </w:r>
      <w:r>
        <w:rPr>
          <w:w w:val="99"/>
        </w:rPr>
        <w:t> </w:t>
      </w:r>
      <w:r>
        <w:rPr/>
        <w:t>子信息业务，充分融合微波探测与数字技术平台，以雷达整机及系统为依托，搭建全方位、无死角、高精</w:t>
      </w:r>
      <w:r>
        <w:rPr>
          <w:w w:val="99"/>
        </w:rPr>
        <w:t> </w:t>
      </w:r>
      <w:r>
        <w:rPr/>
        <w:t>度的感知、互联、智能生态系统，开创全过程、全要素微波互联数字化平台。</w:t>
      </w:r>
    </w:p>
    <w:p>
      <w:pPr>
        <w:pStyle w:val="BodyText"/>
        <w:spacing w:line="408" w:lineRule="auto" w:before="46"/>
        <w:ind w:right="1025" w:firstLine="480"/>
        <w:jc w:val="left"/>
      </w:pPr>
      <w:r>
        <w:rPr/>
        <w:t>高速公路信息化业务，以大数据+深度学习的路网协作调度综合应用体系和云端一体化的运营管理体</w:t>
      </w:r>
      <w:r>
        <w:rPr>
          <w:w w:val="99"/>
        </w:rPr>
        <w:t> </w:t>
      </w:r>
      <w:r>
        <w:rPr/>
        <w:t>系为基础，提供覆盖全面感知、多源数据融合、智慧决策、高效协同、出行便捷的智慧高速解决方案，实</w:t>
      </w:r>
      <w:r>
        <w:rPr>
          <w:w w:val="99"/>
        </w:rPr>
        <w:t> </w:t>
      </w:r>
      <w:r>
        <w:rPr/>
        <w:t>现全局视野的指挥、调度、协同，目前公司业务已覆盖北京、安徽、江苏、湖北、湖南、福建、陕西、重</w:t>
      </w:r>
      <w:r>
        <w:rPr>
          <w:w w:val="99"/>
        </w:rPr>
        <w:t> </w:t>
      </w:r>
      <w:r>
        <w:rPr/>
        <w:t>庆、吉林等全国20多个省份，全国化战略正加速落地；港口航运信息化业务，依托三维建模、地理信息系</w:t>
      </w:r>
      <w:r>
        <w:rPr>
          <w:w w:val="99"/>
        </w:rPr>
        <w:t> </w:t>
      </w:r>
      <w:r>
        <w:rPr/>
        <w:t>统、可视化、北斗定位平台，围绕“港航云”大数据实时分析，打造融合港航物流、港航政务、口岸管理</w:t>
      </w:r>
      <w:r>
        <w:rPr>
          <w:w w:val="99"/>
        </w:rPr>
        <w:t> </w:t>
      </w:r>
      <w:r>
        <w:rPr>
          <w:spacing w:val="-3"/>
        </w:rPr>
        <w:t>为一体的智慧港口综合解决方案，公司港航业务在保持国内市场优势地位的基础上，以拉美、非洲、中东、</w:t>
      </w:r>
      <w:r>
        <w:rPr>
          <w:w w:val="99"/>
        </w:rPr>
        <w:t> </w:t>
      </w:r>
      <w:r>
        <w:rPr/>
        <w:t>东南亚为市场切入点，成功跻身国际市场；智慧城市业务，基于海量数据的智慧应用场景，以物联网技术</w:t>
      </w:r>
      <w:r>
        <w:rPr>
          <w:w w:val="99"/>
        </w:rPr>
        <w:t> </w:t>
      </w:r>
      <w:r>
        <w:rPr/>
        <w:t>实现物联汇聚、共享融合，完善新型智慧城市大数据体系和产业生态体系，聚焦城市经济、政务、民生、</w:t>
      </w:r>
      <w:r>
        <w:rPr>
          <w:w w:val="99"/>
        </w:rPr>
        <w:t> </w:t>
      </w:r>
      <w:r>
        <w:rPr>
          <w:spacing w:val="-3"/>
        </w:rPr>
        <w:t>环保等场景应用，持续开拓合肥、亳州、池州等成熟市场，形成“以点带面、以线带片”的项目示范效应，</w:t>
      </w:r>
      <w:r>
        <w:rPr>
          <w:w w:val="99"/>
        </w:rPr>
        <w:t> </w:t>
      </w:r>
      <w:r>
        <w:rPr/>
        <w:t>建设可持续发展的新型智慧城市，创建城市生活命运共同体；军工电子信息业务，公司利用微波与数字技</w:t>
      </w:r>
      <w:r>
        <w:rPr>
          <w:w w:val="99"/>
        </w:rPr>
        <w:t> </w:t>
      </w:r>
      <w:r>
        <w:rPr/>
        <w:t>术平台，积极突破微波混合集成电路设计、微组装、雷达探测与跟踪等核心技术，采用新型开发生产控制</w:t>
      </w:r>
      <w:r>
        <w:rPr>
          <w:w w:val="99"/>
        </w:rPr>
        <w:t> </w:t>
      </w:r>
      <w:r>
        <w:rPr/>
        <w:t>模式，为机载、舰载、弹载等多种武器平台的雷达、电子对抗和通信系统提供配套。公司将微波探测、遥</w:t>
      </w:r>
      <w:r>
        <w:rPr>
          <w:w w:val="99"/>
        </w:rPr>
        <w:t> </w:t>
      </w:r>
      <w:r>
        <w:rPr/>
        <w:t>感技术、北斗导航等技术广泛应用于航天航空、公路养护、边境安防、船舶引航等交通场景，激发技术、</w:t>
      </w:r>
    </w:p>
    <w:p>
      <w:pPr>
        <w:spacing w:after="0" w:line="408" w:lineRule="auto"/>
        <w:jc w:val="left"/>
        <w:sectPr>
          <w:footerReference w:type="default" r:id="rId12"/>
          <w:pgSz w:w="11910" w:h="16840"/>
          <w:pgMar w:footer="1016" w:header="919" w:top="1120" w:bottom="1200" w:left="1020" w:right="0"/>
          <w:pgNumType w:start="10"/>
        </w:sectPr>
      </w:pPr>
    </w:p>
    <w:p>
      <w:pPr>
        <w:spacing w:line="240" w:lineRule="auto" w:before="8"/>
        <w:rPr>
          <w:rFonts w:ascii="宋体" w:hAnsi="宋体" w:cs="宋体" w:eastAsia="宋体" w:hint="default"/>
          <w:sz w:val="25"/>
          <w:szCs w:val="25"/>
        </w:rPr>
      </w:pPr>
    </w:p>
    <w:p>
      <w:pPr>
        <w:pStyle w:val="BodyText"/>
        <w:spacing w:line="408" w:lineRule="auto" w:before="34"/>
        <w:ind w:left="592" w:right="1122" w:hanging="480"/>
        <w:jc w:val="left"/>
      </w:pPr>
      <w:r>
        <w:rPr/>
        <w:t>渠道、资源潜能，深度开发微波探测技术的民用市场潜力，探索微波探测新价值。</w:t>
      </w:r>
      <w:r>
        <w:rPr>
          <w:w w:val="99"/>
        </w:rPr>
        <w:t> </w:t>
      </w:r>
      <w:r>
        <w:rPr>
          <w:spacing w:val="-2"/>
        </w:rPr>
        <w:t>报告期内，公司进一步加大市场拓展力度，主营业务继续保持稳步发展趋势；同时，伴随着高速公路</w:t>
      </w:r>
    </w:p>
    <w:p>
      <w:pPr>
        <w:pStyle w:val="BodyText"/>
        <w:spacing w:line="408" w:lineRule="auto" w:before="46"/>
        <w:ind w:right="1135"/>
        <w:jc w:val="both"/>
      </w:pPr>
      <w:r>
        <w:rPr>
          <w:w w:val="95"/>
        </w:rPr>
        <w:t>省界收费站取消和ETC不停车收费全面普及，交通运输部大力推广ETC电子不停车快捷收费系统的建设和应</w:t>
      </w:r>
      <w:r>
        <w:rPr>
          <w:spacing w:val="36"/>
          <w:w w:val="95"/>
        </w:rPr>
        <w:t> </w:t>
      </w:r>
      <w:r>
        <w:rPr>
          <w:spacing w:val="36"/>
          <w:w w:val="95"/>
        </w:rPr>
      </w:r>
      <w:r>
        <w:rPr>
          <w:w w:val="95"/>
        </w:rPr>
        <w:t>用，公司基于取消高速公路省界收费站工作带来的客户流量和可采集交通数据的迅猛增长，在取消省界站</w:t>
      </w:r>
      <w:r>
        <w:rPr>
          <w:spacing w:val="38"/>
          <w:w w:val="95"/>
        </w:rPr>
        <w:t> </w:t>
      </w:r>
      <w:r>
        <w:rPr>
          <w:spacing w:val="38"/>
          <w:w w:val="95"/>
        </w:rPr>
      </w:r>
      <w:r>
        <w:rPr/>
        <w:t>和交通行业转型升级的机遇中赢得了较大市场份额。</w:t>
      </w:r>
    </w:p>
    <w:p>
      <w:pPr>
        <w:pStyle w:val="BodyText"/>
        <w:spacing w:line="408" w:lineRule="auto" w:before="46"/>
        <w:ind w:right="0" w:firstLine="420"/>
        <w:jc w:val="left"/>
      </w:pPr>
      <w:r>
        <w:rPr/>
        <w:t>公司以海量公路出行和港口航运大数据资源为基础，通过数据挖掘、数据可视化、数据安全等技术开</w:t>
      </w:r>
      <w:r>
        <w:rPr>
          <w:w w:val="99"/>
        </w:rPr>
        <w:t> </w:t>
      </w:r>
      <w:r>
        <w:rPr>
          <w:spacing w:val="-3"/>
        </w:rPr>
        <w:t>发数据价值、辅助决策优化，加速物流、资金流、信息流融合互通，营造港航数字化产业链生态圈。目前，</w:t>
      </w:r>
      <w:r>
        <w:rPr>
          <w:w w:val="99"/>
        </w:rPr>
        <w:t> </w:t>
      </w:r>
      <w:r>
        <w:rPr>
          <w:spacing w:val="20"/>
        </w:rPr>
        <w:t>公司旗下已拥有中国港口网（</w:t>
      </w:r>
      <w:r>
        <w:rPr>
          <w:spacing w:val="-86"/>
        </w:rPr>
        <w:t> </w:t>
      </w:r>
      <w:hyperlink r:id="rId13">
        <w:r>
          <w:rPr/>
          <w:t>www.chinaports.com</w:t>
        </w:r>
      </w:hyperlink>
      <w:r>
        <w:rPr>
          <w:spacing w:val="-85"/>
        </w:rPr>
        <w:t> </w:t>
      </w:r>
      <w:r>
        <w:rPr>
          <w:spacing w:val="-42"/>
        </w:rPr>
        <w:t>）、</w:t>
      </w:r>
      <w:r>
        <w:rPr>
          <w:spacing w:val="-84"/>
        </w:rPr>
        <w:t> </w:t>
      </w:r>
      <w:r>
        <w:rPr>
          <w:spacing w:val="18"/>
        </w:rPr>
        <w:t>舶云供应链（</w:t>
      </w:r>
      <w:r>
        <w:rPr>
          <w:spacing w:val="-86"/>
        </w:rPr>
        <w:t> </w:t>
      </w:r>
      <w:hyperlink r:id="rId14">
        <w:r>
          <w:rPr/>
          <w:t>www.boyunscm.com</w:t>
        </w:r>
      </w:hyperlink>
      <w:r>
        <w:rPr>
          <w:spacing w:val="-85"/>
        </w:rPr>
        <w:t> </w:t>
      </w:r>
      <w:r>
        <w:rPr>
          <w:spacing w:val="-42"/>
        </w:rPr>
        <w:t>）、</w:t>
      </w:r>
      <w:r>
        <w:rPr>
          <w:spacing w:val="-84"/>
        </w:rPr>
        <w:t> </w:t>
      </w:r>
      <w:r>
        <w:rPr>
          <w:spacing w:val="16"/>
        </w:rPr>
        <w:t>行云天下</w:t>
      </w:r>
      <w:r>
        <w:rPr>
          <w:w w:val="99"/>
        </w:rPr>
        <w:t> </w:t>
      </w:r>
      <w:r>
        <w:rPr>
          <w:w w:val="95"/>
        </w:rPr>
        <w:t>(www.witgo.cn)等多个“互联网+”衍生互联网服务平台，聚焦航运后市场和车后市场等大出行服务领域，</w:t>
      </w:r>
      <w:r>
        <w:rPr>
          <w:spacing w:val="46"/>
          <w:w w:val="95"/>
        </w:rPr>
        <w:t> </w:t>
      </w:r>
      <w:r>
        <w:rPr>
          <w:spacing w:val="46"/>
          <w:w w:val="95"/>
        </w:rPr>
      </w:r>
      <w:r>
        <w:rPr/>
        <w:t>为大交通参与者提供个性化、专业化的高效服务，驱动智慧交通转型升级。</w:t>
      </w:r>
    </w:p>
    <w:p>
      <w:pPr>
        <w:pStyle w:val="BodyText"/>
        <w:spacing w:line="240" w:lineRule="auto" w:before="46"/>
        <w:ind w:left="592" w:right="2127"/>
        <w:jc w:val="left"/>
      </w:pPr>
      <w:r>
        <w:rPr/>
        <w:t>(二）公司所属行业宏观经济形势、行业政策环境及公司所处行业地位</w:t>
      </w:r>
    </w:p>
    <w:p>
      <w:pPr>
        <w:spacing w:line="240" w:lineRule="auto" w:before="10"/>
        <w:rPr>
          <w:rFonts w:ascii="宋体" w:hAnsi="宋体" w:cs="宋体" w:eastAsia="宋体" w:hint="default"/>
          <w:sz w:val="14"/>
          <w:szCs w:val="14"/>
        </w:rPr>
      </w:pPr>
    </w:p>
    <w:p>
      <w:pPr>
        <w:pStyle w:val="BodyText"/>
        <w:spacing w:line="408" w:lineRule="auto" w:before="0"/>
        <w:ind w:right="1135" w:firstLine="480"/>
        <w:jc w:val="left"/>
      </w:pPr>
      <w:r>
        <w:rPr/>
        <w:t>详见“第四节</w:t>
      </w:r>
      <w:r>
        <w:rPr>
          <w:spacing w:val="4"/>
        </w:rPr>
        <w:t> </w:t>
      </w:r>
      <w:r>
        <w:rPr/>
        <w:t>经营情况讨论与分析”之“九、公司未来发展的展望”之“一、行业竞争格局和发展</w:t>
      </w:r>
      <w:r>
        <w:rPr>
          <w:w w:val="99"/>
        </w:rPr>
        <w:t> </w:t>
      </w:r>
      <w:r>
        <w:rPr/>
        <w:t>趋势”相关内容。</w:t>
      </w:r>
    </w:p>
    <w:p>
      <w:pPr>
        <w:spacing w:line="240" w:lineRule="auto" w:before="11"/>
        <w:rPr>
          <w:rFonts w:ascii="宋体" w:hAnsi="宋体" w:cs="宋体" w:eastAsia="宋体" w:hint="default"/>
          <w:sz w:val="18"/>
          <w:szCs w:val="18"/>
        </w:rPr>
      </w:pPr>
    </w:p>
    <w:p>
      <w:pPr>
        <w:pStyle w:val="Heading4"/>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，主要是全资子公司赛英科技微位移雷达募投项 目开始投产建设，尚未达到可使用状态所致。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79.53%</w:t>
            </w:r>
            <w:r>
              <w:rPr>
                <w:rFonts w:ascii="宋体" w:hAnsi="宋体" w:cs="宋体" w:eastAsia="宋体" w:hint="default"/>
                <w:spacing w:val="-3"/>
                <w:sz w:val="18"/>
                <w:szCs w:val="18"/>
              </w:rPr>
              <w:t>，主要是本期在四季度新支付的开工预付款增多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所致。</w:t>
            </w:r>
          </w:p>
        </w:tc>
      </w:tr>
    </w:tbl>
    <w:p>
      <w:pPr>
        <w:spacing w:line="240" w:lineRule="auto" w:before="3"/>
        <w:rPr>
          <w:rFonts w:ascii="宋体" w:hAnsi="宋体" w:cs="宋体" w:eastAsia="宋体" w:hint="default"/>
          <w:b/>
          <w:bCs/>
          <w:sz w:val="19"/>
          <w:szCs w:val="19"/>
        </w:rPr>
      </w:pPr>
    </w:p>
    <w:p>
      <w:pPr>
        <w:pStyle w:val="Heading5"/>
        <w:spacing w:line="240" w:lineRule="auto" w:before="34"/>
        <w:ind w:right="2127"/>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92" w:right="1122" w:firstLine="2"/>
        <w:jc w:val="left"/>
      </w:pPr>
      <w:r>
        <w:rPr>
          <w:rFonts w:ascii="宋体" w:hAnsi="宋体" w:cs="宋体" w:eastAsia="宋体" w:hint="default"/>
          <w:b/>
          <w:bCs/>
        </w:rPr>
        <w:t>1、科技研发优势</w:t>
      </w:r>
      <w:r>
        <w:rPr>
          <w:rFonts w:ascii="宋体" w:hAnsi="宋体" w:cs="宋体" w:eastAsia="宋体" w:hint="default"/>
          <w:b/>
          <w:bCs/>
          <w:w w:val="99"/>
        </w:rPr>
        <w:t> </w:t>
      </w:r>
      <w:r>
        <w:rPr>
          <w:spacing w:val="-2"/>
        </w:rPr>
        <w:t>公司以数字技术创新为核心驱动力，以高效的科技研发机制为依托，聚焦交通运输、智慧城市、军工</w:t>
      </w:r>
    </w:p>
    <w:p>
      <w:pPr>
        <w:spacing w:after="0" w:line="408" w:lineRule="auto"/>
        <w:jc w:val="left"/>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130"/>
        <w:jc w:val="both"/>
      </w:pPr>
      <w:r>
        <w:rPr>
          <w:w w:val="95"/>
        </w:rPr>
        <w:t>电子、公共安全等行业应用场景，充分利用物联网、云计算、大数据、数据分析与挖掘等现代信息技术手</w:t>
      </w:r>
      <w:r>
        <w:rPr>
          <w:spacing w:val="42"/>
          <w:w w:val="95"/>
        </w:rPr>
        <w:t> </w:t>
      </w:r>
      <w:r>
        <w:rPr>
          <w:spacing w:val="42"/>
          <w:w w:val="95"/>
        </w:rPr>
      </w:r>
      <w:r>
        <w:rPr>
          <w:w w:val="95"/>
        </w:rPr>
        <w:t>段，推进现代信息技术与智能交通深度融合。公司通过为客户提供软硬件一体的信息化产品和智慧化综合</w:t>
      </w:r>
      <w:r>
        <w:rPr>
          <w:spacing w:val="37"/>
          <w:w w:val="95"/>
        </w:rPr>
        <w:t> </w:t>
      </w:r>
      <w:r>
        <w:rPr>
          <w:spacing w:val="37"/>
          <w:w w:val="95"/>
        </w:rPr>
      </w:r>
      <w:r>
        <w:rPr>
          <w:w w:val="95"/>
        </w:rPr>
        <w:t>解决方案，构建智慧交通生态体系和行业知识图谱，形成大交通出行产业生态圈，推动从群体赋能到行业</w:t>
      </w:r>
      <w:r>
        <w:rPr>
          <w:spacing w:val="43"/>
          <w:w w:val="95"/>
        </w:rPr>
        <w:t> </w:t>
      </w:r>
      <w:r>
        <w:rPr>
          <w:spacing w:val="43"/>
          <w:w w:val="95"/>
        </w:rPr>
      </w:r>
      <w:r>
        <w:rPr/>
        <w:t>智能的全面升级。</w:t>
      </w:r>
    </w:p>
    <w:p>
      <w:pPr>
        <w:pStyle w:val="BodyText"/>
        <w:spacing w:line="408" w:lineRule="auto" w:before="46"/>
        <w:ind w:right="1025" w:firstLine="480"/>
        <w:jc w:val="left"/>
      </w:pPr>
      <w:r>
        <w:rPr>
          <w:spacing w:val="-6"/>
          <w:w w:val="99"/>
        </w:rPr>
        <w:t>公司坚持自主创新，取得了多项科研成果和荣誉。公司通过了“国家企业技术中心”、“安徽省制造业</w:t>
      </w:r>
      <w:r>
        <w:rPr>
          <w:w w:val="99"/>
        </w:rPr>
        <w:t> </w:t>
      </w:r>
      <w:r>
        <w:rPr>
          <w:spacing w:val="-13"/>
          <w:w w:val="99"/>
        </w:rPr>
        <w:t>与互联网融合发展试点企业”、“安徽省级企业技术中心”、“安徽省公路交通安全工程技术研究中心”、“安</w:t>
      </w:r>
      <w:r>
        <w:rPr>
          <w:spacing w:val="-90"/>
          <w:w w:val="99"/>
        </w:rPr>
        <w:t> </w:t>
      </w:r>
      <w:r>
        <w:rPr>
          <w:spacing w:val="-90"/>
          <w:w w:val="99"/>
        </w:rPr>
      </w:r>
      <w:r>
        <w:rPr>
          <w:spacing w:val="-3"/>
        </w:rPr>
        <w:t>徽省工业设计中心”等技术认定。报告期内，公司自主研发的机场场面监视雷达取得科技部国家支撑项目，</w:t>
      </w:r>
      <w:r>
        <w:rPr>
          <w:w w:val="99"/>
        </w:rPr>
        <w:t> </w:t>
      </w:r>
      <w:r>
        <w:rPr>
          <w:spacing w:val="2"/>
        </w:rPr>
        <w:t>雷达综合测试仪取得科技部创新基金和成都市科技成果奖，FOD机场跑道异物监测雷达成功在北京大兴国</w:t>
      </w:r>
      <w:r>
        <w:rPr>
          <w:w w:val="99"/>
        </w:rPr>
        <w:t> </w:t>
      </w:r>
      <w:r>
        <w:rPr/>
        <w:t>际机场落地应用。</w:t>
      </w:r>
    </w:p>
    <w:p>
      <w:pPr>
        <w:pStyle w:val="BodyText"/>
        <w:spacing w:line="408" w:lineRule="auto" w:before="46"/>
        <w:ind w:left="592" w:right="1122" w:firstLine="2"/>
        <w:jc w:val="left"/>
      </w:pPr>
      <w:r>
        <w:rPr>
          <w:rFonts w:ascii="宋体" w:hAnsi="宋体" w:cs="宋体" w:eastAsia="宋体" w:hint="default"/>
          <w:b/>
          <w:bCs/>
        </w:rPr>
        <w:t>2、品牌资源优势</w:t>
      </w:r>
      <w:r>
        <w:rPr>
          <w:rFonts w:ascii="宋体" w:hAnsi="宋体" w:cs="宋体" w:eastAsia="宋体" w:hint="default"/>
          <w:b/>
          <w:bCs/>
          <w:w w:val="99"/>
        </w:rPr>
        <w:t> </w:t>
      </w:r>
      <w:r>
        <w:rPr>
          <w:spacing w:val="-2"/>
        </w:rPr>
        <w:t>公司作为国内大交通领域数字化龙头企业，依托在大交通领域雄厚的技术实力和卓越的服务理念，实</w:t>
      </w:r>
    </w:p>
    <w:p>
      <w:pPr>
        <w:pStyle w:val="BodyText"/>
        <w:spacing w:line="408" w:lineRule="auto" w:before="46"/>
        <w:ind w:right="1025"/>
        <w:jc w:val="left"/>
      </w:pPr>
      <w:r>
        <w:rPr>
          <w:spacing w:val="-3"/>
        </w:rPr>
        <w:t>施整体品牌战略，充分挖掘品牌资源、提升品牌价值、培育品牌文化。公司通过为行业客户提供技术领先、</w:t>
      </w:r>
      <w:r>
        <w:rPr>
          <w:w w:val="99"/>
        </w:rPr>
        <w:t> </w:t>
      </w:r>
      <w:r>
        <w:rPr/>
        <w:t>稳定可靠、质量卓越的软件开发、系统集成和运营维护服务，建设了大批优质示范工程，荣获多项国家级</w:t>
      </w:r>
      <w:r>
        <w:rPr>
          <w:w w:val="99"/>
        </w:rPr>
        <w:t> </w:t>
      </w:r>
      <w:r>
        <w:rPr/>
        <w:t>和省部级奖项，积累了优异的品牌知名度、公司认可度和美誉度，增强公司软实力和综合竞争力。</w:t>
      </w:r>
    </w:p>
    <w:p>
      <w:pPr>
        <w:pStyle w:val="BodyText"/>
        <w:spacing w:line="408" w:lineRule="auto" w:before="46"/>
        <w:ind w:right="1132" w:firstLine="480"/>
        <w:jc w:val="both"/>
      </w:pPr>
      <w:r>
        <w:rPr>
          <w:spacing w:val="-11"/>
          <w:w w:val="99"/>
        </w:rPr>
        <w:t>近年来，公司荣获“公路交通优质工程奖（李春奖）”、“中国IT运维服务突出贡献企业奖”、“中国高</w:t>
      </w:r>
      <w:r>
        <w:rPr>
          <w:w w:val="99"/>
        </w:rPr>
        <w:t> </w:t>
      </w:r>
      <w:r>
        <w:rPr>
          <w:spacing w:val="-13"/>
          <w:w w:val="99"/>
        </w:rPr>
        <w:t>速公路30年信息化领军企业奖”、“全国十佳高速公路机电系统集成商”、“安徽省名牌产品”、“成华区优秀</w:t>
      </w:r>
      <w:r>
        <w:rPr>
          <w:spacing w:val="-81"/>
          <w:w w:val="99"/>
        </w:rPr>
        <w:t> </w:t>
      </w:r>
      <w:r>
        <w:rPr>
          <w:spacing w:val="-81"/>
          <w:w w:val="99"/>
        </w:rPr>
      </w:r>
      <w:r>
        <w:rPr/>
        <w:t>民营企业”等多项荣誉，树立了良好的品牌形象，企业品牌价值突显。</w:t>
      </w:r>
    </w:p>
    <w:p>
      <w:pPr>
        <w:pStyle w:val="BodyText"/>
        <w:spacing w:line="408" w:lineRule="auto" w:before="46"/>
        <w:ind w:left="592" w:right="1126" w:firstLine="2"/>
        <w:jc w:val="left"/>
      </w:pPr>
      <w:r>
        <w:rPr>
          <w:rFonts w:ascii="宋体" w:hAnsi="宋体" w:cs="宋体" w:eastAsia="宋体" w:hint="default"/>
          <w:b/>
          <w:bCs/>
        </w:rPr>
        <w:t>3、产业链协同优势</w:t>
      </w:r>
      <w:r>
        <w:rPr>
          <w:rFonts w:ascii="宋体" w:hAnsi="宋体" w:cs="宋体" w:eastAsia="宋体" w:hint="default"/>
          <w:b/>
          <w:bCs/>
          <w:w w:val="99"/>
        </w:rPr>
        <w:t> </w:t>
      </w:r>
      <w:r>
        <w:rPr>
          <w:spacing w:val="-2"/>
        </w:rPr>
        <w:t>公司围绕大交通SaaS应用，聚焦高速、港航、智慧城市、军工等智慧化全系场景服务，充分利用资本</w:t>
      </w:r>
    </w:p>
    <w:p>
      <w:pPr>
        <w:pStyle w:val="BodyText"/>
        <w:spacing w:line="408" w:lineRule="auto" w:before="46"/>
        <w:ind w:right="1130"/>
        <w:jc w:val="both"/>
      </w:pPr>
      <w:r>
        <w:rPr>
          <w:w w:val="95"/>
        </w:rPr>
        <w:t>市场平台，通过并购重组、战略合作、投资参股等多种方式，寻求大数据、人工智能、物联网等领域的优</w:t>
      </w:r>
      <w:r>
        <w:rPr>
          <w:spacing w:val="43"/>
          <w:w w:val="95"/>
        </w:rPr>
        <w:t> </w:t>
      </w:r>
      <w:r>
        <w:rPr>
          <w:spacing w:val="43"/>
          <w:w w:val="95"/>
        </w:rPr>
      </w:r>
      <w:r>
        <w:rPr>
          <w:spacing w:val="-5"/>
          <w:w w:val="99"/>
        </w:rPr>
        <w:t>质伙伴，整合产业链上下游资源，实现优势互补，资源共享。公司围绕“交通+信息技术”、“交通+智能制</w:t>
      </w:r>
      <w:r>
        <w:rPr>
          <w:spacing w:val="-72"/>
          <w:w w:val="99"/>
        </w:rPr>
        <w:t> </w:t>
      </w:r>
      <w:r>
        <w:rPr>
          <w:spacing w:val="-72"/>
          <w:w w:val="99"/>
        </w:rPr>
      </w:r>
      <w:r>
        <w:rPr>
          <w:spacing w:val="1"/>
          <w:w w:val="99"/>
        </w:rPr>
        <w:t>造”</w:t>
      </w:r>
      <w:r>
        <w:rPr>
          <w:spacing w:val="34"/>
          <w:w w:val="99"/>
        </w:rPr>
        <w:t> </w:t>
      </w:r>
      <w:r>
        <w:rPr>
          <w:spacing w:val="-3"/>
          <w:w w:val="99"/>
        </w:rPr>
        <w:t>、“交通+人工智能”等领域延伸产业链，充分发挥产业链聚合优势，推动企业转型升级。</w:t>
      </w:r>
      <w:r>
        <w:rPr>
          <w:spacing w:val="-3"/>
        </w:rPr>
      </w:r>
    </w:p>
    <w:p>
      <w:pPr>
        <w:pStyle w:val="BodyText"/>
        <w:spacing w:line="408" w:lineRule="auto" w:before="46"/>
        <w:ind w:right="1112" w:firstLine="420"/>
        <w:jc w:val="both"/>
      </w:pPr>
      <w:r>
        <w:rPr>
          <w:w w:val="95"/>
        </w:rPr>
        <w:t>目前，公司已形成了智慧高速、智慧港航、智慧军工、智慧城市等完善的产业链条，通过整合技术、</w:t>
      </w:r>
      <w:r>
        <w:rPr>
          <w:spacing w:val="-79"/>
          <w:w w:val="95"/>
        </w:rPr>
        <w:t> </w:t>
      </w:r>
      <w:r>
        <w:rPr>
          <w:spacing w:val="-79"/>
          <w:w w:val="95"/>
        </w:rPr>
      </w:r>
      <w:r>
        <w:rPr>
          <w:w w:val="95"/>
        </w:rPr>
        <w:t>人力、渠道等优势资源，推动各业务板块融合互补，跨场景整合大交通行业产业链资源，赋能产业升级，</w:t>
      </w:r>
      <w:r>
        <w:rPr>
          <w:spacing w:val="61"/>
          <w:w w:val="95"/>
        </w:rPr>
        <w:t> </w:t>
      </w:r>
      <w:r>
        <w:rPr>
          <w:spacing w:val="61"/>
          <w:w w:val="95"/>
        </w:rPr>
      </w:r>
      <w:r>
        <w:rPr/>
        <w:t>实现优势互补，资源共享，夯实公司在智慧交通垂直领域的核心竞争力，打造智慧交通产业链生态圈。</w:t>
      </w:r>
    </w:p>
    <w:p>
      <w:pPr>
        <w:spacing w:after="0" w:line="408" w:lineRule="auto"/>
        <w:jc w:val="both"/>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2928" w:right="2127"/>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12" w:firstLine="482"/>
        <w:jc w:val="right"/>
      </w:pPr>
      <w:r>
        <w:rPr>
          <w:spacing w:val="-5"/>
          <w:w w:val="99"/>
        </w:rPr>
        <w:t>报告期内，公司实现营业收入1,459,618,234.55元，比上年同期增长16.83%；利润总额206,570,421.39</w:t>
      </w:r>
      <w:r>
        <w:rPr>
          <w:w w:val="99"/>
        </w:rPr>
        <w:t> </w:t>
      </w:r>
      <w:r>
        <w:rPr>
          <w:w w:val="95"/>
        </w:rPr>
        <w:t>元，比上年同期增长64.10%；归属于上市公司股东的净利润168,576,777.26元，比上年同期增长59.30%。</w:t>
      </w:r>
      <w:r>
        <w:rPr>
          <w:spacing w:val="33"/>
          <w:w w:val="95"/>
        </w:rPr>
        <w:t> </w:t>
      </w:r>
      <w:r>
        <w:rPr>
          <w:spacing w:val="33"/>
          <w:w w:val="95"/>
        </w:rPr>
      </w:r>
      <w:r>
        <w:rPr>
          <w:spacing w:val="-2"/>
          <w:w w:val="95"/>
        </w:rPr>
        <w:t>报告期内，公司积极把握国家大力发展战略性新兴产业和建设现代交通运输信息化体系的机遇，融入</w:t>
      </w:r>
      <w:r>
        <w:rPr>
          <w:w w:val="99"/>
        </w:rPr>
        <w:t> </w:t>
      </w:r>
      <w:r>
        <w:rPr>
          <w:w w:val="95"/>
        </w:rPr>
        <w:t>物联网、云计算、大数据等新技术发展浪潮，围绕行业信息化建设，稳步拓展市场，主营业务各版块保持</w:t>
      </w:r>
      <w:r>
        <w:rPr/>
      </w:r>
    </w:p>
    <w:p>
      <w:pPr>
        <w:pStyle w:val="BodyText"/>
        <w:spacing w:line="408" w:lineRule="auto" w:before="46"/>
        <w:ind w:left="595" w:right="0" w:hanging="483"/>
        <w:jc w:val="left"/>
      </w:pPr>
      <w:r>
        <w:rPr/>
        <w:t>强劲的发展势头，行业龙头地位稳固。</w:t>
      </w:r>
      <w:r>
        <w:rPr>
          <w:w w:val="99"/>
        </w:rPr>
        <w:t> </w:t>
      </w:r>
      <w:r>
        <w:rPr/>
        <w:t>高速公路信息化领域，紧抓省界收费站取消和ETC全面普及等高速公路管理模式变革契机，加速物联</w:t>
      </w:r>
    </w:p>
    <w:p>
      <w:pPr>
        <w:pStyle w:val="BodyText"/>
        <w:spacing w:line="408" w:lineRule="auto" w:before="46"/>
        <w:ind w:right="1127"/>
        <w:jc w:val="both"/>
      </w:pPr>
      <w:r>
        <w:rPr>
          <w:w w:val="95"/>
        </w:rPr>
        <w:t>网技术在路网运营管理场景的研发和落地，依托传感器和云数据平台，开发基于物联网技术的路网级云监</w:t>
      </w:r>
      <w:r>
        <w:rPr>
          <w:spacing w:val="40"/>
          <w:w w:val="95"/>
        </w:rPr>
        <w:t> </w:t>
      </w:r>
      <w:r>
        <w:rPr>
          <w:spacing w:val="40"/>
          <w:w w:val="95"/>
        </w:rPr>
      </w:r>
      <w:r>
        <w:rPr>
          <w:w w:val="95"/>
        </w:rPr>
        <w:t>控平台、融入视频分析的新一代收费稽查系统、以大数据为支撑的交通信用系统，通过高速网络传输监控</w:t>
      </w:r>
      <w:r>
        <w:rPr>
          <w:spacing w:val="43"/>
          <w:w w:val="95"/>
        </w:rPr>
        <w:t> </w:t>
      </w:r>
      <w:r>
        <w:rPr>
          <w:spacing w:val="43"/>
          <w:w w:val="95"/>
        </w:rPr>
      </w:r>
      <w:r>
        <w:rPr>
          <w:w w:val="95"/>
        </w:rPr>
        <w:t>数据及预警指令，实现路网管理的自动化、智能化、高效化；依托全景感知、智能分析、综合管控、路网</w:t>
      </w:r>
      <w:r>
        <w:rPr>
          <w:spacing w:val="47"/>
          <w:w w:val="95"/>
        </w:rPr>
        <w:t> </w:t>
      </w:r>
      <w:r>
        <w:rPr>
          <w:spacing w:val="47"/>
          <w:w w:val="95"/>
        </w:rPr>
      </w:r>
      <w:r>
        <w:rPr>
          <w:w w:val="95"/>
        </w:rPr>
        <w:t>协同的智慧高速产品和服务，全面实现公路建设、管理、养护、数据运营、出行服务在内的全方位、全生</w:t>
      </w:r>
      <w:r>
        <w:rPr>
          <w:spacing w:val="43"/>
          <w:w w:val="95"/>
        </w:rPr>
        <w:t> </w:t>
      </w:r>
      <w:r>
        <w:rPr>
          <w:spacing w:val="43"/>
          <w:w w:val="95"/>
        </w:rPr>
      </w:r>
      <w:r>
        <w:rPr>
          <w:spacing w:val="2"/>
          <w:w w:val="95"/>
        </w:rPr>
        <w:t>命周期的应用服务体系,先后在吉林、湖北、天津、福建、重庆、江西、陕西中标新项目，其中，湖北省</w:t>
      </w:r>
      <w:r>
        <w:rPr>
          <w:spacing w:val="49"/>
          <w:w w:val="95"/>
        </w:rPr>
        <w:t> </w:t>
      </w:r>
      <w:r>
        <w:rPr>
          <w:spacing w:val="49"/>
          <w:w w:val="95"/>
        </w:rPr>
      </w:r>
      <w:r>
        <w:rPr>
          <w:w w:val="95"/>
        </w:rPr>
        <w:t>宜都至来凤高速公路鹤峰（容美）至宣恩（当阳坪）段机电工程项目金额突破亿元大关，为公司后续获取</w:t>
      </w:r>
      <w:r>
        <w:rPr>
          <w:spacing w:val="43"/>
          <w:w w:val="95"/>
        </w:rPr>
        <w:t> </w:t>
      </w:r>
      <w:r>
        <w:rPr>
          <w:spacing w:val="43"/>
          <w:w w:val="95"/>
        </w:rPr>
      </w:r>
      <w:r>
        <w:rPr/>
        <w:t>大型公路信息化项目提供有力业绩支撑。</w:t>
      </w:r>
    </w:p>
    <w:p>
      <w:pPr>
        <w:pStyle w:val="BodyText"/>
        <w:spacing w:line="408" w:lineRule="auto" w:before="46"/>
        <w:ind w:right="0" w:firstLine="482"/>
        <w:jc w:val="left"/>
      </w:pPr>
      <w:r>
        <w:rPr/>
        <w:t>港口航运信息化领域,深耕全球港航信息化产业，依托全栈产品和“港航云”大数据平台，高效整合</w:t>
      </w:r>
      <w:r>
        <w:rPr>
          <w:w w:val="99"/>
        </w:rPr>
        <w:t> </w:t>
      </w:r>
      <w:r>
        <w:rPr/>
        <w:t>港口数据流、物流、商流、资金流，建成业务整合、时间感知、排程优化的新型数字港口，实现航运全产</w:t>
      </w:r>
      <w:r>
        <w:rPr>
          <w:w w:val="99"/>
        </w:rPr>
        <w:t> 业链“群体智慧”；基于机器学习优化算法和AI图像处理技术，创新研发集装箱码头操作系统、港航智能</w:t>
      </w:r>
      <w:r>
        <w:rPr>
          <w:spacing w:val="-96"/>
          <w:w w:val="99"/>
        </w:rPr>
        <w:t> </w:t>
      </w:r>
      <w:r>
        <w:rPr>
          <w:spacing w:val="-96"/>
          <w:w w:val="99"/>
        </w:rPr>
      </w:r>
      <w:r>
        <w:rPr/>
        <w:t>硬件，完善通用散杂货码头操作系统、智能闸口系统，助力港航管理实现高端化、集群化、集约化和生态</w:t>
      </w:r>
      <w:r>
        <w:rPr>
          <w:w w:val="99"/>
        </w:rPr>
        <w:t> </w:t>
      </w:r>
      <w:r>
        <w:rPr>
          <w:spacing w:val="-3"/>
        </w:rPr>
        <w:t>化；紧跟国家“一带一路”战略实施步伐，积极搜集沿线国家港航信息化建设需求，与中国电建、国电投、</w:t>
      </w:r>
      <w:r>
        <w:rPr>
          <w:w w:val="99"/>
        </w:rPr>
        <w:t> </w:t>
      </w:r>
      <w:r>
        <w:rPr/>
        <w:t>中铝信息、新加坡永康集团、上海电气、中交四航等围绕海外项目进行了积极互动，国际业务朋友圈不断</w:t>
      </w:r>
      <w:r>
        <w:rPr>
          <w:w w:val="99"/>
        </w:rPr>
        <w:t> </w:t>
      </w:r>
      <w:r>
        <w:rPr/>
        <w:t>扩大，其中，几内亚Boffa码头信息化项目是公司第一个海外通用码头综合信息化项目，打响了公司GCTOS</w:t>
      </w:r>
      <w:r>
        <w:rPr>
          <w:w w:val="99"/>
        </w:rPr>
        <w:t> </w:t>
      </w:r>
      <w:r>
        <w:rPr/>
        <w:t>走出国门的第一枪。</w:t>
      </w:r>
    </w:p>
    <w:p>
      <w:pPr>
        <w:pStyle w:val="BodyText"/>
        <w:spacing w:line="408" w:lineRule="auto" w:before="46"/>
        <w:ind w:right="1130" w:firstLine="482"/>
        <w:jc w:val="both"/>
      </w:pPr>
      <w:r>
        <w:rPr>
          <w:spacing w:val="-2"/>
        </w:rPr>
        <w:t>军工电子信息领域，通过与国内主要科研院所、军工企业建立了紧密稳定的科研合作配套关系，开展</w:t>
      </w:r>
      <w:r>
        <w:rPr>
          <w:w w:val="99"/>
        </w:rPr>
        <w:t> </w:t>
      </w:r>
      <w:r>
        <w:rPr>
          <w:w w:val="95"/>
        </w:rPr>
        <w:t>微波探测领域的前瞻性高精尖技术研究，推进由微波组件、器件生产商向整机雷达、系统集成、专用设备</w:t>
      </w:r>
      <w:r>
        <w:rPr>
          <w:spacing w:val="44"/>
          <w:w w:val="95"/>
        </w:rPr>
        <w:t> </w:t>
      </w:r>
      <w:r>
        <w:rPr>
          <w:spacing w:val="44"/>
          <w:w w:val="95"/>
        </w:rPr>
      </w:r>
      <w:r>
        <w:rPr>
          <w:w w:val="95"/>
        </w:rPr>
        <w:t>供应商转型，以安全、稳定、可靠的配套产品和系统保障机载、舰载、弹载等军用领域生产任务的有效完</w:t>
      </w:r>
      <w:r>
        <w:rPr>
          <w:spacing w:val="42"/>
          <w:w w:val="95"/>
        </w:rPr>
        <w:t> </w:t>
      </w:r>
      <w:r>
        <w:rPr>
          <w:spacing w:val="42"/>
          <w:w w:val="95"/>
        </w:rPr>
      </w:r>
      <w:r>
        <w:rPr>
          <w:w w:val="95"/>
        </w:rPr>
        <w:t>成；积极拓展微波相关技术在民用领域的多元化应用场景，公司自主研发的服务于海洋通信领域的大功率</w:t>
      </w:r>
      <w:r>
        <w:rPr/>
      </w:r>
    </w:p>
    <w:p>
      <w:pPr>
        <w:spacing w:after="0" w:line="408" w:lineRule="auto"/>
        <w:jc w:val="both"/>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025"/>
        <w:jc w:val="left"/>
      </w:pPr>
      <w:r>
        <w:rPr/>
        <w:t>音频功放已经研制成功，技术状态基本固化，已具备批量生产基础；安防雷达广泛应用于边境、河流、石</w:t>
      </w:r>
      <w:r>
        <w:rPr>
          <w:w w:val="99"/>
        </w:rPr>
        <w:t> </w:t>
      </w:r>
      <w:r>
        <w:rPr>
          <w:spacing w:val="-3"/>
        </w:rPr>
        <w:t>油等重点部位的安全管控，并助力新疆、云南等省份雷达安全网的数据信息采集，向使用单位提供可持续、</w:t>
      </w:r>
      <w:r>
        <w:rPr>
          <w:w w:val="99"/>
        </w:rPr>
        <w:t> </w:t>
      </w:r>
      <w:r>
        <w:rPr/>
        <w:t>有价值的数据；基于雷达探测技术的船舶综合智能航海系统、岸基对海监观（监）测系统产品已在海南省</w:t>
      </w:r>
      <w:r>
        <w:rPr>
          <w:w w:val="99"/>
        </w:rPr>
        <w:t> </w:t>
      </w:r>
      <w:r>
        <w:rPr/>
        <w:t>的沿海岸线布防，成为公司提供“近岸、近海”海洋监测网和海洋信息化数据的核心系统；公司稳步推进</w:t>
      </w:r>
      <w:r>
        <w:rPr>
          <w:w w:val="99"/>
        </w:rPr>
        <w:t> </w:t>
      </w:r>
      <w:r>
        <w:rPr/>
        <w:t>微位移雷达生产线项目的设备采购和研发进度，系统依托微波探测、全面感知、大数据分析、智能互联等</w:t>
      </w:r>
      <w:r>
        <w:rPr>
          <w:w w:val="99"/>
        </w:rPr>
        <w:t> </w:t>
      </w:r>
      <w:r>
        <w:rPr/>
        <w:t>技术，将用于山体、边坡、轨道、涵洞、桥梁等微位移、滑坡进行早期预警，具有广阔的市场前景。</w:t>
      </w:r>
    </w:p>
    <w:p>
      <w:pPr>
        <w:pStyle w:val="BodyText"/>
        <w:spacing w:line="408" w:lineRule="auto" w:before="46"/>
        <w:ind w:right="1025" w:firstLine="482"/>
        <w:jc w:val="left"/>
      </w:pPr>
      <w:r>
        <w:rPr>
          <w:w w:val="95"/>
        </w:rPr>
        <w:t>智慧城市领域，通过广布城市各个角落的智能触角，基于AI视觉分析与图像处理技术的态势感知和预</w:t>
      </w:r>
      <w:r>
        <w:rPr>
          <w:w w:val="99"/>
        </w:rPr>
        <w:t> </w:t>
      </w:r>
      <w:r>
        <w:rPr/>
        <w:t>警系统，构建从数据共享、到数据交互、再到万物互联的智慧城市一体化解决方案；以丰富的交通大数据</w:t>
      </w:r>
      <w:r>
        <w:rPr>
          <w:w w:val="99"/>
        </w:rPr>
        <w:t> </w:t>
      </w:r>
      <w:r>
        <w:rPr/>
        <w:t>及雄厚的交通数据处理技术为基础，形成从产品到解决方案、从云端数据到出行者、从硬件基础设施到软</w:t>
      </w:r>
      <w:r>
        <w:rPr>
          <w:w w:val="99"/>
        </w:rPr>
        <w:t> </w:t>
      </w:r>
      <w:r>
        <w:rPr/>
        <w:t>件智慧中枢的完整产业链；构建AIoT开放平台及城市神经系统，盘活海量数据，提供数字出行多元服务，</w:t>
      </w:r>
      <w:r>
        <w:rPr>
          <w:w w:val="99"/>
        </w:rPr>
        <w:t> </w:t>
      </w:r>
      <w:r>
        <w:rPr/>
        <w:t>实现全面感知、泛在互联、融合应用，打造新型智慧城市运营管理全周期生态产业闭环；以云计算、大数</w:t>
      </w:r>
      <w:r>
        <w:rPr>
          <w:w w:val="99"/>
        </w:rPr>
        <w:t> </w:t>
      </w:r>
      <w:r>
        <w:rPr/>
        <w:t>据、人工智能综合解决方案为支撑，提供覆盖平安城市、雪亮工程、智慧监狱、城市交通、智慧政务、智</w:t>
      </w:r>
      <w:r>
        <w:rPr>
          <w:w w:val="99"/>
        </w:rPr>
        <w:t> </w:t>
      </w:r>
      <w:r>
        <w:rPr>
          <w:spacing w:val="-3"/>
        </w:rPr>
        <w:t>慧社区的计算能力和管理模型，搭建城市运营管理全周期综合服务平台，实现城市全状态实时化和可视化，</w:t>
      </w:r>
      <w:r>
        <w:rPr>
          <w:w w:val="99"/>
        </w:rPr>
        <w:t> </w:t>
      </w:r>
      <w:r>
        <w:rPr/>
        <w:t>驱动城市管理决策与服务智能化升级，努力向行业领先的数字产业赋能者迈进，构筑守护城市安全的坚实</w:t>
      </w:r>
      <w:r>
        <w:rPr>
          <w:w w:val="99"/>
        </w:rPr>
        <w:t> </w:t>
      </w:r>
      <w:r>
        <w:rPr/>
        <w:t>城墙。</w:t>
      </w:r>
    </w:p>
    <w:p>
      <w:pPr>
        <w:pStyle w:val="BodyText"/>
        <w:spacing w:line="408" w:lineRule="auto" w:before="46"/>
        <w:ind w:right="1135" w:firstLine="482"/>
        <w:jc w:val="both"/>
      </w:pPr>
      <w:r>
        <w:rPr>
          <w:spacing w:val="-2"/>
          <w:w w:val="95"/>
        </w:rPr>
        <w:t>报告期内，公司持续强化大数据应用能力，延伸业务链条，围绕智慧化全系场景服务，培育新型盈利</w:t>
      </w:r>
      <w:r>
        <w:rPr>
          <w:w w:val="99"/>
        </w:rPr>
        <w:t> </w:t>
      </w:r>
      <w:r>
        <w:rPr/>
        <w:t>模式和盈利渠道，构建大交通智慧生态体系。</w:t>
      </w:r>
    </w:p>
    <w:p>
      <w:pPr>
        <w:pStyle w:val="BodyText"/>
        <w:spacing w:line="408" w:lineRule="auto" w:before="46"/>
        <w:ind w:right="1130" w:firstLine="482"/>
        <w:jc w:val="both"/>
      </w:pPr>
      <w:r>
        <w:rPr/>
        <w:t>报告期内，高速公路省界收费站取消和ETC不停车收费全面普及，新的高速公路收费体系按照电子不</w:t>
      </w:r>
      <w:r>
        <w:rPr>
          <w:w w:val="99"/>
        </w:rPr>
        <w:t> </w:t>
      </w:r>
      <w:r>
        <w:rPr>
          <w:w w:val="95"/>
        </w:rPr>
        <w:t>停车快捷收费、车牌图像识别、多种支付手段融合应用的技术路线，完成封闭式联网收费向开放式自由流</w:t>
      </w:r>
      <w:r>
        <w:rPr>
          <w:spacing w:val="43"/>
          <w:w w:val="95"/>
        </w:rPr>
        <w:t> </w:t>
      </w:r>
      <w:r>
        <w:rPr>
          <w:spacing w:val="43"/>
          <w:w w:val="95"/>
        </w:rPr>
      </w:r>
      <w:r>
        <w:rPr>
          <w:w w:val="95"/>
        </w:rPr>
        <w:t>收费的转型升级，公路交通迈向数字化、智慧化的新阶段。公司围绕联网收费全业务链，专注路侧融合感</w:t>
      </w:r>
      <w:r>
        <w:rPr>
          <w:spacing w:val="42"/>
          <w:w w:val="95"/>
        </w:rPr>
        <w:t> </w:t>
      </w:r>
      <w:r>
        <w:rPr>
          <w:spacing w:val="42"/>
          <w:w w:val="95"/>
        </w:rPr>
      </w:r>
      <w:r>
        <w:rPr>
          <w:w w:val="95"/>
        </w:rPr>
        <w:t>知、系统互联互通、高性能计算、机器学习等交通领域前瞻性技术研究，构建以大数据和人工智能技术为</w:t>
      </w:r>
      <w:r>
        <w:rPr>
          <w:spacing w:val="44"/>
          <w:w w:val="95"/>
        </w:rPr>
        <w:t> </w:t>
      </w:r>
      <w:r>
        <w:rPr>
          <w:spacing w:val="44"/>
          <w:w w:val="95"/>
        </w:rPr>
      </w:r>
      <w:r>
        <w:rPr>
          <w:w w:val="95"/>
        </w:rPr>
        <w:t>核心的收费清分结算、路网监测预警、公路协同管控一体化新自由流交通运营整体解决方案，持续探索大</w:t>
      </w:r>
      <w:r>
        <w:rPr>
          <w:spacing w:val="40"/>
          <w:w w:val="95"/>
        </w:rPr>
        <w:t> </w:t>
      </w:r>
      <w:r>
        <w:rPr>
          <w:spacing w:val="40"/>
          <w:w w:val="95"/>
        </w:rPr>
      </w:r>
      <w:r>
        <w:rPr/>
        <w:t>交通领域新业态。</w:t>
      </w:r>
    </w:p>
    <w:p>
      <w:pPr>
        <w:pStyle w:val="BodyText"/>
        <w:spacing w:line="408" w:lineRule="auto" w:before="46"/>
        <w:ind w:right="1130" w:firstLine="482"/>
        <w:jc w:val="both"/>
      </w:pPr>
      <w:r>
        <w:rPr>
          <w:spacing w:val="-2"/>
        </w:rPr>
        <w:t>在物联网与人车路协同的智慧化生态领域，公司提供高速超脑、交通AI+、智能+、智慧收费、智慧运</w:t>
      </w:r>
      <w:r>
        <w:rPr>
          <w:w w:val="99"/>
        </w:rPr>
        <w:t> </w:t>
      </w:r>
      <w:r>
        <w:rPr>
          <w:w w:val="95"/>
        </w:rPr>
        <w:t>营五大智慧解决方案，推进交通领域生产运营系统升级、道路服务升级、车后消费升级。公司将不断升级</w:t>
      </w:r>
      <w:r>
        <w:rPr>
          <w:spacing w:val="40"/>
          <w:w w:val="95"/>
        </w:rPr>
        <w:t> </w:t>
      </w:r>
      <w:r>
        <w:rPr>
          <w:spacing w:val="40"/>
          <w:w w:val="95"/>
        </w:rPr>
      </w:r>
      <w:r>
        <w:rPr>
          <w:w w:val="95"/>
        </w:rPr>
        <w:t>人车路全息交通数据的车联网感知采集支撑系统，赋能路网管理、联网收费、指挥调度、路网运营、高速</w:t>
      </w:r>
      <w:r>
        <w:rPr>
          <w:spacing w:val="43"/>
          <w:w w:val="95"/>
        </w:rPr>
        <w:t> </w:t>
      </w:r>
      <w:r>
        <w:rPr>
          <w:spacing w:val="43"/>
          <w:w w:val="95"/>
        </w:rPr>
      </w:r>
      <w:r>
        <w:rPr>
          <w:w w:val="95"/>
        </w:rPr>
        <w:t>出行，推进交通领域服务升级、消费升级，打造“人、车、路、网”一体的数字高速新引擎，让智慧的车</w:t>
      </w:r>
      <w:r>
        <w:rPr>
          <w:spacing w:val="42"/>
          <w:w w:val="95"/>
        </w:rPr>
        <w:t> </w:t>
      </w:r>
      <w:r>
        <w:rPr>
          <w:spacing w:val="42"/>
          <w:w w:val="95"/>
        </w:rPr>
      </w:r>
      <w:r>
        <w:rPr/>
        <w:t>驶入聪明的路，刷新智能化道路新高度。</w:t>
      </w:r>
    </w:p>
    <w:p>
      <w:pPr>
        <w:spacing w:after="0" w:line="408" w:lineRule="auto"/>
        <w:jc w:val="both"/>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4"/>
        <w:spacing w:line="240" w:lineRule="auto" w:before="26"/>
        <w:ind w:right="2127"/>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1,459,618,234.55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1,249,370,240.05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963,546,406.28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741,623,683.65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208,661,723.79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234,705,309.00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74,767,838.92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80,180,306.00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51,315,372.20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39,067,418.46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军工电子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113,662,827.05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95,065,852.86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47,664,066.31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58,727,670.08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-18.84%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1,013,845,420.62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859,401,505.37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187,329,346.11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215,613,701.10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107,918,760.42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55,739,055.46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150,524,707.40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118,615,978.12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628,277,275.93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571,567,318.47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831,340,958.62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677,802,921.58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1"/>
        <w:gridCol w:w="1004"/>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278,648,9</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06.67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345,199,6</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53.17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257,033,2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49.47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578,736,4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25.24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266,991,9</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88.91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220,744,1</w:t>
            </w:r>
          </w:p>
          <w:p>
            <w:pPr>
              <w:pStyle w:val="TableParagraph"/>
              <w:spacing w:line="240" w:lineRule="auto" w:before="105"/>
              <w:ind w:left="485" w:right="0"/>
              <w:jc w:val="left"/>
              <w:rPr>
                <w:rFonts w:ascii="Times New Roman" w:hAnsi="Times New Roman" w:cs="Times New Roman" w:eastAsia="Times New Roman" w:hint="default"/>
                <w:sz w:val="18"/>
                <w:szCs w:val="18"/>
              </w:rPr>
            </w:pPr>
            <w:r>
              <w:rPr>
                <w:rFonts w:ascii="Times New Roman"/>
                <w:sz w:val="18"/>
              </w:rPr>
              <w:t>37.70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246,822,1</w:t>
            </w:r>
          </w:p>
          <w:p>
            <w:pPr>
              <w:pStyle w:val="TableParagraph"/>
              <w:spacing w:line="240" w:lineRule="auto" w:before="105"/>
              <w:ind w:left="484" w:right="0"/>
              <w:jc w:val="left"/>
              <w:rPr>
                <w:rFonts w:ascii="Times New Roman" w:hAnsi="Times New Roman" w:cs="Times New Roman" w:eastAsia="Times New Roman" w:hint="default"/>
                <w:sz w:val="18"/>
                <w:szCs w:val="18"/>
              </w:rPr>
            </w:pPr>
            <w:r>
              <w:rPr>
                <w:rFonts w:ascii="Times New Roman"/>
                <w:sz w:val="18"/>
              </w:rPr>
              <w:t>50.40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514,811,9</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63.00</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44"/>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9,476,641.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42,544,91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1.39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28,524,45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88,030,76</w:t>
            </w:r>
          </w:p>
          <w:p>
            <w:pPr>
              <w:pStyle w:val="TableParagraph"/>
              <w:spacing w:line="240" w:lineRule="auto" w:before="105"/>
              <w:ind w:left="582" w:right="0"/>
              <w:jc w:val="left"/>
              <w:rPr>
                <w:rFonts w:ascii="Times New Roman" w:hAnsi="Times New Roman" w:cs="Times New Roman" w:eastAsia="Times New Roman" w:hint="default"/>
                <w:sz w:val="18"/>
                <w:szCs w:val="18"/>
              </w:rPr>
            </w:pPr>
            <w:r>
              <w:rPr>
                <w:rFonts w:ascii="Times New Roman"/>
                <w:sz w:val="18"/>
              </w:rPr>
              <w:t>8.67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12,754,01</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8.48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22,731,15</w:t>
            </w:r>
          </w:p>
          <w:p>
            <w:pPr>
              <w:pStyle w:val="TableParagraph"/>
              <w:spacing w:line="240" w:lineRule="auto" w:before="105"/>
              <w:ind w:left="576" w:right="0"/>
              <w:jc w:val="left"/>
              <w:rPr>
                <w:rFonts w:ascii="Times New Roman" w:hAnsi="Times New Roman" w:cs="Times New Roman" w:eastAsia="Times New Roman" w:hint="default"/>
                <w:sz w:val="18"/>
                <w:szCs w:val="18"/>
              </w:rPr>
            </w:pPr>
            <w:r>
              <w:rPr>
                <w:rFonts w:ascii="Times New Roman"/>
                <w:sz w:val="18"/>
              </w:rPr>
              <w:t>2.12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33,214,54</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4.72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37,121,10</w:t>
            </w:r>
          </w:p>
          <w:p>
            <w:pPr>
              <w:pStyle w:val="TableParagraph"/>
              <w:spacing w:line="240" w:lineRule="auto" w:before="105"/>
              <w:ind w:left="574" w:right="0"/>
              <w:jc w:val="left"/>
              <w:rPr>
                <w:rFonts w:ascii="Times New Roman" w:hAnsi="Times New Roman" w:cs="Times New Roman" w:eastAsia="Times New Roman" w:hint="default"/>
                <w:sz w:val="18"/>
                <w:szCs w:val="18"/>
              </w:rPr>
            </w:pPr>
            <w:r>
              <w:rPr>
                <w:rFonts w:ascii="Times New Roman"/>
                <w:sz w:val="18"/>
              </w:rPr>
              <w:t>9.97</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w:t>
      </w:r>
    </w:p>
    <w:p>
      <w:pPr>
        <w:spacing w:line="240" w:lineRule="auto" w:before="12"/>
        <w:rPr>
          <w:rFonts w:ascii="宋体" w:hAnsi="宋体" w:cs="宋体" w:eastAsia="宋体" w:hint="default"/>
          <w:sz w:val="12"/>
          <w:szCs w:val="12"/>
        </w:rPr>
      </w:pPr>
    </w:p>
    <w:p>
      <w:pPr>
        <w:pStyle w:val="BodyText"/>
        <w:spacing w:line="408" w:lineRule="auto" w:before="0"/>
        <w:ind w:right="1130" w:firstLine="420"/>
        <w:jc w:val="both"/>
      </w:pPr>
      <w:r>
        <w:rPr>
          <w:w w:val="95"/>
        </w:rPr>
        <w:t>公司客户以各地公路管理部门、港航企业集团、大型军工集团为主，该部分客户通常实行预算决算体</w:t>
      </w:r>
      <w:r>
        <w:rPr>
          <w:spacing w:val="-97"/>
          <w:w w:val="95"/>
        </w:rPr>
        <w:t> </w:t>
      </w:r>
      <w:r>
        <w:rPr>
          <w:spacing w:val="-97"/>
          <w:w w:val="95"/>
        </w:rPr>
      </w:r>
      <w:r>
        <w:rPr>
          <w:w w:val="95"/>
        </w:rPr>
        <w:t>制，对信息化项目的购买遵守较为严格的预算管理和采购制度，大多在上个自然年度的年底或当年年初进</w:t>
      </w:r>
      <w:r>
        <w:rPr>
          <w:spacing w:val="38"/>
          <w:w w:val="95"/>
        </w:rPr>
        <w:t> </w:t>
      </w:r>
      <w:r>
        <w:rPr>
          <w:spacing w:val="38"/>
          <w:w w:val="95"/>
        </w:rPr>
      </w:r>
      <w:r>
        <w:rPr>
          <w:w w:val="95"/>
        </w:rPr>
        <w:t>行资金的预算、审批和采购计划的制定，下半年才开始具体的设备采购、项目验收等，由此导致公司营业</w:t>
      </w:r>
      <w:r>
        <w:rPr>
          <w:spacing w:val="44"/>
          <w:w w:val="95"/>
        </w:rPr>
        <w:t> </w:t>
      </w:r>
      <w:r>
        <w:rPr>
          <w:spacing w:val="44"/>
          <w:w w:val="95"/>
        </w:rPr>
      </w:r>
      <w:r>
        <w:rPr/>
        <w:t>收入及经营活动现金流呈现明显的季节性特征，通常上半年收入较少，大部分收入在下半年实现。</w:t>
      </w:r>
    </w:p>
    <w:p>
      <w:pPr>
        <w:spacing w:line="240" w:lineRule="auto" w:before="8"/>
        <w:rPr>
          <w:rFonts w:ascii="宋体" w:hAnsi="宋体" w:cs="宋体" w:eastAsia="宋体" w:hint="default"/>
          <w:sz w:val="20"/>
          <w:szCs w:val="20"/>
        </w:rPr>
      </w:pPr>
    </w:p>
    <w:p>
      <w:pPr>
        <w:pStyle w:val="Heading5"/>
        <w:spacing w:line="240" w:lineRule="auto"/>
        <w:ind w:right="2127"/>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963,546,406.28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727,512,352.96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208,661,723.79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109,822,033.68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74,767,838.92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56,264,803.92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51,315,372.20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37,024,240.57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军工电子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113,662,827.05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31,271,676.57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47,664,066.31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33,759,816.11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-26.60%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7.49%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1,459,618,234.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995,654,923.81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1,013,845,420.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808,880,437.02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187,329,346.11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102,329,239.50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-23.68%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107,918,760.42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31,275,633.27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150,524,707.40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53,169,614.02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4.70%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1,459,618,234.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995,654,923.81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628,277,275.93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426,973,307.32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831,340,958.62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568,681,616.49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1,459,618,234.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995,654,923.81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after="0"/>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833" w:space="8085"/>
            <w:col w:w="197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外购材料及工 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752,676,895.08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629,877,301.07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19.50%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25,565,391.65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24,600,267.14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30,638,150.29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23,254,093.51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31.75%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808,880,437.02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677,675,650.56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19.36%</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外购材料及工 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24,326,077.41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93,574,237.75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44,131,712.92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26,914,110.03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33,871,449.17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13,594,219.92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149.16%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102,329,239.50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134,082,567.70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-23.68%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外购材料及工 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12,489,688.07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9,347,932.70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33.61%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14,272,840.19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9,459,530.54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50.88%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4,513,105.01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350,403.55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1,187.97%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31,275,633.27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19,157,866.79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63.25%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2"/>
              <w:jc w:val="left"/>
              <w:rPr>
                <w:rFonts w:ascii="宋体" w:hAnsi="宋体" w:cs="宋体" w:eastAsia="宋体" w:hint="default"/>
                <w:sz w:val="18"/>
                <w:szCs w:val="18"/>
              </w:rPr>
            </w:pPr>
            <w:r>
              <w:rPr>
                <w:rFonts w:ascii="宋体" w:hAnsi="宋体" w:cs="宋体" w:eastAsia="宋体" w:hint="default"/>
                <w:sz w:val="18"/>
                <w:szCs w:val="18"/>
              </w:rPr>
              <w:t>外购材料及工 程劳务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47,047,105.64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41,647,331.61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5,307,129.83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4,528,158.02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815,378.55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1,298,327.26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-37.20%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53,169,614.02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47,473,816.89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12.00%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after="0"/>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9" w:footer="1016" w:top="1120" w:bottom="1200" w:left="1020" w:right="0"/>
        </w:sectPr>
      </w:pPr>
    </w:p>
    <w:p>
      <w:pPr>
        <w:spacing w:line="338" w:lineRule="auto"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2"/>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836,539,766.20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774,446,803.13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89,277,074.59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65,502,065.73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69,838,083.02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38,441,033.08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995,654,923.81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878,389,901.94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13.35%</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13"/>
          <w:szCs w:val="13"/>
        </w:rPr>
      </w:pPr>
    </w:p>
    <w:p>
      <w:pPr>
        <w:pStyle w:val="BodyText"/>
        <w:spacing w:line="408" w:lineRule="auto" w:before="0"/>
        <w:ind w:left="532" w:right="0"/>
        <w:jc w:val="left"/>
      </w:pPr>
      <w:r>
        <w:rPr/>
        <w:t>本期纳入合并财务报表范围的主体较上期相比，增加1户，减少0户，其中：</w:t>
      </w:r>
      <w:r>
        <w:rPr>
          <w:w w:val="99"/>
        </w:rPr>
        <w:t> </w:t>
      </w:r>
      <w:r>
        <w:rPr>
          <w:w w:val="95"/>
        </w:rPr>
        <w:t>本期新纳入合并范围的子公司、特殊目的主体、通过受托经营或承租等方式形成控制权的经营实体</w:t>
      </w:r>
      <w:r>
        <w:rPr/>
      </w:r>
    </w:p>
    <w:tbl>
      <w:tblPr>
        <w:tblW w:w="0" w:type="auto"/>
        <w:jc w:val="left"/>
        <w:tblInd w:w="661"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陕西皖通科技有限责任公司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right="6"/>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5"/>
        <w:spacing w:line="240" w:lineRule="auto" w:before="34"/>
        <w:ind w:right="2127"/>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469,700,352.24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32.18%</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232,581,419.41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15.93%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79,708,565.16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57,247,463.41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3.92%</w:t>
            </w:r>
          </w:p>
        </w:tc>
      </w:tr>
      <w:tr>
        <w:trPr>
          <w:trHeight w:val="40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54,061,571.87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46,101,332.39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469,700,352.24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32.18%</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60"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123,551,245.51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17.29%</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67"/>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41,126,812.00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5.76%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33,008,142.17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17,607,996.27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16,719,555.00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15,088,740.07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123,551,245.51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17.29%</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51,481,843.71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41,895,018.19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left"/>
              <w:rPr>
                <w:rFonts w:ascii="宋体" w:hAnsi="宋体" w:cs="宋体" w:eastAsia="宋体" w:hint="default"/>
                <w:sz w:val="18"/>
                <w:szCs w:val="18"/>
              </w:rPr>
            </w:pPr>
            <w:r>
              <w:rPr>
                <w:rFonts w:ascii="宋体" w:hAnsi="宋体" w:cs="宋体" w:eastAsia="宋体" w:hint="default"/>
                <w:sz w:val="18"/>
                <w:szCs w:val="18"/>
              </w:rPr>
              <w:t>本期增加主要系加大市场开拓力度 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127,430,840.66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115,784,147.26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left"/>
              <w:rPr>
                <w:rFonts w:ascii="宋体" w:hAnsi="宋体" w:cs="宋体" w:eastAsia="宋体" w:hint="default"/>
                <w:sz w:val="18"/>
                <w:szCs w:val="18"/>
              </w:rPr>
            </w:pPr>
            <w:r>
              <w:rPr>
                <w:rFonts w:ascii="宋体" w:hAnsi="宋体" w:cs="宋体" w:eastAsia="宋体" w:hint="default"/>
                <w:sz w:val="18"/>
                <w:szCs w:val="18"/>
              </w:rPr>
              <w:t>本期增加系公司规模增加，加强内 部管理建设所致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-3,107,915.68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-1,937,071.02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84"/>
              <w:jc w:val="left"/>
              <w:rPr>
                <w:rFonts w:ascii="宋体" w:hAnsi="宋体" w:cs="宋体" w:eastAsia="宋体" w:hint="default"/>
                <w:sz w:val="18"/>
                <w:szCs w:val="18"/>
              </w:rPr>
            </w:pPr>
            <w:r>
              <w:rPr>
                <w:rFonts w:ascii="宋体" w:hAnsi="宋体" w:cs="宋体" w:eastAsia="宋体" w:hint="default"/>
                <w:sz w:val="18"/>
                <w:szCs w:val="18"/>
              </w:rPr>
              <w:t>主要系本期获取利息收入增加所 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88,708,052.50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49,200,074.90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84"/>
              <w:jc w:val="left"/>
              <w:rPr>
                <w:rFonts w:ascii="宋体" w:hAnsi="宋体" w:cs="宋体" w:eastAsia="宋体" w:hint="default"/>
                <w:sz w:val="18"/>
                <w:szCs w:val="18"/>
              </w:rPr>
            </w:pPr>
            <w:r>
              <w:rPr>
                <w:rFonts w:ascii="宋体" w:hAnsi="宋体" w:cs="宋体" w:eastAsia="宋体" w:hint="default"/>
                <w:sz w:val="18"/>
                <w:szCs w:val="18"/>
              </w:rPr>
              <w:t>主要系公司加大研发投入力度所 致。</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240" w:lineRule="auto" w:before="0"/>
        <w:ind w:left="477" w:right="0"/>
        <w:jc w:val="left"/>
      </w:pPr>
      <w:r>
        <w:rPr/>
        <w:t>公司以智能交通发展为引领，以路网管理和联网收费业务为核心，开发了智能路网管理系统、交通运</w:t>
      </w:r>
    </w:p>
    <w:p>
      <w:pPr>
        <w:spacing w:after="0" w:line="240" w:lineRule="auto"/>
        <w:jc w:val="left"/>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135"/>
        <w:jc w:val="both"/>
      </w:pPr>
      <w:r>
        <w:rPr>
          <w:w w:val="95"/>
        </w:rPr>
        <w:t>输智慧信息服务和交通应急救援服务系统、公众出行服务和汽车后市场服务系统、道路运输车辆卫星定位</w:t>
      </w:r>
      <w:r>
        <w:rPr>
          <w:spacing w:val="37"/>
          <w:w w:val="95"/>
        </w:rPr>
        <w:t> </w:t>
      </w:r>
      <w:r>
        <w:rPr>
          <w:spacing w:val="37"/>
          <w:w w:val="95"/>
        </w:rPr>
      </w:r>
      <w:r>
        <w:rPr>
          <w:w w:val="95"/>
        </w:rPr>
        <w:t>系统等产品，构建出企业完整的智慧交通业务链，使公司在交通运输信息化和智能化系统建设领域保持良</w:t>
      </w:r>
      <w:r>
        <w:rPr>
          <w:spacing w:val="37"/>
          <w:w w:val="95"/>
        </w:rPr>
        <w:t> </w:t>
      </w:r>
      <w:r>
        <w:rPr>
          <w:spacing w:val="37"/>
          <w:w w:val="95"/>
        </w:rPr>
      </w:r>
      <w:r>
        <w:rPr/>
        <w:t>好的竞争优势。</w:t>
      </w:r>
    </w:p>
    <w:p>
      <w:pPr>
        <w:pStyle w:val="BodyText"/>
        <w:spacing w:line="408" w:lineRule="auto" w:before="46"/>
        <w:ind w:right="1132" w:firstLine="364"/>
        <w:jc w:val="both"/>
      </w:pPr>
      <w:r>
        <w:rPr/>
        <w:t>为适应现代化港口智能型、自动化管理需求，公司采用业界先进的技术架构和技术解决方案，持续完</w:t>
      </w:r>
      <w:r>
        <w:rPr>
          <w:w w:val="99"/>
        </w:rPr>
        <w:t> </w:t>
      </w:r>
      <w:r>
        <w:rPr>
          <w:w w:val="95"/>
        </w:rPr>
        <w:t>善以码头操作系统(集装箱CITOS、散杂货GCTOS)为核心的传统港航信息化产品，提升码头作业效率；研制</w:t>
      </w:r>
      <w:r>
        <w:rPr>
          <w:spacing w:val="37"/>
          <w:w w:val="95"/>
        </w:rPr>
        <w:t> </w:t>
      </w:r>
      <w:r>
        <w:rPr>
          <w:spacing w:val="37"/>
          <w:w w:val="95"/>
        </w:rPr>
      </w:r>
      <w:r>
        <w:rPr>
          <w:w w:val="95"/>
        </w:rPr>
        <w:t>基于TD-LTE技术的系列通讯终端产品，创无线产品自主品牌，为港口用户提供从终端到网络系统再到应用</w:t>
      </w:r>
      <w:r>
        <w:rPr>
          <w:spacing w:val="40"/>
          <w:w w:val="95"/>
        </w:rPr>
        <w:t> </w:t>
      </w:r>
      <w:r>
        <w:rPr>
          <w:spacing w:val="40"/>
          <w:w w:val="95"/>
        </w:rPr>
      </w:r>
      <w:r>
        <w:rPr/>
        <w:t>软件的端到端整体解决方案，巩固企业市场占有率和行业地位，为海外市场开拓增强后劲。</w:t>
      </w:r>
    </w:p>
    <w:p>
      <w:pPr>
        <w:pStyle w:val="BodyText"/>
        <w:spacing w:line="408" w:lineRule="auto" w:before="46"/>
        <w:ind w:right="1135" w:firstLine="364"/>
        <w:jc w:val="both"/>
      </w:pPr>
      <w:r>
        <w:rPr/>
        <w:t>公司稳步推进微位移雷达生产线项目的设备采购和研发进度，系统依托微波探测、全面感知、大数据</w:t>
      </w:r>
      <w:r>
        <w:rPr>
          <w:w w:val="99"/>
        </w:rPr>
        <w:t> </w:t>
      </w:r>
      <w:r>
        <w:rPr>
          <w:w w:val="95"/>
        </w:rPr>
        <w:t>分析、智能互联等技术，将用于山体、边坡、轨道、涵洞、桥梁等微位移、滑坡进行早期预警，具有广阔</w:t>
      </w:r>
      <w:r>
        <w:rPr>
          <w:spacing w:val="36"/>
          <w:w w:val="95"/>
        </w:rPr>
        <w:t> </w:t>
      </w:r>
      <w:r>
        <w:rPr>
          <w:spacing w:val="36"/>
          <w:w w:val="95"/>
        </w:rPr>
      </w:r>
      <w:r>
        <w:rPr/>
        <w:t>的市场前景。</w:t>
      </w:r>
    </w:p>
    <w:p>
      <w:pPr>
        <w:spacing w:line="240" w:lineRule="auto" w:before="7"/>
        <w:rPr>
          <w:rFonts w:ascii="宋体" w:hAnsi="宋体" w:cs="宋体" w:eastAsia="宋体" w:hint="default"/>
          <w:sz w:val="29"/>
          <w:szCs w:val="29"/>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78,520,148.34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66,071,703.51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2,195,664.82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16,211,251.25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-86.46%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-21.74%</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1016" w:header="919" w:top="1120" w:bottom="1200" w:left="1020" w:right="0"/>
          <w:pgNumType w:start="20"/>
        </w:sectPr>
      </w:pPr>
    </w:p>
    <w:p>
      <w:pPr>
        <w:spacing w:before="51"/>
        <w:ind w:left="11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1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030"/>
        <w:gridCol w:w="2754"/>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移动式冷藏箱数据采集终端</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1,148,190.07</w:t>
            </w:r>
          </w:p>
        </w:tc>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9"/>
              <w:jc w:val="both"/>
              <w:rPr>
                <w:rFonts w:ascii="宋体" w:hAnsi="宋体" w:cs="宋体" w:eastAsia="宋体" w:hint="default"/>
                <w:sz w:val="18"/>
                <w:szCs w:val="18"/>
              </w:rPr>
            </w:pPr>
            <w:r>
              <w:rPr>
                <w:rFonts w:ascii="宋体" w:hAnsi="宋体" w:cs="宋体" w:eastAsia="宋体" w:hint="default"/>
                <w:sz w:val="18"/>
                <w:szCs w:val="18"/>
              </w:rPr>
              <w:t>移动式冷藏箱数据采集系统的目 的就是代替人工抄表，避免人为 失误，减少人力支出实时的自动 采集冷藏箱的温度，湿度等重要 状态参数，并在值班人员的电脑 上实时显示。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27"/>
              <w:jc w:val="left"/>
              <w:rPr>
                <w:rFonts w:ascii="宋体" w:hAnsi="宋体" w:cs="宋体" w:eastAsia="宋体" w:hint="default"/>
                <w:sz w:val="18"/>
                <w:szCs w:val="18"/>
              </w:rPr>
            </w:pPr>
            <w:r>
              <w:rPr>
                <w:rFonts w:ascii="宋体" w:hAnsi="宋体" w:cs="宋体" w:eastAsia="宋体" w:hint="default"/>
                <w:sz w:val="18"/>
                <w:szCs w:val="18"/>
              </w:rPr>
              <w:t>此项目已经完成了产品的总 体设计、详细设计、开发实 现（包括软件设计、硬件设 </w:t>
            </w:r>
            <w:r>
              <w:rPr>
                <w:rFonts w:ascii="宋体" w:hAnsi="宋体" w:cs="宋体" w:eastAsia="宋体" w:hint="default"/>
                <w:spacing w:val="-7"/>
                <w:sz w:val="18"/>
                <w:szCs w:val="18"/>
              </w:rPr>
              <w:t>计、结构设计、单元测试），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完成产品现场测试，产品于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月申请了实用新型 专利</w:t>
            </w:r>
          </w:p>
        </w:tc>
      </w:tr>
      <w:tr>
        <w:trPr>
          <w:trHeight w:val="34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tcPr>
          <w:p>
            <w:pPr/>
          </w:p>
        </w:tc>
        <w:tc>
          <w:tcPr>
            <w:tcW w:w="2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7"/>
              <w:jc w:val="center"/>
              <w:rPr>
                <w:rFonts w:ascii="宋体" w:hAnsi="宋体" w:cs="宋体" w:eastAsia="宋体" w:hint="default"/>
                <w:sz w:val="18"/>
                <w:szCs w:val="18"/>
              </w:rPr>
            </w:pPr>
            <w:r>
              <w:rPr>
                <w:rFonts w:ascii="宋体" w:hAnsi="宋体" w:cs="宋体" w:eastAsia="宋体" w:hint="default"/>
                <w:sz w:val="18"/>
                <w:szCs w:val="18"/>
              </w:rPr>
              <w:t>智能理货系统是通过对集装箱码</w:t>
            </w: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6"/>
              <w:jc w:val="center"/>
              <w:rPr>
                <w:rFonts w:ascii="宋体" w:hAnsi="宋体" w:cs="宋体" w:eastAsia="宋体" w:hint="default"/>
                <w:sz w:val="18"/>
                <w:szCs w:val="18"/>
              </w:rPr>
            </w:pPr>
            <w:r>
              <w:rPr>
                <w:rFonts w:ascii="宋体" w:hAnsi="宋体" w:cs="宋体" w:eastAsia="宋体" w:hint="default"/>
                <w:sz w:val="18"/>
                <w:szCs w:val="18"/>
              </w:rPr>
              <w:t>此项目已经完成了产品的立</w:t>
            </w:r>
          </w:p>
        </w:tc>
      </w:tr>
      <w:tr>
        <w:trPr>
          <w:trHeight w:val="322"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智能理货系统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1,301,361.72</w:t>
            </w: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7"/>
              <w:jc w:val="center"/>
              <w:rPr>
                <w:rFonts w:ascii="宋体" w:hAnsi="宋体" w:cs="宋体" w:eastAsia="宋体" w:hint="default"/>
                <w:sz w:val="18"/>
                <w:szCs w:val="18"/>
              </w:rPr>
            </w:pPr>
            <w:r>
              <w:rPr>
                <w:rFonts w:ascii="宋体" w:hAnsi="宋体" w:cs="宋体" w:eastAsia="宋体" w:hint="default"/>
                <w:sz w:val="18"/>
                <w:szCs w:val="18"/>
              </w:rPr>
              <w:t>头岸桥理货作业过程中的集装箱</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6"/>
              <w:jc w:val="center"/>
              <w:rPr>
                <w:rFonts w:ascii="宋体" w:hAnsi="宋体" w:cs="宋体" w:eastAsia="宋体" w:hint="default"/>
                <w:sz w:val="18"/>
                <w:szCs w:val="18"/>
              </w:rPr>
            </w:pPr>
            <w:r>
              <w:rPr>
                <w:rFonts w:ascii="宋体" w:hAnsi="宋体" w:cs="宋体" w:eastAsia="宋体" w:hint="default"/>
                <w:sz w:val="18"/>
                <w:szCs w:val="18"/>
              </w:rPr>
              <w:t>项、总体设计、详细设计、</w:t>
            </w:r>
          </w:p>
        </w:tc>
      </w:tr>
      <w:tr>
        <w:trPr>
          <w:trHeight w:val="31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tcPr>
          <w:p>
            <w:pPr/>
          </w:p>
        </w:tc>
        <w:tc>
          <w:tcPr>
            <w:tcW w:w="2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z w:val="18"/>
                <w:szCs w:val="18"/>
              </w:rPr>
              <w:t>进行视频跟踪，自动识别出集卡</w:t>
            </w: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开发实现（包括软件设计、</w:t>
            </w:r>
          </w:p>
        </w:tc>
      </w:tr>
    </w:tbl>
    <w:p>
      <w:pPr>
        <w:spacing w:after="0" w:line="240" w:lineRule="auto"/>
        <w:jc w:val="center"/>
        <w:rPr>
          <w:rFonts w:ascii="宋体" w:hAnsi="宋体" w:cs="宋体" w:eastAsia="宋体"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030"/>
        <w:gridCol w:w="2754"/>
        <w:gridCol w:w="2392"/>
      </w:tblGrid>
      <w:tr>
        <w:trPr>
          <w:trHeight w:val="318" w:hRule="exact"/>
        </w:trPr>
        <w:tc>
          <w:tcPr>
            <w:tcW w:w="2392" w:type="dxa"/>
            <w:vMerge w:val="restart"/>
            <w:tcBorders>
              <w:top w:val="single" w:sz="4" w:space="0" w:color="000000"/>
              <w:left w:val="single" w:sz="4" w:space="0" w:color="000000"/>
              <w:right w:val="single" w:sz="4" w:space="0" w:color="000000"/>
            </w:tcBorders>
          </w:tcPr>
          <w:p>
            <w:pPr/>
          </w:p>
        </w:tc>
        <w:tc>
          <w:tcPr>
            <w:tcW w:w="2030" w:type="dxa"/>
            <w:vMerge w:val="restart"/>
            <w:tcBorders>
              <w:top w:val="single" w:sz="4" w:space="0" w:color="000000"/>
              <w:left w:val="single" w:sz="4" w:space="0" w:color="000000"/>
              <w:right w:val="single" w:sz="4" w:space="0" w:color="000000"/>
            </w:tcBorders>
          </w:tcPr>
          <w:p>
            <w:pPr/>
          </w:p>
        </w:tc>
        <w:tc>
          <w:tcPr>
            <w:tcW w:w="2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车号，集装箱箱号，箱型代码，</w:t>
            </w: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代码实现、单元测试、集成</w:t>
            </w:r>
          </w:p>
        </w:tc>
      </w:tr>
      <w:tr>
        <w:trPr>
          <w:trHeight w:val="316" w:hRule="exact"/>
        </w:trPr>
        <w:tc>
          <w:tcPr>
            <w:tcW w:w="2392" w:type="dxa"/>
            <w:vMerge/>
            <w:tcBorders>
              <w:left w:val="single" w:sz="4" w:space="0" w:color="000000"/>
              <w:right w:val="single" w:sz="4" w:space="0" w:color="000000"/>
            </w:tcBorders>
          </w:tcPr>
          <w:p>
            <w:pPr/>
          </w:p>
        </w:tc>
        <w:tc>
          <w:tcPr>
            <w:tcW w:w="2030" w:type="dxa"/>
            <w:vMerge/>
            <w:tcBorders>
              <w:left w:val="single" w:sz="4" w:space="0" w:color="000000"/>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箱门朝向，并结合岸桥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信号</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测试</w:t>
            </w:r>
            <w:r>
              <w:rPr>
                <w:rFonts w:ascii="宋体" w:hAnsi="宋体" w:cs="宋体" w:eastAsia="宋体" w:hint="default"/>
                <w:spacing w:val="-89"/>
                <w:sz w:val="18"/>
                <w:szCs w:val="18"/>
              </w:rPr>
              <w:t>）</w:t>
            </w:r>
            <w:r>
              <w:rPr>
                <w:rFonts w:ascii="宋体" w:hAnsi="宋体" w:cs="宋体" w:eastAsia="宋体" w:hint="default"/>
                <w:sz w:val="18"/>
                <w:szCs w:val="18"/>
              </w:rPr>
              <w:t>，项目进入项目总结、</w:t>
            </w:r>
          </w:p>
        </w:tc>
      </w:tr>
      <w:tr>
        <w:trPr>
          <w:trHeight w:val="308" w:hRule="exact"/>
        </w:trPr>
        <w:tc>
          <w:tcPr>
            <w:tcW w:w="2392" w:type="dxa"/>
            <w:vMerge/>
            <w:tcBorders>
              <w:left w:val="single" w:sz="4" w:space="0" w:color="000000"/>
              <w:right w:val="single" w:sz="4" w:space="0" w:color="000000"/>
            </w:tcBorders>
          </w:tcPr>
          <w:p>
            <w:pPr/>
          </w:p>
        </w:tc>
        <w:tc>
          <w:tcPr>
            <w:tcW w:w="2030" w:type="dxa"/>
            <w:vMerge/>
            <w:tcBorders>
              <w:left w:val="single" w:sz="4" w:space="0" w:color="000000"/>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给出的位置时机，实现集装箱全</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文档完善、总体测试阶段。</w:t>
            </w:r>
          </w:p>
        </w:tc>
      </w:tr>
      <w:tr>
        <w:trPr>
          <w:trHeight w:val="312" w:hRule="exact"/>
        </w:trPr>
        <w:tc>
          <w:tcPr>
            <w:tcW w:w="2392" w:type="dxa"/>
            <w:vMerge/>
            <w:tcBorders>
              <w:left w:val="single" w:sz="4" w:space="0" w:color="000000"/>
              <w:right w:val="single" w:sz="4" w:space="0" w:color="000000"/>
            </w:tcBorders>
          </w:tcPr>
          <w:p>
            <w:pPr/>
          </w:p>
        </w:tc>
        <w:tc>
          <w:tcPr>
            <w:tcW w:w="2030" w:type="dxa"/>
            <w:vMerge/>
            <w:tcBorders>
              <w:left w:val="single" w:sz="4" w:space="0" w:color="000000"/>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方位的拍摄存取，实现箱体验残。</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030" w:type="dxa"/>
            <w:vMerge/>
            <w:tcBorders>
              <w:left w:val="single" w:sz="4" w:space="0" w:color="000000"/>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最后将识别的数据按照既定的业</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030" w:type="dxa"/>
            <w:vMerge/>
            <w:tcBorders>
              <w:left w:val="single" w:sz="4" w:space="0" w:color="000000"/>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务流程发送给理货系统完成理货</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vMerge/>
            <w:tcBorders>
              <w:left w:val="single" w:sz="4" w:space="0" w:color="000000"/>
              <w:bottom w:val="single" w:sz="4" w:space="0" w:color="000000"/>
              <w:right w:val="single" w:sz="4" w:space="0" w:color="000000"/>
            </w:tcBorders>
          </w:tcPr>
          <w:p>
            <w:pPr/>
          </w:p>
        </w:tc>
        <w:tc>
          <w:tcPr>
            <w:tcW w:w="2030" w:type="dxa"/>
            <w:vMerge/>
            <w:tcBorders>
              <w:left w:val="single" w:sz="4" w:space="0" w:color="000000"/>
              <w:bottom w:val="single" w:sz="4" w:space="0" w:color="000000"/>
              <w:right w:val="single" w:sz="4" w:space="0" w:color="000000"/>
            </w:tcBorders>
          </w:tcPr>
          <w:p>
            <w:pPr/>
          </w:p>
        </w:tc>
        <w:tc>
          <w:tcPr>
            <w:tcW w:w="2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tcPr>
          <w:p>
            <w:pPr/>
          </w:p>
        </w:tc>
        <w:tc>
          <w:tcPr>
            <w:tcW w:w="2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港口资产管理系统为港口企业提</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供设备物资管理的一体化解决方</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案，通过预防性维修、预测性维</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此项目已经完成了产品的总</w:t>
            </w: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港口资产管理系统</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1,115,092.80</w:t>
            </w: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修等技术措施，合理部署设备维 修和保养的时间点；通过资产全</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18"/>
              <w:jc w:val="left"/>
              <w:rPr>
                <w:rFonts w:ascii="宋体" w:hAnsi="宋体" w:cs="宋体" w:eastAsia="宋体" w:hint="default"/>
                <w:sz w:val="18"/>
                <w:szCs w:val="18"/>
              </w:rPr>
            </w:pPr>
            <w:r>
              <w:rPr>
                <w:rFonts w:ascii="宋体" w:hAnsi="宋体" w:cs="宋体" w:eastAsia="宋体" w:hint="default"/>
                <w:sz w:val="18"/>
                <w:szCs w:val="18"/>
              </w:rPr>
              <w:t>体设计、详细设计、开发实 现，目前正在进行系统测试</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寿命周期管理的理念，使资产一</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和产品文档编写。</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生的数据有据可查，为管理层和</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tcPr>
          <w:p>
            <w:pPr/>
          </w:p>
        </w:tc>
        <w:tc>
          <w:tcPr>
            <w:tcW w:w="2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决策层提供强有力的数据支撑。</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tcPr>
          <w:p>
            <w:pPr/>
          </w:p>
        </w:tc>
        <w:tc>
          <w:tcPr>
            <w:tcW w:w="2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流动机械智能管理系统软硬合一</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的项目，针对港口流动机械研发</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的数据采集终端</w:t>
            </w:r>
            <w:r>
              <w:rPr>
                <w:rFonts w:ascii="Times New Roman" w:hAnsi="Times New Roman" w:cs="Times New Roman" w:eastAsia="Times New Roman" w:hint="default"/>
                <w:sz w:val="18"/>
                <w:szCs w:val="18"/>
              </w:rPr>
              <w:t>,</w:t>
            </w:r>
            <w:r>
              <w:rPr>
                <w:rFonts w:ascii="宋体" w:hAnsi="宋体" w:cs="宋体" w:eastAsia="宋体" w:hint="default"/>
                <w:sz w:val="18"/>
                <w:szCs w:val="18"/>
              </w:rPr>
              <w:t>终端利用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OBD</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此项目已经完成了系统的总</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采集获取流机的发动机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ecu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的数</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体设计、详细设计、开发实</w:t>
            </w: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流动机械智能管理系统</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1,212,644.18</w:t>
            </w: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据</w:t>
            </w:r>
            <w:r>
              <w:rPr>
                <w:rFonts w:ascii="Times New Roman" w:hAnsi="Times New Roman" w:cs="Times New Roman" w:eastAsia="Times New Roman" w:hint="default"/>
                <w:sz w:val="18"/>
                <w:szCs w:val="18"/>
              </w:rPr>
              <w:t>,</w:t>
            </w:r>
            <w:r>
              <w:rPr>
                <w:rFonts w:ascii="宋体" w:hAnsi="宋体" w:cs="宋体" w:eastAsia="宋体" w:hint="default"/>
                <w:sz w:val="18"/>
                <w:szCs w:val="18"/>
              </w:rPr>
              <w:t>将采集到的数据通过蓝牙、</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GPRS</w:t>
            </w:r>
            <w:r>
              <w:rPr>
                <w:rFonts w:ascii="宋体" w:hAnsi="宋体" w:cs="宋体" w:eastAsia="宋体" w:hint="default"/>
                <w:sz w:val="18"/>
                <w:szCs w:val="18"/>
              </w:rPr>
              <w:t>、</w:t>
            </w:r>
            <w:r>
              <w:rPr>
                <w:rFonts w:ascii="Times New Roman" w:hAnsi="Times New Roman" w:cs="Times New Roman" w:eastAsia="Times New Roman" w:hint="default"/>
                <w:sz w:val="18"/>
                <w:szCs w:val="18"/>
              </w:rPr>
              <w:t>3G</w:t>
            </w:r>
            <w:r>
              <w:rPr>
                <w:rFonts w:ascii="宋体" w:hAnsi="宋体" w:cs="宋体" w:eastAsia="宋体" w:hint="default"/>
                <w:sz w:val="18"/>
                <w:szCs w:val="18"/>
              </w:rPr>
              <w:t>、</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等无线通信方式</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1" w:right="118"/>
              <w:jc w:val="left"/>
              <w:rPr>
                <w:rFonts w:ascii="宋体" w:hAnsi="宋体" w:cs="宋体" w:eastAsia="宋体" w:hint="default"/>
                <w:sz w:val="18"/>
                <w:szCs w:val="18"/>
              </w:rPr>
            </w:pPr>
            <w:r>
              <w:rPr>
                <w:rFonts w:ascii="宋体" w:hAnsi="宋体" w:cs="宋体" w:eastAsia="宋体" w:hint="default"/>
                <w:sz w:val="18"/>
                <w:szCs w:val="18"/>
              </w:rPr>
              <w:t>现（包括硬件设计、结构设 计、软件设计、产品集成测</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传送给后台软件，软件对接收的</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试</w:t>
            </w:r>
            <w:r>
              <w:rPr>
                <w:rFonts w:ascii="宋体" w:hAnsi="宋体" w:cs="宋体" w:eastAsia="宋体" w:hint="default"/>
                <w:spacing w:val="-89"/>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月底完成系</w:t>
            </w: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数据进行分析统计，直观的展现</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统的测试。</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给客户，达到对设备的运行使用</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tcPr>
          <w:p>
            <w:pPr/>
          </w:p>
        </w:tc>
        <w:tc>
          <w:tcPr>
            <w:tcW w:w="2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情况进行监控统计的目的。</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030" w:type="dxa"/>
            <w:tcBorders>
              <w:top w:val="single" w:sz="4" w:space="0" w:color="000000"/>
              <w:left w:val="single" w:sz="4" w:space="0" w:color="000000"/>
              <w:bottom w:val="nil" w:sz="6" w:space="0" w:color="auto"/>
              <w:right w:val="single" w:sz="4" w:space="0" w:color="000000"/>
            </w:tcBorders>
          </w:tcPr>
          <w:p>
            <w:pPr/>
          </w:p>
        </w:tc>
        <w:tc>
          <w:tcPr>
            <w:tcW w:w="27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华东安全管理平台是港口生产经</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营的重要保障，可以实现安全管</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此项目已经完成了产品的总</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理方面的隐患排查治理、重大危</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体设计、详细设计、开发实</w:t>
            </w:r>
          </w:p>
        </w:tc>
      </w:tr>
      <w:tr>
        <w:trPr>
          <w:trHeight w:val="62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华东港口安全管理系统</w:t>
            </w: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sz w:val="18"/>
              </w:rPr>
              <w:t>V1.0</w:t>
            </w:r>
          </w:p>
        </w:tc>
        <w:tc>
          <w:tcPr>
            <w:tcW w:w="20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983,020.64</w:t>
            </w: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险源监控、应急救援预案、教育 培训、安全管理可视化等功能。</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18"/>
              <w:jc w:val="left"/>
              <w:rPr>
                <w:rFonts w:ascii="宋体" w:hAnsi="宋体" w:cs="宋体" w:eastAsia="宋体" w:hint="default"/>
                <w:sz w:val="18"/>
                <w:szCs w:val="18"/>
              </w:rPr>
            </w:pPr>
            <w:r>
              <w:rPr>
                <w:rFonts w:ascii="宋体" w:hAnsi="宋体" w:cs="宋体" w:eastAsia="宋体" w:hint="default"/>
                <w:sz w:val="18"/>
                <w:szCs w:val="18"/>
              </w:rPr>
              <w:t>现、内部测试，目前正在进 行系统测试和系统优化。市</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用户还可以通过手机端进行隐患</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场方面在积极进行产品宣</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030" w:type="dxa"/>
            <w:tcBorders>
              <w:top w:val="nil" w:sz="6" w:space="0" w:color="auto"/>
              <w:left w:val="single" w:sz="4" w:space="0" w:color="000000"/>
              <w:bottom w:val="nil" w:sz="6" w:space="0" w:color="auto"/>
              <w:right w:val="single" w:sz="4" w:space="0" w:color="000000"/>
            </w:tcBorders>
          </w:tcPr>
          <w:p>
            <w:pPr/>
          </w:p>
        </w:tc>
        <w:tc>
          <w:tcPr>
            <w:tcW w:w="27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点上报、日常排查治理记录、安</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传，寻找潜在的意向客户。</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030" w:type="dxa"/>
            <w:tcBorders>
              <w:top w:val="nil" w:sz="6" w:space="0" w:color="auto"/>
              <w:left w:val="single" w:sz="4" w:space="0" w:color="000000"/>
              <w:bottom w:val="single" w:sz="4" w:space="0" w:color="000000"/>
              <w:right w:val="single" w:sz="4" w:space="0" w:color="000000"/>
            </w:tcBorders>
          </w:tcPr>
          <w:p>
            <w:pPr/>
          </w:p>
        </w:tc>
        <w:tc>
          <w:tcPr>
            <w:tcW w:w="2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全管理工作通知上报等操作。</w:t>
            </w:r>
          </w:p>
        </w:tc>
        <w:tc>
          <w:tcPr>
            <w:tcW w:w="2392" w:type="dxa"/>
            <w:tcBorders>
              <w:top w:val="nil" w:sz="6" w:space="0" w:color="auto"/>
              <w:left w:val="single" w:sz="4" w:space="0" w:color="000000"/>
              <w:bottom w:val="single" w:sz="4" w:space="0" w:color="000000"/>
              <w:right w:val="single" w:sz="4" w:space="0" w:color="000000"/>
            </w:tcBorders>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1,504,129,081.39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1,463,914,556.91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2.75%</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1,336,014,005.99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1,398,589,555.14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-4.47%</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168,115,075.40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65,325,001.77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701,091,080.50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458,085,587.83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807,275,587.49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515,267,873.75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-106,184,506.99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-57,182,285.92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60,121,200.65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257,416,187.79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-76.64%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145,596,815.86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57,284,400.39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154.16%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-85,475,615.21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200,131,787.40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-142.71%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-23,559,157.04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208,287,568.31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-111.31%</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pStyle w:val="BodyText"/>
        <w:spacing w:line="410" w:lineRule="auto" w:before="117"/>
        <w:ind w:right="1181"/>
        <w:jc w:val="left"/>
      </w:pPr>
      <w:r>
        <w:rPr>
          <w:sz w:val="18"/>
          <w:szCs w:val="18"/>
        </w:rPr>
        <w:t>√ 适用 □ 不适用 </w:t>
      </w:r>
      <w:r>
        <w:rPr/>
        <w:t>本期经营活动产生的现金流量净额较上年同期发生额大幅增加主要系本期营业收入增加及公司大幅提高</w:t>
      </w:r>
      <w:r>
        <w:rPr>
          <w:w w:val="99"/>
        </w:rPr>
        <w:t> </w:t>
      </w:r>
      <w:r>
        <w:rPr/>
        <w:t>采用银行承兑票据方式支付货款所致；</w:t>
      </w:r>
      <w:r>
        <w:rPr>
          <w:w w:val="99"/>
        </w:rPr>
        <w:t> </w:t>
      </w:r>
      <w:r>
        <w:rPr/>
        <w:t>本期投资活动产生的现金流量净额较上年同期发生额大幅下降主要系募集资金项目本期投入进度加快所</w:t>
      </w:r>
      <w:r>
        <w:rPr>
          <w:w w:val="99"/>
        </w:rPr>
        <w:t> </w:t>
      </w:r>
      <w:r>
        <w:rPr/>
        <w:t>致。</w:t>
      </w:r>
      <w:r>
        <w:rPr>
          <w:w w:val="99"/>
        </w:rPr>
        <w:t> </w:t>
      </w:r>
      <w:r>
        <w:rPr>
          <w:w w:val="95"/>
        </w:rPr>
        <w:t>本期筹资活动产生的现金流量净额较上年同期发生额大幅下降主要系上期获得非公开发行募集资金所致。</w:t>
      </w:r>
      <w:r>
        <w:rPr/>
      </w:r>
    </w:p>
    <w:p>
      <w:pPr>
        <w:pStyle w:val="BodyText"/>
        <w:spacing w:line="240" w:lineRule="auto" w:before="85"/>
        <w:ind w:right="2127"/>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13"/>
          <w:szCs w:val="13"/>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9" w:footer="1016" w:top="112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8485" w:space="434"/>
            <w:col w:w="197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929,926,269.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28.80%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885,857,429.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31.22%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-2.42%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本期资产规模增加所致</w:t>
            </w:r>
          </w:p>
        </w:tc>
      </w:tr>
    </w:tbl>
    <w:p>
      <w:pPr>
        <w:spacing w:after="0" w:line="240" w:lineRule="auto"/>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567,790,185.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439,790,844.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本期收入增加所致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522,442,301.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434,846,679.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长期投资期末余额较期初大幅增</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6" w:right="0"/>
              <w:jc w:val="left"/>
              <w:rPr>
                <w:rFonts w:ascii="Times New Roman" w:hAnsi="Times New Roman" w:cs="Times New Roman" w:eastAsia="Times New Roman" w:hint="default"/>
                <w:sz w:val="18"/>
                <w:szCs w:val="18"/>
              </w:rPr>
            </w:pPr>
            <w:r>
              <w:rPr>
                <w:rFonts w:ascii="Times New Roman"/>
                <w:sz w:val="18"/>
              </w:rPr>
              <w:t>4,662,215.64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0.14%</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8" w:right="0"/>
              <w:jc w:val="left"/>
              <w:rPr>
                <w:rFonts w:ascii="Times New Roman" w:hAnsi="Times New Roman" w:cs="Times New Roman" w:eastAsia="Times New Roman" w:hint="default"/>
                <w:sz w:val="18"/>
                <w:szCs w:val="18"/>
              </w:rPr>
            </w:pPr>
            <w:r>
              <w:rPr>
                <w:rFonts w:ascii="Times New Roman"/>
                <w:sz w:val="18"/>
              </w:rPr>
              <w:t>3,541,762.51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加，主要是按照权益核算联营公司</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本期投资收益所致。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364,096,120.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364,413,457.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59,421,559.8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本期微位移雷达募投项目投入增加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30,832,688.5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7" w:right="157"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5" w:right="156"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1" w:right="157"/>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0"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57"/>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57"/>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2" w:right="209"/>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1,975.86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31,357.3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7,739.14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4,837.69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5"/>
              <w:jc w:val="both"/>
              <w:rPr>
                <w:rFonts w:ascii="宋体" w:hAnsi="宋体" w:cs="宋体" w:eastAsia="宋体" w:hint="default"/>
                <w:sz w:val="18"/>
                <w:szCs w:val="18"/>
              </w:rPr>
            </w:pPr>
            <w:r>
              <w:rPr>
                <w:rFonts w:ascii="宋体" w:hAnsi="宋体" w:cs="宋体" w:eastAsia="宋体" w:hint="default"/>
                <w:sz w:val="18"/>
                <w:szCs w:val="18"/>
              </w:rPr>
              <w:t>存放募 投资金 监管专 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2018</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2" w:right="209"/>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16,639.1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6,928.93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6,928.93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9,710.17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存放募 投资金 监管专 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52,834.1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8,904.79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38,286.2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5,339.14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7,739.14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14,547.8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45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公司已披露的关于募集资金使用相关信息及时、真实、准确、完整，募集资金的使用和管理不存在违规情况。</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0" w:right="158"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5" w:right="11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6" w:right="11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6" w:right="11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4"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4"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1" w:right="216"/>
              <w:jc w:val="left"/>
              <w:rPr>
                <w:rFonts w:ascii="宋体" w:hAnsi="宋体" w:cs="宋体" w:eastAsia="宋体" w:hint="default"/>
                <w:sz w:val="18"/>
                <w:szCs w:val="18"/>
              </w:rPr>
            </w:pPr>
            <w:r>
              <w:rPr>
                <w:rFonts w:ascii="宋体" w:hAnsi="宋体" w:cs="宋体" w:eastAsia="宋体" w:hint="default"/>
                <w:sz w:val="18"/>
                <w:szCs w:val="18"/>
              </w:rPr>
              <w:t>港口物流软件及信 息服务平台建设项</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9,014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8,220.4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8,220.4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216"/>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TD-LTE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 的企业网通讯终端 产业化建设项目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4,055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3,762.9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951.5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智能路网管理系统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6,692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4,021.8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4,021.8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交通运输智慧信息 服务平台建设项目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8,213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5,374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市场营销和服务网 络建设项目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4,221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大路网运营管理服 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5,339.1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501.45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赛英科技微位移雷 达生产线建设项目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16,460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16,460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6,928.9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16"/>
              <w:jc w:val="left"/>
              <w:rPr>
                <w:rFonts w:ascii="宋体" w:hAnsi="宋体" w:cs="宋体" w:eastAsia="宋体" w:hint="default"/>
                <w:sz w:val="18"/>
                <w:szCs w:val="18"/>
              </w:rPr>
            </w:pPr>
            <w:r>
              <w:rPr>
                <w:rFonts w:ascii="宋体" w:hAnsi="宋体" w:cs="宋体" w:eastAsia="宋体" w:hint="default"/>
                <w:sz w:val="18"/>
                <w:szCs w:val="18"/>
              </w:rPr>
              <w:t>节余募集资金永久 性补充流动资金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52,655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8,904.7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38,288.</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23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8,400.1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52,655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8,904.7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38,288.</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23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8,400.1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356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6" w:lineRule="auto"/>
              <w:ind w:left="101" w:right="3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）港口物流软件及信息服务平台建设项目，截至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日，该项目已建成达产。经 第四届董事会第二十一次会议、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年年度股东大会审议通过，公司决定将该项目结项并将节余 募集资金及利息用于永久性补充流动资金。截至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日，公司已将结余的募集资金从</w:t>
            </w:r>
            <w:r>
              <w:rPr>
                <w:rFonts w:ascii="宋体" w:hAnsi="宋体" w:cs="宋体" w:eastAsia="宋体" w:hint="default"/>
                <w:sz w:val="18"/>
                <w:szCs w:val="18"/>
              </w:rPr>
              <w:t> 募集资金专户中转出至自有资金账户，同时相应注销募集资金专户。</w:t>
            </w:r>
          </w:p>
          <w:p>
            <w:pPr>
              <w:pStyle w:val="TableParagraph"/>
              <w:spacing w:line="300" w:lineRule="auto" w:before="72"/>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TD-LTE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技术的企业网通讯终端产业化建设项目，截至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 建成达产。经第四届董事会第二十一次会议、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年年度股东大会审议通过，公司决定将该项目 结项并将节余募集资金及利息用于永久性补充流动资金。截至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日，公司已将结余</w:t>
            </w:r>
            <w:r>
              <w:rPr>
                <w:rFonts w:ascii="宋体" w:hAnsi="宋体" w:cs="宋体" w:eastAsia="宋体" w:hint="default"/>
                <w:sz w:val="18"/>
                <w:szCs w:val="18"/>
              </w:rPr>
              <w:t> 的募集资金从募集资金专户中转出至自有资金账户，同时相应注销募集资金专户。</w:t>
            </w:r>
          </w:p>
          <w:p>
            <w:pPr>
              <w:pStyle w:val="TableParagraph"/>
              <w:spacing w:line="300" w:lineRule="auto" w:before="72"/>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）智能路网管理系统建设项目，截至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日，此项目按照投入运行计算达到预计 收益。经第四届董事会第二十一次会议、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年年度股东大会审议通过，公司决定将尚未投入该 </w:t>
            </w:r>
            <w:r>
              <w:rPr>
                <w:rFonts w:ascii="宋体" w:hAnsi="宋体" w:cs="宋体" w:eastAsia="宋体" w:hint="default"/>
                <w:spacing w:val="-3"/>
                <w:sz w:val="18"/>
                <w:szCs w:val="18"/>
              </w:rPr>
              <w:t>项目募集资金用途变更为“大路网运营管理服务平台建设项目”。截至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tc>
      </w:tr>
    </w:tbl>
    <w:p>
      <w:pPr>
        <w:spacing w:after="0" w:line="300" w:lineRule="auto"/>
        <w:jc w:val="both"/>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38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3"/>
              <w:jc w:val="left"/>
              <w:rPr>
                <w:rFonts w:ascii="宋体" w:hAnsi="宋体" w:cs="宋体" w:eastAsia="宋体" w:hint="default"/>
                <w:sz w:val="18"/>
                <w:szCs w:val="18"/>
              </w:rPr>
            </w:pPr>
            <w:r>
              <w:rPr>
                <w:rFonts w:ascii="宋体" w:hAnsi="宋体" w:cs="宋体" w:eastAsia="宋体" w:hint="default"/>
                <w:sz w:val="18"/>
                <w:szCs w:val="18"/>
              </w:rPr>
              <w:t>已将该项目尚未使用的募集资金转入“大路网运营管理服务平台建设项目”募集资金专户，同时 相应注销该项目募集资金专户。</w:t>
            </w:r>
          </w:p>
          <w:p>
            <w:pPr>
              <w:pStyle w:val="TableParagraph"/>
              <w:spacing w:line="307" w:lineRule="auto" w:before="57"/>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）交通运输智慧信息服务平台建设项目，截至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日，此项目按照投入运行计算 达到预计收益。经第四届董事会第二十一次会议、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年年度股东大会审议通过，公司决定将尚 </w:t>
            </w:r>
            <w:r>
              <w:rPr>
                <w:rFonts w:ascii="宋体" w:hAnsi="宋体" w:cs="宋体" w:eastAsia="宋体" w:hint="default"/>
                <w:spacing w:val="-3"/>
                <w:sz w:val="18"/>
                <w:szCs w:val="18"/>
              </w:rPr>
              <w:t>未投入该项目募集资金用途变更为“大路网运营管理服务平台建设项目”。截至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日，公司已将该项目尚未使用的募集资金转入“大路网运营管理服务平台建设项目”募集资金专 户，同时将“交通运输智慧信息服务平台建设项目”中“公众出行服务和汽车后市场服务”子项 目进行结项并将节余募集资金永久补充流动资金，并相应注销该项目募集资金专户。</w:t>
            </w:r>
          </w:p>
          <w:p>
            <w:pPr>
              <w:pStyle w:val="TableParagraph"/>
              <w:spacing w:line="300" w:lineRule="auto" w:before="67"/>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）市场营销和服务网络建设项目，截至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日，该项目已建成达产。经第四届董 事会第二十一次会议、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年年度股东大会审议通过，公司决定将该项目结项并将节余募集资金 及利息用于永久性补充流动资金。截至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日，公司已将结余的募集资金从募集资金 专户中转出至自有资金账户，同时相应注销募集资金专户。</w:t>
            </w:r>
          </w:p>
        </w:tc>
      </w:tr>
      <w:tr>
        <w:trPr>
          <w:trHeight w:val="75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1" w:right="21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1"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65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年第二次临时股东大会审议通过，根据募集资金建设项 目进度安排，公司将募集资金投资项目“交通运输智慧信息服务平台建设项目”中“公众出行服 </w:t>
            </w:r>
            <w:r>
              <w:rPr>
                <w:rFonts w:ascii="宋体" w:hAnsi="宋体" w:cs="宋体" w:eastAsia="宋体" w:hint="default"/>
                <w:spacing w:val="-2"/>
                <w:sz w:val="18"/>
                <w:szCs w:val="18"/>
              </w:rPr>
              <w:t>务和汽车后市场服务”子项目的部分募集资金用途变更为对“互联网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”交通产业进行投资，即使</w:t>
            </w:r>
            <w:r>
              <w:rPr>
                <w:rFonts w:ascii="宋体" w:hAnsi="宋体" w:cs="宋体" w:eastAsia="宋体" w:hint="default"/>
                <w:sz w:val="18"/>
                <w:szCs w:val="18"/>
              </w:rPr>
              <w:t> 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万元与安徽省高速公路联网运营有限公司和安徽天行健健康管理有限公司共同投资设立 </w:t>
            </w:r>
            <w:r>
              <w:rPr>
                <w:rFonts w:ascii="宋体" w:hAnsi="宋体" w:cs="宋体" w:eastAsia="宋体" w:hint="default"/>
                <w:spacing w:val="-4"/>
                <w:sz w:val="18"/>
                <w:szCs w:val="18"/>
              </w:rPr>
              <w:t>安徽行云天下科技有限公司。该公司设立后，“交通运输智慧信息服务平台建设项目”中“公众出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行服务和汽车后市场服务”子项目的实施主体将由公司变更为控股子公司安徽行云天下科技有限 </w:t>
            </w:r>
            <w:r>
              <w:rPr>
                <w:rFonts w:ascii="宋体" w:hAnsi="宋体" w:cs="宋体" w:eastAsia="宋体" w:hint="default"/>
                <w:spacing w:val="-3"/>
                <w:sz w:val="18"/>
                <w:szCs w:val="18"/>
              </w:rPr>
              <w:t>公司，该子项目的实施地点也由合肥市高新区皖水路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号变更为合肥市高新区天通路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号软件</w:t>
            </w:r>
          </w:p>
          <w:p>
            <w:pPr>
              <w:pStyle w:val="TableParagraph"/>
              <w:spacing w:line="240" w:lineRule="auto" w:before="5"/>
              <w:ind w:left="103" w:right="0"/>
              <w:jc w:val="both"/>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p>
            <w:pPr>
              <w:pStyle w:val="TableParagraph"/>
              <w:spacing w:line="312" w:lineRule="auto" w:before="101"/>
              <w:ind w:left="103" w:right="1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日第三届董事会第十九次会议通过决议：①将募集资金投资项目“港口 物流软件及信息服务平台”建设项目之“物流信息服务平台建设”建设子项目的实施主体由安徽 皖通科技的全资子公司烟台华东电子软件技术有限公司（以下简称华东电子）变更为华东电子的 全资子公司烟台华东数据科技有限公司，该子项目的实施地点也由烟台市莱山区迎春大街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09" w:lineRule="auto" w:before="3"/>
              <w:ind w:left="103" w:right="102"/>
              <w:jc w:val="both"/>
              <w:rPr>
                <w:rFonts w:ascii="宋体" w:hAnsi="宋体" w:cs="宋体" w:eastAsia="宋体" w:hint="default"/>
                <w:sz w:val="18"/>
                <w:szCs w:val="18"/>
              </w:rPr>
            </w:pPr>
            <w:r>
              <w:rPr>
                <w:rFonts w:ascii="宋体" w:hAnsi="宋体" w:cs="宋体" w:eastAsia="宋体" w:hint="default"/>
                <w:sz w:val="18"/>
                <w:szCs w:val="18"/>
              </w:rPr>
              <w:t>变更为烟台高新区蓝海路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号楼；②将募集资金投资项目“港口物流软件及信息服务平台建 设项目”之“港口物流软件产品升级与开发”子项目的实施主体由华东电子变更为华东电子的全 </w:t>
            </w:r>
            <w:r>
              <w:rPr>
                <w:rFonts w:ascii="宋体" w:hAnsi="宋体" w:cs="宋体" w:eastAsia="宋体" w:hint="default"/>
                <w:spacing w:val="-13"/>
                <w:sz w:val="18"/>
                <w:szCs w:val="18"/>
              </w:rPr>
              <w:t>资子公司烟台华东电子科技有限公司（以下简称“华东科技”）；将募集资金投资项目“基于</w:t>
            </w:r>
            <w:r>
              <w:rPr>
                <w:rFonts w:ascii="宋体" w:hAnsi="宋体" w:cs="宋体" w:eastAsia="宋体" w:hint="default"/>
                <w:spacing w:val="21"/>
                <w:sz w:val="18"/>
                <w:szCs w:val="18"/>
              </w:rPr>
              <w:t> </w:t>
            </w:r>
            <w:r>
              <w:rPr>
                <w:rFonts w:ascii="Times New Roman" w:hAnsi="Times New Roman" w:cs="Times New Roman" w:eastAsia="Times New Roman" w:hint="default"/>
                <w:spacing w:val="-3"/>
                <w:w w:val="99"/>
                <w:sz w:val="18"/>
                <w:szCs w:val="18"/>
              </w:rPr>
              <w:t>TD-LTE</w:t>
            </w:r>
            <w:r>
              <w:rPr>
                <w:rFonts w:ascii="Times New Roman" w:hAnsi="Times New Roman" w:cs="Times New Roman" w:eastAsia="Times New Roman" w:hint="default"/>
                <w:spacing w:val="-40"/>
                <w:w w:val="99"/>
                <w:sz w:val="18"/>
                <w:szCs w:val="18"/>
              </w:rPr>
              <w:t> </w:t>
            </w:r>
            <w:r>
              <w:rPr>
                <w:rFonts w:ascii="Times New Roman" w:hAnsi="Times New Roman" w:cs="Times New Roman" w:eastAsia="Times New Roman" w:hint="default"/>
                <w:spacing w:val="-40"/>
                <w:w w:val="99"/>
                <w:sz w:val="18"/>
                <w:szCs w:val="18"/>
              </w:rPr>
            </w:r>
            <w:r>
              <w:rPr>
                <w:rFonts w:ascii="宋体" w:hAnsi="宋体" w:cs="宋体" w:eastAsia="宋体" w:hint="default"/>
                <w:sz w:val="18"/>
                <w:szCs w:val="18"/>
              </w:rPr>
              <w:t>技术的企业网通讯终端产业化建设项目”的实施主体由华东电子变更为华东科技。该两个子项目 的实施地点也由烟台市莱山区迎春大街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号变更为烟台高新区科技大道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号创业大厦。</w:t>
            </w:r>
          </w:p>
          <w:p>
            <w:pPr>
              <w:pStyle w:val="TableParagraph"/>
              <w:spacing w:line="304" w:lineRule="auto" w:before="46"/>
              <w:ind w:left="103" w:right="101"/>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日召开的第三届董事会第二十四次会议审议通过：将“港口物流软件及 </w:t>
            </w:r>
            <w:r>
              <w:rPr>
                <w:rFonts w:ascii="宋体" w:hAnsi="宋体" w:cs="宋体" w:eastAsia="宋体" w:hint="default"/>
                <w:spacing w:val="-4"/>
                <w:sz w:val="18"/>
                <w:szCs w:val="18"/>
              </w:rPr>
              <w:t>信息服务平台建设项目”之“物流信息服务平台建设”子项目、“港口物流软件及信息服务平台建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设项目”之“港口物流软件产品升级与开发”子项目和“基于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TD-LTE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技术的企业网通讯终端产 </w:t>
            </w:r>
            <w:r>
              <w:rPr>
                <w:rFonts w:ascii="宋体" w:hAnsi="宋体" w:cs="宋体" w:eastAsia="宋体" w:hint="default"/>
                <w:spacing w:val="-3"/>
                <w:sz w:val="18"/>
                <w:szCs w:val="18"/>
              </w:rPr>
              <w:t>业化建设项目”的实施地点分别由烟台高新区蓝海路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号楼和烟台高新区科技大道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号创业 大厦统一变更为烟台高新区海越路以西、科技大道以北地块。</w:t>
            </w:r>
          </w:p>
          <w:p>
            <w:pPr>
              <w:pStyle w:val="TableParagraph"/>
              <w:spacing w:line="300" w:lineRule="auto" w:before="68"/>
              <w:ind w:left="103" w:right="101"/>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日第三届董事会第二十七次会议通过决议：将募集资金投资项目“港口 物流软件及信息服务平台建设项目”之“物流信息服务平台建设”子项目的实施主体由全资子公</w:t>
            </w:r>
          </w:p>
        </w:tc>
      </w:tr>
    </w:tbl>
    <w:p>
      <w:pPr>
        <w:spacing w:after="0" w:line="300" w:lineRule="auto"/>
        <w:jc w:val="both"/>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29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3"/>
              <w:jc w:val="both"/>
              <w:rPr>
                <w:rFonts w:ascii="宋体" w:hAnsi="宋体" w:cs="宋体" w:eastAsia="宋体" w:hint="default"/>
                <w:sz w:val="18"/>
                <w:szCs w:val="18"/>
              </w:rPr>
            </w:pPr>
            <w:r>
              <w:rPr>
                <w:rFonts w:ascii="宋体" w:hAnsi="宋体" w:cs="宋体" w:eastAsia="宋体" w:hint="default"/>
                <w:sz w:val="18"/>
                <w:szCs w:val="18"/>
              </w:rPr>
              <w:t>司烟台华东电子软件技术有限公司（以下简称华东电子）的全资子公司烟台华东数据科技有限公 司变更为华东电子的全资子公司烟台华东电子科技有限公司，此项变更不涉及到实施地变更。</w:t>
            </w:r>
          </w:p>
          <w:p>
            <w:pPr>
              <w:pStyle w:val="TableParagraph"/>
              <w:spacing w:line="307" w:lineRule="auto" w:before="57"/>
              <w:ind w:left="103" w:right="1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日召开的第四届董事会第十一次会议审议通过：将募集资金投资项目 “交通运输智慧信息服务平台建设项目”中“公众出行服务和汽车后市场服务”子项目的实施地 点由合肥市高新区天通路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室变更为合肥市高新区天达路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号华亿科学园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402</w:t>
            </w:r>
            <w:r>
              <w:rPr>
                <w:rFonts w:ascii="宋体" w:hAnsi="宋体" w:cs="宋体" w:eastAsia="宋体" w:hint="default"/>
                <w:sz w:val="18"/>
                <w:szCs w:val="18"/>
              </w:rPr>
              <w:t>。</w:t>
            </w:r>
          </w:p>
          <w:p>
            <w:pPr>
              <w:pStyle w:val="TableParagraph"/>
              <w:spacing w:line="309" w:lineRule="auto" w:before="48"/>
              <w:ind w:left="103" w:right="101"/>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日召开的第四届董事会第二十一次会议审议通过：将募集资金项目“智 </w:t>
            </w:r>
            <w:r>
              <w:rPr>
                <w:rFonts w:ascii="宋体" w:hAnsi="宋体" w:cs="宋体" w:eastAsia="宋体" w:hint="default"/>
                <w:spacing w:val="-5"/>
                <w:sz w:val="18"/>
                <w:szCs w:val="18"/>
              </w:rPr>
              <w:t>能路网管理系统建设项目”、“交通运输智慧信息服务平台建设项目”两个募集资金投资项目结余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的募集资金及部分利息 </w:t>
            </w:r>
            <w:r>
              <w:rPr>
                <w:rFonts w:ascii="Times New Roman" w:hAnsi="Times New Roman" w:cs="Times New Roman" w:eastAsia="Times New Roman" w:hint="default"/>
                <w:spacing w:val="-1"/>
                <w:sz w:val="18"/>
                <w:szCs w:val="18"/>
              </w:rPr>
              <w:t>5,666.16</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万元用途变更为用于“大路网运营管理服务平台建设项目”。</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1"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
              <w:jc w:val="left"/>
              <w:rPr>
                <w:rFonts w:ascii="宋体" w:hAnsi="宋体" w:cs="宋体" w:eastAsia="宋体" w:hint="default"/>
                <w:sz w:val="18"/>
                <w:szCs w:val="18"/>
              </w:rPr>
            </w:pPr>
            <w:r>
              <w:rPr>
                <w:rFonts w:ascii="宋体" w:hAnsi="宋体" w:cs="宋体" w:eastAsia="宋体" w:hint="default"/>
                <w:sz w:val="18"/>
                <w:szCs w:val="18"/>
              </w:rPr>
              <w:t>在公司非公开发行股票募集资金到位以前，为保障募集资金投资项目的顺利进行，部分募集资金 投资项目已由公司利用自筹资金先行投入。先行投入的自筹资金金额已经大华会计师事务所（特 殊普通合伙）鉴证，并出具了《安徽皖通科技股份有限公司以自筹资金预先投入募集资金投资项 </w:t>
            </w:r>
            <w:r>
              <w:rPr>
                <w:rFonts w:ascii="宋体" w:hAnsi="宋体" w:cs="宋体" w:eastAsia="宋体" w:hint="default"/>
                <w:spacing w:val="-4"/>
                <w:sz w:val="18"/>
                <w:szCs w:val="18"/>
              </w:rPr>
              <w:t>目的鉴证报告》（大华核字</w:t>
            </w:r>
            <w:r>
              <w:rPr>
                <w:rFonts w:ascii="Times New Roman" w:hAnsi="Times New Roman" w:cs="Times New Roman" w:eastAsia="Times New Roman" w:hint="default"/>
                <w:spacing w:val="-4"/>
                <w:sz w:val="18"/>
                <w:szCs w:val="18"/>
              </w:rPr>
              <w:t>[2014]005008</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号）。依据该鉴证报告，公司用募集资金置换先期自筹资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金共计人民币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1,203.90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在公司非公开发行股票募集资金到位以前，为保障募集资金投资项目的顺利进行，部分募集资金 投资项目已由公司全资子公司成都赛英科技有限公司利用自筹资金先行投入。先行投入的自筹资 金金额已经大华会计师事务所（特殊普通合伙）鉴证，并出具了《安徽皖通科技股份有限公司以 </w:t>
            </w:r>
            <w:r>
              <w:rPr>
                <w:rFonts w:ascii="宋体" w:hAnsi="宋体" w:cs="宋体" w:eastAsia="宋体" w:hint="default"/>
                <w:spacing w:val="-4"/>
                <w:sz w:val="18"/>
                <w:szCs w:val="18"/>
              </w:rPr>
              <w:t>自筹资金预先投入募集资金投资项目的鉴证报告》（大华核字</w:t>
            </w:r>
            <w:r>
              <w:rPr>
                <w:rFonts w:ascii="Times New Roman" w:hAnsi="Times New Roman" w:cs="Times New Roman" w:eastAsia="Times New Roman" w:hint="default"/>
                <w:spacing w:val="-4"/>
                <w:sz w:val="18"/>
                <w:szCs w:val="18"/>
              </w:rPr>
              <w:t>[2019]001434</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号）。依据该鉴证报告，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公司用募集资金置换先期自筹资金共计人民币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1,488.37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101"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5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年第二次临时股东大会审议通过，根据募集资金投资项</w:t>
            </w:r>
          </w:p>
          <w:p>
            <w:pPr>
              <w:pStyle w:val="TableParagraph"/>
              <w:spacing w:line="309" w:lineRule="auto" w:before="63"/>
              <w:ind w:left="103" w:right="123"/>
              <w:jc w:val="both"/>
              <w:rPr>
                <w:rFonts w:ascii="宋体" w:hAnsi="宋体" w:cs="宋体" w:eastAsia="宋体" w:hint="default"/>
                <w:sz w:val="18"/>
                <w:szCs w:val="18"/>
              </w:rPr>
            </w:pPr>
            <w:r>
              <w:rPr>
                <w:rFonts w:ascii="宋体" w:hAnsi="宋体" w:cs="宋体" w:eastAsia="宋体" w:hint="default"/>
                <w:sz w:val="18"/>
                <w:szCs w:val="18"/>
              </w:rPr>
              <w:t>目建设进度安排，</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万元暂时用于补充流动资金，用于在公司 中标项目实施过程中，提供前期设备采购资金和支付相关应付账款。该次暂时补充流动资金已于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日全部归还至募集资金专用账户，使用期限未超过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46"/>
              <w:ind w:left="103"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日召开的第三届董事会第二十二次会议审议通过，按照募集资金投资</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项目建设进度安排，公司及全资、控股子公司拟将当前闲置募集资金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万元暂时用于补充流</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pacing w:val="-3"/>
                <w:sz w:val="18"/>
                <w:szCs w:val="18"/>
              </w:rPr>
              <w:t>动资金，使用期限不超过</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个月，用于在公司中标项目实施过程中，提供前期设备采购资金和支</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付相关应付账款。该次暂时补充流动资金已于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日全部归还至募集资金专用账户，</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使用期限未超过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p>
            <w:pPr>
              <w:pStyle w:val="TableParagraph"/>
              <w:spacing w:line="240" w:lineRule="auto" w:before="103"/>
              <w:ind w:left="103" w:right="0"/>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日召开的第四届董事会第二次会议审议通过，根据募集资金投资项目建</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设进度安排，公司及全资、控股子公司拟将当前闲置募集资金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万元暂时用于补充流动资金，</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个月，用于在公司中标项目实施过程中，提供前期设备采购资金和支付相关应</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pacing w:val="-3"/>
                <w:sz w:val="18"/>
                <w:szCs w:val="18"/>
              </w:rPr>
              <w:t>付账款。该次暂时补充流动资金已于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日全部归还至募集资金专用账户，使用期限</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未超过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01"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4"/>
                <w:sz w:val="18"/>
                <w:szCs w:val="18"/>
              </w:rPr>
              <w:t>(1)各项目结余金额（含利息）：港口物流软件及信息服务平台建设项目结余金额</w:t>
            </w:r>
            <w:r>
              <w:rPr>
                <w:rFonts w:ascii="宋体" w:hAnsi="宋体" w:cs="宋体" w:eastAsia="宋体" w:hint="default"/>
                <w:spacing w:val="-39"/>
                <w:sz w:val="18"/>
                <w:szCs w:val="18"/>
              </w:rPr>
              <w:t> </w:t>
            </w:r>
            <w:r>
              <w:rPr>
                <w:rFonts w:ascii="宋体" w:hAnsi="宋体" w:cs="宋体" w:eastAsia="宋体" w:hint="default"/>
                <w:spacing w:val="-1"/>
                <w:sz w:val="18"/>
                <w:szCs w:val="18"/>
              </w:rPr>
              <w:t>972.88</w:t>
            </w:r>
            <w:r>
              <w:rPr>
                <w:rFonts w:ascii="宋体" w:hAnsi="宋体" w:cs="宋体" w:eastAsia="宋体" w:hint="default"/>
                <w:spacing w:val="-42"/>
                <w:sz w:val="18"/>
                <w:szCs w:val="18"/>
              </w:rPr>
              <w:t> </w:t>
            </w:r>
            <w:r>
              <w:rPr>
                <w:rFonts w:ascii="宋体" w:hAnsi="宋体" w:cs="宋体" w:eastAsia="宋体" w:hint="default"/>
                <w:spacing w:val="-6"/>
                <w:sz w:val="18"/>
                <w:szCs w:val="18"/>
              </w:rPr>
              <w:t>万元，基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w:t>
            </w:r>
            <w:r>
              <w:rPr>
                <w:rFonts w:ascii="宋体" w:hAnsi="宋体" w:cs="宋体" w:eastAsia="宋体" w:hint="default"/>
                <w:spacing w:val="-1"/>
                <w:sz w:val="18"/>
                <w:szCs w:val="18"/>
              </w:rPr>
              <w:t> </w:t>
            </w:r>
            <w:r>
              <w:rPr>
                <w:rFonts w:ascii="宋体" w:hAnsi="宋体" w:cs="宋体" w:eastAsia="宋体" w:hint="default"/>
                <w:sz w:val="18"/>
                <w:szCs w:val="18"/>
              </w:rPr>
              <w:t>TD-LTE</w:t>
            </w:r>
            <w:r>
              <w:rPr>
                <w:rFonts w:ascii="宋体" w:hAnsi="宋体" w:cs="宋体" w:eastAsia="宋体" w:hint="default"/>
                <w:spacing w:val="1"/>
                <w:sz w:val="18"/>
                <w:szCs w:val="18"/>
              </w:rPr>
              <w:t> </w:t>
            </w:r>
            <w:r>
              <w:rPr>
                <w:rFonts w:ascii="宋体" w:hAnsi="宋体" w:cs="宋体" w:eastAsia="宋体" w:hint="default"/>
                <w:sz w:val="18"/>
                <w:szCs w:val="18"/>
              </w:rPr>
              <w:t>技术的企业网通讯终端产业化建设项目结余</w:t>
            </w:r>
            <w:r>
              <w:rPr>
                <w:rFonts w:ascii="宋体" w:hAnsi="宋体" w:cs="宋体" w:eastAsia="宋体" w:hint="default"/>
                <w:spacing w:val="-45"/>
                <w:sz w:val="18"/>
                <w:szCs w:val="18"/>
              </w:rPr>
              <w:t> </w:t>
            </w:r>
            <w:r>
              <w:rPr>
                <w:rFonts w:ascii="宋体" w:hAnsi="宋体" w:cs="宋体" w:eastAsia="宋体" w:hint="default"/>
                <w:sz w:val="18"/>
                <w:szCs w:val="18"/>
              </w:rPr>
              <w:t>444.42</w:t>
            </w:r>
            <w:r>
              <w:rPr>
                <w:rFonts w:ascii="宋体" w:hAnsi="宋体" w:cs="宋体" w:eastAsia="宋体" w:hint="default"/>
                <w:spacing w:val="-48"/>
                <w:sz w:val="18"/>
                <w:szCs w:val="18"/>
              </w:rPr>
              <w:t> </w:t>
            </w:r>
            <w:r>
              <w:rPr>
                <w:rFonts w:ascii="宋体" w:hAnsi="宋体" w:cs="宋体" w:eastAsia="宋体" w:hint="default"/>
                <w:spacing w:val="-5"/>
                <w:sz w:val="18"/>
                <w:szCs w:val="18"/>
              </w:rPr>
              <w:t>万元，市场营销和服务网络建设项</w:t>
            </w:r>
          </w:p>
        </w:tc>
      </w:tr>
    </w:tbl>
    <w:p>
      <w:pPr>
        <w:spacing w:after="0" w:line="316"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318"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目结余 351.96</w:t>
            </w:r>
            <w:r>
              <w:rPr>
                <w:rFonts w:ascii="宋体" w:hAnsi="宋体" w:cs="宋体" w:eastAsia="宋体" w:hint="default"/>
                <w:spacing w:val="-66"/>
                <w:sz w:val="18"/>
                <w:szCs w:val="18"/>
              </w:rPr>
              <w:t> </w:t>
            </w:r>
            <w:r>
              <w:rPr>
                <w:rFonts w:ascii="宋体" w:hAnsi="宋体" w:cs="宋体" w:eastAsia="宋体" w:hint="default"/>
                <w:spacing w:val="-5"/>
                <w:sz w:val="18"/>
                <w:szCs w:val="18"/>
              </w:rPr>
              <w:t>万元，交通运输智慧信息服务平台建设项目”中“公众出行服务和汽车后市场服务”</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子项目节余募集资金 197.68</w:t>
            </w:r>
            <w:r>
              <w:rPr>
                <w:rFonts w:ascii="宋体" w:hAnsi="宋体" w:cs="宋体" w:eastAsia="宋体" w:hint="default"/>
                <w:spacing w:val="-49"/>
                <w:sz w:val="18"/>
                <w:szCs w:val="18"/>
              </w:rPr>
              <w:t> </w:t>
            </w:r>
            <w:r>
              <w:rPr>
                <w:rFonts w:ascii="宋体" w:hAnsi="宋体" w:cs="宋体" w:eastAsia="宋体" w:hint="default"/>
                <w:sz w:val="18"/>
                <w:szCs w:val="18"/>
              </w:rPr>
              <w:t>万元；</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（2）结余原因：在募投项目实施期间，公司优化资源配置、合理安排施工，进一步提升了项目建</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设效率；公司严格遵守募集资金使用的有关规定，本着合理、有效、节约的原则谨慎使用募集资</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金，加强项目建设各个环节费用的控制，节约了项目建设费用，形成了资金节余；募集资金存放</w:t>
            </w:r>
          </w:p>
        </w:tc>
      </w:tr>
      <w:tr>
        <w:trPr>
          <w:trHeight w:val="35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期间产生利息收入。</w:t>
            </w:r>
          </w:p>
        </w:tc>
      </w:tr>
      <w:tr>
        <w:trPr>
          <w:trHeight w:val="358"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
                <w:sz w:val="18"/>
                <w:szCs w:val="18"/>
              </w:rPr>
              <w:t>1</w:t>
            </w:r>
            <w:r>
              <w:rPr>
                <w:rFonts w:ascii="宋体" w:hAnsi="宋体" w:cs="宋体" w:eastAsia="宋体" w:hint="default"/>
                <w:spacing w:val="-22"/>
                <w:sz w:val="18"/>
                <w:szCs w:val="18"/>
              </w:rPr>
              <w:t>）将</w:t>
            </w:r>
            <w:r>
              <w:rPr>
                <w:rFonts w:ascii="宋体" w:hAnsi="宋体" w:cs="宋体" w:eastAsia="宋体" w:hint="default"/>
                <w:spacing w:val="-3"/>
                <w:sz w:val="18"/>
                <w:szCs w:val="18"/>
              </w:rPr>
              <w:t>“</w:t>
            </w:r>
            <w:r>
              <w:rPr>
                <w:rFonts w:ascii="宋体" w:hAnsi="宋体" w:cs="宋体" w:eastAsia="宋体" w:hint="default"/>
                <w:sz w:val="18"/>
                <w:szCs w:val="18"/>
              </w:rPr>
              <w:t>港口物流软件及信息服务平台建设项目</w:t>
            </w:r>
            <w:r>
              <w:rPr>
                <w:rFonts w:ascii="宋体" w:hAnsi="宋体" w:cs="宋体" w:eastAsia="宋体" w:hint="default"/>
                <w:spacing w:val="-89"/>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“基于</w:t>
            </w:r>
            <w:r>
              <w:rPr>
                <w:rFonts w:ascii="宋体" w:hAnsi="宋体" w:cs="宋体" w:eastAsia="宋体" w:hint="default"/>
                <w:spacing w:val="1"/>
                <w:sz w:val="18"/>
                <w:szCs w:val="18"/>
              </w:rPr>
              <w:t> T</w:t>
            </w:r>
            <w:r>
              <w:rPr>
                <w:rFonts w:ascii="宋体" w:hAnsi="宋体" w:cs="宋体" w:eastAsia="宋体" w:hint="default"/>
                <w:spacing w:val="-2"/>
                <w:sz w:val="18"/>
                <w:szCs w:val="18"/>
              </w:rPr>
              <w:t>D</w:t>
            </w:r>
            <w:r>
              <w:rPr>
                <w:rFonts w:ascii="宋体" w:hAnsi="宋体" w:cs="宋体" w:eastAsia="宋体" w:hint="default"/>
                <w:spacing w:val="1"/>
                <w:sz w:val="18"/>
                <w:szCs w:val="18"/>
              </w:rPr>
              <w:t>-</w:t>
            </w:r>
            <w:r>
              <w:rPr>
                <w:rFonts w:ascii="宋体" w:hAnsi="宋体" w:cs="宋体" w:eastAsia="宋体" w:hint="default"/>
                <w:spacing w:val="-2"/>
                <w:sz w:val="18"/>
                <w:szCs w:val="18"/>
              </w:rPr>
              <w:t>L</w:t>
            </w:r>
            <w:r>
              <w:rPr>
                <w:rFonts w:ascii="宋体" w:hAnsi="宋体" w:cs="宋体" w:eastAsia="宋体" w:hint="default"/>
                <w:spacing w:val="1"/>
                <w:sz w:val="18"/>
                <w:szCs w:val="18"/>
              </w:rPr>
              <w:t>T</w:t>
            </w:r>
            <w:r>
              <w:rPr>
                <w:rFonts w:ascii="宋体" w:hAnsi="宋体" w:cs="宋体" w:eastAsia="宋体" w:hint="default"/>
                <w:sz w:val="18"/>
                <w:szCs w:val="18"/>
              </w:rPr>
              <w:t>E</w:t>
            </w:r>
            <w:r>
              <w:rPr>
                <w:rFonts w:ascii="宋体" w:hAnsi="宋体" w:cs="宋体" w:eastAsia="宋体" w:hint="default"/>
                <w:spacing w:val="-3"/>
                <w:sz w:val="18"/>
                <w:szCs w:val="18"/>
              </w:rPr>
              <w:t> </w:t>
            </w:r>
            <w:r>
              <w:rPr>
                <w:rFonts w:ascii="宋体" w:hAnsi="宋体" w:cs="宋体" w:eastAsia="宋体" w:hint="default"/>
                <w:sz w:val="18"/>
                <w:szCs w:val="18"/>
              </w:rPr>
              <w:t>技术的企业网通讯终端产业化</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“市场营销和服务网络建设项目”结项，并将节余募集资金及利息</w:t>
            </w:r>
            <w:r>
              <w:rPr>
                <w:rFonts w:ascii="宋体" w:hAnsi="宋体" w:cs="宋体" w:eastAsia="宋体" w:hint="default"/>
                <w:spacing w:val="-2"/>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6</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z w:val="18"/>
                <w:szCs w:val="18"/>
              </w:rPr>
              <w:t>6 万元用</w:t>
            </w:r>
          </w:p>
        </w:tc>
      </w:tr>
      <w:tr>
        <w:trPr>
          <w:trHeight w:val="33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于永久补充流动资金；</w:t>
            </w:r>
          </w:p>
        </w:tc>
      </w:tr>
      <w:tr>
        <w:trPr>
          <w:trHeight w:val="34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（2）将“交通运输智慧信息服务平台建设项目”中“公众出行服务和汽车后市场服务”子项目进</w:t>
            </w:r>
          </w:p>
        </w:tc>
      </w:tr>
      <w:tr>
        <w:trPr>
          <w:trHeight w:val="331"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行结项并将节余募集资金及利息 197.68</w:t>
            </w:r>
            <w:r>
              <w:rPr>
                <w:rFonts w:ascii="宋体" w:hAnsi="宋体" w:cs="宋体" w:eastAsia="宋体" w:hint="default"/>
                <w:spacing w:val="-3"/>
                <w:sz w:val="18"/>
                <w:szCs w:val="18"/>
              </w:rPr>
              <w:t> </w:t>
            </w:r>
            <w:r>
              <w:rPr>
                <w:rFonts w:ascii="宋体" w:hAnsi="宋体" w:cs="宋体" w:eastAsia="宋体" w:hint="default"/>
                <w:sz w:val="18"/>
                <w:szCs w:val="18"/>
              </w:rPr>
              <w:t>万元永久补充流动资金；</w:t>
            </w:r>
          </w:p>
        </w:tc>
      </w:tr>
      <w:tr>
        <w:trPr>
          <w:trHeight w:val="32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
                <w:sz w:val="18"/>
                <w:szCs w:val="18"/>
              </w:rPr>
              <w:t>3</w:t>
            </w:r>
            <w:r>
              <w:rPr>
                <w:rFonts w:ascii="宋体" w:hAnsi="宋体" w:cs="宋体" w:eastAsia="宋体" w:hint="default"/>
                <w:spacing w:val="-17"/>
                <w:sz w:val="18"/>
                <w:szCs w:val="18"/>
              </w:rPr>
              <w:t>）</w:t>
            </w:r>
            <w:r>
              <w:rPr>
                <w:rFonts w:ascii="宋体" w:hAnsi="宋体" w:cs="宋体" w:eastAsia="宋体" w:hint="default"/>
                <w:sz w:val="18"/>
                <w:szCs w:val="18"/>
              </w:rPr>
              <w:t>将募集资金项</w:t>
            </w:r>
            <w:r>
              <w:rPr>
                <w:rFonts w:ascii="宋体" w:hAnsi="宋体" w:cs="宋体" w:eastAsia="宋体" w:hint="default"/>
                <w:spacing w:val="-17"/>
                <w:sz w:val="18"/>
                <w:szCs w:val="18"/>
              </w:rPr>
              <w:t>目</w:t>
            </w:r>
            <w:r>
              <w:rPr>
                <w:rFonts w:ascii="宋体" w:hAnsi="宋体" w:cs="宋体" w:eastAsia="宋体" w:hint="default"/>
                <w:sz w:val="18"/>
                <w:szCs w:val="18"/>
              </w:rPr>
              <w:t>“智能路网管理系统建设项目</w:t>
            </w:r>
            <w:r>
              <w:rPr>
                <w:rFonts w:ascii="宋体" w:hAnsi="宋体" w:cs="宋体" w:eastAsia="宋体" w:hint="default"/>
                <w:spacing w:val="-89"/>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“交通运输智慧信息服务平台建设项</w:t>
            </w:r>
            <w:r>
              <w:rPr>
                <w:rFonts w:ascii="宋体" w:hAnsi="宋体" w:cs="宋体" w:eastAsia="宋体" w:hint="default"/>
                <w:spacing w:val="-1"/>
                <w:sz w:val="18"/>
                <w:szCs w:val="18"/>
              </w:rPr>
              <w:t>目</w:t>
            </w:r>
            <w:r>
              <w:rPr>
                <w:rFonts w:ascii="宋体" w:hAnsi="宋体" w:cs="宋体" w:eastAsia="宋体" w:hint="default"/>
                <w:spacing w:val="-17"/>
                <w:sz w:val="18"/>
                <w:szCs w:val="18"/>
              </w:rPr>
              <w:t>”</w:t>
            </w:r>
            <w:r>
              <w:rPr>
                <w:rFonts w:ascii="宋体" w:hAnsi="宋体" w:cs="宋体" w:eastAsia="宋体" w:hint="default"/>
                <w:sz w:val="18"/>
                <w:szCs w:val="18"/>
              </w:rPr>
              <w:t>两</w:t>
            </w:r>
          </w:p>
        </w:tc>
      </w:tr>
      <w:tr>
        <w:trPr>
          <w:trHeight w:val="33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个募集资金投资项目的募集资金部分利息</w:t>
            </w:r>
            <w:r>
              <w:rPr>
                <w:rFonts w:ascii="宋体" w:hAnsi="宋体" w:cs="宋体" w:eastAsia="宋体" w:hint="default"/>
                <w:spacing w:val="-46"/>
                <w:sz w:val="18"/>
                <w:szCs w:val="18"/>
              </w:rPr>
              <w:t> </w:t>
            </w:r>
            <w:r>
              <w:rPr>
                <w:rFonts w:ascii="宋体" w:hAnsi="宋体" w:cs="宋体" w:eastAsia="宋体" w:hint="default"/>
                <w:sz w:val="18"/>
                <w:szCs w:val="18"/>
              </w:rPr>
              <w:t>105.01</w:t>
            </w:r>
            <w:r>
              <w:rPr>
                <w:rFonts w:ascii="宋体" w:hAnsi="宋体" w:cs="宋体" w:eastAsia="宋体" w:hint="default"/>
                <w:spacing w:val="-49"/>
                <w:sz w:val="18"/>
                <w:szCs w:val="18"/>
              </w:rPr>
              <w:t> </w:t>
            </w:r>
            <w:r>
              <w:rPr>
                <w:rFonts w:ascii="宋体" w:hAnsi="宋体" w:cs="宋体" w:eastAsia="宋体" w:hint="default"/>
                <w:sz w:val="18"/>
                <w:szCs w:val="18"/>
              </w:rPr>
              <w:t>万元永久补充流动资金；</w:t>
            </w:r>
          </w:p>
        </w:tc>
      </w:tr>
      <w:tr>
        <w:trPr>
          <w:trHeight w:val="37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（4）其余尚未使用的募集资金将用于完成变更后的募投项目，其存放于募投资金三方监管专户。</w:t>
            </w:r>
          </w:p>
        </w:tc>
      </w:tr>
      <w:tr>
        <w:trPr>
          <w:trHeight w:val="35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right="2127"/>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165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93" w:right="111"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4" w:right="111"/>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111"/>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1"/>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13"/>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112" w:right="10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11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2" w:right="11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3" w:right="11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357" w:hRule="exact"/>
        </w:trPr>
        <w:tc>
          <w:tcPr>
            <w:tcW w:w="95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智能路网</w:t>
            </w:r>
          </w:p>
        </w:tc>
        <w:tc>
          <w:tcPr>
            <w:tcW w:w="95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管理系统</w:t>
            </w:r>
          </w:p>
        </w:tc>
        <w:tc>
          <w:tcPr>
            <w:tcW w:w="95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23"/>
              <w:jc w:val="both"/>
              <w:rPr>
                <w:rFonts w:ascii="宋体" w:hAnsi="宋体" w:cs="宋体" w:eastAsia="宋体" w:hint="default"/>
                <w:sz w:val="18"/>
                <w:szCs w:val="18"/>
              </w:rPr>
            </w:pPr>
            <w:r>
              <w:rPr>
                <w:rFonts w:ascii="宋体" w:hAnsi="宋体" w:cs="宋体" w:eastAsia="宋体" w:hint="default"/>
                <w:sz w:val="18"/>
                <w:szCs w:val="18"/>
              </w:rPr>
              <w:t>大路网运 营管理服 务平台建 设项目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both"/>
              <w:rPr>
                <w:rFonts w:ascii="宋体" w:hAnsi="宋体" w:cs="宋体" w:eastAsia="宋体" w:hint="default"/>
                <w:sz w:val="18"/>
                <w:szCs w:val="18"/>
              </w:rPr>
            </w:pPr>
            <w:r>
              <w:rPr>
                <w:rFonts w:ascii="宋体" w:hAnsi="宋体" w:cs="宋体" w:eastAsia="宋体" w:hint="default"/>
                <w:sz w:val="18"/>
                <w:szCs w:val="18"/>
              </w:rPr>
              <w:t>建设项目</w:t>
            </w:r>
          </w:p>
          <w:p>
            <w:pPr>
              <w:pStyle w:val="TableParagraph"/>
              <w:spacing w:line="309" w:lineRule="auto" w:before="76"/>
              <w:ind w:left="102" w:right="123"/>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交通运 输智慧信 息服务平</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5,339.14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501.45</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501.45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8" w:right="0"/>
              <w:jc w:val="left"/>
              <w:rPr>
                <w:rFonts w:ascii="Times New Roman" w:hAnsi="Times New Roman" w:cs="Times New Roman" w:eastAsia="Times New Roman" w:hint="default"/>
                <w:sz w:val="18"/>
                <w:szCs w:val="18"/>
              </w:rPr>
            </w:pPr>
            <w:r>
              <w:rPr>
                <w:rFonts w:ascii="Times New Roman"/>
                <w:sz w:val="18"/>
              </w:rPr>
              <w:t>9.39%</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vMerge/>
            <w:tcBorders>
              <w:left w:val="single" w:sz="4" w:space="0" w:color="000000"/>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95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台建设项</w:t>
            </w:r>
          </w:p>
        </w:tc>
        <w:tc>
          <w:tcPr>
            <w:tcW w:w="95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5,339.14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501.45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3"/>
                <w:sz w:val="18"/>
                <w:szCs w:val="18"/>
              </w:rPr>
              <w:t>为响应国家“进一步促进物流降本增效，将推动取消高速公路省界收费站”的政策，</w:t>
            </w:r>
          </w:p>
        </w:tc>
      </w:tr>
      <w:tr>
        <w:trPr>
          <w:trHeight w:val="30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以及高速路网从省级上升到国家级路网的管理方向，鉴于原募投项目中“智能路网</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pacing w:val="-3"/>
                <w:sz w:val="18"/>
                <w:szCs w:val="18"/>
              </w:rPr>
              <w:t>变更原因、决策程序及信息披露情</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管理系统建设项目”和“交通运输智慧信息服务平台建设项目”按照投入运行计算</w:t>
            </w:r>
          </w:p>
        </w:tc>
      </w:tr>
      <w:tr>
        <w:trPr>
          <w:trHeight w:val="32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达到预计收益，公司于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日召开的第四届董事会</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2"/>
                <w:sz w:val="18"/>
                <w:szCs w:val="18"/>
              </w:rPr>
              <w:t>第二十一次会议、</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年年度股东大会审议通过《关于变更部分募集资金投资项目</w:t>
            </w:r>
          </w:p>
        </w:tc>
      </w:tr>
      <w:tr>
        <w:trPr>
          <w:trHeight w:val="311"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同意将尚未投</w:t>
            </w:r>
            <w:r>
              <w:rPr>
                <w:rFonts w:ascii="宋体" w:hAnsi="宋体" w:cs="宋体" w:eastAsia="宋体" w:hint="default"/>
                <w:spacing w:val="-29"/>
                <w:sz w:val="18"/>
                <w:szCs w:val="18"/>
              </w:rPr>
              <w:t>入</w:t>
            </w:r>
            <w:r>
              <w:rPr>
                <w:rFonts w:ascii="宋体" w:hAnsi="宋体" w:cs="宋体" w:eastAsia="宋体" w:hint="default"/>
                <w:sz w:val="18"/>
                <w:szCs w:val="18"/>
              </w:rPr>
              <w:t>“智能路网管理系统建设项目</w:t>
            </w:r>
            <w:r>
              <w:rPr>
                <w:rFonts w:ascii="宋体" w:hAnsi="宋体" w:cs="宋体" w:eastAsia="宋体" w:hint="default"/>
                <w:spacing w:val="-89"/>
                <w:sz w:val="18"/>
                <w:szCs w:val="18"/>
              </w:rPr>
              <w:t>”</w:t>
            </w:r>
            <w:r>
              <w:rPr>
                <w:rFonts w:ascii="宋体" w:hAnsi="宋体" w:cs="宋体" w:eastAsia="宋体" w:hint="default"/>
                <w:spacing w:val="-120"/>
                <w:sz w:val="18"/>
                <w:szCs w:val="18"/>
              </w:rPr>
              <w:t>、</w:t>
            </w:r>
            <w:r>
              <w:rPr>
                <w:rFonts w:ascii="宋体" w:hAnsi="宋体" w:cs="宋体" w:eastAsia="宋体" w:hint="default"/>
                <w:sz w:val="18"/>
                <w:szCs w:val="18"/>
              </w:rPr>
              <w:t>“交通运输智慧信息服务</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872"/>
        <w:gridCol w:w="6698"/>
      </w:tblGrid>
      <w:tr>
        <w:trPr>
          <w:trHeight w:val="322" w:hRule="exact"/>
        </w:trPr>
        <w:tc>
          <w:tcPr>
            <w:tcW w:w="2872" w:type="dxa"/>
            <w:vMerge w:val="restart"/>
            <w:tcBorders>
              <w:top w:val="single" w:sz="4" w:space="0" w:color="000000"/>
              <w:left w:val="single" w:sz="4" w:space="0" w:color="000000"/>
              <w:right w:val="single" w:sz="4" w:space="0" w:color="000000"/>
            </w:tcBorders>
            <w:shd w:val="clear" w:color="auto" w:fill="D2D2D2"/>
          </w:tcPr>
          <w:p>
            <w:pPr/>
          </w:p>
        </w:tc>
        <w:tc>
          <w:tcPr>
            <w:tcW w:w="6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平台建设项目”两个募投项目的募集资金及部分利息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5,666.16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万元（其中本金</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5,339.14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万元，利息金额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327.02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万元）用途变更为用于“大路网运营管理服务平台</w:t>
            </w:r>
          </w:p>
        </w:tc>
      </w:tr>
      <w:tr>
        <w:trPr>
          <w:trHeight w:val="327"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36"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日披露了《安徽皖通科技股份有限</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公司第四届董事会第二十一次会议决议公告</w:t>
            </w:r>
            <w:r>
              <w:rPr>
                <w:rFonts w:ascii="宋体" w:hAnsi="宋体" w:cs="宋体" w:eastAsia="宋体" w:hint="default"/>
                <w:spacing w:val="-10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公告编号</w:t>
            </w:r>
            <w:r>
              <w:rPr>
                <w:rFonts w:ascii="宋体" w:hAnsi="宋体" w:cs="宋体" w:eastAsia="宋体" w:hint="default"/>
                <w:spacing w:val="-2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《安徽皖通科</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技股份有限公司关于变更部分募集资金投资项目的公告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35</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r>
              <w:rPr>
                <w:rFonts w:ascii="宋体" w:hAnsi="宋体" w:cs="宋体" w:eastAsia="宋体" w:hint="default"/>
                <w:spacing w:val="-92"/>
                <w:sz w:val="18"/>
                <w:szCs w:val="18"/>
              </w:rPr>
              <w:t>》</w:t>
            </w:r>
            <w:r>
              <w:rPr>
                <w:rFonts w:ascii="宋体" w:hAnsi="宋体" w:cs="宋体" w:eastAsia="宋体" w:hint="default"/>
                <w:sz w:val="18"/>
                <w:szCs w:val="18"/>
              </w:rPr>
              <w:t>（公告编号：</w:t>
            </w:r>
          </w:p>
        </w:tc>
      </w:tr>
      <w:tr>
        <w:trPr>
          <w:trHeight w:val="353" w:hRule="exact"/>
        </w:trPr>
        <w:tc>
          <w:tcPr>
            <w:tcW w:w="2872" w:type="dxa"/>
            <w:vMerge/>
            <w:tcBorders>
              <w:left w:val="single" w:sz="4" w:space="0" w:color="000000"/>
              <w:bottom w:val="single" w:sz="4" w:space="0" w:color="000000"/>
              <w:right w:val="single" w:sz="4" w:space="0" w:color="000000"/>
            </w:tcBorders>
            <w:shd w:val="clear" w:color="auto" w:fill="D2D2D2"/>
          </w:tcPr>
          <w:p>
            <w:pPr/>
          </w:p>
        </w:tc>
        <w:tc>
          <w:tcPr>
            <w:tcW w:w="6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47</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75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1" w:right="2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5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1" w:right="2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4"/>
        <w:spacing w:line="240" w:lineRule="auto" w:before="26"/>
        <w:ind w:right="2127"/>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2"/>
        <w:rPr>
          <w:rFonts w:ascii="宋体" w:hAnsi="宋体" w:cs="宋体" w:eastAsia="宋体" w:hint="default"/>
          <w:sz w:val="20"/>
          <w:szCs w:val="20"/>
        </w:rPr>
      </w:pPr>
    </w:p>
    <w:p>
      <w:pPr>
        <w:pStyle w:val="Heading5"/>
        <w:spacing w:line="240" w:lineRule="auto"/>
        <w:ind w:right="2127"/>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7"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4808" w:space="4111"/>
            <w:col w:w="197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安徽汉高 信息科技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电子与信 息等</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50,500,000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284,207,43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118,737,49</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331,446,39</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2.71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39,330,701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35,306,805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18"/>
              <w:jc w:val="center"/>
              <w:rPr>
                <w:rFonts w:ascii="宋体" w:hAnsi="宋体" w:cs="宋体" w:eastAsia="宋体" w:hint="default"/>
                <w:sz w:val="18"/>
                <w:szCs w:val="18"/>
              </w:rPr>
            </w:pPr>
            <w:r>
              <w:rPr>
                <w:rFonts w:ascii="宋体" w:hAnsi="宋体" w:cs="宋体" w:eastAsia="宋体" w:hint="default"/>
                <w:sz w:val="18"/>
                <w:szCs w:val="18"/>
              </w:rPr>
              <w:t>烟台华东</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81"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1" w:right="220"/>
              <w:jc w:val="both"/>
              <w:rPr>
                <w:rFonts w:ascii="宋体" w:hAnsi="宋体" w:cs="宋体" w:eastAsia="宋体" w:hint="default"/>
                <w:sz w:val="18"/>
                <w:szCs w:val="18"/>
              </w:rPr>
            </w:pPr>
            <w:r>
              <w:rPr>
                <w:rFonts w:ascii="宋体" w:hAnsi="宋体" w:cs="宋体" w:eastAsia="宋体" w:hint="default"/>
                <w:sz w:val="18"/>
                <w:szCs w:val="18"/>
              </w:rPr>
              <w:t>电子软件 技术有限 公司</w:t>
            </w: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3" w:right="210"/>
              <w:jc w:val="left"/>
              <w:rPr>
                <w:rFonts w:ascii="宋体" w:hAnsi="宋体" w:cs="宋体" w:eastAsia="宋体" w:hint="default"/>
                <w:sz w:val="18"/>
                <w:szCs w:val="18"/>
              </w:rPr>
            </w:pPr>
            <w:r>
              <w:rPr>
                <w:rFonts w:ascii="宋体" w:hAnsi="宋体" w:cs="宋体" w:eastAsia="宋体" w:hint="default"/>
                <w:sz w:val="18"/>
                <w:szCs w:val="18"/>
              </w:rPr>
              <w:t>电子与信 息等</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512,639,31</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0.09</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135" w:right="0"/>
              <w:jc w:val="left"/>
              <w:rPr>
                <w:rFonts w:ascii="Times New Roman" w:hAnsi="Times New Roman" w:cs="Times New Roman" w:eastAsia="Times New Roman" w:hint="default"/>
                <w:sz w:val="18"/>
                <w:szCs w:val="18"/>
              </w:rPr>
            </w:pPr>
            <w:r>
              <w:rPr>
                <w:rFonts w:ascii="Times New Roman"/>
                <w:sz w:val="18"/>
              </w:rPr>
              <w:t>388,223,11</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1.12</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209,287,90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6.17</w:t>
            </w: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36,257,219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.48</w:t>
            </w: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28,242,657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成都赛英 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军工电子 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115,000,00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360,245,80</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309,639,33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113,662,82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7.05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50,050,199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43,397,411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2127"/>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5"/>
        <w:rPr>
          <w:rFonts w:ascii="宋体" w:hAnsi="宋体" w:cs="宋体" w:eastAsia="宋体" w:hint="default"/>
          <w:b/>
          <w:bCs/>
          <w:sz w:val="30"/>
          <w:szCs w:val="30"/>
        </w:rPr>
      </w:pPr>
    </w:p>
    <w:p>
      <w:pPr>
        <w:pStyle w:val="Heading5"/>
        <w:spacing w:line="408" w:lineRule="auto"/>
        <w:ind w:left="595" w:right="5430"/>
        <w:jc w:val="left"/>
        <w:rPr>
          <w:b w:val="0"/>
          <w:bCs w:val="0"/>
        </w:rPr>
      </w:pPr>
      <w:r>
        <w:rPr>
          <w:color w:val="181F24"/>
        </w:rPr>
        <w:t>（一）行业竞争格局和发展趋势</w:t>
      </w:r>
      <w:r>
        <w:rPr>
          <w:color w:val="181F24"/>
          <w:w w:val="99"/>
        </w:rPr>
        <w:t> </w:t>
      </w:r>
      <w:r>
        <w:rPr/>
        <w:t>1、5G车联网协同发展</w:t>
      </w:r>
      <w:r>
        <w:rPr>
          <w:spacing w:val="-10"/>
        </w:rPr>
        <w:t> </w:t>
      </w:r>
      <w:r>
        <w:rPr/>
        <w:t>智慧交通产业化进程加速推进</w:t>
      </w:r>
      <w:r>
        <w:rPr>
          <w:b w:val="0"/>
          <w:bCs w:val="0"/>
        </w:rPr>
      </w:r>
    </w:p>
    <w:p>
      <w:pPr>
        <w:pStyle w:val="BodyText"/>
        <w:spacing w:line="408" w:lineRule="auto" w:before="46"/>
        <w:ind w:right="1130" w:firstLine="480"/>
        <w:jc w:val="both"/>
      </w:pPr>
      <w:r>
        <w:rPr/>
        <w:t>2020年3月，中共中央政治局会议以及工信部工作会议提出要加快5G网络、数据中心等新型基础设施</w:t>
      </w:r>
      <w:r>
        <w:rPr>
          <w:w w:val="99"/>
        </w:rPr>
        <w:t> </w:t>
      </w:r>
      <w:r>
        <w:rPr>
          <w:w w:val="95"/>
        </w:rPr>
        <w:t>建设进度，以5G和数据中心为代表的新基建成为关注重点。同月，国家工业和信息化部发布关于推动5G加</w:t>
      </w:r>
      <w:r>
        <w:rPr>
          <w:spacing w:val="43"/>
          <w:w w:val="95"/>
        </w:rPr>
        <w:t> </w:t>
      </w:r>
      <w:r>
        <w:rPr>
          <w:spacing w:val="43"/>
          <w:w w:val="95"/>
        </w:rPr>
      </w:r>
      <w:r>
        <w:rPr>
          <w:spacing w:val="2"/>
          <w:w w:val="95"/>
        </w:rPr>
        <w:t>快发展的通知，提出要逐渐丰富5G技术应用场景，促进“5G+车联网”协同发展。推动将车联网纳入国家</w:t>
      </w:r>
      <w:r>
        <w:rPr>
          <w:spacing w:val="44"/>
          <w:w w:val="95"/>
        </w:rPr>
        <w:t> </w:t>
      </w:r>
      <w:r>
        <w:rPr>
          <w:spacing w:val="44"/>
          <w:w w:val="95"/>
        </w:rPr>
      </w:r>
      <w:r>
        <w:rPr/>
        <w:t>新型信息基础设施建设工程，丰富应用场景，探索完善商业模式。</w:t>
      </w:r>
    </w:p>
    <w:p>
      <w:pPr>
        <w:pStyle w:val="BodyText"/>
        <w:spacing w:line="408" w:lineRule="auto" w:before="46"/>
        <w:ind w:right="1130" w:firstLine="480"/>
        <w:jc w:val="both"/>
      </w:pPr>
      <w:r>
        <w:rPr>
          <w:spacing w:val="-2"/>
        </w:rPr>
        <w:t>随着5G及车联网技术的协同发展，5G在智慧交通领域的应用，将进一步加快智慧交通产业化进程，给</w:t>
      </w:r>
      <w:r>
        <w:rPr>
          <w:w w:val="99"/>
        </w:rPr>
        <w:t> </w:t>
      </w:r>
      <w:r>
        <w:rPr/>
        <w:t>交通行业带来革命化的巨大变化。</w:t>
      </w:r>
    </w:p>
    <w:p>
      <w:pPr>
        <w:pStyle w:val="BodyText"/>
        <w:spacing w:line="408" w:lineRule="auto" w:before="46"/>
        <w:ind w:right="1130" w:firstLine="480"/>
        <w:jc w:val="both"/>
      </w:pPr>
      <w:r>
        <w:rPr>
          <w:spacing w:val="-2"/>
        </w:rPr>
        <w:t>5G将云计算、大数据和物联网、人工智能等新一代互联网技术融合，在智能交通领域逐步建立完善的</w:t>
      </w:r>
      <w:r>
        <w:rPr>
          <w:w w:val="99"/>
        </w:rPr>
        <w:t> </w:t>
      </w:r>
      <w:r>
        <w:rPr>
          <w:w w:val="95"/>
        </w:rPr>
        <w:t>基础设施监测体系、智能化的路网运行感知体系、可靠的通信资源保障体系、实时的预报预警体系、高效</w:t>
      </w:r>
      <w:r>
        <w:rPr>
          <w:spacing w:val="44"/>
          <w:w w:val="95"/>
        </w:rPr>
        <w:t> </w:t>
      </w:r>
      <w:r>
        <w:rPr>
          <w:spacing w:val="44"/>
          <w:w w:val="95"/>
        </w:rPr>
      </w:r>
      <w:r>
        <w:rPr>
          <w:w w:val="95"/>
        </w:rPr>
        <w:t>的应急保障体系和完备的出行服务体系，从而实现智慧管理、智慧服务、运营管理、应急管理，为公众提</w:t>
      </w:r>
      <w:r>
        <w:rPr>
          <w:spacing w:val="45"/>
          <w:w w:val="95"/>
        </w:rPr>
        <w:t> </w:t>
      </w:r>
      <w:r>
        <w:rPr>
          <w:spacing w:val="45"/>
          <w:w w:val="95"/>
        </w:rPr>
      </w:r>
      <w:r>
        <w:rPr/>
        <w:t>供智慧化出行服务，交通出行信息化、智能化趋势发展。</w:t>
      </w:r>
    </w:p>
    <w:p>
      <w:pPr>
        <w:pStyle w:val="BodyText"/>
        <w:spacing w:line="408" w:lineRule="auto" w:before="46"/>
        <w:ind w:right="1025" w:firstLine="480"/>
        <w:jc w:val="left"/>
      </w:pPr>
      <w:r>
        <w:rPr>
          <w:w w:val="95"/>
        </w:rPr>
        <w:t>5G的推广应用将进一步为智慧交通行业带来广阔的产业升级机遇，以车路协同为代表的新一代智慧交</w:t>
      </w:r>
      <w:r>
        <w:rPr>
          <w:w w:val="99"/>
        </w:rPr>
        <w:t> </w:t>
      </w:r>
      <w:r>
        <w:rPr/>
        <w:t>通系统改造升级有望得到快速推动，AI、自动驾驶、大数据等新技术的应用创新商业模式的推广将逐渐改</w:t>
      </w:r>
      <w:r>
        <w:rPr>
          <w:w w:val="99"/>
        </w:rPr>
        <w:t> </w:t>
      </w:r>
      <w:r>
        <w:rPr>
          <w:spacing w:val="-3"/>
        </w:rPr>
        <w:t>变旧有交通业态，为智慧交通带来新一轮的发展驱动力，以基础设施数字化、基于大数据的路网综合管理、</w:t>
      </w:r>
      <w:r>
        <w:rPr>
          <w:w w:val="99"/>
        </w:rPr>
        <w:t> </w:t>
      </w:r>
      <w:r>
        <w:rPr/>
        <w:t>交通大脑等方向为代表的智慧交通系统升级改造需求正加速释放，受益于政策及需求的双轮驱动，智慧交</w:t>
      </w:r>
      <w:r>
        <w:rPr>
          <w:w w:val="99"/>
        </w:rPr>
        <w:t> </w:t>
      </w:r>
      <w:r>
        <w:rPr/>
        <w:t>通行业有望迎来持续高景气发展。</w:t>
      </w:r>
    </w:p>
    <w:p>
      <w:pPr>
        <w:spacing w:line="408" w:lineRule="auto" w:before="46"/>
        <w:ind w:left="592" w:right="1122" w:firstLine="2"/>
        <w:jc w:val="left"/>
        <w:rPr>
          <w:rFonts w:ascii="宋体" w:hAnsi="宋体" w:cs="宋体" w:eastAsia="宋体" w:hint="default"/>
          <w:sz w:val="21"/>
          <w:szCs w:val="21"/>
        </w:rPr>
      </w:pPr>
      <w:r>
        <w:rPr>
          <w:rFonts w:ascii="宋体" w:hAnsi="宋体" w:cs="宋体" w:eastAsia="宋体" w:hint="default"/>
          <w:b/>
          <w:bCs/>
          <w:sz w:val="21"/>
          <w:szCs w:val="21"/>
        </w:rPr>
        <w:t>2、大数据+智能交通</w:t>
      </w:r>
      <w:r>
        <w:rPr>
          <w:rFonts w:ascii="宋体" w:hAnsi="宋体" w:cs="宋体" w:eastAsia="宋体" w:hint="default"/>
          <w:b/>
          <w:bCs/>
          <w:spacing w:val="1"/>
          <w:sz w:val="21"/>
          <w:szCs w:val="21"/>
        </w:rPr>
        <w:t> </w:t>
      </w:r>
      <w:r>
        <w:rPr>
          <w:rFonts w:ascii="宋体" w:hAnsi="宋体" w:cs="宋体" w:eastAsia="宋体" w:hint="default"/>
          <w:b/>
          <w:bCs/>
          <w:sz w:val="21"/>
          <w:szCs w:val="21"/>
        </w:rPr>
        <w:t>数据资源资产化成趋势</w:t>
      </w:r>
      <w:r>
        <w:rPr>
          <w:rFonts w:ascii="宋体" w:hAnsi="宋体" w:cs="宋体" w:eastAsia="宋体" w:hint="default"/>
          <w:b/>
          <w:bCs/>
          <w:w w:val="99"/>
          <w:sz w:val="21"/>
          <w:szCs w:val="21"/>
        </w:rPr>
        <w:t> </w:t>
      </w:r>
      <w:r>
        <w:rPr>
          <w:rFonts w:ascii="宋体" w:hAnsi="宋体" w:cs="宋体" w:eastAsia="宋体" w:hint="default"/>
          <w:spacing w:val="-2"/>
          <w:sz w:val="21"/>
          <w:szCs w:val="21"/>
        </w:rPr>
        <w:t>随着移动互联网、物联网、云计算产业的深入发展，大数据国家战略的加速落地，大数据产业体量呈</w:t>
      </w:r>
    </w:p>
    <w:p>
      <w:pPr>
        <w:pStyle w:val="BodyText"/>
        <w:spacing w:line="408" w:lineRule="auto" w:before="46"/>
        <w:ind w:left="592" w:right="1023" w:hanging="480"/>
        <w:jc w:val="left"/>
      </w:pPr>
      <w:r>
        <w:rPr/>
        <w:t>现爆发式增长态势，智能交通行业进入技术创新、产业整合的全新发展阶段。</w:t>
      </w:r>
      <w:r>
        <w:rPr>
          <w:w w:val="99"/>
        </w:rPr>
        <w:t> </w:t>
      </w:r>
      <w:r>
        <w:rPr>
          <w:spacing w:val="-2"/>
        </w:rPr>
        <w:t>2019年9月，国务院印发《交通强国建设纲要》明确要求要大力发展智慧交通，推动大数据、互联网、</w:t>
      </w:r>
    </w:p>
    <w:p>
      <w:pPr>
        <w:pStyle w:val="BodyText"/>
        <w:spacing w:line="240" w:lineRule="auto" w:before="46"/>
        <w:ind w:right="0"/>
        <w:jc w:val="left"/>
      </w:pPr>
      <w:r>
        <w:rPr/>
        <w:t>人工智能、区块链、超级计算等新技术与交通行业深度融合；交通运输部12月制定《推进综合交通运输大</w:t>
      </w:r>
    </w:p>
    <w:p>
      <w:pPr>
        <w:spacing w:after="0" w:line="240" w:lineRule="auto"/>
        <w:jc w:val="left"/>
        <w:sectPr>
          <w:footerReference w:type="default" r:id="rId16"/>
          <w:pgSz w:w="11910" w:h="16840"/>
          <w:pgMar w:footer="1016" w:header="919" w:top="1120" w:bottom="1200" w:left="1020" w:right="0"/>
          <w:pgNumType w:start="30"/>
        </w:sectPr>
      </w:pPr>
    </w:p>
    <w:p>
      <w:pPr>
        <w:spacing w:line="240" w:lineRule="auto" w:before="8"/>
        <w:rPr>
          <w:rFonts w:ascii="宋体" w:hAnsi="宋体" w:cs="宋体" w:eastAsia="宋体" w:hint="default"/>
          <w:sz w:val="25"/>
          <w:szCs w:val="25"/>
        </w:rPr>
      </w:pPr>
    </w:p>
    <w:p>
      <w:pPr>
        <w:pStyle w:val="BodyText"/>
        <w:spacing w:line="408" w:lineRule="auto" w:before="34"/>
        <w:ind w:right="1130"/>
        <w:jc w:val="both"/>
      </w:pPr>
      <w:r>
        <w:rPr>
          <w:spacing w:val="-2"/>
          <w:w w:val="99"/>
        </w:rPr>
        <w:t>数据发展行动纲要（2020—2025年）》、7月制定《数字交通发展规划纲要》规定要以数据资源赋能交通发</w:t>
      </w:r>
      <w:r>
        <w:rPr>
          <w:spacing w:val="-98"/>
          <w:w w:val="99"/>
        </w:rPr>
        <w:t> </w:t>
      </w:r>
      <w:r>
        <w:rPr>
          <w:spacing w:val="-98"/>
          <w:w w:val="99"/>
        </w:rPr>
      </w:r>
      <w:r>
        <w:rPr>
          <w:w w:val="95"/>
        </w:rPr>
        <w:t>展为切入点，实施综合交通运输大数据发展行动，推动大数据、数字技术与综合交通运输深度融合，有效</w:t>
      </w:r>
      <w:r>
        <w:rPr>
          <w:spacing w:val="45"/>
          <w:w w:val="95"/>
        </w:rPr>
        <w:t> </w:t>
      </w:r>
      <w:r>
        <w:rPr>
          <w:spacing w:val="45"/>
          <w:w w:val="95"/>
        </w:rPr>
      </w:r>
      <w:r>
        <w:rPr/>
        <w:t>构建综合交通大数据中心体系，共创共享数字交通的产业生态，为加快建设交通强国提供有力支撑。</w:t>
      </w:r>
    </w:p>
    <w:p>
      <w:pPr>
        <w:pStyle w:val="BodyText"/>
        <w:spacing w:line="408" w:lineRule="auto" w:before="46"/>
        <w:ind w:right="1130" w:firstLine="480"/>
        <w:jc w:val="both"/>
      </w:pPr>
      <w:r>
        <w:rPr>
          <w:spacing w:val="-2"/>
        </w:rPr>
        <w:t>大数据、云计算、物联网、移动互联网等技术推动着出行方式的不断升级，交通出行的智能变革也推</w:t>
      </w:r>
      <w:r>
        <w:rPr>
          <w:w w:val="99"/>
        </w:rPr>
        <w:t> </w:t>
      </w:r>
      <w:r>
        <w:rPr>
          <w:w w:val="95"/>
        </w:rPr>
        <w:t>动着国家科技的发展。国家交通运输部也明确，要把握交通出行新需求，推动交通基础设施数字化、网联</w:t>
      </w:r>
      <w:r>
        <w:rPr>
          <w:spacing w:val="44"/>
          <w:w w:val="95"/>
        </w:rPr>
        <w:t> </w:t>
      </w:r>
      <w:r>
        <w:rPr>
          <w:spacing w:val="44"/>
          <w:w w:val="95"/>
        </w:rPr>
      </w:r>
      <w:r>
        <w:rPr/>
        <w:t>化、智能化发展，加快建设和形成装备与设施协同的数字化交通基础设。</w:t>
      </w:r>
    </w:p>
    <w:p>
      <w:pPr>
        <w:pStyle w:val="BodyText"/>
        <w:spacing w:line="408" w:lineRule="auto" w:before="46"/>
        <w:ind w:right="1130" w:firstLine="480"/>
        <w:jc w:val="both"/>
      </w:pPr>
      <w:r>
        <w:rPr>
          <w:spacing w:val="-2"/>
        </w:rPr>
        <w:t>大数据通过采集大数据流形成人、车、城市的统一，在可预见的未来逐步搭建万物互联的新一代大交</w:t>
      </w:r>
      <w:r>
        <w:rPr>
          <w:w w:val="99"/>
        </w:rPr>
        <w:t> </w:t>
      </w:r>
      <w:r>
        <w:rPr>
          <w:spacing w:val="2"/>
          <w:w w:val="95"/>
        </w:rPr>
        <w:t>通行业信息化平台，深度挖掘大数据应用，综合优化匹配交通产业需求从而跨场景整合，用大数据+AI支</w:t>
      </w:r>
      <w:r>
        <w:rPr>
          <w:spacing w:val="48"/>
          <w:w w:val="95"/>
        </w:rPr>
        <w:t> </w:t>
      </w:r>
      <w:r>
        <w:rPr>
          <w:spacing w:val="48"/>
          <w:w w:val="95"/>
        </w:rPr>
      </w:r>
      <w:r>
        <w:rPr>
          <w:w w:val="95"/>
        </w:rPr>
        <w:t>持城市管理者精准决策、大数据全链路处理让数据产生价值，让现代信息技术驱动数字交通迭代升级，加</w:t>
      </w:r>
      <w:r>
        <w:rPr>
          <w:spacing w:val="43"/>
          <w:w w:val="95"/>
        </w:rPr>
        <w:t> </w:t>
      </w:r>
      <w:r>
        <w:rPr>
          <w:spacing w:val="43"/>
          <w:w w:val="95"/>
        </w:rPr>
      </w:r>
      <w:r>
        <w:rPr/>
        <w:t>速大交通行业生态圈的融合。</w:t>
      </w:r>
    </w:p>
    <w:p>
      <w:pPr>
        <w:spacing w:line="408" w:lineRule="auto" w:before="46"/>
        <w:ind w:left="592" w:right="0" w:firstLine="2"/>
        <w:jc w:val="left"/>
        <w:rPr>
          <w:rFonts w:ascii="宋体" w:hAnsi="宋体" w:cs="宋体" w:eastAsia="宋体" w:hint="default"/>
          <w:sz w:val="21"/>
          <w:szCs w:val="21"/>
        </w:rPr>
      </w:pPr>
      <w:r>
        <w:rPr>
          <w:rFonts w:ascii="宋体" w:hAnsi="宋体" w:cs="宋体" w:eastAsia="宋体" w:hint="default"/>
          <w:b/>
          <w:bCs/>
          <w:sz w:val="21"/>
          <w:szCs w:val="21"/>
        </w:rPr>
        <w:t>3、交通领域军民融合纵深发展，微位移雷达市场可期</w:t>
      </w:r>
      <w:r>
        <w:rPr>
          <w:rFonts w:ascii="宋体" w:hAnsi="宋体" w:cs="宋体" w:eastAsia="宋体" w:hint="default"/>
          <w:b/>
          <w:bCs/>
          <w:w w:val="99"/>
          <w:sz w:val="21"/>
          <w:szCs w:val="21"/>
        </w:rPr>
        <w:t> </w:t>
      </w:r>
      <w:r>
        <w:rPr>
          <w:rFonts w:ascii="宋体" w:hAnsi="宋体" w:cs="宋体" w:eastAsia="宋体" w:hint="default"/>
          <w:w w:val="95"/>
          <w:sz w:val="21"/>
          <w:szCs w:val="21"/>
        </w:rPr>
        <w:t>近年来，随着交通管理系统向智能化、全面化、实时化发展，我国道路现实情况对高精度、长寿命、</w:t>
      </w:r>
      <w:r>
        <w:rPr>
          <w:rFonts w:ascii="宋体" w:hAnsi="宋体" w:cs="宋体" w:eastAsia="宋体" w:hint="default"/>
          <w:sz w:val="21"/>
          <w:szCs w:val="21"/>
        </w:rPr>
      </w:r>
    </w:p>
    <w:p>
      <w:pPr>
        <w:pStyle w:val="BodyText"/>
        <w:spacing w:line="408" w:lineRule="auto" w:before="46"/>
        <w:ind w:left="592" w:right="1122" w:hanging="480"/>
        <w:jc w:val="left"/>
      </w:pPr>
      <w:r>
        <w:rPr/>
        <w:t>智能化的监测系统提出了较为迫切的需求。</w:t>
      </w:r>
      <w:r>
        <w:rPr>
          <w:w w:val="99"/>
        </w:rPr>
        <w:t> </w:t>
      </w:r>
      <w:r>
        <w:rPr>
          <w:spacing w:val="-2"/>
        </w:rPr>
        <w:t>微波技术是典型的应用驱动的科学技术，从早期的面向军事需求逐渐过渡到民用领域，目前，交通领</w:t>
      </w:r>
    </w:p>
    <w:p>
      <w:pPr>
        <w:pStyle w:val="BodyText"/>
        <w:spacing w:line="408" w:lineRule="auto" w:before="46"/>
        <w:ind w:right="1130"/>
        <w:jc w:val="both"/>
      </w:pPr>
      <w:r>
        <w:rPr>
          <w:w w:val="95"/>
        </w:rPr>
        <w:t>域军民融合纵深发展，作为军民两用的微波载体--雷达已广泛应用于地面、空中、海上和太空等各个行业  </w:t>
      </w:r>
      <w:r>
        <w:rPr>
          <w:spacing w:val="43"/>
          <w:w w:val="95"/>
        </w:rPr>
        <w:t> </w:t>
      </w:r>
      <w:r>
        <w:rPr>
          <w:spacing w:val="43"/>
          <w:w w:val="95"/>
        </w:rPr>
      </w:r>
      <w:r>
        <w:rPr/>
        <w:t>领域。</w:t>
      </w:r>
    </w:p>
    <w:p>
      <w:pPr>
        <w:pStyle w:val="BodyText"/>
        <w:spacing w:line="408" w:lineRule="auto" w:before="46"/>
        <w:ind w:right="1130" w:firstLine="480"/>
        <w:jc w:val="both"/>
      </w:pPr>
      <w:r>
        <w:rPr>
          <w:spacing w:val="-2"/>
        </w:rPr>
        <w:t>公司结合多年射频微波、雷达领域经验研发的微位移雷达产品可广泛应用于交通基础设施监测、交通</w:t>
      </w:r>
      <w:r>
        <w:rPr>
          <w:w w:val="99"/>
        </w:rPr>
        <w:t> </w:t>
      </w:r>
      <w:r>
        <w:rPr>
          <w:w w:val="95"/>
        </w:rPr>
        <w:t>量调查、交通事件检测、指挥调度、安全报警、航海、引航、船舶靠泊等多个领域，可满足高铁路基、高</w:t>
      </w:r>
      <w:r>
        <w:rPr>
          <w:spacing w:val="44"/>
          <w:w w:val="95"/>
        </w:rPr>
        <w:t> </w:t>
      </w:r>
      <w:r>
        <w:rPr>
          <w:spacing w:val="44"/>
          <w:w w:val="95"/>
        </w:rPr>
      </w:r>
      <w:r>
        <w:rPr>
          <w:w w:val="95"/>
        </w:rPr>
        <w:t>速公路边坡、桥梁等的实时形变监测需求，能有效改进现有方案弊端，契合未来“建养并重”的新发展方   </w:t>
      </w:r>
      <w:r>
        <w:rPr>
          <w:spacing w:val="43"/>
          <w:w w:val="95"/>
        </w:rPr>
        <w:t> </w:t>
      </w:r>
      <w:r>
        <w:rPr>
          <w:spacing w:val="43"/>
          <w:w w:val="95"/>
        </w:rPr>
      </w:r>
      <w:r>
        <w:rPr/>
        <w:t>向。</w:t>
      </w:r>
    </w:p>
    <w:p>
      <w:pPr>
        <w:pStyle w:val="BodyText"/>
        <w:spacing w:line="408" w:lineRule="auto" w:before="46"/>
        <w:ind w:right="1132" w:firstLine="480"/>
        <w:jc w:val="both"/>
      </w:pPr>
      <w:r>
        <w:rPr>
          <w:spacing w:val="-2"/>
        </w:rPr>
        <w:t>公司搭建微位移雷达生产线项目，融合微波探测与数字技术平台，以雷达整机及系统为依托，构建全</w:t>
      </w:r>
      <w:r>
        <w:rPr>
          <w:w w:val="99"/>
        </w:rPr>
        <w:t> </w:t>
      </w:r>
      <w:r>
        <w:rPr>
          <w:w w:val="95"/>
        </w:rPr>
        <w:t>方位、无死角、高精度的感知、互联、智能生态系统，填补国内技术空白；未来将持续引入军用微波技术</w:t>
      </w:r>
      <w:r>
        <w:rPr>
          <w:spacing w:val="40"/>
          <w:w w:val="95"/>
        </w:rPr>
        <w:t> </w:t>
      </w:r>
      <w:r>
        <w:rPr>
          <w:spacing w:val="40"/>
          <w:w w:val="95"/>
        </w:rPr>
      </w:r>
      <w:r>
        <w:rPr>
          <w:w w:val="95"/>
        </w:rPr>
        <w:t>和产品，向公路、铁路、港口、机场民用领域延伸和发展，形成技术与渠道的资源协同，巩固公司的综合</w:t>
      </w:r>
      <w:r>
        <w:rPr>
          <w:spacing w:val="40"/>
          <w:w w:val="95"/>
        </w:rPr>
        <w:t> </w:t>
      </w:r>
      <w:r>
        <w:rPr>
          <w:spacing w:val="40"/>
          <w:w w:val="95"/>
        </w:rPr>
      </w:r>
      <w:r>
        <w:rPr/>
        <w:t>竞争优势。</w:t>
      </w:r>
    </w:p>
    <w:p>
      <w:pPr>
        <w:pStyle w:val="BodyText"/>
        <w:spacing w:line="408" w:lineRule="auto" w:before="46"/>
        <w:ind w:left="592" w:right="1126" w:firstLine="2"/>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2020年，公司将坚定贯彻落实交通强国决策部署，专注于通过大数据、物联网、云计算、人工智能等</w:t>
      </w:r>
    </w:p>
    <w:p>
      <w:pPr>
        <w:pStyle w:val="BodyText"/>
        <w:spacing w:line="408" w:lineRule="auto" w:before="46"/>
        <w:ind w:right="1112"/>
        <w:jc w:val="both"/>
      </w:pPr>
      <w:r>
        <w:rPr>
          <w:w w:val="95"/>
        </w:rPr>
        <w:t>技术的行业应用，聚焦智慧交通、智慧港航、智慧军工等行业，通过“系统建设、软件交付、运营服务”</w:t>
      </w:r>
      <w:r>
        <w:rPr>
          <w:spacing w:val="61"/>
          <w:w w:val="95"/>
        </w:rPr>
        <w:t> </w:t>
      </w:r>
      <w:r>
        <w:rPr>
          <w:spacing w:val="61"/>
          <w:w w:val="95"/>
        </w:rPr>
      </w:r>
      <w:r>
        <w:rPr>
          <w:w w:val="95"/>
        </w:rPr>
        <w:t>落实云、平台、终端三位一体的企业发展战略和经营策略，通过市场平台和产业资本的深度融合构建全产</w:t>
      </w:r>
      <w:r>
        <w:rPr>
          <w:spacing w:val="43"/>
          <w:w w:val="95"/>
        </w:rPr>
        <w:t> </w:t>
      </w:r>
      <w:r>
        <w:rPr>
          <w:spacing w:val="43"/>
          <w:w w:val="95"/>
        </w:rPr>
      </w:r>
      <w:r>
        <w:rPr>
          <w:w w:val="95"/>
        </w:rPr>
        <w:t>业链的开放生态系统，为大交通行业打造跨领域、跨区域的数据资源交换和共享平台，推动智慧交通发展</w:t>
      </w:r>
      <w:r>
        <w:rPr>
          <w:spacing w:val="43"/>
          <w:w w:val="95"/>
        </w:rPr>
        <w:t> </w:t>
      </w:r>
      <w:r>
        <w:rPr>
          <w:spacing w:val="43"/>
          <w:w w:val="95"/>
        </w:rPr>
      </w:r>
      <w:r>
        <w:rPr/>
        <w:t>的新浪潮，致力于成为中国领先的智慧大交通和智慧新城市领域的解决方案提供商。</w:t>
      </w:r>
    </w:p>
    <w:p>
      <w:pPr>
        <w:spacing w:after="0" w:line="408" w:lineRule="auto"/>
        <w:jc w:val="both"/>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Heading5"/>
        <w:tabs>
          <w:tab w:pos="2387" w:val="left" w:leader="none"/>
        </w:tabs>
        <w:spacing w:line="408" w:lineRule="auto" w:before="34"/>
        <w:ind w:left="595" w:right="6811"/>
        <w:jc w:val="left"/>
        <w:rPr>
          <w:b w:val="0"/>
          <w:bCs w:val="0"/>
        </w:rPr>
      </w:pPr>
      <w:r>
        <w:rPr/>
        <w:t>（三）2020年度经营计划</w:t>
      </w:r>
      <w:r>
        <w:rPr>
          <w:w w:val="99"/>
        </w:rPr>
        <w:t> </w:t>
      </w:r>
      <w:r>
        <w:rPr>
          <w:w w:val="95"/>
        </w:rPr>
        <w:t>1、聚焦科技研发</w:t>
        <w:tab/>
      </w:r>
      <w:r>
        <w:rPr/>
        <w:t>培育新型商业模式</w:t>
      </w:r>
      <w:r>
        <w:rPr>
          <w:b w:val="0"/>
          <w:bCs w:val="0"/>
        </w:rPr>
      </w:r>
    </w:p>
    <w:p>
      <w:pPr>
        <w:pStyle w:val="BodyText"/>
        <w:spacing w:line="408" w:lineRule="auto" w:before="46"/>
        <w:ind w:right="0" w:firstLine="480"/>
        <w:jc w:val="left"/>
      </w:pPr>
      <w:r>
        <w:rPr>
          <w:w w:val="95"/>
        </w:rPr>
        <w:t>公司将紧抓“交通+新一代信息技术”的发展契机，聚合产业高端人才，持续加大以人工智能+大数据</w:t>
      </w:r>
      <w:r>
        <w:rPr>
          <w:w w:val="99"/>
        </w:rPr>
        <w:t> </w:t>
      </w:r>
      <w:r>
        <w:rPr>
          <w:spacing w:val="2"/>
        </w:rPr>
        <w:t>为核心的关键技术和平台能力的研发投入，进一步提升研发效率，持续强化公司在V2X、智慧路网、AI、</w:t>
      </w:r>
      <w:r>
        <w:rPr>
          <w:w w:val="99"/>
        </w:rPr>
        <w:t> </w:t>
      </w:r>
      <w:r>
        <w:rPr>
          <w:spacing w:val="-3"/>
        </w:rPr>
        <w:t>可视物联等方面的技术产品领先优势。坚持“深耕国内，面向海外”的市场布局，积极把握5G、人工智能、</w:t>
      </w:r>
      <w:r>
        <w:rPr>
          <w:w w:val="99"/>
        </w:rPr>
        <w:t> </w:t>
      </w:r>
      <w:r>
        <w:rPr/>
        <w:t>大数据、数字交通等战略机遇，深入开展大数据、云计算、人脸识别、视频结构化、微波探测等前沿技术</w:t>
      </w:r>
      <w:r>
        <w:rPr>
          <w:w w:val="99"/>
        </w:rPr>
        <w:t> </w:t>
      </w:r>
      <w:r>
        <w:rPr/>
        <w:t>领域的研究，让先进信息技术与交通运输深度融合，开展“5G+”垂直行业融合创新，搭建“产业本身+产</w:t>
      </w:r>
      <w:r>
        <w:rPr>
          <w:w w:val="99"/>
        </w:rPr>
        <w:t> </w:t>
      </w:r>
      <w:r>
        <w:rPr>
          <w:w w:val="95"/>
        </w:rPr>
        <w:t>业应用+产业服务”的数字经济新生态，培育新型商业模式，夯实公司在智能交通垂直领域的核心竞争力。</w:t>
      </w:r>
      <w:r>
        <w:rPr/>
      </w:r>
    </w:p>
    <w:p>
      <w:pPr>
        <w:spacing w:line="408" w:lineRule="auto" w:before="46"/>
        <w:ind w:left="592" w:right="1122" w:firstLine="2"/>
        <w:jc w:val="left"/>
        <w:rPr>
          <w:rFonts w:ascii="宋体" w:hAnsi="宋体" w:cs="宋体" w:eastAsia="宋体" w:hint="default"/>
          <w:sz w:val="21"/>
          <w:szCs w:val="21"/>
        </w:rPr>
      </w:pPr>
      <w:r>
        <w:rPr>
          <w:rFonts w:ascii="宋体" w:hAnsi="宋体" w:cs="宋体" w:eastAsia="宋体" w:hint="default"/>
          <w:b/>
          <w:bCs/>
          <w:sz w:val="21"/>
          <w:szCs w:val="21"/>
        </w:rPr>
        <w:t>2、进一步优化营销体系，加大渠道及海外拓展力度</w:t>
      </w:r>
      <w:r>
        <w:rPr>
          <w:rFonts w:ascii="宋体" w:hAnsi="宋体" w:cs="宋体" w:eastAsia="宋体" w:hint="default"/>
          <w:b/>
          <w:bCs/>
          <w:w w:val="99"/>
          <w:sz w:val="21"/>
          <w:szCs w:val="21"/>
        </w:rPr>
        <w:t> </w:t>
      </w:r>
      <w:r>
        <w:rPr>
          <w:rFonts w:ascii="宋体" w:hAnsi="宋体" w:cs="宋体" w:eastAsia="宋体" w:hint="default"/>
          <w:spacing w:val="-2"/>
          <w:sz w:val="21"/>
          <w:szCs w:val="21"/>
        </w:rPr>
        <w:t>公司将持续加速全国化战略的纵深发展，在市场资源方面继续发力，进一步优化营销体系，加大渠道</w:t>
      </w:r>
    </w:p>
    <w:p>
      <w:pPr>
        <w:pStyle w:val="BodyText"/>
        <w:spacing w:line="408" w:lineRule="auto" w:before="46"/>
        <w:ind w:right="1130"/>
        <w:jc w:val="both"/>
      </w:pPr>
      <w:r>
        <w:rPr>
          <w:w w:val="95"/>
        </w:rPr>
        <w:t>拓展力度，以区域分、子公司为引领，形成深度覆盖全国的销售渠道和营销服务网络，并将继续加大海外</w:t>
      </w:r>
      <w:r>
        <w:rPr>
          <w:spacing w:val="44"/>
          <w:w w:val="95"/>
        </w:rPr>
        <w:t> </w:t>
      </w:r>
      <w:r>
        <w:rPr>
          <w:spacing w:val="44"/>
          <w:w w:val="95"/>
        </w:rPr>
      </w:r>
      <w:r>
        <w:rPr>
          <w:w w:val="95"/>
        </w:rPr>
        <w:t>市场投入，围绕“一带一路”沿线，深耕拉美、非洲、中东、东南亚等国际市场，深入拓展市场需求旺盛</w:t>
      </w:r>
      <w:r>
        <w:rPr>
          <w:spacing w:val="41"/>
          <w:w w:val="95"/>
        </w:rPr>
        <w:t> </w:t>
      </w:r>
      <w:r>
        <w:rPr>
          <w:spacing w:val="41"/>
          <w:w w:val="95"/>
        </w:rPr>
      </w:r>
      <w:r>
        <w:rPr/>
        <w:t>的国家和地区，完善海外市场网点、渠道及人员布局，推动公司的国际化进程。</w:t>
      </w:r>
    </w:p>
    <w:p>
      <w:pPr>
        <w:spacing w:line="408" w:lineRule="auto" w:before="46"/>
        <w:ind w:left="592" w:right="1122" w:firstLine="2"/>
        <w:jc w:val="left"/>
        <w:rPr>
          <w:rFonts w:ascii="宋体" w:hAnsi="宋体" w:cs="宋体" w:eastAsia="宋体" w:hint="default"/>
          <w:sz w:val="21"/>
          <w:szCs w:val="21"/>
        </w:rPr>
      </w:pPr>
      <w:r>
        <w:rPr>
          <w:rFonts w:ascii="宋体" w:hAnsi="宋体" w:cs="宋体" w:eastAsia="宋体" w:hint="default"/>
          <w:b/>
          <w:bCs/>
          <w:sz w:val="21"/>
          <w:szCs w:val="21"/>
        </w:rPr>
        <w:t>3、推进业务协同，实现公司各业务板块协调发展</w:t>
      </w:r>
      <w:r>
        <w:rPr>
          <w:rFonts w:ascii="宋体" w:hAnsi="宋体" w:cs="宋体" w:eastAsia="宋体" w:hint="default"/>
          <w:b/>
          <w:bCs/>
          <w:w w:val="99"/>
          <w:sz w:val="21"/>
          <w:szCs w:val="21"/>
        </w:rPr>
        <w:t> </w:t>
      </w:r>
      <w:r>
        <w:rPr>
          <w:rFonts w:ascii="宋体" w:hAnsi="宋体" w:cs="宋体" w:eastAsia="宋体" w:hint="default"/>
          <w:spacing w:val="-2"/>
          <w:sz w:val="21"/>
          <w:szCs w:val="21"/>
        </w:rPr>
        <w:t>公司将充分发挥资源聚集优势和业务协同效应，坚持客户驱动理念，积极开拓市场，在高质量发展上</w:t>
      </w:r>
    </w:p>
    <w:p>
      <w:pPr>
        <w:pStyle w:val="BodyText"/>
        <w:spacing w:line="408" w:lineRule="auto" w:before="46"/>
        <w:ind w:right="1130"/>
        <w:jc w:val="both"/>
      </w:pPr>
      <w:r>
        <w:rPr>
          <w:w w:val="95"/>
        </w:rPr>
        <w:t>不断取得新突破。公司将进一步优化集团化管理体系，加强经营管控，横纵向业务统筹管理，建立集团化</w:t>
      </w:r>
      <w:r>
        <w:rPr>
          <w:spacing w:val="42"/>
          <w:w w:val="95"/>
        </w:rPr>
        <w:t> </w:t>
      </w:r>
      <w:r>
        <w:rPr>
          <w:spacing w:val="42"/>
          <w:w w:val="95"/>
        </w:rPr>
      </w:r>
      <w:r>
        <w:rPr>
          <w:w w:val="95"/>
        </w:rPr>
        <w:t>协同运作的业务结构，增强企业运营效率，提升决策力、执行力与组织活力，以进一步提升经营效率和经</w:t>
      </w:r>
      <w:r>
        <w:rPr>
          <w:spacing w:val="44"/>
          <w:w w:val="95"/>
        </w:rPr>
        <w:t> </w:t>
      </w:r>
      <w:r>
        <w:rPr>
          <w:spacing w:val="44"/>
          <w:w w:val="95"/>
        </w:rPr>
      </w:r>
      <w:r>
        <w:rPr>
          <w:w w:val="95"/>
        </w:rPr>
        <w:t>济效益。公司将强化对集团风险管控和内控管理，通过制度建设、日常沟通、专项督导、全面检查等多种</w:t>
      </w:r>
      <w:r>
        <w:rPr>
          <w:spacing w:val="44"/>
          <w:w w:val="95"/>
        </w:rPr>
        <w:t> </w:t>
      </w:r>
      <w:r>
        <w:rPr>
          <w:spacing w:val="44"/>
          <w:w w:val="95"/>
        </w:rPr>
      </w:r>
      <w:r>
        <w:rPr>
          <w:w w:val="95"/>
        </w:rPr>
        <w:t>形式，提升各子公司风险识别能力和内部管理意识，并在日常经营管理中贯彻落实，保障内控体系切实有</w:t>
      </w:r>
      <w:r>
        <w:rPr>
          <w:spacing w:val="40"/>
          <w:w w:val="95"/>
        </w:rPr>
        <w:t> </w:t>
      </w:r>
      <w:r>
        <w:rPr>
          <w:spacing w:val="40"/>
          <w:w w:val="95"/>
        </w:rPr>
      </w:r>
      <w:r>
        <w:rPr>
          <w:w w:val="95"/>
        </w:rPr>
        <w:t>效运行，推动公司规范运作和健康有序发展。此外，公司将全面整合各方资源，加强内部在业务创新、基</w:t>
      </w:r>
      <w:r>
        <w:rPr>
          <w:spacing w:val="44"/>
          <w:w w:val="95"/>
        </w:rPr>
        <w:t> </w:t>
      </w:r>
      <w:r>
        <w:rPr>
          <w:spacing w:val="44"/>
          <w:w w:val="95"/>
        </w:rPr>
      </w:r>
      <w:r>
        <w:rPr>
          <w:w w:val="95"/>
        </w:rPr>
        <w:t>础技术等多领域的协同合作，并携手拓宽大交通行业业务领域，不断拓展公司业务版图，提升企业整体价   </w:t>
      </w:r>
      <w:r>
        <w:rPr>
          <w:spacing w:val="40"/>
          <w:w w:val="95"/>
        </w:rPr>
        <w:t> </w:t>
      </w:r>
      <w:r>
        <w:rPr>
          <w:spacing w:val="40"/>
          <w:w w:val="95"/>
        </w:rPr>
      </w:r>
      <w:r>
        <w:rPr/>
        <w:t>值。</w:t>
      </w:r>
    </w:p>
    <w:p>
      <w:pPr>
        <w:spacing w:line="408" w:lineRule="auto" w:before="46"/>
        <w:ind w:left="592" w:right="1122" w:firstLine="2"/>
        <w:jc w:val="left"/>
        <w:rPr>
          <w:rFonts w:ascii="宋体" w:hAnsi="宋体" w:cs="宋体" w:eastAsia="宋体" w:hint="default"/>
          <w:sz w:val="21"/>
          <w:szCs w:val="21"/>
        </w:rPr>
      </w:pPr>
      <w:r>
        <w:rPr>
          <w:rFonts w:ascii="宋体" w:hAnsi="宋体" w:cs="宋体" w:eastAsia="宋体" w:hint="default"/>
          <w:b/>
          <w:bCs/>
          <w:sz w:val="21"/>
          <w:szCs w:val="21"/>
        </w:rPr>
        <w:t>4、关注团队建设，加强核心技术人才的引进和培养</w:t>
      </w:r>
      <w:r>
        <w:rPr>
          <w:rFonts w:ascii="宋体" w:hAnsi="宋体" w:cs="宋体" w:eastAsia="宋体" w:hint="default"/>
          <w:b/>
          <w:bCs/>
          <w:w w:val="99"/>
          <w:sz w:val="21"/>
          <w:szCs w:val="21"/>
        </w:rPr>
        <w:t> </w:t>
      </w:r>
      <w:r>
        <w:rPr>
          <w:rFonts w:ascii="宋体" w:hAnsi="宋体" w:cs="宋体" w:eastAsia="宋体" w:hint="default"/>
          <w:spacing w:val="-2"/>
          <w:sz w:val="21"/>
          <w:szCs w:val="21"/>
        </w:rPr>
        <w:t>公司在大数据、物联网等技术领域集聚了一批创新能力突出和技术实力雄厚的研发团队，组建了一支</w:t>
      </w:r>
    </w:p>
    <w:p>
      <w:pPr>
        <w:pStyle w:val="BodyText"/>
        <w:spacing w:line="408" w:lineRule="auto" w:before="46"/>
        <w:ind w:right="1025"/>
        <w:jc w:val="left"/>
      </w:pPr>
      <w:r>
        <w:rPr/>
        <w:t>技术精湛、经验丰富、结构合理、团结协作的管理队伍。这些优秀人才是公司的核心竞争力，为公司可持</w:t>
      </w:r>
      <w:r>
        <w:rPr>
          <w:w w:val="99"/>
        </w:rPr>
        <w:t> </w:t>
      </w:r>
      <w:r>
        <w:rPr>
          <w:spacing w:val="-3"/>
        </w:rPr>
        <w:t>续性发展提供有力的保障。公司将持续加大对外引进人才、对内培养人才梯队的力度，建立健康企业文化，</w:t>
      </w:r>
      <w:r>
        <w:rPr>
          <w:w w:val="99"/>
        </w:rPr>
        <w:t> </w:t>
      </w:r>
      <w:r>
        <w:rPr/>
        <w:t>设立有效的激励制度，优胜劣汰，优化人力资源结构，不断提升组织能力和公司价值。</w:t>
      </w:r>
    </w:p>
    <w:p>
      <w:pPr>
        <w:tabs>
          <w:tab w:pos="2810" w:val="left" w:leader="none"/>
        </w:tabs>
        <w:spacing w:line="408" w:lineRule="auto" w:before="46"/>
        <w:ind w:left="532" w:right="1135" w:firstLine="62"/>
        <w:jc w:val="left"/>
        <w:rPr>
          <w:rFonts w:ascii="宋体" w:hAnsi="宋体" w:cs="宋体" w:eastAsia="宋体" w:hint="default"/>
          <w:sz w:val="21"/>
          <w:szCs w:val="21"/>
        </w:rPr>
      </w:pPr>
      <w:r>
        <w:rPr>
          <w:rFonts w:ascii="宋体" w:hAnsi="宋体" w:cs="宋体" w:eastAsia="宋体" w:hint="default"/>
          <w:b/>
          <w:bCs/>
          <w:w w:val="95"/>
          <w:sz w:val="21"/>
          <w:szCs w:val="21"/>
        </w:rPr>
        <w:t>5、引入战略合作伙伴</w:t>
        <w:tab/>
      </w:r>
      <w:r>
        <w:rPr>
          <w:rFonts w:ascii="宋体" w:hAnsi="宋体" w:cs="宋体" w:eastAsia="宋体" w:hint="default"/>
          <w:b/>
          <w:bCs/>
          <w:sz w:val="21"/>
          <w:szCs w:val="21"/>
        </w:rPr>
        <w:t>推动产业合作共赢发展</w:t>
      </w:r>
      <w:r>
        <w:rPr>
          <w:rFonts w:ascii="宋体" w:hAnsi="宋体" w:cs="宋体" w:eastAsia="宋体" w:hint="default"/>
          <w:b/>
          <w:bCs/>
          <w:w w:val="99"/>
          <w:sz w:val="21"/>
          <w:szCs w:val="21"/>
        </w:rPr>
        <w:t> </w:t>
      </w:r>
      <w:r>
        <w:rPr>
          <w:rFonts w:ascii="宋体" w:hAnsi="宋体" w:cs="宋体" w:eastAsia="宋体" w:hint="default"/>
          <w:w w:val="95"/>
          <w:sz w:val="21"/>
          <w:szCs w:val="21"/>
        </w:rPr>
        <w:t>公司将围绕大交通信息化和军工电子信息主营业务积极寻求力量性、智慧性、前瞻性的战略合作，继</w:t>
      </w:r>
      <w:r>
        <w:rPr>
          <w:rFonts w:ascii="宋体" w:hAnsi="宋体" w:cs="宋体" w:eastAsia="宋体" w:hint="default"/>
          <w:sz w:val="21"/>
          <w:szCs w:val="21"/>
        </w:rPr>
      </w:r>
    </w:p>
    <w:p>
      <w:pPr>
        <w:pStyle w:val="BodyText"/>
        <w:spacing w:line="240" w:lineRule="auto" w:before="46"/>
        <w:ind w:right="0"/>
        <w:jc w:val="both"/>
      </w:pPr>
      <w:r>
        <w:rPr/>
        <w:t>续寻找大数据、人工智能、物联网等领域的优质伙伴，将公司在大数据、人工智能领域的核心技术优势以</w:t>
      </w:r>
    </w:p>
    <w:p>
      <w:pPr>
        <w:spacing w:after="0" w:line="240" w:lineRule="auto"/>
        <w:jc w:val="both"/>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025"/>
        <w:jc w:val="left"/>
      </w:pPr>
      <w:r>
        <w:rPr/>
        <w:t>及在智能交通行业的行业基础发挥到最大。公司将充分利用资本市场平台，通过并购重组、战略合作、投</w:t>
      </w:r>
      <w:r>
        <w:rPr>
          <w:w w:val="99"/>
        </w:rPr>
        <w:t> </w:t>
      </w:r>
      <w:r>
        <w:rPr>
          <w:spacing w:val="-3"/>
        </w:rPr>
        <w:t>资参股等多种方式，全面携手互联网科技龙头、行业独角兽等合作伙伴，在优势互补的前提下，深化合作，</w:t>
      </w:r>
      <w:r>
        <w:rPr>
          <w:w w:val="99"/>
        </w:rPr>
        <w:t> </w:t>
      </w:r>
      <w:r>
        <w:rPr/>
        <w:t>实现共赢发展。</w:t>
      </w:r>
    </w:p>
    <w:p>
      <w:pPr>
        <w:pStyle w:val="Heading5"/>
        <w:spacing w:line="408" w:lineRule="auto" w:before="46"/>
        <w:ind w:left="595" w:right="7108"/>
        <w:jc w:val="left"/>
        <w:rPr>
          <w:b w:val="0"/>
          <w:bCs w:val="0"/>
        </w:rPr>
      </w:pPr>
      <w:r>
        <w:rPr/>
        <w:t>（四）企业面临的风险及应对措施</w:t>
      </w:r>
      <w:r>
        <w:rPr>
          <w:w w:val="99"/>
        </w:rPr>
        <w:t> </w:t>
      </w:r>
      <w:r>
        <w:rPr/>
        <w:t>1、季节性波动风险</w:t>
      </w:r>
      <w:r>
        <w:rPr>
          <w:b w:val="0"/>
          <w:bCs w:val="0"/>
        </w:rPr>
      </w:r>
    </w:p>
    <w:p>
      <w:pPr>
        <w:pStyle w:val="BodyText"/>
        <w:spacing w:line="408" w:lineRule="auto" w:before="46"/>
        <w:ind w:right="1130" w:firstLine="480"/>
        <w:jc w:val="both"/>
      </w:pPr>
      <w:r>
        <w:rPr>
          <w:spacing w:val="-2"/>
        </w:rPr>
        <w:t>公司客户以各地公路管理部门、港航企业集团、大型军工集团为主，该部分客户通常实行预算决算体</w:t>
      </w:r>
      <w:r>
        <w:rPr>
          <w:w w:val="99"/>
        </w:rPr>
        <w:t> </w:t>
      </w:r>
      <w:r>
        <w:rPr>
          <w:w w:val="95"/>
        </w:rPr>
        <w:t>制，对信息化项目的购买遵守较为严格的预算管理和采购制度，大多在上个自然年度的年底或当年年初进</w:t>
      </w:r>
      <w:r>
        <w:rPr>
          <w:spacing w:val="38"/>
          <w:w w:val="95"/>
        </w:rPr>
        <w:t> </w:t>
      </w:r>
      <w:r>
        <w:rPr>
          <w:spacing w:val="38"/>
          <w:w w:val="95"/>
        </w:rPr>
      </w:r>
      <w:r>
        <w:rPr>
          <w:w w:val="95"/>
        </w:rPr>
        <w:t>行资金的预算、审批和采购计划的制定，下半年才开始具体的设备采购、项目验收等，由此导致公司营业</w:t>
      </w:r>
      <w:r>
        <w:rPr>
          <w:spacing w:val="44"/>
          <w:w w:val="95"/>
        </w:rPr>
        <w:t> </w:t>
      </w:r>
      <w:r>
        <w:rPr>
          <w:spacing w:val="44"/>
          <w:w w:val="95"/>
        </w:rPr>
      </w:r>
      <w:r>
        <w:rPr/>
        <w:t>收入及经营活动现金流呈现明显的季节性特征，通常上半年收入较少，大部分收入在下半年实现。</w:t>
      </w:r>
    </w:p>
    <w:p>
      <w:pPr>
        <w:pStyle w:val="BodyText"/>
        <w:spacing w:line="408" w:lineRule="auto" w:before="46"/>
        <w:ind w:right="1132" w:firstLine="480"/>
        <w:jc w:val="both"/>
      </w:pPr>
      <w:r>
        <w:rPr>
          <w:spacing w:val="-2"/>
        </w:rPr>
        <w:t>公司将不断加大技术研发力度，推动产品创新和升级，保持信息化产品的技术领先优势；完善全国化</w:t>
      </w:r>
      <w:r>
        <w:rPr>
          <w:w w:val="99"/>
        </w:rPr>
        <w:t> </w:t>
      </w:r>
      <w:r>
        <w:rPr>
          <w:w w:val="95"/>
        </w:rPr>
        <w:t>服务网络建设，不断加强客户积累，采取多元化市场策略，积极拓展潜在客户市场，依托既有的市场资源</w:t>
      </w:r>
      <w:r>
        <w:rPr>
          <w:spacing w:val="42"/>
          <w:w w:val="95"/>
        </w:rPr>
        <w:t> </w:t>
      </w:r>
      <w:r>
        <w:rPr>
          <w:spacing w:val="42"/>
          <w:w w:val="95"/>
        </w:rPr>
      </w:r>
      <w:r>
        <w:rPr/>
        <w:t>优势，为企业发展培育新的利润增长点，努力降低季节性波动对公司业绩的影响。</w:t>
      </w:r>
    </w:p>
    <w:p>
      <w:pPr>
        <w:spacing w:line="408" w:lineRule="auto" w:before="46"/>
        <w:ind w:left="592" w:right="1122" w:firstLine="2"/>
        <w:jc w:val="left"/>
        <w:rPr>
          <w:rFonts w:ascii="宋体" w:hAnsi="宋体" w:cs="宋体" w:eastAsia="宋体" w:hint="default"/>
          <w:sz w:val="21"/>
          <w:szCs w:val="21"/>
        </w:rPr>
      </w:pPr>
      <w:r>
        <w:rPr>
          <w:rFonts w:ascii="宋体" w:hAnsi="宋体" w:cs="宋体" w:eastAsia="宋体" w:hint="default"/>
          <w:b/>
          <w:bCs/>
          <w:sz w:val="21"/>
          <w:szCs w:val="21"/>
        </w:rPr>
        <w:t>2、经营半径扩大引致的管理风险</w:t>
      </w:r>
      <w:r>
        <w:rPr>
          <w:rFonts w:ascii="宋体" w:hAnsi="宋体" w:cs="宋体" w:eastAsia="宋体" w:hint="default"/>
          <w:b/>
          <w:bCs/>
          <w:w w:val="99"/>
          <w:sz w:val="21"/>
          <w:szCs w:val="21"/>
        </w:rPr>
        <w:t> </w:t>
      </w:r>
      <w:r>
        <w:rPr>
          <w:rFonts w:ascii="宋体" w:hAnsi="宋体" w:cs="宋体" w:eastAsia="宋体" w:hint="default"/>
          <w:spacing w:val="-2"/>
          <w:sz w:val="21"/>
          <w:szCs w:val="21"/>
        </w:rPr>
        <w:t>随着公司的业务规模不断拓展，业务范围也不断扩大，组织结构日益复杂，对公司的经营决策、业务</w:t>
      </w:r>
    </w:p>
    <w:p>
      <w:pPr>
        <w:pStyle w:val="BodyText"/>
        <w:spacing w:line="408" w:lineRule="auto" w:before="46"/>
        <w:ind w:right="0"/>
        <w:jc w:val="left"/>
      </w:pPr>
      <w:r>
        <w:rPr>
          <w:w w:val="95"/>
        </w:rPr>
        <w:t>管理和实施风险控制等方面的要求越来越高，如果不能及时优化运营管理体系，实现管理升级，将影响公</w:t>
      </w:r>
      <w:r>
        <w:rPr>
          <w:spacing w:val="43"/>
          <w:w w:val="95"/>
        </w:rPr>
        <w:t> </w:t>
      </w:r>
      <w:r>
        <w:rPr>
          <w:spacing w:val="43"/>
          <w:w w:val="95"/>
        </w:rPr>
      </w:r>
      <w:r>
        <w:rPr/>
        <w:t>司运营效率和科学决策，带来管理风险。</w:t>
      </w:r>
    </w:p>
    <w:p>
      <w:pPr>
        <w:pStyle w:val="BodyText"/>
        <w:spacing w:line="408" w:lineRule="auto" w:before="46"/>
        <w:ind w:right="1112" w:firstLine="480"/>
        <w:jc w:val="both"/>
      </w:pPr>
      <w:r>
        <w:rPr>
          <w:spacing w:val="-2"/>
        </w:rPr>
        <w:t>公司将进一步健全内部控制体系，优化业务和管理流程，持续规范运作，及时根据相关法律法规的要</w:t>
      </w:r>
      <w:r>
        <w:rPr>
          <w:w w:val="99"/>
        </w:rPr>
        <w:t> </w:t>
      </w:r>
      <w:r>
        <w:rPr>
          <w:w w:val="95"/>
        </w:rPr>
        <w:t>求和经营管理的需要，不断修订和完善公司各项内控制度；推进公司内部管理与信息化改革，深化信息化</w:t>
      </w:r>
      <w:r>
        <w:rPr>
          <w:spacing w:val="40"/>
          <w:w w:val="95"/>
        </w:rPr>
        <w:t> </w:t>
      </w:r>
      <w:r>
        <w:rPr>
          <w:spacing w:val="40"/>
          <w:w w:val="95"/>
        </w:rPr>
      </w:r>
      <w:r>
        <w:rPr>
          <w:w w:val="95"/>
        </w:rPr>
        <w:t>系统的集团化应用和数据对接，完善系统整合，加强对各板块业务的实时监控能力并有效辅助公司决策，</w:t>
      </w:r>
      <w:r>
        <w:rPr>
          <w:spacing w:val="61"/>
          <w:w w:val="95"/>
        </w:rPr>
        <w:t> </w:t>
      </w:r>
      <w:r>
        <w:rPr>
          <w:spacing w:val="61"/>
          <w:w w:val="95"/>
        </w:rPr>
      </w:r>
      <w:r>
        <w:rPr/>
        <w:t>有效化解公司扩张发展所带来的管理风险。</w:t>
      </w:r>
    </w:p>
    <w:p>
      <w:pPr>
        <w:pStyle w:val="BodyText"/>
        <w:spacing w:line="408" w:lineRule="auto" w:before="46"/>
        <w:ind w:left="592" w:right="0" w:firstLine="2"/>
        <w:jc w:val="left"/>
      </w:pPr>
      <w:r>
        <w:rPr>
          <w:rFonts w:ascii="宋体" w:hAnsi="宋体" w:cs="宋体" w:eastAsia="宋体" w:hint="default"/>
          <w:b/>
          <w:bCs/>
        </w:rPr>
        <w:t>3、应收账款回收风险</w:t>
      </w:r>
      <w:r>
        <w:rPr>
          <w:rFonts w:ascii="宋体" w:hAnsi="宋体" w:cs="宋体" w:eastAsia="宋体" w:hint="default"/>
          <w:b/>
          <w:bCs/>
          <w:w w:val="99"/>
        </w:rPr>
        <w:t> </w:t>
      </w:r>
      <w:r>
        <w:rPr>
          <w:w w:val="95"/>
        </w:rPr>
        <w:t>公司客户均具备可靠的信誉及资金实力，应收账款总体质量良好，但随着业务规模提升和市场开拓，</w:t>
      </w:r>
      <w:r>
        <w:rPr/>
      </w:r>
    </w:p>
    <w:p>
      <w:pPr>
        <w:pStyle w:val="BodyText"/>
        <w:spacing w:line="408" w:lineRule="auto" w:before="46"/>
        <w:ind w:right="1130"/>
        <w:jc w:val="both"/>
      </w:pPr>
      <w:r>
        <w:rPr>
          <w:w w:val="95"/>
        </w:rPr>
        <w:t>由于公司承建的交通信息化项目合同金额大、结算流程及审批程序繁杂、回款周期长，有可能存在应收账</w:t>
      </w:r>
      <w:r>
        <w:rPr>
          <w:spacing w:val="43"/>
          <w:w w:val="95"/>
        </w:rPr>
        <w:t> </w:t>
      </w:r>
      <w:r>
        <w:rPr>
          <w:spacing w:val="43"/>
          <w:w w:val="95"/>
        </w:rPr>
      </w:r>
      <w:r>
        <w:rPr>
          <w:w w:val="95"/>
        </w:rPr>
        <w:t>款不能按期或无法回收以至于产生坏账的风险。应收账款发生损失将对公司资金使用效率及经营业绩产生</w:t>
      </w:r>
      <w:r>
        <w:rPr>
          <w:spacing w:val="39"/>
          <w:w w:val="95"/>
        </w:rPr>
        <w:t> </w:t>
      </w:r>
      <w:r>
        <w:rPr>
          <w:spacing w:val="39"/>
          <w:w w:val="95"/>
        </w:rPr>
      </w:r>
      <w:r>
        <w:rPr/>
        <w:t>不利影响。</w:t>
      </w:r>
    </w:p>
    <w:p>
      <w:pPr>
        <w:pStyle w:val="BodyText"/>
        <w:spacing w:line="408" w:lineRule="auto" w:before="46"/>
        <w:ind w:right="1130" w:firstLine="480"/>
        <w:jc w:val="both"/>
      </w:pPr>
      <w:r>
        <w:rPr>
          <w:spacing w:val="-2"/>
        </w:rPr>
        <w:t>公司将进一步加强应收账款管理，加大客户对账频度、建立健全项目回款考核与激励机制，定期对应</w:t>
      </w:r>
      <w:r>
        <w:rPr>
          <w:w w:val="99"/>
        </w:rPr>
        <w:t> </w:t>
      </w:r>
      <w:r>
        <w:rPr>
          <w:w w:val="95"/>
        </w:rPr>
        <w:t>收账款进行监控分析，尤其是针对现有规模较大的应收账款，进行实时跟踪，定期进行汇总分析，努力控</w:t>
      </w:r>
      <w:r>
        <w:rPr>
          <w:spacing w:val="40"/>
          <w:w w:val="95"/>
        </w:rPr>
        <w:t> </w:t>
      </w:r>
      <w:r>
        <w:rPr>
          <w:spacing w:val="40"/>
          <w:w w:val="95"/>
        </w:rPr>
      </w:r>
      <w:r>
        <w:rPr/>
        <w:t>制应收账款的规模，确保每笔应收账款项有跟踪、有反馈，从而降低应收款项回收风险。</w:t>
      </w:r>
    </w:p>
    <w:p>
      <w:pPr>
        <w:pStyle w:val="BodyText"/>
        <w:spacing w:line="408" w:lineRule="auto" w:before="46"/>
        <w:ind w:left="592" w:right="1126" w:firstLine="2"/>
        <w:jc w:val="left"/>
      </w:pPr>
      <w:r>
        <w:rPr>
          <w:rFonts w:ascii="宋体" w:hAnsi="宋体" w:cs="宋体" w:eastAsia="宋体" w:hint="default"/>
          <w:b/>
          <w:bCs/>
        </w:rPr>
        <w:t>4、商誉减值风险</w:t>
      </w:r>
      <w:r>
        <w:rPr>
          <w:rFonts w:ascii="宋体" w:hAnsi="宋体" w:cs="宋体" w:eastAsia="宋体" w:hint="default"/>
          <w:b/>
          <w:bCs/>
          <w:w w:val="99"/>
        </w:rPr>
        <w:t> </w:t>
      </w:r>
      <w:r>
        <w:rPr>
          <w:spacing w:val="-2"/>
        </w:rPr>
        <w:t>公司通过并购重组方式进行资本运作，收购华东电子和赛英科技100%股权，虽形成了一定的商誉，但</w:t>
      </w:r>
    </w:p>
    <w:p>
      <w:pPr>
        <w:spacing w:after="0" w:line="408" w:lineRule="auto"/>
        <w:jc w:val="left"/>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130"/>
        <w:jc w:val="both"/>
      </w:pPr>
      <w:r>
        <w:rPr>
          <w:w w:val="95"/>
        </w:rPr>
        <w:t>增强了整体竞争合力。根据《企业会计准则》规定，重大资产重组形成的商誉不作摊销处理，但需在未来</w:t>
      </w:r>
      <w:r>
        <w:rPr>
          <w:spacing w:val="44"/>
          <w:w w:val="95"/>
        </w:rPr>
        <w:t> </w:t>
      </w:r>
      <w:r>
        <w:rPr>
          <w:spacing w:val="44"/>
          <w:w w:val="95"/>
        </w:rPr>
      </w:r>
      <w:r>
        <w:rPr>
          <w:w w:val="95"/>
        </w:rPr>
        <w:t>每年年度终了进行减值测试。如果未来子公司赛英科技和华东电子经营状况未达预期，将有可能出现商誉</w:t>
      </w:r>
      <w:r>
        <w:rPr>
          <w:spacing w:val="37"/>
          <w:w w:val="95"/>
        </w:rPr>
        <w:t> </w:t>
      </w:r>
      <w:r>
        <w:rPr>
          <w:spacing w:val="37"/>
          <w:w w:val="95"/>
        </w:rPr>
      </w:r>
      <w:r>
        <w:rPr/>
        <w:t>减值，从而对公司的经营业绩造成不利影响。</w:t>
      </w:r>
    </w:p>
    <w:p>
      <w:pPr>
        <w:pStyle w:val="BodyText"/>
        <w:spacing w:line="408" w:lineRule="auto" w:before="46"/>
        <w:ind w:right="1112" w:firstLine="480"/>
        <w:jc w:val="both"/>
      </w:pPr>
      <w:r>
        <w:rPr>
          <w:spacing w:val="-2"/>
        </w:rPr>
        <w:t>公司将持续改进人力资源政策，制定科学合理的考核机制，加大人才激励政策建设，提高各子公司管</w:t>
      </w:r>
      <w:r>
        <w:rPr>
          <w:w w:val="99"/>
        </w:rPr>
        <w:t> </w:t>
      </w:r>
      <w:r>
        <w:rPr>
          <w:w w:val="95"/>
        </w:rPr>
        <w:t>理团队的积极性；加强对子公司的内部控制与业务管理，根据市场行情，及时调整经营方针和业务模式，</w:t>
      </w:r>
      <w:r>
        <w:rPr>
          <w:spacing w:val="61"/>
          <w:w w:val="95"/>
        </w:rPr>
        <w:t> </w:t>
      </w:r>
      <w:r>
        <w:rPr>
          <w:spacing w:val="61"/>
          <w:w w:val="95"/>
        </w:rPr>
      </w:r>
      <w:r>
        <w:rPr>
          <w:w w:val="95"/>
        </w:rPr>
        <w:t>在不影响子公司生产效率的情况下，对成本进行合作控制，提高各子公司的盈利能力和可持续发展能力；</w:t>
      </w:r>
      <w:r>
        <w:rPr>
          <w:spacing w:val="61"/>
          <w:w w:val="95"/>
        </w:rPr>
        <w:t> </w:t>
      </w:r>
      <w:r>
        <w:rPr>
          <w:spacing w:val="61"/>
          <w:w w:val="95"/>
        </w:rPr>
      </w:r>
      <w:r>
        <w:rPr>
          <w:w w:val="95"/>
        </w:rPr>
        <w:t>深入挖掘各业务板块在技术研发、市场渠道、客户资源等方面的协同效应，充分发挥产业链聚合优势，推</w:t>
      </w:r>
      <w:r>
        <w:rPr>
          <w:spacing w:val="43"/>
          <w:w w:val="95"/>
        </w:rPr>
        <w:t> </w:t>
      </w:r>
      <w:r>
        <w:rPr>
          <w:spacing w:val="43"/>
          <w:w w:val="95"/>
        </w:rPr>
      </w:r>
      <w:r>
        <w:rPr/>
        <w:t>动企业转型升级，提升综合竞争力，将商誉对公司未来业绩的影响降到最低程度。</w:t>
      </w:r>
    </w:p>
    <w:p>
      <w:pPr>
        <w:spacing w:line="240" w:lineRule="auto" w:before="11"/>
        <w:rPr>
          <w:rFonts w:ascii="宋体" w:hAnsi="宋体" w:cs="宋体" w:eastAsia="宋体" w:hint="default"/>
          <w:sz w:val="18"/>
          <w:szCs w:val="18"/>
        </w:rPr>
      </w:pPr>
    </w:p>
    <w:p>
      <w:pPr>
        <w:pStyle w:val="Heading4"/>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2" w:right="222"/>
              <w:jc w:val="left"/>
              <w:rPr>
                <w:rFonts w:ascii="宋体" w:hAnsi="宋体" w:cs="宋体" w:eastAsia="宋体" w:hint="default"/>
                <w:sz w:val="18"/>
                <w:szCs w:val="18"/>
              </w:rPr>
            </w:pPr>
            <w:r>
              <w:rPr>
                <w:rFonts w:ascii="Times New Roman" w:hAnsi="Times New Roman" w:cs="Times New Roman" w:eastAsia="Times New Roman" w:hint="default"/>
                <w:sz w:val="18"/>
                <w:szCs w:val="18"/>
              </w:rPr>
              <w:t>http://irm.cninfo.com.cn,</w:t>
            </w:r>
            <w:r>
              <w:rPr>
                <w:rFonts w:ascii="宋体" w:hAnsi="宋体" w:cs="宋体" w:eastAsia="宋体" w:hint="default"/>
                <w:sz w:val="18"/>
                <w:szCs w:val="18"/>
              </w:rPr>
              <w:t>公司生产经 营和未来发展情况</w:t>
            </w:r>
          </w:p>
        </w:tc>
      </w:tr>
    </w:tbl>
    <w:p>
      <w:pPr>
        <w:spacing w:after="0" w:line="30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1017"/>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2127"/>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right="1025" w:firstLine="420"/>
        <w:jc w:val="left"/>
      </w:pPr>
      <w:r>
        <w:rPr>
          <w:spacing w:val="-3"/>
          <w:w w:val="99"/>
        </w:rPr>
        <w:t>根据中国证券监督管理委员会《关于进一步落实上市公司现金分红有关事项的通知》（证监发（2012）</w:t>
      </w:r>
      <w:r>
        <w:rPr>
          <w:w w:val="99"/>
        </w:rPr>
        <w:t> </w:t>
      </w:r>
      <w:r>
        <w:rPr/>
        <w:t>37</w:t>
      </w:r>
      <w:r>
        <w:rPr>
          <w:spacing w:val="-19"/>
        </w:rPr>
        <w:t> </w:t>
      </w:r>
      <w:r>
        <w:rPr/>
        <w:t>号）和《上市公司监管指引第3号——上市公司现金分红》等相关文件的规定和要求，公司结合实际情</w:t>
      </w:r>
      <w:r>
        <w:rPr>
          <w:w w:val="99"/>
        </w:rPr>
        <w:t> </w:t>
      </w:r>
      <w:r>
        <w:rPr/>
        <w:t>况，就股东回报规划及利润分配政策制定等事项与独立董事及部分流通股东充分沟通，同时通过专线电话</w:t>
      </w:r>
      <w:r>
        <w:rPr>
          <w:w w:val="99"/>
        </w:rPr>
        <w:t> </w:t>
      </w:r>
      <w:r>
        <w:rPr/>
        <w:t>方式听取中小股东的意见和诉求，确认适合公司未来发展的现金分红事项的决策程序，在此基础上，公司</w:t>
      </w:r>
      <w:r>
        <w:rPr>
          <w:w w:val="99"/>
        </w:rPr>
        <w:t> </w:t>
      </w:r>
      <w:r>
        <w:rPr/>
        <w:t>制订了修正案，并提交公司第一届董事会第十八次会议审议通过，独立董事发表了独立意见。为进一步征</w:t>
      </w:r>
      <w:r>
        <w:rPr>
          <w:w w:val="99"/>
        </w:rPr>
        <w:t> </w:t>
      </w:r>
      <w:r>
        <w:rPr>
          <w:spacing w:val="-3"/>
        </w:rPr>
        <w:t>求中小股东诉求，保障中小股东的合法权益，公司于2012年第一次临时股东大会上提交审议了《公司章程》</w:t>
      </w:r>
      <w:r>
        <w:rPr>
          <w:w w:val="99"/>
        </w:rPr>
        <w:t> </w:t>
      </w:r>
      <w:r>
        <w:rPr/>
        <w:t>修正案。公司董事会每三年审阅一次股东回报规划，根据国家政策、结合公司实际经营状况进行及时、合</w:t>
      </w:r>
      <w:r>
        <w:rPr>
          <w:w w:val="99"/>
        </w:rPr>
        <w:t> </w:t>
      </w:r>
      <w:r>
        <w:rPr/>
        <w:t>理的修订，确保规划内容不违反相关法律法规、规范性文件及《公司章程》确定的利润分配政策。</w:t>
      </w:r>
    </w:p>
    <w:p>
      <w:pPr>
        <w:pStyle w:val="BodyText"/>
        <w:spacing w:line="408" w:lineRule="auto" w:before="46"/>
        <w:ind w:right="1130" w:firstLine="420"/>
        <w:jc w:val="both"/>
      </w:pPr>
      <w:r>
        <w:rPr>
          <w:w w:val="95"/>
        </w:rPr>
        <w:t>《公司章程》第一百五十五条明确规定了公司的利润分配政策的原则、利润分配的形式、现金分配的</w:t>
      </w:r>
      <w:r>
        <w:rPr>
          <w:w w:val="99"/>
        </w:rPr>
        <w:t> </w:t>
      </w:r>
      <w:r>
        <w:rPr>
          <w:w w:val="95"/>
        </w:rPr>
        <w:t>条件、现金分配的比例、利润分配的期间、股票股利分配的条件、利润分配的决策程序和机制、有关利润</w:t>
      </w:r>
      <w:r>
        <w:rPr>
          <w:spacing w:val="44"/>
          <w:w w:val="95"/>
        </w:rPr>
        <w:t> </w:t>
      </w:r>
      <w:r>
        <w:rPr>
          <w:spacing w:val="44"/>
          <w:w w:val="95"/>
        </w:rPr>
      </w:r>
      <w:r>
        <w:rPr>
          <w:w w:val="95"/>
        </w:rPr>
        <w:t>分配的信息披露事项、利润分配政策的调整原则等，公司将严格按照《公司章程》的规定，实施利润分配</w:t>
      </w:r>
      <w:r>
        <w:rPr>
          <w:spacing w:val="43"/>
          <w:w w:val="95"/>
        </w:rPr>
        <w:t> </w:t>
      </w:r>
      <w:r>
        <w:rPr>
          <w:spacing w:val="43"/>
          <w:w w:val="95"/>
        </w:rPr>
      </w:r>
      <w:r>
        <w:rPr/>
        <w:t>政策，强化回报股东意识，满足股东的合理投资回报和公司长远发展的要求。</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5"/>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34"/>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408" w:lineRule="auto" w:before="155"/>
        <w:ind w:right="1120" w:firstLine="420"/>
        <w:jc w:val="left"/>
      </w:pPr>
      <w:r>
        <w:rPr>
          <w:spacing w:val="2"/>
          <w:w w:val="95"/>
        </w:rPr>
        <w:t>1、公司2017年年度权益分配方案为：不派发现金红利，也不以资本公积金转增股本，未分配利润结</w:t>
      </w:r>
      <w:r>
        <w:rPr>
          <w:spacing w:val="-89"/>
          <w:w w:val="95"/>
        </w:rPr>
        <w:t> </w:t>
      </w:r>
      <w:r>
        <w:rPr>
          <w:spacing w:val="-89"/>
          <w:w w:val="95"/>
        </w:rPr>
      </w:r>
      <w:r>
        <w:rPr/>
        <w:t>转下一年度；</w:t>
      </w:r>
    </w:p>
    <w:p>
      <w:pPr>
        <w:pStyle w:val="BodyText"/>
        <w:spacing w:line="408" w:lineRule="auto" w:before="46"/>
        <w:ind w:right="0" w:firstLine="420"/>
        <w:jc w:val="left"/>
      </w:pPr>
      <w:r>
        <w:rPr>
          <w:w w:val="95"/>
        </w:rPr>
        <w:t>2、公司2018年年度权益分配方案为：以公司2018年12月31日总股本412,135,469股为基数，向全体股</w:t>
      </w:r>
      <w:r>
        <w:rPr>
          <w:spacing w:val="-97"/>
          <w:w w:val="95"/>
        </w:rPr>
        <w:t> </w:t>
      </w:r>
      <w:r>
        <w:rPr>
          <w:spacing w:val="-97"/>
          <w:w w:val="95"/>
        </w:rPr>
      </w:r>
      <w:r>
        <w:rPr>
          <w:spacing w:val="-3"/>
          <w:w w:val="99"/>
        </w:rPr>
        <w:t>东每10股派发现金红利人民币0.3元（含税），不以资本公积金转增股本，不送股；</w:t>
      </w:r>
      <w:r>
        <w:rPr>
          <w:spacing w:val="-3"/>
        </w:rPr>
      </w:r>
    </w:p>
    <w:p>
      <w:pPr>
        <w:spacing w:after="0" w:line="408" w:lineRule="auto"/>
        <w:jc w:val="left"/>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0" w:firstLine="420"/>
        <w:jc w:val="left"/>
      </w:pPr>
      <w:r>
        <w:rPr>
          <w:w w:val="95"/>
        </w:rPr>
        <w:t>3、公司2019年年度权益分配预案为：以公司2019年12月31日总股本412,072,469股为基数，向全体股</w:t>
      </w:r>
      <w:r>
        <w:rPr>
          <w:spacing w:val="-97"/>
          <w:w w:val="95"/>
        </w:rPr>
        <w:t> </w:t>
      </w:r>
      <w:r>
        <w:rPr>
          <w:spacing w:val="-97"/>
          <w:w w:val="95"/>
        </w:rPr>
      </w:r>
      <w:r>
        <w:rPr>
          <w:spacing w:val="-3"/>
          <w:w w:val="99"/>
        </w:rPr>
        <w:t>东每10股派发现金红利人民币0.7元（含税），不以资本公积金转增股本，不送股。</w:t>
      </w:r>
      <w:r>
        <w:rPr>
          <w:spacing w:val="-3"/>
        </w:rPr>
      </w:r>
    </w:p>
    <w:p>
      <w:pPr>
        <w:spacing w:line="240" w:lineRule="auto" w:before="1"/>
        <w:rPr>
          <w:rFonts w:ascii="宋体" w:hAnsi="宋体" w:cs="宋体" w:eastAsia="宋体" w:hint="default"/>
          <w:sz w:val="26"/>
          <w:szCs w:val="26"/>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58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2"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2"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0"/>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42"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28,845,072.8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168,576,777.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17.11%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28,845,072.8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17.11%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12,364,064.0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105,820,825.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12,364,064.0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11.68%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82,717,605.1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0.7</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412,072,469</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28,845,072.83</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以其他方式（如回购股份）现金分红金额（元）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28,845,072.83</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438,264,310.96</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1"/>
                <w:sz w:val="18"/>
                <w:szCs w:val="18"/>
              </w:rPr>
              <w:t>现金分红总额（含其他方式）占利润分配总额</w:t>
            </w:r>
            <w:r>
              <w:rPr>
                <w:rFonts w:ascii="宋体" w:hAnsi="宋体" w:cs="宋体" w:eastAsia="宋体" w:hint="default"/>
                <w:sz w:val="18"/>
                <w:szCs w:val="18"/>
              </w:rPr>
              <w:t> 的比例</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
        <w:rPr>
          <w:rFonts w:ascii="宋体" w:hAnsi="宋体" w:cs="宋体" w:eastAsia="宋体" w:hint="default"/>
          <w:sz w:val="23"/>
          <w:szCs w:val="23"/>
        </w:rPr>
      </w:pPr>
    </w:p>
    <w:p>
      <w:pPr>
        <w:spacing w:line="1130" w:lineRule="exact"/>
        <w:ind w:left="104"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9.4pt;height:56.55pt;mso-position-horizontal-relative:char;mso-position-vertical-relative:line" coordorigin="0,0" coordsize="9588,1131">
            <v:group style="position:absolute;left:13;top:13;width:9563;height:397" coordorigin="13,13" coordsize="9563,397">
              <v:shape style="position:absolute;left:13;top:13;width:9563;height:397" coordorigin="13,13" coordsize="9563,397" path="m13,13l9576,13,9576,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5;top:1126;width:9578;height:2" coordorigin="5,1126" coordsize="9578,2">
              <v:shape style="position:absolute;left:5;top:1126;width:9578;height:2" coordorigin="5,1126" coordsize="9578,0" path="m5,1126l9582,1126e" filled="false" stroked="true" strokeweight=".48pt" strokecolor="#000000">
                <v:path arrowok="t"/>
              </v:shape>
            </v:group>
            <v:group style="position:absolute;left:10;top:5;width:2;height:1116" coordorigin="10,5" coordsize="2,1116">
              <v:shape style="position:absolute;left:10;top:5;width:2;height:1116" coordorigin="10,5" coordsize="0,1116" path="m10,5l10,1121e" filled="false" stroked="true" strokeweight=".48pt" strokecolor="#000000">
                <v:path arrowok="t"/>
              </v:shape>
            </v:group>
            <v:group style="position:absolute;left:9578;top:5;width:2;height:1116" coordorigin="9578,5" coordsize="2,1116">
              <v:shape style="position:absolute;left:9578;top:5;width:2;height:1116" coordorigin="9578,5" coordsize="0,1116" path="m9578,5l9578,1121e" filled="false" stroked="true" strokeweight=".48pt" strokecolor="#000000">
                <v:path arrowok="t"/>
              </v:shape>
              <v:shape style="position:absolute;left:10;top:10;width:9568;height:402" type="#_x0000_t202" filled="false" stroked="false">
                <v:textbox inset="0,0,0,0">
                  <w:txbxContent>
                    <w:p>
                      <w:pPr>
                        <w:spacing w:before="54"/>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shape style="position:absolute;left:10;top:412;width:9568;height:714" type="#_x0000_t202" filled="false" stroked="false">
                <v:textbox inset="0,0,0,0">
                  <w:txbxContent>
                    <w:p>
                      <w:pPr>
                        <w:spacing w:before="56"/>
                        <w:ind w:left="106" w:right="0"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年年度权益分配预案为：以公司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412,072,469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w:t>
                      </w:r>
                    </w:p>
                    <w:p>
                      <w:pPr>
                        <w:spacing w:before="63"/>
                        <w:ind w:left="106" w:right="0" w:firstLine="0"/>
                        <w:jc w:val="left"/>
                        <w:rPr>
                          <w:rFonts w:ascii="宋体" w:hAnsi="宋体" w:cs="宋体" w:eastAsia="宋体" w:hint="default"/>
                          <w:sz w:val="18"/>
                          <w:szCs w:val="18"/>
                        </w:rPr>
                      </w:pPr>
                      <w:r>
                        <w:rPr>
                          <w:rFonts w:ascii="宋体" w:hAnsi="宋体" w:cs="宋体" w:eastAsia="宋体" w:hint="default"/>
                          <w:sz w:val="18"/>
                          <w:szCs w:val="18"/>
                        </w:rPr>
                        <w:t>金红利人民币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，不以资本公积金转增股本，不送股。</w:t>
                      </w:r>
                    </w:p>
                  </w:txbxContent>
                </v:textbox>
                <w10:wrap type="none"/>
              </v:shape>
            </v:group>
          </v:group>
        </w:pict>
      </w:r>
      <w:r>
        <w:rPr>
          <w:rFonts w:ascii="宋体" w:hAnsi="宋体" w:cs="宋体" w:eastAsia="宋体" w:hint="default"/>
          <w:position w:val="-22"/>
          <w:sz w:val="20"/>
          <w:szCs w:val="20"/>
        </w:rPr>
      </w:r>
    </w:p>
    <w:p>
      <w:pPr>
        <w:pStyle w:val="Heading4"/>
        <w:spacing w:line="240" w:lineRule="auto" w:before="62"/>
        <w:ind w:right="2127"/>
        <w:jc w:val="left"/>
        <w:rPr>
          <w:b w:val="0"/>
          <w:bCs w:val="0"/>
        </w:rPr>
      </w:pPr>
      <w:bookmarkStart w:name="三、承诺事项履行情况" w:id="66"/>
      <w:bookmarkEnd w:id="66"/>
      <w:r>
        <w:rPr>
          <w:b w:val="0"/>
          <w:bCs w:val="0"/>
        </w:rPr>
      </w:r>
      <w:r>
        <w:rPr/>
        <w:t>三、承诺事项履行情况</w:t>
      </w:r>
      <w:r>
        <w:rPr>
          <w:b w:val="0"/>
          <w:bCs w:val="0"/>
        </w:rPr>
      </w:r>
    </w:p>
    <w:p>
      <w:pPr>
        <w:pStyle w:val="Heading5"/>
        <w:spacing w:line="256" w:lineRule="auto" w:before="97"/>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6"/>
          <w:w w:val="95"/>
        </w:rPr>
        <w:t> </w:t>
      </w:r>
      <w:r>
        <w:rPr>
          <w:spacing w:val="96"/>
          <w:w w:val="95"/>
        </w:rPr>
      </w:r>
      <w:r>
        <w:rPr/>
        <w:t>尚未履行完毕的承诺事项</w:t>
      </w:r>
      <w:r>
        <w:rPr>
          <w:b w:val="0"/>
          <w:bCs w:val="0"/>
        </w:rPr>
      </w:r>
    </w:p>
    <w:p>
      <w:pPr>
        <w:spacing w:before="88"/>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402"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8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103" w:right="186"/>
              <w:jc w:val="both"/>
              <w:rPr>
                <w:rFonts w:ascii="宋体" w:hAnsi="宋体" w:cs="宋体" w:eastAsia="宋体" w:hint="default"/>
                <w:sz w:val="18"/>
                <w:szCs w:val="18"/>
              </w:rPr>
            </w:pPr>
            <w:r>
              <w:rPr>
                <w:rFonts w:ascii="宋体" w:hAnsi="宋体" w:cs="宋体" w:eastAsia="宋体" w:hint="default"/>
                <w:sz w:val="18"/>
                <w:szCs w:val="18"/>
              </w:rPr>
              <w:t>陈乐桥</w:t>
            </w:r>
            <w:r>
              <w:rPr>
                <w:rFonts w:ascii="Times New Roman" w:hAnsi="Times New Roman" w:cs="Times New Roman" w:eastAsia="Times New Roman" w:hint="default"/>
                <w:sz w:val="18"/>
                <w:szCs w:val="18"/>
              </w:rPr>
              <w:t>;</w:t>
            </w:r>
            <w:r>
              <w:rPr>
                <w:rFonts w:ascii="宋体" w:hAnsi="宋体" w:cs="宋体" w:eastAsia="宋体" w:hint="default"/>
                <w:sz w:val="18"/>
                <w:szCs w:val="18"/>
              </w:rPr>
              <w:t>林洪钢</w:t>
            </w:r>
            <w:r>
              <w:rPr>
                <w:rFonts w:ascii="Times New Roman" w:hAnsi="Times New Roman" w:cs="Times New Roman" w:eastAsia="Times New Roman" w:hint="default"/>
                <w:sz w:val="18"/>
                <w:szCs w:val="18"/>
              </w:rPr>
              <w:t>;</w:t>
            </w:r>
            <w:r>
              <w:rPr>
                <w:rFonts w:ascii="宋体" w:hAnsi="宋体" w:cs="宋体" w:eastAsia="宋体" w:hint="default"/>
                <w:sz w:val="18"/>
                <w:szCs w:val="18"/>
              </w:rPr>
              <w:t>林 木顺</w:t>
            </w:r>
            <w:r>
              <w:rPr>
                <w:rFonts w:ascii="Times New Roman" w:hAnsi="Times New Roman" w:cs="Times New Roman" w:eastAsia="Times New Roman" w:hint="default"/>
                <w:sz w:val="18"/>
                <w:szCs w:val="18"/>
              </w:rPr>
              <w:t>;</w:t>
            </w:r>
            <w:r>
              <w:rPr>
                <w:rFonts w:ascii="宋体" w:hAnsi="宋体" w:cs="宋体" w:eastAsia="宋体" w:hint="default"/>
                <w:sz w:val="18"/>
                <w:szCs w:val="18"/>
              </w:rPr>
              <w:t>唐世容</w:t>
            </w:r>
            <w:r>
              <w:rPr>
                <w:rFonts w:ascii="Times New Roman" w:hAnsi="Times New Roman" w:cs="Times New Roman" w:eastAsia="Times New Roman" w:hint="default"/>
                <w:sz w:val="18"/>
                <w:szCs w:val="18"/>
              </w:rPr>
              <w:t>;</w:t>
            </w:r>
            <w:r>
              <w:rPr>
                <w:rFonts w:ascii="宋体" w:hAnsi="宋体" w:cs="宋体" w:eastAsia="宋体" w:hint="default"/>
                <w:sz w:val="18"/>
                <w:szCs w:val="18"/>
              </w:rPr>
              <w:t>汪学 刚</w:t>
            </w:r>
            <w:r>
              <w:rPr>
                <w:rFonts w:ascii="Times New Roman" w:hAnsi="Times New Roman" w:cs="Times New Roman" w:eastAsia="Times New Roman" w:hint="default"/>
                <w:sz w:val="18"/>
                <w:szCs w:val="18"/>
              </w:rPr>
              <w:t>;</w:t>
            </w:r>
            <w:r>
              <w:rPr>
                <w:rFonts w:ascii="宋体" w:hAnsi="宋体" w:cs="宋体" w:eastAsia="宋体" w:hint="default"/>
                <w:sz w:val="18"/>
                <w:szCs w:val="18"/>
              </w:rPr>
              <w:t>吴常念</w:t>
            </w:r>
            <w:r>
              <w:rPr>
                <w:rFonts w:ascii="Times New Roman" w:hAnsi="Times New Roman" w:cs="Times New Roman" w:eastAsia="Times New Roman" w:hint="default"/>
                <w:sz w:val="18"/>
                <w:szCs w:val="18"/>
              </w:rPr>
              <w:t>;</w:t>
            </w:r>
            <w:r>
              <w:rPr>
                <w:rFonts w:ascii="宋体" w:hAnsi="宋体" w:cs="宋体" w:eastAsia="宋体" w:hint="default"/>
                <w:sz w:val="18"/>
                <w:szCs w:val="18"/>
              </w:rPr>
              <w:t>吴义华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姚宗诚</w:t>
            </w:r>
            <w:r>
              <w:rPr>
                <w:rFonts w:ascii="Times New Roman" w:hAnsi="Times New Roman" w:cs="Times New Roman" w:eastAsia="Times New Roman" w:hint="default"/>
                <w:sz w:val="18"/>
                <w:szCs w:val="18"/>
              </w:rPr>
              <w:t>;</w:t>
            </w:r>
            <w:r>
              <w:rPr>
                <w:rFonts w:ascii="宋体" w:hAnsi="宋体" w:cs="宋体" w:eastAsia="宋体" w:hint="default"/>
                <w:sz w:val="18"/>
                <w:szCs w:val="18"/>
              </w:rPr>
              <w:t>易增辉</w:t>
            </w:r>
            <w:r>
              <w:rPr>
                <w:rFonts w:ascii="Times New Roman" w:hAnsi="Times New Roman" w:cs="Times New Roman" w:eastAsia="Times New Roman" w:hint="default"/>
                <w:sz w:val="18"/>
                <w:szCs w:val="18"/>
              </w:rPr>
              <w:t>;</w:t>
            </w:r>
            <w:r>
              <w:rPr>
                <w:rFonts w:ascii="宋体" w:hAnsi="宋体" w:cs="宋体" w:eastAsia="宋体" w:hint="default"/>
                <w:sz w:val="18"/>
                <w:szCs w:val="18"/>
              </w:rPr>
              <w:t>周 云</w:t>
            </w:r>
            <w:r>
              <w:rPr>
                <w:rFonts w:ascii="Times New Roman" w:hAnsi="Times New Roman" w:cs="Times New Roman" w:eastAsia="Times New Roman" w:hint="default"/>
                <w:sz w:val="18"/>
                <w:szCs w:val="18"/>
              </w:rPr>
              <w:t>;</w:t>
            </w:r>
            <w:r>
              <w:rPr>
                <w:rFonts w:ascii="宋体" w:hAnsi="宋体" w:cs="宋体" w:eastAsia="宋体" w:hint="default"/>
                <w:sz w:val="18"/>
                <w:szCs w:val="18"/>
              </w:rPr>
              <w:t>邹林</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2" w:right="27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9"/>
              <w:jc w:val="left"/>
              <w:rPr>
                <w:rFonts w:ascii="宋体" w:hAnsi="宋体" w:cs="宋体" w:eastAsia="宋体" w:hint="default"/>
                <w:sz w:val="18"/>
                <w:szCs w:val="18"/>
              </w:rPr>
            </w:pPr>
            <w:r>
              <w:rPr>
                <w:rFonts w:ascii="宋体" w:hAnsi="宋体" w:cs="宋体" w:eastAsia="宋体" w:hint="default"/>
                <w:sz w:val="18"/>
                <w:szCs w:val="18"/>
              </w:rPr>
              <w:t>本人通过本次交易 所认购的上市公司 新股（包括但不限 于限售期内送红 股、转增股本等原 因所增持的股份） 自本次交易涉及股 份发行结束之日起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个月内不得转 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898" w:hRule="exact"/>
        </w:trPr>
        <w:tc>
          <w:tcPr>
            <w:tcW w:w="1887" w:type="dxa"/>
            <w:vMerge/>
            <w:tcBorders>
              <w:left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张荷花</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2" w:right="27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9"/>
              <w:jc w:val="left"/>
              <w:rPr>
                <w:rFonts w:ascii="宋体" w:hAnsi="宋体" w:cs="宋体" w:eastAsia="宋体" w:hint="default"/>
                <w:sz w:val="18"/>
                <w:szCs w:val="18"/>
              </w:rPr>
            </w:pPr>
            <w:r>
              <w:rPr>
                <w:rFonts w:ascii="宋体" w:hAnsi="宋体" w:cs="宋体" w:eastAsia="宋体" w:hint="default"/>
                <w:sz w:val="18"/>
                <w:szCs w:val="18"/>
              </w:rPr>
              <w:t>本人通过本次交易 取得的上市公司新 股（包括但不限于 送红股、转增股本 等原因增持的股 份）的锁定期为自 本次交易涉及股份 发行结束之日起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480"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00" w:lineRule="auto"/>
              <w:ind w:left="103" w:right="186"/>
              <w:jc w:val="both"/>
              <w:rPr>
                <w:rFonts w:ascii="宋体" w:hAnsi="宋体" w:cs="宋体" w:eastAsia="宋体" w:hint="default"/>
                <w:sz w:val="18"/>
                <w:szCs w:val="18"/>
              </w:rPr>
            </w:pPr>
            <w:r>
              <w:rPr>
                <w:rFonts w:ascii="宋体" w:hAnsi="宋体" w:cs="宋体" w:eastAsia="宋体" w:hint="default"/>
                <w:sz w:val="18"/>
                <w:szCs w:val="18"/>
              </w:rPr>
              <w:t>陈乐桥</w:t>
            </w:r>
            <w:r>
              <w:rPr>
                <w:rFonts w:ascii="Times New Roman" w:hAnsi="Times New Roman" w:cs="Times New Roman" w:eastAsia="Times New Roman" w:hint="default"/>
                <w:sz w:val="18"/>
                <w:szCs w:val="18"/>
              </w:rPr>
              <w:t>;</w:t>
            </w:r>
            <w:r>
              <w:rPr>
                <w:rFonts w:ascii="宋体" w:hAnsi="宋体" w:cs="宋体" w:eastAsia="宋体" w:hint="default"/>
                <w:sz w:val="18"/>
                <w:szCs w:val="18"/>
              </w:rPr>
              <w:t>林洪钢</w:t>
            </w:r>
            <w:r>
              <w:rPr>
                <w:rFonts w:ascii="Times New Roman" w:hAnsi="Times New Roman" w:cs="Times New Roman" w:eastAsia="Times New Roman" w:hint="default"/>
                <w:sz w:val="18"/>
                <w:szCs w:val="18"/>
              </w:rPr>
              <w:t>;</w:t>
            </w:r>
            <w:r>
              <w:rPr>
                <w:rFonts w:ascii="宋体" w:hAnsi="宋体" w:cs="宋体" w:eastAsia="宋体" w:hint="default"/>
                <w:sz w:val="18"/>
                <w:szCs w:val="18"/>
              </w:rPr>
              <w:t>唐 世容</w:t>
            </w:r>
            <w:r>
              <w:rPr>
                <w:rFonts w:ascii="Times New Roman" w:hAnsi="Times New Roman" w:cs="Times New Roman" w:eastAsia="Times New Roman" w:hint="default"/>
                <w:sz w:val="18"/>
                <w:szCs w:val="18"/>
              </w:rPr>
              <w:t>;</w:t>
            </w:r>
            <w:r>
              <w:rPr>
                <w:rFonts w:ascii="宋体" w:hAnsi="宋体" w:cs="宋体" w:eastAsia="宋体" w:hint="default"/>
                <w:sz w:val="18"/>
                <w:szCs w:val="18"/>
              </w:rPr>
              <w:t>汪学刚</w:t>
            </w:r>
            <w:r>
              <w:rPr>
                <w:rFonts w:ascii="Times New Roman" w:hAnsi="Times New Roman" w:cs="Times New Roman" w:eastAsia="Times New Roman" w:hint="default"/>
                <w:sz w:val="18"/>
                <w:szCs w:val="18"/>
              </w:rPr>
              <w:t>;</w:t>
            </w:r>
            <w:r>
              <w:rPr>
                <w:rFonts w:ascii="宋体" w:hAnsi="宋体" w:cs="宋体" w:eastAsia="宋体" w:hint="default"/>
                <w:sz w:val="18"/>
                <w:szCs w:val="18"/>
              </w:rPr>
              <w:t>吴义 华</w:t>
            </w:r>
            <w:r>
              <w:rPr>
                <w:rFonts w:ascii="Times New Roman" w:hAnsi="Times New Roman" w:cs="Times New Roman" w:eastAsia="Times New Roman" w:hint="default"/>
                <w:sz w:val="18"/>
                <w:szCs w:val="18"/>
              </w:rPr>
              <w:t>;</w:t>
            </w:r>
            <w:r>
              <w:rPr>
                <w:rFonts w:ascii="宋体" w:hAnsi="宋体" w:cs="宋体" w:eastAsia="宋体" w:hint="default"/>
                <w:sz w:val="18"/>
                <w:szCs w:val="18"/>
              </w:rPr>
              <w:t>姚宗诚</w:t>
            </w:r>
            <w:r>
              <w:rPr>
                <w:rFonts w:ascii="Times New Roman" w:hAnsi="Times New Roman" w:cs="Times New Roman" w:eastAsia="Times New Roman" w:hint="default"/>
                <w:sz w:val="18"/>
                <w:szCs w:val="18"/>
              </w:rPr>
              <w:t>;</w:t>
            </w:r>
            <w:r>
              <w:rPr>
                <w:rFonts w:ascii="宋体" w:hAnsi="宋体" w:cs="宋体" w:eastAsia="宋体" w:hint="default"/>
                <w:sz w:val="18"/>
                <w:szCs w:val="18"/>
              </w:rPr>
              <w:t>易增辉</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周云</w:t>
            </w:r>
            <w:r>
              <w:rPr>
                <w:rFonts w:ascii="Times New Roman" w:hAnsi="Times New Roman" w:cs="Times New Roman" w:eastAsia="Times New Roman" w:hint="default"/>
                <w:sz w:val="18"/>
                <w:szCs w:val="18"/>
              </w:rPr>
              <w:t>;</w:t>
            </w:r>
            <w:r>
              <w:rPr>
                <w:rFonts w:ascii="宋体" w:hAnsi="宋体" w:cs="宋体" w:eastAsia="宋体" w:hint="default"/>
                <w:sz w:val="18"/>
                <w:szCs w:val="18"/>
              </w:rPr>
              <w:t>邹林</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102" w:right="275"/>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、赛英科技在</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8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年和</w:t>
            </w:r>
          </w:p>
          <w:p>
            <w:pPr>
              <w:pStyle w:val="TableParagraph"/>
              <w:spacing w:line="309" w:lineRule="auto" w:before="63"/>
              <w:ind w:left="103" w:right="15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年实现的净 利润数不低于 </w:t>
            </w: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3,700</w:t>
            </w:r>
          </w:p>
          <w:p>
            <w:pPr>
              <w:pStyle w:val="TableParagraph"/>
              <w:spacing w:line="312" w:lineRule="auto" w:before="5"/>
              <w:ind w:left="103" w:right="2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4,350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 补偿期实现的净利 润数合计不低于 </w:t>
            </w:r>
            <w:r>
              <w:rPr>
                <w:rFonts w:ascii="Times New Roman" w:hAnsi="Times New Roman" w:cs="Times New Roman" w:eastAsia="Times New Roman" w:hint="default"/>
                <w:sz w:val="18"/>
                <w:szCs w:val="18"/>
              </w:rPr>
              <w:t>11,200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万元；鉴于 此，补偿义务人承 诺赛英科技在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322" w:hRule="exact"/>
        </w:trPr>
        <w:tc>
          <w:tcPr>
            <w:tcW w:w="1887" w:type="dxa"/>
            <w:vMerge w:val="restart"/>
            <w:tcBorders>
              <w:top w:val="single" w:sz="4" w:space="0" w:color="000000"/>
              <w:left w:val="single" w:sz="4" w:space="0" w:color="000000"/>
              <w:right w:val="single" w:sz="4" w:space="0" w:color="000000"/>
            </w:tcBorders>
            <w:shd w:val="clear" w:color="auto" w:fill="D2D2D2"/>
          </w:tcPr>
          <w:p>
            <w:pPr/>
          </w:p>
        </w:tc>
        <w:tc>
          <w:tcPr>
            <w:tcW w:w="171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年实现的净</w:t>
            </w:r>
          </w:p>
        </w:tc>
        <w:tc>
          <w:tcPr>
            <w:tcW w:w="1080" w:type="dxa"/>
            <w:vMerge w:val="restart"/>
            <w:tcBorders>
              <w:top w:val="single" w:sz="4" w:space="0" w:color="000000"/>
              <w:left w:val="single" w:sz="4" w:space="0" w:color="000000"/>
              <w:right w:val="single" w:sz="4" w:space="0" w:color="000000"/>
            </w:tcBorders>
          </w:tcPr>
          <w:p>
            <w:pPr/>
          </w:p>
        </w:tc>
        <w:tc>
          <w:tcPr>
            <w:tcW w:w="99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利润数不低于</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年累积实</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现的净利润数不低</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年累积实现的净利</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润数不低于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11,200</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度至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pacing w:val="-82"/>
                <w:sz w:val="18"/>
                <w:szCs w:val="18"/>
              </w:rPr>
              <w:t>，</w:t>
            </w:r>
            <w:r>
              <w:rPr>
                <w:rFonts w:ascii="宋体" w:hAnsi="宋体" w:cs="宋体" w:eastAsia="宋体" w:hint="default"/>
                <w:sz w:val="18"/>
                <w:szCs w:val="18"/>
              </w:rPr>
              <w:t>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某一年度赛英科技</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截至当期期末累积</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实现净利润低于累</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积承诺净利润但不</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低于累积承诺净利</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，则当年</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补偿义务人无需向</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上市公司补偿，应</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补偿金额累积至下</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一需要补偿的年度</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计算。</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、补偿期届</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满时，若赛英科技</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各年度实现的累积</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实现净利润数低于</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补偿义务人承诺的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累积净利润承诺数</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的，则补偿义务人</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向上市公司进行补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偿；若赛英科技各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年度累积实现净利</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润数大于或等于补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偿义务人承诺的累</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积净利润承诺数</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的，则补偿义务人</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无需向上市公司进</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行补偿。</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、补偿义</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务人应优先采用股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份补偿，不足部分</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5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采用现金补偿。</w:t>
            </w:r>
          </w:p>
        </w:tc>
        <w:tc>
          <w:tcPr>
            <w:tcW w:w="108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r>
      <w:tr>
        <w:trPr>
          <w:trHeight w:val="1336"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86"/>
              <w:jc w:val="both"/>
              <w:rPr>
                <w:rFonts w:ascii="宋体" w:hAnsi="宋体" w:cs="宋体" w:eastAsia="宋体" w:hint="default"/>
                <w:sz w:val="18"/>
                <w:szCs w:val="18"/>
              </w:rPr>
            </w:pPr>
            <w:r>
              <w:rPr>
                <w:rFonts w:ascii="宋体" w:hAnsi="宋体" w:cs="宋体" w:eastAsia="宋体" w:hint="default"/>
                <w:sz w:val="18"/>
                <w:szCs w:val="18"/>
              </w:rPr>
              <w:t>陈乐桥</w:t>
            </w:r>
            <w:r>
              <w:rPr>
                <w:rFonts w:ascii="Times New Roman" w:hAnsi="Times New Roman" w:cs="Times New Roman" w:eastAsia="Times New Roman" w:hint="default"/>
                <w:sz w:val="18"/>
                <w:szCs w:val="18"/>
              </w:rPr>
              <w:t>;</w:t>
            </w:r>
            <w:r>
              <w:rPr>
                <w:rFonts w:ascii="宋体" w:hAnsi="宋体" w:cs="宋体" w:eastAsia="宋体" w:hint="default"/>
                <w:sz w:val="18"/>
                <w:szCs w:val="18"/>
              </w:rPr>
              <w:t>林洪钢</w:t>
            </w:r>
            <w:r>
              <w:rPr>
                <w:rFonts w:ascii="Times New Roman" w:hAnsi="Times New Roman" w:cs="Times New Roman" w:eastAsia="Times New Roman" w:hint="default"/>
                <w:sz w:val="18"/>
                <w:szCs w:val="18"/>
              </w:rPr>
              <w:t>;</w:t>
            </w:r>
            <w:r>
              <w:rPr>
                <w:rFonts w:ascii="宋体" w:hAnsi="宋体" w:cs="宋体" w:eastAsia="宋体" w:hint="default"/>
                <w:sz w:val="18"/>
                <w:szCs w:val="18"/>
              </w:rPr>
              <w:t>唐 世容</w:t>
            </w:r>
            <w:r>
              <w:rPr>
                <w:rFonts w:ascii="Times New Roman" w:hAnsi="Times New Roman" w:cs="Times New Roman" w:eastAsia="Times New Roman" w:hint="default"/>
                <w:sz w:val="18"/>
                <w:szCs w:val="18"/>
              </w:rPr>
              <w:t>;</w:t>
            </w:r>
            <w:r>
              <w:rPr>
                <w:rFonts w:ascii="宋体" w:hAnsi="宋体" w:cs="宋体" w:eastAsia="宋体" w:hint="default"/>
                <w:sz w:val="18"/>
                <w:szCs w:val="18"/>
              </w:rPr>
              <w:t>汪学刚</w:t>
            </w:r>
            <w:r>
              <w:rPr>
                <w:rFonts w:ascii="Times New Roman" w:hAnsi="Times New Roman" w:cs="Times New Roman" w:eastAsia="Times New Roman" w:hint="default"/>
                <w:sz w:val="18"/>
                <w:szCs w:val="18"/>
              </w:rPr>
              <w:t>;</w:t>
            </w:r>
            <w:r>
              <w:rPr>
                <w:rFonts w:ascii="宋体" w:hAnsi="宋体" w:cs="宋体" w:eastAsia="宋体" w:hint="default"/>
                <w:sz w:val="18"/>
                <w:szCs w:val="18"/>
              </w:rPr>
              <w:t>吴义 华</w:t>
            </w:r>
            <w:r>
              <w:rPr>
                <w:rFonts w:ascii="Times New Roman" w:hAnsi="Times New Roman" w:cs="Times New Roman" w:eastAsia="Times New Roman" w:hint="default"/>
                <w:sz w:val="18"/>
                <w:szCs w:val="18"/>
              </w:rPr>
              <w:t>;</w:t>
            </w:r>
            <w:r>
              <w:rPr>
                <w:rFonts w:ascii="宋体" w:hAnsi="宋体" w:cs="宋体" w:eastAsia="宋体" w:hint="default"/>
                <w:sz w:val="18"/>
                <w:szCs w:val="18"/>
              </w:rPr>
              <w:t>姚宗诚</w:t>
            </w:r>
            <w:r>
              <w:rPr>
                <w:rFonts w:ascii="Times New Roman" w:hAnsi="Times New Roman" w:cs="Times New Roman" w:eastAsia="Times New Roman" w:hint="default"/>
                <w:sz w:val="18"/>
                <w:szCs w:val="18"/>
              </w:rPr>
              <w:t>;</w:t>
            </w:r>
            <w:r>
              <w:rPr>
                <w:rFonts w:ascii="宋体" w:hAnsi="宋体" w:cs="宋体" w:eastAsia="宋体" w:hint="default"/>
                <w:sz w:val="18"/>
                <w:szCs w:val="18"/>
              </w:rPr>
              <w:t>易增辉</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周云</w:t>
            </w:r>
            <w:r>
              <w:rPr>
                <w:rFonts w:ascii="Times New Roman" w:hAnsi="Times New Roman" w:cs="Times New Roman" w:eastAsia="Times New Roman" w:hint="default"/>
                <w:sz w:val="18"/>
                <w:szCs w:val="18"/>
              </w:rPr>
              <w:t>;</w:t>
            </w:r>
            <w:r>
              <w:rPr>
                <w:rFonts w:ascii="宋体" w:hAnsi="宋体" w:cs="宋体" w:eastAsia="宋体" w:hint="default"/>
                <w:sz w:val="18"/>
                <w:szCs w:val="18"/>
              </w:rPr>
              <w:t>邹林</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2"/>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、本人及本人直接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或间接控制的其他 企业目前不存在与 上市公司从事直接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1</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318" w:hRule="exact"/>
        </w:trPr>
        <w:tc>
          <w:tcPr>
            <w:tcW w:w="1887" w:type="dxa"/>
            <w:vMerge w:val="restart"/>
            <w:tcBorders>
              <w:top w:val="single" w:sz="4" w:space="0" w:color="000000"/>
              <w:left w:val="single" w:sz="4" w:space="0" w:color="000000"/>
              <w:right w:val="single" w:sz="4" w:space="0" w:color="000000"/>
            </w:tcBorders>
            <w:shd w:val="clear" w:color="auto" w:fill="D2D2D2"/>
          </w:tcPr>
          <w:p>
            <w:pPr/>
          </w:p>
        </w:tc>
        <w:tc>
          <w:tcPr>
            <w:tcW w:w="171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或间接竞争业务的</w:t>
            </w:r>
          </w:p>
        </w:tc>
        <w:tc>
          <w:tcPr>
            <w:tcW w:w="1080" w:type="dxa"/>
            <w:vMerge w:val="restart"/>
            <w:tcBorders>
              <w:top w:val="single" w:sz="4" w:space="0" w:color="000000"/>
              <w:left w:val="single" w:sz="4" w:space="0" w:color="000000"/>
              <w:right w:val="single" w:sz="4" w:space="0" w:color="000000"/>
            </w:tcBorders>
          </w:tcPr>
          <w:p>
            <w:pPr/>
          </w:p>
        </w:tc>
        <w:tc>
          <w:tcPr>
            <w:tcW w:w="99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情形。</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、本人及本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人直接或间接控制</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的其他企业将不新</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增与上市公司产生</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直接或间接竞争的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经营业务。如未来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与上市公司构成同</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业竞争的情形，本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人将采取合法有效</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的措施予以规范或</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避免。</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、本人保证</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遵守上市公司章程</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的规定，与其他股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东一样平等地行使</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股东权利、履行股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东义务，保障上市</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公司独立经营、自</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主决策。不利用股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东地位谋求不当利</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益，不损害上市公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司和其他股东的合</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法利益。本承诺持</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续有效且不可变更</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或撤销，直至本人</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不再持有上市公司</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5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股份为止。</w:t>
            </w:r>
          </w:p>
        </w:tc>
        <w:tc>
          <w:tcPr>
            <w:tcW w:w="108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r>
      <w:tr>
        <w:trPr>
          <w:trHeight w:val="362" w:hRule="exact"/>
        </w:trPr>
        <w:tc>
          <w:tcPr>
            <w:tcW w:w="1887" w:type="dxa"/>
            <w:vMerge/>
            <w:tcBorders>
              <w:left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本人及本人的关</w:t>
            </w:r>
          </w:p>
        </w:tc>
        <w:tc>
          <w:tcPr>
            <w:tcW w:w="1080"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联企业与上市公司</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将来不可避免发生</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关联交易时，本人</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及本人的关联企业</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保证遵循市场交易</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1570"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103" w:right="186"/>
              <w:jc w:val="both"/>
              <w:rPr>
                <w:rFonts w:ascii="宋体" w:hAnsi="宋体" w:cs="宋体" w:eastAsia="宋体" w:hint="default"/>
                <w:sz w:val="18"/>
                <w:szCs w:val="18"/>
              </w:rPr>
            </w:pPr>
            <w:r>
              <w:rPr>
                <w:rFonts w:ascii="宋体" w:hAnsi="宋体" w:cs="宋体" w:eastAsia="宋体" w:hint="default"/>
                <w:sz w:val="18"/>
                <w:szCs w:val="18"/>
              </w:rPr>
              <w:t>陈乐桥</w:t>
            </w:r>
            <w:r>
              <w:rPr>
                <w:rFonts w:ascii="Times New Roman" w:hAnsi="Times New Roman" w:cs="Times New Roman" w:eastAsia="Times New Roman" w:hint="default"/>
                <w:sz w:val="18"/>
                <w:szCs w:val="18"/>
              </w:rPr>
              <w:t>;</w:t>
            </w:r>
            <w:r>
              <w:rPr>
                <w:rFonts w:ascii="宋体" w:hAnsi="宋体" w:cs="宋体" w:eastAsia="宋体" w:hint="default"/>
                <w:sz w:val="18"/>
                <w:szCs w:val="18"/>
              </w:rPr>
              <w:t>林洪钢</w:t>
            </w:r>
            <w:r>
              <w:rPr>
                <w:rFonts w:ascii="Times New Roman" w:hAnsi="Times New Roman" w:cs="Times New Roman" w:eastAsia="Times New Roman" w:hint="default"/>
                <w:sz w:val="18"/>
                <w:szCs w:val="18"/>
              </w:rPr>
              <w:t>;</w:t>
            </w:r>
            <w:r>
              <w:rPr>
                <w:rFonts w:ascii="宋体" w:hAnsi="宋体" w:cs="宋体" w:eastAsia="宋体" w:hint="default"/>
                <w:sz w:val="18"/>
                <w:szCs w:val="18"/>
              </w:rPr>
              <w:t>林 木顺</w:t>
            </w:r>
            <w:r>
              <w:rPr>
                <w:rFonts w:ascii="Times New Roman" w:hAnsi="Times New Roman" w:cs="Times New Roman" w:eastAsia="Times New Roman" w:hint="default"/>
                <w:sz w:val="18"/>
                <w:szCs w:val="18"/>
              </w:rPr>
              <w:t>;</w:t>
            </w:r>
            <w:r>
              <w:rPr>
                <w:rFonts w:ascii="宋体" w:hAnsi="宋体" w:cs="宋体" w:eastAsia="宋体" w:hint="default"/>
                <w:sz w:val="18"/>
                <w:szCs w:val="18"/>
              </w:rPr>
              <w:t>唐世容</w:t>
            </w:r>
            <w:r>
              <w:rPr>
                <w:rFonts w:ascii="Times New Roman" w:hAnsi="Times New Roman" w:cs="Times New Roman" w:eastAsia="Times New Roman" w:hint="default"/>
                <w:sz w:val="18"/>
                <w:szCs w:val="18"/>
              </w:rPr>
              <w:t>;</w:t>
            </w:r>
            <w:r>
              <w:rPr>
                <w:rFonts w:ascii="宋体" w:hAnsi="宋体" w:cs="宋体" w:eastAsia="宋体" w:hint="default"/>
                <w:sz w:val="18"/>
                <w:szCs w:val="18"/>
              </w:rPr>
              <w:t>汪学 刚</w:t>
            </w:r>
            <w:r>
              <w:rPr>
                <w:rFonts w:ascii="Times New Roman" w:hAnsi="Times New Roman" w:cs="Times New Roman" w:eastAsia="Times New Roman" w:hint="default"/>
                <w:sz w:val="18"/>
                <w:szCs w:val="18"/>
              </w:rPr>
              <w:t>;</w:t>
            </w:r>
            <w:r>
              <w:rPr>
                <w:rFonts w:ascii="宋体" w:hAnsi="宋体" w:cs="宋体" w:eastAsia="宋体" w:hint="default"/>
                <w:sz w:val="18"/>
                <w:szCs w:val="18"/>
              </w:rPr>
              <w:t>吴常念</w:t>
            </w:r>
            <w:r>
              <w:rPr>
                <w:rFonts w:ascii="Times New Roman" w:hAnsi="Times New Roman" w:cs="Times New Roman" w:eastAsia="Times New Roman" w:hint="default"/>
                <w:sz w:val="18"/>
                <w:szCs w:val="18"/>
              </w:rPr>
              <w:t>;</w:t>
            </w:r>
            <w:r>
              <w:rPr>
                <w:rFonts w:ascii="宋体" w:hAnsi="宋体" w:cs="宋体" w:eastAsia="宋体" w:hint="default"/>
                <w:sz w:val="18"/>
                <w:szCs w:val="18"/>
              </w:rPr>
              <w:t>吴义华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姚宗诚</w:t>
            </w:r>
            <w:r>
              <w:rPr>
                <w:rFonts w:ascii="Times New Roman" w:hAnsi="Times New Roman" w:cs="Times New Roman" w:eastAsia="Times New Roman" w:hint="default"/>
                <w:sz w:val="18"/>
                <w:szCs w:val="18"/>
              </w:rPr>
              <w:t>;</w:t>
            </w:r>
            <w:r>
              <w:rPr>
                <w:rFonts w:ascii="宋体" w:hAnsi="宋体" w:cs="宋体" w:eastAsia="宋体" w:hint="default"/>
                <w:sz w:val="18"/>
                <w:szCs w:val="18"/>
              </w:rPr>
              <w:t>易增辉</w:t>
            </w:r>
            <w:r>
              <w:rPr>
                <w:rFonts w:ascii="Times New Roman" w:hAnsi="Times New Roman" w:cs="Times New Roman" w:eastAsia="Times New Roman" w:hint="default"/>
                <w:sz w:val="18"/>
                <w:szCs w:val="18"/>
              </w:rPr>
              <w:t>;</w:t>
            </w:r>
            <w:r>
              <w:rPr>
                <w:rFonts w:ascii="宋体" w:hAnsi="宋体" w:cs="宋体" w:eastAsia="宋体" w:hint="default"/>
                <w:sz w:val="18"/>
                <w:szCs w:val="18"/>
              </w:rPr>
              <w:t>张 荷花</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r>
              <w:rPr>
                <w:rFonts w:ascii="Times New Roman" w:hAnsi="Times New Roman" w:cs="Times New Roman" w:eastAsia="Times New Roman" w:hint="default"/>
                <w:sz w:val="18"/>
                <w:szCs w:val="18"/>
              </w:rPr>
              <w:t>;</w:t>
            </w:r>
            <w:r>
              <w:rPr>
                <w:rFonts w:ascii="宋体" w:hAnsi="宋体" w:cs="宋体" w:eastAsia="宋体" w:hint="default"/>
                <w:sz w:val="18"/>
                <w:szCs w:val="18"/>
              </w:rPr>
              <w:t>邹林</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10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3" w:right="109"/>
              <w:jc w:val="both"/>
              <w:rPr>
                <w:rFonts w:ascii="宋体" w:hAnsi="宋体" w:cs="宋体" w:eastAsia="宋体" w:hint="default"/>
                <w:sz w:val="18"/>
                <w:szCs w:val="18"/>
              </w:rPr>
            </w:pPr>
            <w:r>
              <w:rPr>
                <w:rFonts w:ascii="宋体" w:hAnsi="宋体" w:cs="宋体" w:eastAsia="宋体" w:hint="default"/>
                <w:sz w:val="18"/>
                <w:szCs w:val="18"/>
              </w:rPr>
              <w:t>的公平原则及政策 的商业条款与上市 公司进行交易。如 未按照市场交易的 公平原则与上市公</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1</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司进行交易，而给</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上市公司造成损失</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或已经造成损失</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的，由本人依法承</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担相关责任。</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人将善意履行作为</w:t>
            </w:r>
          </w:p>
        </w:tc>
        <w:tc>
          <w:tcPr>
            <w:tcW w:w="1080"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318" w:hRule="exact"/>
        </w:trPr>
        <w:tc>
          <w:tcPr>
            <w:tcW w:w="1887" w:type="dxa"/>
            <w:vMerge w:val="restart"/>
            <w:tcBorders>
              <w:top w:val="single" w:sz="4" w:space="0" w:color="000000"/>
              <w:left w:val="single" w:sz="4" w:space="0" w:color="000000"/>
              <w:right w:val="single" w:sz="4" w:space="0" w:color="000000"/>
            </w:tcBorders>
            <w:shd w:val="clear" w:color="auto" w:fill="D2D2D2"/>
          </w:tcPr>
          <w:p>
            <w:pPr/>
          </w:p>
        </w:tc>
        <w:tc>
          <w:tcPr>
            <w:tcW w:w="171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上市公司股东的义</w:t>
            </w:r>
          </w:p>
        </w:tc>
        <w:tc>
          <w:tcPr>
            <w:tcW w:w="1080" w:type="dxa"/>
            <w:vMerge w:val="restart"/>
            <w:tcBorders>
              <w:top w:val="single" w:sz="4" w:space="0" w:color="000000"/>
              <w:left w:val="single" w:sz="4" w:space="0" w:color="000000"/>
              <w:right w:val="single" w:sz="4" w:space="0" w:color="000000"/>
            </w:tcBorders>
          </w:tcPr>
          <w:p>
            <w:pPr/>
          </w:p>
        </w:tc>
        <w:tc>
          <w:tcPr>
            <w:tcW w:w="99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务，充分尊重上市</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公司的独立法人地</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位，保障上市公司</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独立经营、自主决</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策。本人及本人的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关联企业，将来尽</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可能避免与上市公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司发生关联交易。</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本人及本人的关</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联企业承诺不以借</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款、代偿债务、代</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垫款项或者其他方</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式占用上市公司资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金，也不要求上市</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公司为本人及本人</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的关联企业进行违</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规担保。</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、如果上</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市公司在今后的经</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营活动中与本人或</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本人的关联企业发</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生不可避免的关联</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交易，本人将促使</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此等交易严格按照</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国家有关法律法</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规、中国证券监督</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管理委员会、深圳</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证券交易所的相关</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规定以及上市公司</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的章程等内部治理</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相关制度的规定履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行有关程序，在上</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市公司股东大会对</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关联交易进行表决</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时，严格履行回避</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表决的义务；与上</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市公司依法签订协</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议，及时进行信息</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披露；保证按照正</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常的商业条件进</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行，且本人及本人</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的关联企业将不会</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要求或接受上市公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4"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司给予比任何一项</w:t>
            </w:r>
          </w:p>
        </w:tc>
        <w:tc>
          <w:tcPr>
            <w:tcW w:w="108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1016" w:header="919" w:top="1120" w:bottom="1200" w:left="1020" w:right="0"/>
          <w:pgNumType w:start="4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318" w:hRule="exact"/>
        </w:trPr>
        <w:tc>
          <w:tcPr>
            <w:tcW w:w="1887" w:type="dxa"/>
            <w:vMerge w:val="restart"/>
            <w:tcBorders>
              <w:top w:val="single" w:sz="4" w:space="0" w:color="000000"/>
              <w:left w:val="single" w:sz="4" w:space="0" w:color="000000"/>
              <w:right w:val="single" w:sz="4" w:space="0" w:color="000000"/>
            </w:tcBorders>
            <w:shd w:val="clear" w:color="auto" w:fill="D2D2D2"/>
          </w:tcPr>
          <w:p>
            <w:pPr/>
          </w:p>
        </w:tc>
        <w:tc>
          <w:tcPr>
            <w:tcW w:w="171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市场公平交易中第</w:t>
            </w:r>
          </w:p>
        </w:tc>
        <w:tc>
          <w:tcPr>
            <w:tcW w:w="1080" w:type="dxa"/>
            <w:vMerge w:val="restart"/>
            <w:tcBorders>
              <w:top w:val="single" w:sz="4" w:space="0" w:color="000000"/>
              <w:left w:val="single" w:sz="4" w:space="0" w:color="000000"/>
              <w:right w:val="single" w:sz="4" w:space="0" w:color="000000"/>
            </w:tcBorders>
          </w:tcPr>
          <w:p>
            <w:pPr/>
          </w:p>
        </w:tc>
        <w:tc>
          <w:tcPr>
            <w:tcW w:w="99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三者更优惠的条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件，保证不通过关</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联交易损害上市公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司及其他股东的合</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法权益。</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、本人及</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本人的关联企业将</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严格和善意地履行</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与上市公司签订的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各种关联交易协</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议。本人及本人的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关联企业将不会向</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上市公司谋求任何</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超出上述协议规定</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之外的利益或收</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5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8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r>
      <w:tr>
        <w:trPr>
          <w:trHeight w:val="362" w:hRule="exact"/>
        </w:trPr>
        <w:tc>
          <w:tcPr>
            <w:tcW w:w="1887" w:type="dxa"/>
            <w:vMerge/>
            <w:tcBorders>
              <w:left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本人认可并尊重</w:t>
            </w:r>
          </w:p>
        </w:tc>
        <w:tc>
          <w:tcPr>
            <w:tcW w:w="1080"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王中胜、杨世宁和</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杨新子先生的皖通</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科技实际控制人地</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位，本次重组完成</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82"/>
                <w:sz w:val="18"/>
                <w:szCs w:val="18"/>
              </w:rPr>
              <w:t>，</w:t>
            </w:r>
            <w:r>
              <w:rPr>
                <w:rFonts w:ascii="宋体" w:hAnsi="宋体" w:cs="宋体" w:eastAsia="宋体" w:hint="default"/>
                <w:sz w:val="18"/>
                <w:szCs w:val="18"/>
              </w:rPr>
              <w:t>保证</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不通过任何方式单</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独或与他人共同谋</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求皖通科技的实际</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控制权；</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、本次重</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组完成后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103" w:right="186"/>
              <w:jc w:val="both"/>
              <w:rPr>
                <w:rFonts w:ascii="宋体" w:hAnsi="宋体" w:cs="宋体" w:eastAsia="宋体" w:hint="default"/>
                <w:sz w:val="18"/>
                <w:szCs w:val="18"/>
              </w:rPr>
            </w:pPr>
            <w:r>
              <w:rPr>
                <w:rFonts w:ascii="宋体" w:hAnsi="宋体" w:cs="宋体" w:eastAsia="宋体" w:hint="default"/>
                <w:sz w:val="18"/>
                <w:szCs w:val="18"/>
              </w:rPr>
              <w:t>陈乐桥</w:t>
            </w:r>
            <w:r>
              <w:rPr>
                <w:rFonts w:ascii="Times New Roman" w:hAnsi="Times New Roman" w:cs="Times New Roman" w:eastAsia="Times New Roman" w:hint="default"/>
                <w:sz w:val="18"/>
                <w:szCs w:val="18"/>
              </w:rPr>
              <w:t>;</w:t>
            </w:r>
            <w:r>
              <w:rPr>
                <w:rFonts w:ascii="宋体" w:hAnsi="宋体" w:cs="宋体" w:eastAsia="宋体" w:hint="default"/>
                <w:sz w:val="18"/>
                <w:szCs w:val="18"/>
              </w:rPr>
              <w:t>林洪钢</w:t>
            </w:r>
            <w:r>
              <w:rPr>
                <w:rFonts w:ascii="Times New Roman" w:hAnsi="Times New Roman" w:cs="Times New Roman" w:eastAsia="Times New Roman" w:hint="default"/>
                <w:sz w:val="18"/>
                <w:szCs w:val="18"/>
              </w:rPr>
              <w:t>;</w:t>
            </w:r>
            <w:r>
              <w:rPr>
                <w:rFonts w:ascii="宋体" w:hAnsi="宋体" w:cs="宋体" w:eastAsia="宋体" w:hint="default"/>
                <w:sz w:val="18"/>
                <w:szCs w:val="18"/>
              </w:rPr>
              <w:t>林 木顺</w:t>
            </w:r>
            <w:r>
              <w:rPr>
                <w:rFonts w:ascii="Times New Roman" w:hAnsi="Times New Roman" w:cs="Times New Roman" w:eastAsia="Times New Roman" w:hint="default"/>
                <w:sz w:val="18"/>
                <w:szCs w:val="18"/>
              </w:rPr>
              <w:t>;</w:t>
            </w:r>
            <w:r>
              <w:rPr>
                <w:rFonts w:ascii="宋体" w:hAnsi="宋体" w:cs="宋体" w:eastAsia="宋体" w:hint="default"/>
                <w:sz w:val="18"/>
                <w:szCs w:val="18"/>
              </w:rPr>
              <w:t>唐世容</w:t>
            </w:r>
            <w:r>
              <w:rPr>
                <w:rFonts w:ascii="Times New Roman" w:hAnsi="Times New Roman" w:cs="Times New Roman" w:eastAsia="Times New Roman" w:hint="default"/>
                <w:sz w:val="18"/>
                <w:szCs w:val="18"/>
              </w:rPr>
              <w:t>;</w:t>
            </w:r>
            <w:r>
              <w:rPr>
                <w:rFonts w:ascii="宋体" w:hAnsi="宋体" w:cs="宋体" w:eastAsia="宋体" w:hint="default"/>
                <w:sz w:val="18"/>
                <w:szCs w:val="18"/>
              </w:rPr>
              <w:t>汪学 刚</w:t>
            </w:r>
            <w:r>
              <w:rPr>
                <w:rFonts w:ascii="Times New Roman" w:hAnsi="Times New Roman" w:cs="Times New Roman" w:eastAsia="Times New Roman" w:hint="default"/>
                <w:sz w:val="18"/>
                <w:szCs w:val="18"/>
              </w:rPr>
              <w:t>;</w:t>
            </w:r>
            <w:r>
              <w:rPr>
                <w:rFonts w:ascii="宋体" w:hAnsi="宋体" w:cs="宋体" w:eastAsia="宋体" w:hint="default"/>
                <w:sz w:val="18"/>
                <w:szCs w:val="18"/>
              </w:rPr>
              <w:t>吴常念</w:t>
            </w:r>
            <w:r>
              <w:rPr>
                <w:rFonts w:ascii="Times New Roman" w:hAnsi="Times New Roman" w:cs="Times New Roman" w:eastAsia="Times New Roman" w:hint="default"/>
                <w:sz w:val="18"/>
                <w:szCs w:val="18"/>
              </w:rPr>
              <w:t>;</w:t>
            </w:r>
            <w:r>
              <w:rPr>
                <w:rFonts w:ascii="宋体" w:hAnsi="宋体" w:cs="宋体" w:eastAsia="宋体" w:hint="default"/>
                <w:sz w:val="18"/>
                <w:szCs w:val="18"/>
              </w:rPr>
              <w:t>吴义华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姚宗诚</w:t>
            </w:r>
            <w:r>
              <w:rPr>
                <w:rFonts w:ascii="Times New Roman" w:hAnsi="Times New Roman" w:cs="Times New Roman" w:eastAsia="Times New Roman" w:hint="default"/>
                <w:sz w:val="18"/>
                <w:szCs w:val="18"/>
              </w:rPr>
              <w:t>;</w:t>
            </w:r>
            <w:r>
              <w:rPr>
                <w:rFonts w:ascii="宋体" w:hAnsi="宋体" w:cs="宋体" w:eastAsia="宋体" w:hint="default"/>
                <w:sz w:val="18"/>
                <w:szCs w:val="18"/>
              </w:rPr>
              <w:t>易增辉</w:t>
            </w:r>
            <w:r>
              <w:rPr>
                <w:rFonts w:ascii="Times New Roman" w:hAnsi="Times New Roman" w:cs="Times New Roman" w:eastAsia="Times New Roman" w:hint="default"/>
                <w:sz w:val="18"/>
                <w:szCs w:val="18"/>
              </w:rPr>
              <w:t>;</w:t>
            </w:r>
            <w:r>
              <w:rPr>
                <w:rFonts w:ascii="宋体" w:hAnsi="宋体" w:cs="宋体" w:eastAsia="宋体" w:hint="default"/>
                <w:sz w:val="18"/>
                <w:szCs w:val="18"/>
              </w:rPr>
              <w:t>张 荷花</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r>
              <w:rPr>
                <w:rFonts w:ascii="Times New Roman" w:hAnsi="Times New Roman" w:cs="Times New Roman" w:eastAsia="Times New Roman" w:hint="default"/>
                <w:sz w:val="18"/>
                <w:szCs w:val="18"/>
              </w:rPr>
              <w:t>;</w:t>
            </w:r>
            <w:r>
              <w:rPr>
                <w:rFonts w:ascii="宋体" w:hAnsi="宋体" w:cs="宋体" w:eastAsia="宋体" w:hint="default"/>
                <w:sz w:val="18"/>
                <w:szCs w:val="18"/>
              </w:rPr>
              <w:t>邹林</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09"/>
              <w:jc w:val="both"/>
              <w:rPr>
                <w:rFonts w:ascii="宋体" w:hAnsi="宋体" w:cs="宋体" w:eastAsia="宋体" w:hint="default"/>
                <w:sz w:val="18"/>
                <w:szCs w:val="18"/>
              </w:rPr>
            </w:pPr>
            <w:r>
              <w:rPr>
                <w:rFonts w:ascii="宋体" w:hAnsi="宋体" w:cs="宋体" w:eastAsia="宋体" w:hint="default"/>
                <w:sz w:val="18"/>
                <w:szCs w:val="18"/>
              </w:rPr>
              <w:t>内，本人（包括本 人控制的企业及其 他一致行动人）保 证不通过包括但不 限于增持上市公司 股份、接受委托、</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征集投票权、协议</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等任何方式获得在</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上市公司的表决</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权；保证不以任何</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方式直接或间接增</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持上市公司股份，</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也不主动通过其他</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关联方或一致行动</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人直接或间接增持</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上市公司股份（但</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因上市公司以资本</w:t>
            </w:r>
          </w:p>
        </w:tc>
        <w:tc>
          <w:tcPr>
            <w:tcW w:w="1080"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318" w:hRule="exact"/>
        </w:trPr>
        <w:tc>
          <w:tcPr>
            <w:tcW w:w="1887" w:type="dxa"/>
            <w:vMerge w:val="restart"/>
            <w:tcBorders>
              <w:top w:val="single" w:sz="4" w:space="0" w:color="000000"/>
              <w:left w:val="single" w:sz="4" w:space="0" w:color="000000"/>
              <w:right w:val="single" w:sz="4" w:space="0" w:color="000000"/>
            </w:tcBorders>
            <w:shd w:val="clear" w:color="auto" w:fill="D2D2D2"/>
          </w:tcPr>
          <w:p>
            <w:pPr/>
          </w:p>
        </w:tc>
        <w:tc>
          <w:tcPr>
            <w:tcW w:w="171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公积金转增等被动</w:t>
            </w:r>
          </w:p>
        </w:tc>
        <w:tc>
          <w:tcPr>
            <w:tcW w:w="1080" w:type="dxa"/>
            <w:vMerge w:val="restart"/>
            <w:tcBorders>
              <w:top w:val="single" w:sz="4" w:space="0" w:color="000000"/>
              <w:left w:val="single" w:sz="4" w:space="0" w:color="000000"/>
              <w:right w:val="single" w:sz="4" w:space="0" w:color="000000"/>
            </w:tcBorders>
          </w:tcPr>
          <w:p>
            <w:pPr/>
          </w:p>
        </w:tc>
        <w:tc>
          <w:tcPr>
            <w:tcW w:w="99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因素增持除外</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确保王中胜、杨世</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宁和杨新子先生对</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皖通科技的实际控</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5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制权。</w:t>
            </w:r>
          </w:p>
        </w:tc>
        <w:tc>
          <w:tcPr>
            <w:tcW w:w="108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r>
      <w:tr>
        <w:trPr>
          <w:trHeight w:val="357" w:hRule="exact"/>
        </w:trPr>
        <w:tc>
          <w:tcPr>
            <w:tcW w:w="1887" w:type="dxa"/>
            <w:vMerge/>
            <w:tcBorders>
              <w:left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一、保证上市公司</w:t>
            </w:r>
          </w:p>
        </w:tc>
        <w:tc>
          <w:tcPr>
            <w:tcW w:w="1080"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人员独立：</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、上市</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公司的高级管理人</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员专职在上市公司</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任职、并在上市公</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司领取薪酬，不会</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在本人控制的其他</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公司、企业或经济</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w:t>
            </w:r>
            <w:r>
              <w:rPr>
                <w:rFonts w:ascii="宋体" w:hAnsi="宋体" w:cs="宋体" w:eastAsia="宋体" w:hint="default"/>
                <w:spacing w:val="-87"/>
                <w:sz w:val="18"/>
                <w:szCs w:val="18"/>
              </w:rPr>
              <w:t>织</w:t>
            </w:r>
            <w:r>
              <w:rPr>
                <w:rFonts w:ascii="宋体" w:hAnsi="宋体" w:cs="宋体" w:eastAsia="宋体" w:hint="default"/>
                <w:sz w:val="18"/>
                <w:szCs w:val="18"/>
              </w:rPr>
              <w:t>（以下统</w:t>
            </w:r>
            <w:r>
              <w:rPr>
                <w:rFonts w:ascii="宋体" w:hAnsi="宋体" w:cs="宋体" w:eastAsia="宋体" w:hint="default"/>
                <w:spacing w:val="-87"/>
                <w:sz w:val="18"/>
                <w:szCs w:val="18"/>
              </w:rPr>
              <w:t>称</w:t>
            </w:r>
            <w:r>
              <w:rPr>
                <w:rFonts w:ascii="宋体" w:hAnsi="宋体" w:cs="宋体" w:eastAsia="宋体" w:hint="default"/>
                <w:sz w:val="18"/>
                <w:szCs w:val="18"/>
              </w:rPr>
              <w:t>“本</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人的关联企业</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任</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职，继续保持上市</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公司人员的独立</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性；</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、上市公司具</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有完整的独立的劳</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82"/>
                <w:sz w:val="18"/>
                <w:szCs w:val="18"/>
              </w:rPr>
              <w:t>、</w:t>
            </w:r>
            <w:r>
              <w:rPr>
                <w:rFonts w:ascii="宋体" w:hAnsi="宋体" w:cs="宋体" w:eastAsia="宋体" w:hint="default"/>
                <w:sz w:val="18"/>
                <w:szCs w:val="18"/>
              </w:rPr>
              <w:t>人事管理体系，</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该等体系独立于本</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103" w:right="186"/>
              <w:jc w:val="both"/>
              <w:rPr>
                <w:rFonts w:ascii="宋体" w:hAnsi="宋体" w:cs="宋体" w:eastAsia="宋体" w:hint="default"/>
                <w:sz w:val="18"/>
                <w:szCs w:val="18"/>
              </w:rPr>
            </w:pPr>
            <w:r>
              <w:rPr>
                <w:rFonts w:ascii="宋体" w:hAnsi="宋体" w:cs="宋体" w:eastAsia="宋体" w:hint="default"/>
                <w:sz w:val="18"/>
                <w:szCs w:val="18"/>
              </w:rPr>
              <w:t>陈乐桥</w:t>
            </w:r>
            <w:r>
              <w:rPr>
                <w:rFonts w:ascii="Times New Roman" w:hAnsi="Times New Roman" w:cs="Times New Roman" w:eastAsia="Times New Roman" w:hint="default"/>
                <w:sz w:val="18"/>
                <w:szCs w:val="18"/>
              </w:rPr>
              <w:t>;</w:t>
            </w:r>
            <w:r>
              <w:rPr>
                <w:rFonts w:ascii="宋体" w:hAnsi="宋体" w:cs="宋体" w:eastAsia="宋体" w:hint="default"/>
                <w:sz w:val="18"/>
                <w:szCs w:val="18"/>
              </w:rPr>
              <w:t>林洪钢</w:t>
            </w:r>
            <w:r>
              <w:rPr>
                <w:rFonts w:ascii="Times New Roman" w:hAnsi="Times New Roman" w:cs="Times New Roman" w:eastAsia="Times New Roman" w:hint="default"/>
                <w:sz w:val="18"/>
                <w:szCs w:val="18"/>
              </w:rPr>
              <w:t>;</w:t>
            </w:r>
            <w:r>
              <w:rPr>
                <w:rFonts w:ascii="宋体" w:hAnsi="宋体" w:cs="宋体" w:eastAsia="宋体" w:hint="default"/>
                <w:sz w:val="18"/>
                <w:szCs w:val="18"/>
              </w:rPr>
              <w:t>林 木顺</w:t>
            </w:r>
            <w:r>
              <w:rPr>
                <w:rFonts w:ascii="Times New Roman" w:hAnsi="Times New Roman" w:cs="Times New Roman" w:eastAsia="Times New Roman" w:hint="default"/>
                <w:sz w:val="18"/>
                <w:szCs w:val="18"/>
              </w:rPr>
              <w:t>;</w:t>
            </w:r>
            <w:r>
              <w:rPr>
                <w:rFonts w:ascii="宋体" w:hAnsi="宋体" w:cs="宋体" w:eastAsia="宋体" w:hint="default"/>
                <w:sz w:val="18"/>
                <w:szCs w:val="18"/>
              </w:rPr>
              <w:t>唐世容</w:t>
            </w:r>
            <w:r>
              <w:rPr>
                <w:rFonts w:ascii="Times New Roman" w:hAnsi="Times New Roman" w:cs="Times New Roman" w:eastAsia="Times New Roman" w:hint="default"/>
                <w:sz w:val="18"/>
                <w:szCs w:val="18"/>
              </w:rPr>
              <w:t>;</w:t>
            </w:r>
            <w:r>
              <w:rPr>
                <w:rFonts w:ascii="宋体" w:hAnsi="宋体" w:cs="宋体" w:eastAsia="宋体" w:hint="default"/>
                <w:sz w:val="18"/>
                <w:szCs w:val="18"/>
              </w:rPr>
              <w:t>汪学 刚</w:t>
            </w:r>
            <w:r>
              <w:rPr>
                <w:rFonts w:ascii="Times New Roman" w:hAnsi="Times New Roman" w:cs="Times New Roman" w:eastAsia="Times New Roman" w:hint="default"/>
                <w:sz w:val="18"/>
                <w:szCs w:val="18"/>
              </w:rPr>
              <w:t>;</w:t>
            </w:r>
            <w:r>
              <w:rPr>
                <w:rFonts w:ascii="宋体" w:hAnsi="宋体" w:cs="宋体" w:eastAsia="宋体" w:hint="default"/>
                <w:sz w:val="18"/>
                <w:szCs w:val="18"/>
              </w:rPr>
              <w:t>吴常念</w:t>
            </w:r>
            <w:r>
              <w:rPr>
                <w:rFonts w:ascii="Times New Roman" w:hAnsi="Times New Roman" w:cs="Times New Roman" w:eastAsia="Times New Roman" w:hint="default"/>
                <w:sz w:val="18"/>
                <w:szCs w:val="18"/>
              </w:rPr>
              <w:t>;</w:t>
            </w:r>
            <w:r>
              <w:rPr>
                <w:rFonts w:ascii="宋体" w:hAnsi="宋体" w:cs="宋体" w:eastAsia="宋体" w:hint="default"/>
                <w:sz w:val="18"/>
                <w:szCs w:val="18"/>
              </w:rPr>
              <w:t>吴义华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姚宗诚</w:t>
            </w:r>
            <w:r>
              <w:rPr>
                <w:rFonts w:ascii="Times New Roman" w:hAnsi="Times New Roman" w:cs="Times New Roman" w:eastAsia="Times New Roman" w:hint="default"/>
                <w:sz w:val="18"/>
                <w:szCs w:val="18"/>
              </w:rPr>
              <w:t>;</w:t>
            </w:r>
            <w:r>
              <w:rPr>
                <w:rFonts w:ascii="宋体" w:hAnsi="宋体" w:cs="宋体" w:eastAsia="宋体" w:hint="default"/>
                <w:sz w:val="18"/>
                <w:szCs w:val="18"/>
              </w:rPr>
              <w:t>易增辉</w:t>
            </w:r>
            <w:r>
              <w:rPr>
                <w:rFonts w:ascii="Times New Roman" w:hAnsi="Times New Roman" w:cs="Times New Roman" w:eastAsia="Times New Roman" w:hint="default"/>
                <w:sz w:val="18"/>
                <w:szCs w:val="18"/>
              </w:rPr>
              <w:t>;</w:t>
            </w:r>
            <w:r>
              <w:rPr>
                <w:rFonts w:ascii="宋体" w:hAnsi="宋体" w:cs="宋体" w:eastAsia="宋体" w:hint="default"/>
                <w:sz w:val="18"/>
                <w:szCs w:val="18"/>
              </w:rPr>
              <w:t>张 荷花</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r>
              <w:rPr>
                <w:rFonts w:ascii="Times New Roman" w:hAnsi="Times New Roman" w:cs="Times New Roman" w:eastAsia="Times New Roman" w:hint="default"/>
                <w:sz w:val="18"/>
                <w:szCs w:val="18"/>
              </w:rPr>
              <w:t>;</w:t>
            </w:r>
            <w:r>
              <w:rPr>
                <w:rFonts w:ascii="宋体" w:hAnsi="宋体" w:cs="宋体" w:eastAsia="宋体" w:hint="default"/>
                <w:sz w:val="18"/>
                <w:szCs w:val="18"/>
              </w:rPr>
              <w:t>邹林</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3" w:right="102"/>
              <w:jc w:val="both"/>
              <w:rPr>
                <w:rFonts w:ascii="宋体" w:hAnsi="宋体" w:cs="宋体" w:eastAsia="宋体" w:hint="default"/>
                <w:sz w:val="18"/>
                <w:szCs w:val="18"/>
              </w:rPr>
            </w:pPr>
            <w:r>
              <w:rPr>
                <w:rFonts w:ascii="宋体" w:hAnsi="宋体" w:cs="宋体" w:eastAsia="宋体" w:hint="default"/>
                <w:spacing w:val="-10"/>
                <w:sz w:val="18"/>
                <w:szCs w:val="18"/>
              </w:rPr>
              <w:t>人；</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、本人推荐出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任上市公司董事和 高级管理人员的人 选均通过合法程序 进行，本人不干预 上市公司董事会和</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1</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股东大会已做出的</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人事任免决定</w:t>
            </w:r>
            <w:r>
              <w:rPr>
                <w:rFonts w:ascii="宋体" w:hAnsi="宋体" w:cs="宋体" w:eastAsia="宋体" w:hint="default"/>
                <w:spacing w:val="-82"/>
                <w:sz w:val="18"/>
                <w:szCs w:val="18"/>
              </w:rPr>
              <w:t>。</w:t>
            </w:r>
            <w:r>
              <w:rPr>
                <w:rFonts w:ascii="宋体" w:hAnsi="宋体" w:cs="宋体" w:eastAsia="宋体" w:hint="default"/>
                <w:sz w:val="18"/>
                <w:szCs w:val="18"/>
              </w:rPr>
              <w:t>二、</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保证上市公司资产</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独立、完整：</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、上</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市公司具有完整的</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经营性资产；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本人及本人的关联</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企业不违规占用上</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市公司的资金、资</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产及其他资源</w:t>
            </w:r>
            <w:r>
              <w:rPr>
                <w:rFonts w:ascii="宋体" w:hAnsi="宋体" w:cs="宋体" w:eastAsia="宋体" w:hint="default"/>
                <w:spacing w:val="-82"/>
                <w:sz w:val="18"/>
                <w:szCs w:val="18"/>
              </w:rPr>
              <w:t>。</w:t>
            </w:r>
            <w:r>
              <w:rPr>
                <w:rFonts w:ascii="宋体" w:hAnsi="宋体" w:cs="宋体" w:eastAsia="宋体" w:hint="default"/>
                <w:sz w:val="18"/>
                <w:szCs w:val="18"/>
              </w:rPr>
              <w:t>三、</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保证上市公司机构</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独立：</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、上市公司</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依法建立和完善法</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人治理结构，建立</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独立、完整的组织</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机构；</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、上市公司</w:t>
            </w:r>
          </w:p>
        </w:tc>
        <w:tc>
          <w:tcPr>
            <w:tcW w:w="1080"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318" w:hRule="exact"/>
        </w:trPr>
        <w:tc>
          <w:tcPr>
            <w:tcW w:w="1887" w:type="dxa"/>
            <w:vMerge w:val="restart"/>
            <w:tcBorders>
              <w:top w:val="single" w:sz="4" w:space="0" w:color="000000"/>
              <w:left w:val="single" w:sz="4" w:space="0" w:color="000000"/>
              <w:right w:val="single" w:sz="4" w:space="0" w:color="000000"/>
            </w:tcBorders>
            <w:shd w:val="clear" w:color="auto" w:fill="D2D2D2"/>
          </w:tcPr>
          <w:p>
            <w:pPr/>
          </w:p>
        </w:tc>
        <w:tc>
          <w:tcPr>
            <w:tcW w:w="171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与本人的关联企业</w:t>
            </w:r>
          </w:p>
        </w:tc>
        <w:tc>
          <w:tcPr>
            <w:tcW w:w="1080" w:type="dxa"/>
            <w:vMerge w:val="restart"/>
            <w:tcBorders>
              <w:top w:val="single" w:sz="4" w:space="0" w:color="000000"/>
              <w:left w:val="single" w:sz="4" w:space="0" w:color="000000"/>
              <w:right w:val="single" w:sz="4" w:space="0" w:color="000000"/>
            </w:tcBorders>
          </w:tcPr>
          <w:p>
            <w:pPr/>
          </w:p>
        </w:tc>
        <w:tc>
          <w:tcPr>
            <w:tcW w:w="99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之间在办公机构和</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生产经营场所等方</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面完全分开。四、</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保证上市公司业务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独立：</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、上市公司</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拥有独立开展经营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活动的资产</w:t>
            </w:r>
            <w:r>
              <w:rPr>
                <w:rFonts w:ascii="宋体" w:hAnsi="宋体" w:cs="宋体" w:eastAsia="宋体" w:hint="default"/>
                <w:spacing w:val="-82"/>
                <w:sz w:val="18"/>
                <w:szCs w:val="18"/>
              </w:rPr>
              <w:t>、</w:t>
            </w:r>
            <w:r>
              <w:rPr>
                <w:rFonts w:ascii="宋体" w:hAnsi="宋体" w:cs="宋体" w:eastAsia="宋体" w:hint="default"/>
                <w:sz w:val="18"/>
                <w:szCs w:val="18"/>
              </w:rPr>
              <w:t>人员、</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资质以及具有独立</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面向市场自主经营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的能力，在经营业</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务方面具有独立运</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作的能力；</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、除通</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过行使合法的股东</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权利外，不干预上</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市公司的经营业务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活动；</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、依据减少</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并规范关联交易的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原则，采取合法方</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式减少或消除本人</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及本人的关联企业</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与上市公司之间的</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关联交易；对于确</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有必要存在的关联</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交易，其关联交易</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价格按照公平合理</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及市场化原则确</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定，确保上市公司</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及其他股东利益不</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受到损害并及时履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行信息披露义务。</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五、保证上市公司</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财务独立：</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、上市</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公司拥有独立的财</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务会计部门，建立</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独立的财务核算体</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系和财务管理制</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度；</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、上市公司独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立在银行开户，不</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与本人及本人的关</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联企业共享银行账</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户；</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、上市公司独</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立作出财务决策，</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4"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本人及本人的关联</w:t>
            </w:r>
          </w:p>
        </w:tc>
        <w:tc>
          <w:tcPr>
            <w:tcW w:w="108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318" w:hRule="exact"/>
        </w:trPr>
        <w:tc>
          <w:tcPr>
            <w:tcW w:w="1887" w:type="dxa"/>
            <w:vMerge w:val="restart"/>
            <w:tcBorders>
              <w:top w:val="single" w:sz="4" w:space="0" w:color="000000"/>
              <w:left w:val="single" w:sz="4" w:space="0" w:color="000000"/>
              <w:right w:val="single" w:sz="4" w:space="0" w:color="000000"/>
            </w:tcBorders>
            <w:shd w:val="clear" w:color="auto" w:fill="D2D2D2"/>
          </w:tcPr>
          <w:p>
            <w:pPr/>
          </w:p>
        </w:tc>
        <w:tc>
          <w:tcPr>
            <w:tcW w:w="171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企业不干预上市公</w:t>
            </w:r>
          </w:p>
        </w:tc>
        <w:tc>
          <w:tcPr>
            <w:tcW w:w="1080" w:type="dxa"/>
            <w:vMerge w:val="restart"/>
            <w:tcBorders>
              <w:top w:val="single" w:sz="4" w:space="0" w:color="000000"/>
              <w:left w:val="single" w:sz="4" w:space="0" w:color="000000"/>
              <w:right w:val="single" w:sz="4" w:space="0" w:color="000000"/>
            </w:tcBorders>
          </w:tcPr>
          <w:p>
            <w:pPr/>
          </w:p>
        </w:tc>
        <w:tc>
          <w:tcPr>
            <w:tcW w:w="99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司的资金使用；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上市公司依法独立</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纳税；</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、上市公司</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08"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的财务人员独立，</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不在本人的关联企</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业兼职和领取报</w:t>
            </w:r>
          </w:p>
        </w:tc>
        <w:tc>
          <w:tcPr>
            <w:tcW w:w="1080" w:type="dxa"/>
            <w:vMerge/>
            <w:tcBorders>
              <w:left w:val="single" w:sz="4" w:space="0" w:color="000000"/>
              <w:right w:val="single" w:sz="4" w:space="0" w:color="000000"/>
            </w:tcBorders>
          </w:tcPr>
          <w:p>
            <w:pPr/>
          </w:p>
        </w:tc>
        <w:tc>
          <w:tcPr>
            <w:tcW w:w="99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r>
      <w:tr>
        <w:trPr>
          <w:trHeight w:val="356" w:hRule="exact"/>
        </w:trPr>
        <w:tc>
          <w:tcPr>
            <w:tcW w:w="1887" w:type="dxa"/>
            <w:vMerge/>
            <w:tcBorders>
              <w:left w:val="single" w:sz="4" w:space="0" w:color="000000"/>
              <w:right w:val="single" w:sz="4" w:space="0" w:color="000000"/>
            </w:tcBorders>
            <w:shd w:val="clear" w:color="auto" w:fill="D2D2D2"/>
          </w:tcPr>
          <w:p>
            <w:pPr/>
          </w:p>
        </w:tc>
        <w:tc>
          <w:tcPr>
            <w:tcW w:w="171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酬。</w:t>
            </w:r>
          </w:p>
        </w:tc>
        <w:tc>
          <w:tcPr>
            <w:tcW w:w="1080" w:type="dxa"/>
            <w:vMerge/>
            <w:tcBorders>
              <w:left w:val="single" w:sz="4" w:space="0" w:color="000000"/>
              <w:bottom w:val="single" w:sz="4" w:space="0" w:color="000000"/>
              <w:right w:val="single" w:sz="4" w:space="0" w:color="000000"/>
            </w:tcBorders>
          </w:tcPr>
          <w:p>
            <w:pPr/>
          </w:p>
        </w:tc>
        <w:tc>
          <w:tcPr>
            <w:tcW w:w="99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r>
      <w:tr>
        <w:trPr>
          <w:trHeight w:val="357" w:hRule="exact"/>
        </w:trPr>
        <w:tc>
          <w:tcPr>
            <w:tcW w:w="1887" w:type="dxa"/>
            <w:vMerge/>
            <w:tcBorders>
              <w:left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王中胜、杨世宁、</w:t>
            </w:r>
          </w:p>
        </w:tc>
        <w:tc>
          <w:tcPr>
            <w:tcW w:w="1080"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杨新子承诺：三人</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签署之《一致行动</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人协议书》在解除</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之前长期有效，自</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本次交易完成后至</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82"/>
                <w:sz w:val="18"/>
                <w:szCs w:val="18"/>
              </w:rPr>
              <w:t>，</w:t>
            </w:r>
            <w:r>
              <w:rPr>
                <w:rFonts w:ascii="宋体" w:hAnsi="宋体" w:cs="宋体" w:eastAsia="宋体" w:hint="default"/>
                <w:sz w:val="18"/>
                <w:szCs w:val="18"/>
              </w:rPr>
              <w:t>承诺</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人不解除上述《一</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致行动人协议书</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并将按照该协议继</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续履行一致行动的</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相关约定。任何一</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方不履行《一致行</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动人协议书》义务</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或者履行其义务不</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符合约定，给三方</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中的其他方、上市</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103" w:right="236"/>
              <w:jc w:val="left"/>
              <w:rPr>
                <w:rFonts w:ascii="宋体" w:hAnsi="宋体" w:cs="宋体" w:eastAsia="宋体" w:hint="default"/>
                <w:sz w:val="18"/>
                <w:szCs w:val="18"/>
              </w:rPr>
            </w:pPr>
            <w:r>
              <w:rPr>
                <w:rFonts w:ascii="宋体" w:hAnsi="宋体" w:cs="宋体" w:eastAsia="宋体" w:hint="default"/>
                <w:sz w:val="18"/>
                <w:szCs w:val="18"/>
              </w:rPr>
              <w:t>王中胜</w:t>
            </w:r>
            <w:r>
              <w:rPr>
                <w:rFonts w:ascii="Times New Roman" w:hAnsi="Times New Roman" w:cs="Times New Roman" w:eastAsia="Times New Roman" w:hint="default"/>
                <w:sz w:val="18"/>
                <w:szCs w:val="18"/>
              </w:rPr>
              <w:t>;</w:t>
            </w:r>
            <w:r>
              <w:rPr>
                <w:rFonts w:ascii="宋体" w:hAnsi="宋体" w:cs="宋体" w:eastAsia="宋体" w:hint="default"/>
                <w:sz w:val="18"/>
                <w:szCs w:val="18"/>
              </w:rPr>
              <w:t>杨世宁</w:t>
            </w:r>
            <w:r>
              <w:rPr>
                <w:rFonts w:ascii="Times New Roman" w:hAnsi="Times New Roman" w:cs="Times New Roman" w:eastAsia="Times New Roman" w:hint="default"/>
                <w:sz w:val="18"/>
                <w:szCs w:val="18"/>
              </w:rPr>
              <w:t>;</w:t>
            </w:r>
            <w:r>
              <w:rPr>
                <w:rFonts w:ascii="宋体" w:hAnsi="宋体" w:cs="宋体" w:eastAsia="宋体" w:hint="default"/>
                <w:sz w:val="18"/>
                <w:szCs w:val="18"/>
              </w:rPr>
              <w:t>杨 新子</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275"/>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3" w:right="109"/>
              <w:jc w:val="left"/>
              <w:rPr>
                <w:rFonts w:ascii="宋体" w:hAnsi="宋体" w:cs="宋体" w:eastAsia="宋体" w:hint="default"/>
                <w:sz w:val="18"/>
                <w:szCs w:val="18"/>
              </w:rPr>
            </w:pPr>
            <w:r>
              <w:rPr>
                <w:rFonts w:ascii="宋体" w:hAnsi="宋体" w:cs="宋体" w:eastAsia="宋体" w:hint="default"/>
                <w:sz w:val="18"/>
                <w:szCs w:val="18"/>
              </w:rPr>
              <w:t>公司及其投资者造 成损失的，三方中</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的其他方作为守约</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方有权要求该违约</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方依法承担下述违</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约责任：</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、继续履</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行《一致行动人协</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议书》义务，保持</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上市公司控制权稳</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定性；</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、赔偿给守</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约方、上市公司及</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其投资者造成的损</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失，其中对守约方</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作出的赔偿总额不</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、所持股份</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表决投票权由守约</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vMerge/>
            <w:tcBorders>
              <w:left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方代为行使。违约</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887" w:type="dxa"/>
            <w:vMerge/>
            <w:tcBorders>
              <w:left w:val="single" w:sz="4" w:space="0" w:color="000000"/>
              <w:bottom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方在承担违约责任</w:t>
            </w:r>
          </w:p>
        </w:tc>
        <w:tc>
          <w:tcPr>
            <w:tcW w:w="1080"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674"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9"/>
              <w:jc w:val="left"/>
              <w:rPr>
                <w:rFonts w:ascii="宋体" w:hAnsi="宋体" w:cs="宋体" w:eastAsia="宋体" w:hint="default"/>
                <w:sz w:val="18"/>
                <w:szCs w:val="18"/>
              </w:rPr>
            </w:pPr>
            <w:r>
              <w:rPr>
                <w:rFonts w:ascii="宋体" w:hAnsi="宋体" w:cs="宋体" w:eastAsia="宋体" w:hint="default"/>
                <w:sz w:val="18"/>
                <w:szCs w:val="18"/>
              </w:rPr>
              <w:t>前，不得减持、质 押上市公司股份。</w:t>
            </w:r>
          </w:p>
        </w:tc>
        <w:tc>
          <w:tcPr>
            <w:tcW w:w="10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8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王中胜、杨世宁和</w:t>
            </w:r>
          </w:p>
        </w:tc>
        <w:tc>
          <w:tcPr>
            <w:tcW w:w="1080"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杨新子三人承诺：</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就皖通科技的股东</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3" w:right="236"/>
              <w:jc w:val="left"/>
              <w:rPr>
                <w:rFonts w:ascii="宋体" w:hAnsi="宋体" w:cs="宋体" w:eastAsia="宋体" w:hint="default"/>
                <w:sz w:val="18"/>
                <w:szCs w:val="18"/>
              </w:rPr>
            </w:pPr>
            <w:r>
              <w:rPr>
                <w:rFonts w:ascii="宋体" w:hAnsi="宋体" w:cs="宋体" w:eastAsia="宋体" w:hint="default"/>
                <w:sz w:val="18"/>
                <w:szCs w:val="18"/>
              </w:rPr>
              <w:t>王中胜</w:t>
            </w:r>
            <w:r>
              <w:rPr>
                <w:rFonts w:ascii="Times New Roman" w:hAnsi="Times New Roman" w:cs="Times New Roman" w:eastAsia="Times New Roman" w:hint="default"/>
                <w:sz w:val="18"/>
                <w:szCs w:val="18"/>
              </w:rPr>
              <w:t>;</w:t>
            </w:r>
            <w:r>
              <w:rPr>
                <w:rFonts w:ascii="宋体" w:hAnsi="宋体" w:cs="宋体" w:eastAsia="宋体" w:hint="default"/>
                <w:sz w:val="18"/>
                <w:szCs w:val="18"/>
              </w:rPr>
              <w:t>杨世宁</w:t>
            </w:r>
            <w:r>
              <w:rPr>
                <w:rFonts w:ascii="Times New Roman" w:hAnsi="Times New Roman" w:cs="Times New Roman" w:eastAsia="Times New Roman" w:hint="default"/>
                <w:sz w:val="18"/>
                <w:szCs w:val="18"/>
              </w:rPr>
              <w:t>;</w:t>
            </w:r>
            <w:r>
              <w:rPr>
                <w:rFonts w:ascii="宋体" w:hAnsi="宋体" w:cs="宋体" w:eastAsia="宋体" w:hint="default"/>
                <w:sz w:val="18"/>
                <w:szCs w:val="18"/>
              </w:rPr>
              <w:t>杨 新子</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75"/>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9"/>
              <w:jc w:val="both"/>
              <w:rPr>
                <w:rFonts w:ascii="宋体" w:hAnsi="宋体" w:cs="宋体" w:eastAsia="宋体" w:hint="default"/>
                <w:sz w:val="18"/>
                <w:szCs w:val="18"/>
              </w:rPr>
            </w:pPr>
            <w:r>
              <w:rPr>
                <w:rFonts w:ascii="宋体" w:hAnsi="宋体" w:cs="宋体" w:eastAsia="宋体" w:hint="default"/>
                <w:sz w:val="18"/>
                <w:szCs w:val="18"/>
              </w:rPr>
              <w:t>大会、董事会等重 要会议的投票权和 相关事宜等，按照</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1</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07"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一致行动人协议书</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约定保持行动一</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致。</w:t>
            </w:r>
          </w:p>
        </w:tc>
        <w:tc>
          <w:tcPr>
            <w:tcW w:w="1080"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本人及本人控制</w:t>
            </w:r>
          </w:p>
        </w:tc>
        <w:tc>
          <w:tcPr>
            <w:tcW w:w="1080"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的公司和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经济组织目前未从</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事与皖通科技及其</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下属子公司已生产</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经营或将生产经营</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的产品具有同业竞</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争或潜在同业竞争</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的产品的生产经</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0"/>
                <w:sz w:val="18"/>
                <w:szCs w:val="18"/>
              </w:rPr>
              <w:t>营；</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、本人及本人</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41"/>
              <w:ind w:left="101" w:right="153"/>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00" w:lineRule="auto"/>
              <w:ind w:left="103" w:right="236"/>
              <w:jc w:val="left"/>
              <w:rPr>
                <w:rFonts w:ascii="宋体" w:hAnsi="宋体" w:cs="宋体" w:eastAsia="宋体" w:hint="default"/>
                <w:sz w:val="18"/>
                <w:szCs w:val="18"/>
              </w:rPr>
            </w:pPr>
            <w:r>
              <w:rPr>
                <w:rFonts w:ascii="宋体" w:hAnsi="宋体" w:cs="宋体" w:eastAsia="宋体" w:hint="default"/>
                <w:sz w:val="18"/>
                <w:szCs w:val="18"/>
              </w:rPr>
              <w:t>王中胜</w:t>
            </w:r>
            <w:r>
              <w:rPr>
                <w:rFonts w:ascii="Times New Roman" w:hAnsi="Times New Roman" w:cs="Times New Roman" w:eastAsia="Times New Roman" w:hint="default"/>
                <w:sz w:val="18"/>
                <w:szCs w:val="18"/>
              </w:rPr>
              <w:t>;</w:t>
            </w:r>
            <w:r>
              <w:rPr>
                <w:rFonts w:ascii="宋体" w:hAnsi="宋体" w:cs="宋体" w:eastAsia="宋体" w:hint="default"/>
                <w:sz w:val="18"/>
                <w:szCs w:val="18"/>
              </w:rPr>
              <w:t>杨世宁</w:t>
            </w:r>
            <w:r>
              <w:rPr>
                <w:rFonts w:ascii="Times New Roman" w:hAnsi="Times New Roman" w:cs="Times New Roman" w:eastAsia="Times New Roman" w:hint="default"/>
                <w:sz w:val="18"/>
                <w:szCs w:val="18"/>
              </w:rPr>
              <w:t>;</w:t>
            </w:r>
            <w:r>
              <w:rPr>
                <w:rFonts w:ascii="宋体" w:hAnsi="宋体" w:cs="宋体" w:eastAsia="宋体" w:hint="default"/>
                <w:sz w:val="18"/>
                <w:szCs w:val="18"/>
              </w:rPr>
              <w:t>杨 新子</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2" w:right="10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控制的其他公司和</w:t>
            </w:r>
          </w:p>
          <w:p>
            <w:pPr>
              <w:pStyle w:val="TableParagraph"/>
              <w:spacing w:line="312" w:lineRule="auto" w:before="76"/>
              <w:ind w:left="103"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或经济组织将来 不从事与皖通科技 及其下属子公司已 生产经营或将来生</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1"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6"/>
              <w:ind w:left="101" w:right="0"/>
              <w:jc w:val="left"/>
              <w:rPr>
                <w:rFonts w:ascii="Times New Roman" w:hAnsi="Times New Roman" w:cs="Times New Roman" w:eastAsia="Times New Roman" w:hint="default"/>
                <w:sz w:val="18"/>
                <w:szCs w:val="18"/>
              </w:rPr>
            </w:pPr>
            <w:r>
              <w:rPr>
                <w:rFonts w:ascii="Times New Roman"/>
                <w:sz w:val="18"/>
              </w:rPr>
              <w:t>9999-12-3</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1</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产经营的产品具有</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同业竞争或潜在同</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业竞争的产品的生</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产经营或投资。本</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人将采取合法和有</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效的措施，保障本</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人控制的公司和</w:t>
            </w:r>
            <w:r>
              <w:rPr>
                <w:rFonts w:ascii="Times New Roman" w:hAnsi="Times New Roman" w:cs="Times New Roman" w:eastAsia="Times New Roman" w:hint="default"/>
                <w:sz w:val="18"/>
                <w:szCs w:val="18"/>
              </w:rPr>
              <w:t>/</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或其他经济组织亦</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不从事上述产品的</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生产经营。</w:t>
            </w:r>
          </w:p>
        </w:tc>
        <w:tc>
          <w:tcPr>
            <w:tcW w:w="1080"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自皖通科技本次非</w:t>
            </w:r>
          </w:p>
        </w:tc>
        <w:tc>
          <w:tcPr>
            <w:tcW w:w="1080"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公开发行的股票上</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3" w:right="154"/>
              <w:jc w:val="left"/>
              <w:rPr>
                <w:rFonts w:ascii="宋体" w:hAnsi="宋体" w:cs="宋体" w:eastAsia="宋体" w:hint="default"/>
                <w:sz w:val="18"/>
                <w:szCs w:val="18"/>
              </w:rPr>
            </w:pPr>
            <w:r>
              <w:rPr>
                <w:rFonts w:ascii="宋体" w:hAnsi="宋体" w:cs="宋体" w:eastAsia="宋体" w:hint="default"/>
                <w:sz w:val="18"/>
                <w:szCs w:val="18"/>
              </w:rPr>
              <w:t>南方银谷科技有限 公司</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2" w:right="27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市之日起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5"/>
                <w:sz w:val="18"/>
                <w:szCs w:val="18"/>
              </w:rPr>
              <w:t>内，不转让本单位</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本人所认购的上述</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7" w:hRule="exact"/>
        </w:trPr>
        <w:tc>
          <w:tcPr>
            <w:tcW w:w="1887" w:type="dxa"/>
            <w:tcBorders>
              <w:top w:val="nil" w:sz="6" w:space="0" w:color="auto"/>
              <w:left w:val="single" w:sz="4" w:space="0" w:color="000000"/>
              <w:bottom w:val="nil" w:sz="6" w:space="0" w:color="auto"/>
              <w:right w:val="single" w:sz="4" w:space="0" w:color="000000"/>
            </w:tcBorders>
            <w:shd w:val="clear" w:color="auto" w:fill="D2D2D2"/>
          </w:tcPr>
          <w:p>
            <w:pPr/>
          </w:p>
        </w:tc>
        <w:tc>
          <w:tcPr>
            <w:tcW w:w="171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股份。本单位</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本人</w:t>
            </w:r>
          </w:p>
        </w:tc>
        <w:tc>
          <w:tcPr>
            <w:tcW w:w="1080"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8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所认购的上述公司</w:t>
            </w:r>
          </w:p>
        </w:tc>
        <w:tc>
          <w:tcPr>
            <w:tcW w:w="1080"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887"/>
        <w:gridCol w:w="1710"/>
        <w:gridCol w:w="1290"/>
        <w:gridCol w:w="1665"/>
        <w:gridCol w:w="1080"/>
        <w:gridCol w:w="990"/>
        <w:gridCol w:w="945"/>
      </w:tblGrid>
      <w:tr>
        <w:trPr>
          <w:trHeight w:val="5978"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9"/>
              <w:jc w:val="left"/>
              <w:rPr>
                <w:rFonts w:ascii="宋体" w:hAnsi="宋体" w:cs="宋体" w:eastAsia="宋体" w:hint="default"/>
                <w:sz w:val="18"/>
                <w:szCs w:val="18"/>
              </w:rPr>
            </w:pPr>
            <w:r>
              <w:rPr>
                <w:rFonts w:ascii="宋体" w:hAnsi="宋体" w:cs="宋体" w:eastAsia="宋体" w:hint="default"/>
                <w:sz w:val="18"/>
                <w:szCs w:val="18"/>
              </w:rPr>
              <w:t>股份在锁定期届满 后减持还将遵守</w:t>
            </w:r>
          </w:p>
          <w:p>
            <w:pPr>
              <w:pStyle w:val="TableParagraph"/>
              <w:spacing w:line="316" w:lineRule="auto" w:before="19"/>
              <w:ind w:left="103" w:right="11"/>
              <w:jc w:val="left"/>
              <w:rPr>
                <w:rFonts w:ascii="宋体" w:hAnsi="宋体" w:cs="宋体" w:eastAsia="宋体" w:hint="default"/>
                <w:sz w:val="18"/>
                <w:szCs w:val="18"/>
              </w:rPr>
            </w:pPr>
            <w:r>
              <w:rPr>
                <w:rFonts w:ascii="宋体" w:hAnsi="宋体" w:cs="宋体" w:eastAsia="宋体" w:hint="default"/>
                <w:spacing w:val="-21"/>
                <w:sz w:val="18"/>
                <w:szCs w:val="18"/>
              </w:rPr>
              <w:t>《公司法》、《证券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1"/>
                <w:sz w:val="18"/>
                <w:szCs w:val="18"/>
              </w:rPr>
              <w:t>法》、《深圳证券交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易所股票上市规 </w:t>
            </w:r>
            <w:r>
              <w:rPr>
                <w:rFonts w:ascii="宋体" w:hAnsi="宋体" w:cs="宋体" w:eastAsia="宋体" w:hint="default"/>
                <w:spacing w:val="-21"/>
                <w:sz w:val="18"/>
                <w:szCs w:val="18"/>
              </w:rPr>
              <w:t>则》、《上市公司股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东、董监高减持股 </w:t>
            </w:r>
            <w:r>
              <w:rPr>
                <w:rFonts w:ascii="宋体" w:hAnsi="宋体" w:cs="宋体" w:eastAsia="宋体" w:hint="default"/>
                <w:spacing w:val="-20"/>
                <w:sz w:val="18"/>
                <w:szCs w:val="18"/>
              </w:rPr>
              <w:t>份的若干规定》（证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监会公告</w:t>
            </w:r>
            <w:r>
              <w:rPr>
                <w:rFonts w:ascii="Times New Roman" w:hAnsi="Times New Roman" w:cs="Times New Roman" w:eastAsia="Times New Roman" w:hint="default"/>
                <w:sz w:val="18"/>
                <w:szCs w:val="18"/>
              </w:rPr>
              <w:t>[2017]9 </w:t>
            </w:r>
            <w:r>
              <w:rPr>
                <w:rFonts w:ascii="宋体" w:hAnsi="宋体" w:cs="宋体" w:eastAsia="宋体" w:hint="default"/>
                <w:spacing w:val="-10"/>
                <w:sz w:val="18"/>
                <w:szCs w:val="18"/>
              </w:rPr>
              <w:t>号）等法律、法规、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规章、规范性文件、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深圳证券交易所相 </w:t>
            </w:r>
            <w:r>
              <w:rPr>
                <w:rFonts w:ascii="宋体" w:hAnsi="宋体" w:cs="宋体" w:eastAsia="宋体" w:hint="default"/>
                <w:spacing w:val="-20"/>
                <w:sz w:val="18"/>
                <w:szCs w:val="18"/>
              </w:rPr>
              <w:t>关规则（《深圳证券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交易所上市公司股 东及董事、监事、 高级管理人员减持 </w:t>
            </w:r>
            <w:r>
              <w:rPr>
                <w:rFonts w:ascii="宋体" w:hAnsi="宋体" w:cs="宋体" w:eastAsia="宋体" w:hint="default"/>
                <w:spacing w:val="-10"/>
                <w:sz w:val="18"/>
                <w:szCs w:val="18"/>
              </w:rPr>
              <w:t>股份实施细则》等）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以及《公司章程》 的相关规定。</w:t>
            </w:r>
          </w:p>
        </w:tc>
        <w:tc>
          <w:tcPr>
            <w:tcW w:w="10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9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6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6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Times New Roman" w:hAnsi="Times New Roman" w:cs="Times New Roman" w:eastAsia="Times New Roman" w:hint="default"/>
          <w:sz w:val="21"/>
          <w:szCs w:val="21"/>
        </w:rPr>
      </w:pPr>
    </w:p>
    <w:p>
      <w:pPr>
        <w:pStyle w:val="Heading5"/>
        <w:spacing w:line="259" w:lineRule="auto" w:before="34"/>
        <w:ind w:right="112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5"/>
        <w:gridCol w:w="1179"/>
        <w:gridCol w:w="1181"/>
        <w:gridCol w:w="1180"/>
        <w:gridCol w:w="1180"/>
        <w:gridCol w:w="1180"/>
        <w:gridCol w:w="1182"/>
        <w:gridCol w:w="1178"/>
      </w:tblGrid>
      <w:tr>
        <w:trPr>
          <w:trHeight w:val="102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7" w:right="106"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93" w:right="133"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95" w:right="133"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5" w:right="133"/>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6" w:right="132"/>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4" w:right="133"/>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6" w:right="135"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2" w:right="132" w:hanging="269"/>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1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1"/>
              <w:jc w:val="left"/>
              <w:rPr>
                <w:rFonts w:ascii="宋体" w:hAnsi="宋体" w:cs="宋体" w:eastAsia="宋体" w:hint="default"/>
                <w:sz w:val="18"/>
                <w:szCs w:val="18"/>
              </w:rPr>
            </w:pPr>
            <w:r>
              <w:rPr>
                <w:rFonts w:ascii="宋体" w:hAnsi="宋体" w:cs="宋体" w:eastAsia="宋体" w:hint="default"/>
                <w:sz w:val="18"/>
                <w:szCs w:val="18"/>
              </w:rPr>
              <w:t>成都赛英科技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Times New Roman" w:hAnsi="Times New Roman" w:cs="Times New Roman" w:eastAsia="Times New Roman" w:hint="default"/>
                <w:sz w:val="18"/>
                <w:szCs w:val="18"/>
              </w:rPr>
            </w:pPr>
            <w:r>
              <w:rPr>
                <w:rFonts w:ascii="Times New Roman"/>
                <w:sz w:val="18"/>
              </w:rPr>
              <w:t>11,200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11,360.25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2" w:right="135"/>
              <w:jc w:val="left"/>
              <w:rPr>
                <w:rFonts w:ascii="Times New Roman" w:hAnsi="Times New Roman" w:cs="Times New Roman" w:eastAsia="Times New Roman" w:hint="default"/>
                <w:sz w:val="18"/>
                <w:szCs w:val="18"/>
              </w:rPr>
            </w:pPr>
            <w:r>
              <w:rPr>
                <w:rFonts w:ascii="Times New Roman"/>
                <w:spacing w:val="-2"/>
                <w:sz w:val="18"/>
              </w:rPr>
              <w:t>www.cninfo.</w:t>
            </w:r>
            <w:r>
              <w:rPr>
                <w:rFonts w:ascii="Times New Roman"/>
                <w:spacing w:val="-39"/>
                <w:sz w:val="18"/>
              </w:rPr>
              <w:t> </w:t>
            </w:r>
            <w:r>
              <w:rPr>
                <w:rFonts w:ascii="Times New Roman"/>
                <w:spacing w:val="-39"/>
                <w:sz w:val="18"/>
              </w:rPr>
            </w:r>
            <w:r>
              <w:rPr>
                <w:rFonts w:ascii="Times New Roman"/>
                <w:sz w:val="18"/>
              </w:rPr>
              <w:t>com.cn</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357" w:lineRule="auto" w:before="117"/>
        <w:ind w:left="472" w:right="1124" w:hanging="360"/>
        <w:jc w:val="left"/>
        <w:rPr>
          <w:rFonts w:ascii="宋体" w:hAnsi="宋体" w:cs="宋体" w:eastAsia="宋体" w:hint="default"/>
          <w:sz w:val="18"/>
          <w:szCs w:val="18"/>
        </w:rPr>
      </w:pPr>
      <w:r>
        <w:rPr>
          <w:rFonts w:ascii="宋体" w:hAnsi="宋体" w:cs="宋体" w:eastAsia="宋体" w:hint="default"/>
          <w:sz w:val="18"/>
          <w:szCs w:val="18"/>
        </w:rPr>
        <w:t>√ 适用 □ 不适用 公司于2017年9月7日召开的第四届董事会第八次会议和2017年9月27日召开的2017年第二次临时股东大会审议通过了发</w:t>
      </w:r>
    </w:p>
    <w:p>
      <w:pPr>
        <w:spacing w:line="224"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行股份购买资产暨募集配套资金相关事项。根据公司与易增辉、林木顺、张荷花、吴常念、汪学刚、吴义华、林洪钢、唐世</w:t>
      </w:r>
    </w:p>
    <w:p>
      <w:pPr>
        <w:spacing w:after="0" w:line="224" w:lineRule="exact"/>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line="316" w:lineRule="auto" w:before="44"/>
        <w:ind w:left="112" w:right="1129" w:firstLine="0"/>
        <w:jc w:val="left"/>
        <w:rPr>
          <w:rFonts w:ascii="宋体" w:hAnsi="宋体" w:cs="宋体" w:eastAsia="宋体" w:hint="default"/>
          <w:sz w:val="18"/>
          <w:szCs w:val="18"/>
        </w:rPr>
      </w:pPr>
      <w:r>
        <w:rPr>
          <w:rFonts w:ascii="宋体" w:hAnsi="宋体" w:cs="宋体" w:eastAsia="宋体" w:hint="default"/>
          <w:spacing w:val="-5"/>
          <w:sz w:val="18"/>
          <w:szCs w:val="18"/>
        </w:rPr>
        <w:t>容、姚宗诚、陈乐桥、邹林、周云（以下简称“交易对方”）签订的《发行股份购买资产协议》，公司以非公开发行股份的方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式购买交易对方持有的赛英科技100%股权，交易价格为43,000.00万元。</w:t>
      </w:r>
    </w:p>
    <w:p>
      <w:pPr>
        <w:spacing w:line="316" w:lineRule="auto" w:before="19"/>
        <w:ind w:left="112" w:right="1034" w:firstLine="360"/>
        <w:jc w:val="left"/>
        <w:rPr>
          <w:rFonts w:ascii="宋体" w:hAnsi="宋体" w:cs="宋体" w:eastAsia="宋体" w:hint="default"/>
          <w:sz w:val="18"/>
          <w:szCs w:val="18"/>
        </w:rPr>
      </w:pPr>
      <w:r>
        <w:rPr>
          <w:rFonts w:ascii="宋体" w:hAnsi="宋体" w:cs="宋体" w:eastAsia="宋体" w:hint="default"/>
          <w:spacing w:val="-5"/>
          <w:sz w:val="18"/>
          <w:szCs w:val="18"/>
        </w:rPr>
        <w:t>根据公司与易增辉、汪学刚、吴义华、林洪钢、唐世容、姚宗诚、陈乐桥、邹林、周云等9人（以下简称“补偿义务人”）</w:t>
      </w:r>
      <w:r>
        <w:rPr>
          <w:rFonts w:ascii="宋体" w:hAnsi="宋体" w:cs="宋体" w:eastAsia="宋体" w:hint="default"/>
          <w:sz w:val="18"/>
          <w:szCs w:val="18"/>
        </w:rPr>
        <w:t> </w:t>
      </w:r>
      <w:r>
        <w:rPr>
          <w:rFonts w:ascii="宋体" w:hAnsi="宋体" w:cs="宋体" w:eastAsia="宋体" w:hint="default"/>
          <w:spacing w:val="-2"/>
          <w:sz w:val="18"/>
          <w:szCs w:val="18"/>
        </w:rPr>
        <w:t>签署的《关于成都赛英科技有限公司之标的资产业绩承诺补偿协议》，补偿义务人预计赛英科技在2017年、2018年和2019年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实现的净利润数不低于3,150万元、3,700万元、4,350万元，补偿期实现的净利润数合计不低于11,200万元；鉴于此，补偿</w:t>
      </w:r>
      <w:r>
        <w:rPr>
          <w:rFonts w:ascii="宋体" w:hAnsi="宋体" w:cs="宋体" w:eastAsia="宋体" w:hint="default"/>
          <w:sz w:val="18"/>
          <w:szCs w:val="18"/>
        </w:rPr>
        <w:t> </w:t>
      </w:r>
      <w:r>
        <w:rPr>
          <w:rFonts w:ascii="宋体" w:hAnsi="宋体" w:cs="宋体" w:eastAsia="宋体" w:hint="default"/>
          <w:spacing w:val="-4"/>
          <w:sz w:val="18"/>
          <w:szCs w:val="18"/>
        </w:rPr>
        <w:t>义务人承诺赛英科技在2017年实现的净利润数不低于3,150万元，2017年、2018年累积实现的净利润数不低于6,850万元，2017</w:t>
      </w:r>
      <w:r>
        <w:rPr>
          <w:rFonts w:ascii="宋体" w:hAnsi="宋体" w:cs="宋体" w:eastAsia="宋体" w:hint="default"/>
          <w:sz w:val="18"/>
          <w:szCs w:val="18"/>
        </w:rPr>
        <w:t> </w:t>
      </w:r>
      <w:r>
        <w:rPr>
          <w:rFonts w:ascii="宋体" w:hAnsi="宋体" w:cs="宋体" w:eastAsia="宋体" w:hint="default"/>
          <w:spacing w:val="-2"/>
          <w:sz w:val="18"/>
          <w:szCs w:val="18"/>
        </w:rPr>
        <w:t>年、2018年和2019年累积实现的净利润数不低于11,200万元。2017年度至2018年度，若某一年度赛英科技截至当期期末累积</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实现净利润低于累积承诺净利润但不低于累积承诺净利润的90%，则当年补偿义务人无需向上市公司补偿，应补偿金额累积</w:t>
      </w:r>
      <w:r>
        <w:rPr>
          <w:rFonts w:ascii="宋体" w:hAnsi="宋体" w:cs="宋体" w:eastAsia="宋体" w:hint="default"/>
          <w:sz w:val="18"/>
          <w:szCs w:val="18"/>
        </w:rPr>
        <w:t> </w:t>
      </w:r>
      <w:r>
        <w:rPr>
          <w:rFonts w:ascii="宋体" w:hAnsi="宋体" w:cs="宋体" w:eastAsia="宋体" w:hint="default"/>
          <w:spacing w:val="-2"/>
          <w:sz w:val="18"/>
          <w:szCs w:val="18"/>
        </w:rPr>
        <w:t>至下一需要补偿的年度计算。补偿期届满时，若赛英科技各年度实现的累积实现净利润数低于补偿义务人承诺的累积净利润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承诺数的，则补偿义务人向上市公司进行补偿；若赛英科技各年度累积实现净利润数大于或等于补偿义务人承诺的累积净利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润承诺数的，则补偿义务人无需向上市公司进行补偿。补偿义务人应优先采用股份补偿，不足部分采用现金补偿。</w:t>
      </w:r>
    </w:p>
    <w:p>
      <w:pPr>
        <w:spacing w:line="360" w:lineRule="auto" w:before="57"/>
        <w:ind w:left="472" w:right="0" w:hanging="36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 </w:t>
      </w:r>
      <w:r>
        <w:rPr>
          <w:rFonts w:ascii="宋体" w:hAnsi="宋体" w:cs="宋体" w:eastAsia="宋体" w:hint="default"/>
          <w:spacing w:val="-2"/>
          <w:sz w:val="18"/>
          <w:szCs w:val="18"/>
        </w:rPr>
        <w:t>赛英科技2017年至2019年累计业绩承诺净利润为11,200.00万元，实际完成业绩为净利润11,360.25万元（赛英科技作为</w:t>
      </w:r>
    </w:p>
    <w:p>
      <w:pPr>
        <w:spacing w:line="222" w:lineRule="exact" w:before="0"/>
        <w:ind w:left="112" w:right="0" w:firstLine="0"/>
        <w:jc w:val="both"/>
        <w:rPr>
          <w:rFonts w:ascii="宋体" w:hAnsi="宋体" w:cs="宋体" w:eastAsia="宋体" w:hint="default"/>
          <w:sz w:val="18"/>
          <w:szCs w:val="18"/>
        </w:rPr>
      </w:pPr>
      <w:r>
        <w:rPr>
          <w:rFonts w:ascii="宋体" w:hAnsi="宋体" w:cs="宋体" w:eastAsia="宋体" w:hint="default"/>
          <w:spacing w:val="-3"/>
          <w:sz w:val="18"/>
          <w:szCs w:val="18"/>
        </w:rPr>
        <w:t>公司全资子公司，于2018年4月参与了公司第一期限制性股票激励计划，向核心技术、管理、业务人员授予限制性股票，2018</w:t>
      </w:r>
    </w:p>
    <w:p>
      <w:pPr>
        <w:spacing w:line="316" w:lineRule="auto" w:before="76"/>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年度和2019年度赛英科技累计摊销的股份支付费用为673.75万元，对赛英科技2018年度和2019年度扣除非经常性损益后归属</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于母公司的净利润累计影响额为572.69万元。剔除此因素影响，赛英科技2017年至2019累计完成的业绩为11,932.94万元，</w:t>
      </w:r>
      <w:r>
        <w:rPr>
          <w:rFonts w:ascii="宋体" w:hAnsi="宋体" w:cs="宋体" w:eastAsia="宋体" w:hint="default"/>
          <w:sz w:val="18"/>
          <w:szCs w:val="18"/>
        </w:rPr>
        <w:t> </w:t>
      </w:r>
      <w:r>
        <w:rPr>
          <w:rFonts w:ascii="宋体" w:hAnsi="宋体" w:cs="宋体" w:eastAsia="宋体" w:hint="default"/>
          <w:spacing w:val="-5"/>
          <w:sz w:val="18"/>
          <w:szCs w:val="18"/>
        </w:rPr>
        <w:t>完成率达106.54%），实现了业绩承诺。</w:t>
      </w:r>
    </w:p>
    <w:p>
      <w:pPr>
        <w:spacing w:line="316" w:lineRule="auto" w:before="19"/>
        <w:ind w:left="112" w:right="1051" w:firstLine="360"/>
        <w:jc w:val="both"/>
        <w:rPr>
          <w:rFonts w:ascii="宋体" w:hAnsi="宋体" w:cs="宋体" w:eastAsia="宋体" w:hint="default"/>
          <w:sz w:val="18"/>
          <w:szCs w:val="18"/>
        </w:rPr>
      </w:pPr>
      <w:r>
        <w:rPr>
          <w:rFonts w:ascii="宋体" w:hAnsi="宋体" w:cs="宋体" w:eastAsia="宋体" w:hint="default"/>
          <w:spacing w:val="-2"/>
          <w:sz w:val="18"/>
          <w:szCs w:val="18"/>
        </w:rPr>
        <w:t>公司期末对与赛英科技商誉相关的资产组进行了减值测试，在进行减值测试时，将商誉的账面价值分摊至预期从企业合</w:t>
      </w:r>
      <w:r>
        <w:rPr>
          <w:rFonts w:ascii="宋体" w:hAnsi="宋体" w:cs="宋体" w:eastAsia="宋体" w:hint="default"/>
          <w:sz w:val="18"/>
          <w:szCs w:val="18"/>
        </w:rPr>
        <w:t> 并的协同效应中受益的资产组或资产组组合。然后将资产组账面价值与其可收回金额进行比较，赛英科技商誉未发生减值。</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4"/>
        <w:spacing w:line="240" w:lineRule="auto"/>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9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4"/>
        <w:spacing w:line="240" w:lineRule="auto"/>
        <w:ind w:right="1025"/>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right="1130" w:firstLine="420"/>
        <w:jc w:val="both"/>
      </w:pPr>
      <w:r>
        <w:rPr>
          <w:spacing w:val="1"/>
          <w:w w:val="99"/>
        </w:rPr>
        <w:t>1</w:t>
      </w:r>
      <w:r>
        <w:rPr>
          <w:spacing w:val="-77"/>
          <w:w w:val="99"/>
        </w:rPr>
        <w:t>、</w:t>
      </w:r>
      <w:r>
        <w:rPr>
          <w:spacing w:val="2"/>
          <w:w w:val="99"/>
        </w:rPr>
        <w:t>公</w:t>
      </w:r>
      <w:r>
        <w:rPr>
          <w:spacing w:val="-1"/>
          <w:w w:val="99"/>
        </w:rPr>
        <w:t>司自</w:t>
      </w:r>
      <w:r>
        <w:rPr>
          <w:spacing w:val="1"/>
          <w:w w:val="99"/>
        </w:rPr>
        <w:t>201</w:t>
      </w:r>
      <w:r>
        <w:rPr>
          <w:spacing w:val="-2"/>
          <w:w w:val="99"/>
        </w:rPr>
        <w:t>9</w:t>
      </w:r>
      <w:r>
        <w:rPr>
          <w:spacing w:val="2"/>
          <w:w w:val="99"/>
        </w:rPr>
        <w:t>年</w:t>
      </w:r>
      <w:r>
        <w:rPr>
          <w:spacing w:val="1"/>
          <w:w w:val="99"/>
        </w:rPr>
        <w:t>1</w:t>
      </w:r>
      <w:r>
        <w:rPr>
          <w:spacing w:val="-1"/>
          <w:w w:val="99"/>
        </w:rPr>
        <w:t>月</w:t>
      </w:r>
      <w:r>
        <w:rPr>
          <w:spacing w:val="1"/>
          <w:w w:val="99"/>
        </w:rPr>
        <w:t>1</w:t>
      </w:r>
      <w:r>
        <w:rPr>
          <w:spacing w:val="2"/>
          <w:w w:val="99"/>
        </w:rPr>
        <w:t>日</w:t>
      </w:r>
      <w:r>
        <w:rPr>
          <w:spacing w:val="-1"/>
          <w:w w:val="99"/>
        </w:rPr>
        <w:t>起</w:t>
      </w:r>
      <w:r>
        <w:rPr>
          <w:spacing w:val="2"/>
          <w:w w:val="99"/>
        </w:rPr>
        <w:t>执</w:t>
      </w:r>
      <w:r>
        <w:rPr>
          <w:spacing w:val="-1"/>
          <w:w w:val="99"/>
        </w:rPr>
        <w:t>行</w:t>
      </w:r>
      <w:r>
        <w:rPr>
          <w:spacing w:val="2"/>
          <w:w w:val="99"/>
        </w:rPr>
        <w:t>财</w:t>
      </w:r>
      <w:r>
        <w:rPr>
          <w:spacing w:val="-1"/>
          <w:w w:val="99"/>
        </w:rPr>
        <w:t>政</w:t>
      </w:r>
      <w:r>
        <w:rPr>
          <w:spacing w:val="2"/>
          <w:w w:val="99"/>
        </w:rPr>
        <w:t>部</w:t>
      </w:r>
      <w:r>
        <w:rPr>
          <w:spacing w:val="1"/>
          <w:w w:val="99"/>
        </w:rPr>
        <w:t>20</w:t>
      </w:r>
      <w:r>
        <w:rPr>
          <w:spacing w:val="-2"/>
          <w:w w:val="99"/>
        </w:rPr>
        <w:t>1</w:t>
      </w:r>
      <w:r>
        <w:rPr>
          <w:spacing w:val="1"/>
          <w:w w:val="99"/>
        </w:rPr>
        <w:t>7</w:t>
      </w:r>
      <w:r>
        <w:rPr>
          <w:spacing w:val="2"/>
          <w:w w:val="99"/>
        </w:rPr>
        <w:t>年</w:t>
      </w:r>
      <w:r>
        <w:rPr>
          <w:spacing w:val="-1"/>
          <w:w w:val="99"/>
        </w:rPr>
        <w:t>修</w:t>
      </w:r>
      <w:r>
        <w:rPr>
          <w:spacing w:val="2"/>
          <w:w w:val="99"/>
        </w:rPr>
        <w:t>订</w:t>
      </w:r>
      <w:r>
        <w:rPr>
          <w:spacing w:val="-80"/>
          <w:w w:val="99"/>
        </w:rPr>
        <w:t>的</w:t>
      </w:r>
      <w:r>
        <w:rPr>
          <w:spacing w:val="2"/>
          <w:w w:val="99"/>
        </w:rPr>
        <w:t>《企</w:t>
      </w:r>
      <w:r>
        <w:rPr>
          <w:spacing w:val="-1"/>
          <w:w w:val="99"/>
        </w:rPr>
        <w:t>业</w:t>
      </w:r>
      <w:r>
        <w:rPr>
          <w:spacing w:val="2"/>
          <w:w w:val="99"/>
        </w:rPr>
        <w:t>会</w:t>
      </w:r>
      <w:r>
        <w:rPr>
          <w:spacing w:val="-1"/>
          <w:w w:val="99"/>
        </w:rPr>
        <w:t>计</w:t>
      </w:r>
      <w:r>
        <w:rPr>
          <w:spacing w:val="2"/>
          <w:w w:val="99"/>
        </w:rPr>
        <w:t>准</w:t>
      </w:r>
      <w:r>
        <w:rPr>
          <w:spacing w:val="-1"/>
          <w:w w:val="99"/>
        </w:rPr>
        <w:t>则第</w:t>
      </w:r>
      <w:r>
        <w:rPr>
          <w:spacing w:val="1"/>
          <w:w w:val="99"/>
        </w:rPr>
        <w:t>22</w:t>
      </w:r>
      <w:r>
        <w:rPr>
          <w:spacing w:val="-1"/>
          <w:w w:val="99"/>
        </w:rPr>
        <w:t>号</w:t>
      </w:r>
      <w:r>
        <w:rPr>
          <w:spacing w:val="1"/>
          <w:w w:val="99"/>
        </w:rPr>
        <w:t>-</w:t>
      </w:r>
      <w:r>
        <w:rPr>
          <w:spacing w:val="2"/>
          <w:w w:val="99"/>
        </w:rPr>
        <w:t>金</w:t>
      </w:r>
      <w:r>
        <w:rPr>
          <w:spacing w:val="-1"/>
          <w:w w:val="99"/>
        </w:rPr>
        <w:t>融</w:t>
      </w:r>
      <w:r>
        <w:rPr>
          <w:spacing w:val="2"/>
          <w:w w:val="99"/>
        </w:rPr>
        <w:t>工</w:t>
      </w:r>
      <w:r>
        <w:rPr>
          <w:spacing w:val="-1"/>
          <w:w w:val="99"/>
        </w:rPr>
        <w:t>具</w:t>
      </w:r>
      <w:r>
        <w:rPr>
          <w:spacing w:val="2"/>
          <w:w w:val="99"/>
        </w:rPr>
        <w:t>确</w:t>
      </w:r>
      <w:r>
        <w:rPr>
          <w:spacing w:val="-1"/>
          <w:w w:val="99"/>
        </w:rPr>
        <w:t>认</w:t>
      </w:r>
      <w:r>
        <w:rPr>
          <w:spacing w:val="2"/>
          <w:w w:val="99"/>
        </w:rPr>
        <w:t>和</w:t>
      </w:r>
      <w:r>
        <w:rPr>
          <w:spacing w:val="-1"/>
          <w:w w:val="99"/>
        </w:rPr>
        <w:t>计</w:t>
      </w:r>
      <w:r>
        <w:rPr>
          <w:spacing w:val="2"/>
          <w:w w:val="99"/>
        </w:rPr>
        <w:t>量</w:t>
      </w:r>
      <w:r>
        <w:rPr>
          <w:spacing w:val="-104"/>
          <w:w w:val="99"/>
        </w:rPr>
        <w:t>》</w:t>
      </w:r>
      <w:r>
        <w:rPr>
          <w:spacing w:val="-181"/>
          <w:w w:val="99"/>
        </w:rPr>
        <w:t>、</w:t>
      </w:r>
      <w:r>
        <w:rPr>
          <w:spacing w:val="2"/>
          <w:w w:val="99"/>
        </w:rPr>
        <w:t>《</w:t>
      </w:r>
      <w:r>
        <w:rPr>
          <w:w w:val="99"/>
        </w:rPr>
        <w:t>企</w:t>
      </w:r>
      <w:r>
        <w:rPr>
          <w:w w:val="99"/>
        </w:rPr>
        <w:t> </w:t>
      </w:r>
      <w:r>
        <w:rPr>
          <w:spacing w:val="2"/>
          <w:w w:val="99"/>
        </w:rPr>
        <w:t>业会</w:t>
      </w:r>
      <w:r>
        <w:rPr>
          <w:spacing w:val="4"/>
          <w:w w:val="99"/>
        </w:rPr>
        <w:t>计</w:t>
      </w:r>
      <w:r>
        <w:rPr>
          <w:spacing w:val="2"/>
          <w:w w:val="99"/>
        </w:rPr>
        <w:t>准则</w:t>
      </w:r>
      <w:r>
        <w:rPr>
          <w:spacing w:val="4"/>
          <w:w w:val="99"/>
        </w:rPr>
        <w:t>第</w:t>
      </w:r>
      <w:r>
        <w:rPr>
          <w:spacing w:val="1"/>
          <w:w w:val="99"/>
        </w:rPr>
        <w:t>23</w:t>
      </w:r>
      <w:r>
        <w:rPr>
          <w:spacing w:val="2"/>
          <w:w w:val="99"/>
        </w:rPr>
        <w:t>号</w:t>
      </w:r>
      <w:r>
        <w:rPr>
          <w:spacing w:val="1"/>
          <w:w w:val="99"/>
        </w:rPr>
        <w:t>-</w:t>
      </w:r>
      <w:r>
        <w:rPr>
          <w:spacing w:val="2"/>
          <w:w w:val="99"/>
        </w:rPr>
        <w:t>金融</w:t>
      </w:r>
      <w:r>
        <w:rPr>
          <w:spacing w:val="4"/>
          <w:w w:val="99"/>
        </w:rPr>
        <w:t>资</w:t>
      </w:r>
      <w:r>
        <w:rPr>
          <w:spacing w:val="2"/>
          <w:w w:val="99"/>
        </w:rPr>
        <w:t>产转移</w:t>
      </w:r>
      <w:r>
        <w:rPr>
          <w:spacing w:val="4"/>
          <w:w w:val="99"/>
        </w:rPr>
        <w:t>》</w:t>
      </w:r>
      <w:r>
        <w:rPr>
          <w:spacing w:val="2"/>
          <w:w w:val="99"/>
        </w:rPr>
        <w:t>和《企</w:t>
      </w:r>
      <w:r>
        <w:rPr>
          <w:spacing w:val="4"/>
          <w:w w:val="99"/>
        </w:rPr>
        <w:t>业</w:t>
      </w:r>
      <w:r>
        <w:rPr>
          <w:spacing w:val="2"/>
          <w:w w:val="99"/>
        </w:rPr>
        <w:t>会计准</w:t>
      </w:r>
      <w:r>
        <w:rPr>
          <w:spacing w:val="4"/>
          <w:w w:val="99"/>
        </w:rPr>
        <w:t>则第</w:t>
      </w:r>
      <w:r>
        <w:rPr>
          <w:spacing w:val="1"/>
          <w:w w:val="99"/>
        </w:rPr>
        <w:t>2</w:t>
      </w:r>
      <w:r>
        <w:rPr>
          <w:spacing w:val="-2"/>
          <w:w w:val="99"/>
        </w:rPr>
        <w:t>4</w:t>
      </w:r>
      <w:r>
        <w:rPr>
          <w:spacing w:val="4"/>
          <w:w w:val="99"/>
        </w:rPr>
        <w:t>号</w:t>
      </w:r>
      <w:r>
        <w:rPr>
          <w:spacing w:val="1"/>
          <w:w w:val="99"/>
        </w:rPr>
        <w:t>-</w:t>
      </w:r>
      <w:r>
        <w:rPr>
          <w:spacing w:val="2"/>
          <w:w w:val="99"/>
        </w:rPr>
        <w:t>套期</w:t>
      </w:r>
      <w:r>
        <w:rPr>
          <w:spacing w:val="4"/>
          <w:w w:val="99"/>
        </w:rPr>
        <w:t>会</w:t>
      </w:r>
      <w:r>
        <w:rPr>
          <w:spacing w:val="2"/>
          <w:w w:val="99"/>
        </w:rPr>
        <w:t>计</w:t>
      </w:r>
      <w:r>
        <w:rPr>
          <w:spacing w:val="-101"/>
          <w:w w:val="99"/>
        </w:rPr>
        <w:t>》</w:t>
      </w:r>
      <w:r>
        <w:rPr>
          <w:spacing w:val="-104"/>
          <w:w w:val="99"/>
        </w:rPr>
        <w:t>、</w:t>
      </w:r>
      <w:r>
        <w:rPr>
          <w:spacing w:val="2"/>
          <w:w w:val="99"/>
        </w:rPr>
        <w:t>《企</w:t>
      </w:r>
      <w:r>
        <w:rPr>
          <w:spacing w:val="4"/>
          <w:w w:val="99"/>
        </w:rPr>
        <w:t>业</w:t>
      </w:r>
      <w:r>
        <w:rPr>
          <w:spacing w:val="2"/>
          <w:w w:val="99"/>
        </w:rPr>
        <w:t>会计准</w:t>
      </w:r>
      <w:r>
        <w:rPr>
          <w:spacing w:val="4"/>
          <w:w w:val="99"/>
        </w:rPr>
        <w:t>则</w:t>
      </w:r>
      <w:r>
        <w:rPr>
          <w:spacing w:val="2"/>
          <w:w w:val="99"/>
        </w:rPr>
        <w:t>第</w:t>
      </w:r>
      <w:r>
        <w:rPr>
          <w:spacing w:val="1"/>
          <w:w w:val="99"/>
        </w:rPr>
        <w:t>37</w:t>
      </w:r>
      <w:r>
        <w:rPr>
          <w:spacing w:val="4"/>
          <w:w w:val="99"/>
        </w:rPr>
        <w:t>号</w:t>
      </w:r>
      <w:r>
        <w:rPr>
          <w:spacing w:val="1"/>
          <w:w w:val="99"/>
        </w:rPr>
        <w:t>-</w:t>
      </w:r>
      <w:r>
        <w:rPr>
          <w:spacing w:val="2"/>
          <w:w w:val="99"/>
        </w:rPr>
        <w:t>金融</w:t>
      </w:r>
      <w:r>
        <w:rPr>
          <w:w w:val="99"/>
        </w:rPr>
        <w:t>工</w:t>
      </w:r>
      <w:r>
        <w:rPr>
          <w:w w:val="99"/>
        </w:rPr>
        <w:t> </w:t>
      </w:r>
      <w:r>
        <w:rPr>
          <w:spacing w:val="-1"/>
          <w:w w:val="99"/>
        </w:rPr>
        <w:t>具</w:t>
      </w:r>
      <w:r>
        <w:rPr>
          <w:spacing w:val="2"/>
          <w:w w:val="99"/>
        </w:rPr>
        <w:t>列报</w:t>
      </w:r>
      <w:r>
        <w:rPr>
          <w:spacing w:val="-104"/>
          <w:w w:val="99"/>
        </w:rPr>
        <w:t>》</w:t>
      </w:r>
      <w:r>
        <w:rPr>
          <w:spacing w:val="-1"/>
          <w:w w:val="99"/>
        </w:rPr>
        <w:t>（</w:t>
      </w:r>
      <w:r>
        <w:rPr>
          <w:spacing w:val="2"/>
          <w:w w:val="99"/>
        </w:rPr>
        <w:t>以</w:t>
      </w:r>
      <w:r>
        <w:rPr>
          <w:spacing w:val="-1"/>
          <w:w w:val="99"/>
        </w:rPr>
        <w:t>上</w:t>
      </w:r>
      <w:r>
        <w:rPr>
          <w:spacing w:val="2"/>
          <w:w w:val="99"/>
        </w:rPr>
        <w:t>四</w:t>
      </w:r>
      <w:r>
        <w:rPr>
          <w:spacing w:val="-1"/>
          <w:w w:val="99"/>
        </w:rPr>
        <w:t>项</w:t>
      </w:r>
      <w:r>
        <w:rPr>
          <w:spacing w:val="2"/>
          <w:w w:val="99"/>
        </w:rPr>
        <w:t>统</w:t>
      </w:r>
      <w:r>
        <w:rPr>
          <w:spacing w:val="-1"/>
          <w:w w:val="99"/>
        </w:rPr>
        <w:t>称</w:t>
      </w:r>
      <w:r>
        <w:rPr>
          <w:spacing w:val="1"/>
          <w:w w:val="99"/>
        </w:rPr>
        <w:t>&lt;</w:t>
      </w:r>
      <w:r>
        <w:rPr>
          <w:spacing w:val="-1"/>
          <w:w w:val="99"/>
        </w:rPr>
        <w:t>新</w:t>
      </w:r>
      <w:r>
        <w:rPr>
          <w:spacing w:val="2"/>
          <w:w w:val="99"/>
        </w:rPr>
        <w:t>金</w:t>
      </w:r>
      <w:r>
        <w:rPr>
          <w:spacing w:val="-1"/>
          <w:w w:val="99"/>
        </w:rPr>
        <w:t>融</w:t>
      </w:r>
      <w:r>
        <w:rPr>
          <w:spacing w:val="2"/>
          <w:w w:val="99"/>
        </w:rPr>
        <w:t>工</w:t>
      </w:r>
      <w:r>
        <w:rPr>
          <w:spacing w:val="-1"/>
          <w:w w:val="99"/>
        </w:rPr>
        <w:t>具</w:t>
      </w:r>
      <w:r>
        <w:rPr>
          <w:spacing w:val="2"/>
          <w:w w:val="99"/>
        </w:rPr>
        <w:t>准</w:t>
      </w:r>
      <w:r>
        <w:rPr>
          <w:spacing w:val="-1"/>
          <w:w w:val="99"/>
        </w:rPr>
        <w:t>则</w:t>
      </w:r>
      <w:r>
        <w:rPr>
          <w:spacing w:val="1"/>
          <w:w w:val="99"/>
        </w:rPr>
        <w:t>&gt;</w:t>
      </w:r>
      <w:r>
        <w:rPr>
          <w:spacing w:val="-104"/>
          <w:w w:val="99"/>
        </w:rPr>
        <w:t>）</w:t>
      </w:r>
      <w:r>
        <w:rPr>
          <w:spacing w:val="-1"/>
          <w:w w:val="99"/>
        </w:rPr>
        <w:t>，</w:t>
      </w:r>
      <w:r>
        <w:rPr>
          <w:spacing w:val="2"/>
          <w:w w:val="99"/>
        </w:rPr>
        <w:t>变</w:t>
      </w:r>
      <w:r>
        <w:rPr>
          <w:spacing w:val="-1"/>
          <w:w w:val="99"/>
        </w:rPr>
        <w:t>更</w:t>
      </w:r>
      <w:r>
        <w:rPr>
          <w:spacing w:val="2"/>
          <w:w w:val="99"/>
        </w:rPr>
        <w:t>后</w:t>
      </w:r>
      <w:r>
        <w:rPr>
          <w:spacing w:val="-1"/>
          <w:w w:val="99"/>
        </w:rPr>
        <w:t>的</w:t>
      </w:r>
      <w:r>
        <w:rPr>
          <w:spacing w:val="2"/>
          <w:w w:val="99"/>
        </w:rPr>
        <w:t>会</w:t>
      </w:r>
      <w:r>
        <w:rPr>
          <w:spacing w:val="-1"/>
          <w:w w:val="99"/>
        </w:rPr>
        <w:t>计</w:t>
      </w:r>
      <w:r>
        <w:rPr>
          <w:spacing w:val="2"/>
          <w:w w:val="99"/>
        </w:rPr>
        <w:t>政</w:t>
      </w:r>
      <w:r>
        <w:rPr>
          <w:spacing w:val="-1"/>
          <w:w w:val="99"/>
        </w:rPr>
        <w:t>策</w:t>
      </w:r>
      <w:r>
        <w:rPr>
          <w:spacing w:val="2"/>
          <w:w w:val="99"/>
        </w:rPr>
        <w:t>详</w:t>
      </w:r>
      <w:r>
        <w:rPr>
          <w:spacing w:val="-1"/>
          <w:w w:val="99"/>
        </w:rPr>
        <w:t>见</w:t>
      </w:r>
      <w:r>
        <w:rPr>
          <w:spacing w:val="2"/>
          <w:w w:val="99"/>
        </w:rPr>
        <w:t>附</w:t>
      </w:r>
      <w:r>
        <w:rPr>
          <w:spacing w:val="-1"/>
          <w:w w:val="99"/>
        </w:rPr>
        <w:t>注</w:t>
      </w:r>
      <w:r>
        <w:rPr>
          <w:spacing w:val="2"/>
          <w:w w:val="99"/>
        </w:rPr>
        <w:t>四</w:t>
      </w:r>
      <w:r>
        <w:rPr>
          <w:w w:val="99"/>
        </w:rPr>
        <w:t>。</w:t>
      </w:r>
      <w:r>
        <w:rPr/>
      </w:r>
    </w:p>
    <w:p>
      <w:pPr>
        <w:pStyle w:val="BodyText"/>
        <w:spacing w:line="408" w:lineRule="auto" w:before="46"/>
        <w:ind w:right="1132" w:firstLine="420"/>
        <w:jc w:val="both"/>
      </w:pPr>
      <w:r>
        <w:rPr>
          <w:w w:val="95"/>
        </w:rPr>
        <w:t>本公司于2019年1月1日之前的金融工具确认和计量与新金融工具准则要求不一致的，本公司按照新金</w:t>
      </w:r>
      <w:r>
        <w:rPr>
          <w:w w:val="99"/>
        </w:rPr>
        <w:t> </w:t>
      </w:r>
      <w:r>
        <w:rPr>
          <w:w w:val="95"/>
        </w:rPr>
        <w:t>融工具准则的要求进行衔接调整。涉及前期比较财务报表数据与新金融工具准则要求不一致的，本公司未</w:t>
      </w:r>
      <w:r>
        <w:rPr>
          <w:spacing w:val="37"/>
          <w:w w:val="95"/>
        </w:rPr>
        <w:t> </w:t>
      </w:r>
      <w:r>
        <w:rPr>
          <w:spacing w:val="37"/>
          <w:w w:val="95"/>
        </w:rPr>
      </w:r>
      <w:r>
        <w:rPr>
          <w:w w:val="95"/>
        </w:rPr>
        <w:t>调整可比期间信息。金融工具原账面价值和新金融工具准则施行日的新账面价值之间的差额，计入2019年</w:t>
      </w:r>
      <w:r>
        <w:rPr>
          <w:spacing w:val="40"/>
          <w:w w:val="95"/>
        </w:rPr>
        <w:t> </w:t>
      </w:r>
      <w:r>
        <w:rPr>
          <w:spacing w:val="40"/>
          <w:w w:val="95"/>
        </w:rPr>
      </w:r>
      <w:r>
        <w:rPr/>
        <w:t>1月1日留存收益或其他综合收益。</w:t>
      </w:r>
    </w:p>
    <w:p>
      <w:pPr>
        <w:spacing w:after="0" w:line="408" w:lineRule="auto"/>
        <w:jc w:val="both"/>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240" w:lineRule="auto" w:before="34"/>
        <w:ind w:left="532" w:right="2127"/>
        <w:jc w:val="left"/>
      </w:pPr>
      <w:r>
        <w:rPr/>
        <w:t>执行新金融工具准则对本期期初资产负债表相关项目的影响列示如下：单位：元</w:t>
      </w:r>
    </w:p>
    <w:p>
      <w:pPr>
        <w:spacing w:line="240" w:lineRule="auto" w:before="13"/>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906"/>
        <w:gridCol w:w="1778"/>
        <w:gridCol w:w="1957"/>
        <w:gridCol w:w="1692"/>
      </w:tblGrid>
      <w:tr>
        <w:trPr>
          <w:trHeight w:val="666" w:hRule="exact"/>
        </w:trPr>
        <w:tc>
          <w:tcPr>
            <w:tcW w:w="2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51" w:right="0"/>
              <w:jc w:val="left"/>
              <w:rPr>
                <w:rFonts w:ascii="宋体" w:hAnsi="宋体" w:cs="宋体" w:eastAsia="宋体" w:hint="default"/>
                <w:sz w:val="18"/>
                <w:szCs w:val="18"/>
              </w:rPr>
            </w:pPr>
            <w:r>
              <w:rPr>
                <w:rFonts w:ascii="宋体" w:hAnsi="宋体" w:cs="宋体" w:eastAsia="宋体" w:hint="default"/>
                <w:sz w:val="18"/>
                <w:szCs w:val="18"/>
              </w:rPr>
              <w:t>2018年12月31日</w:t>
            </w:r>
          </w:p>
        </w:tc>
        <w:tc>
          <w:tcPr>
            <w:tcW w:w="195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20" w:right="1" w:hanging="519"/>
              <w:jc w:val="left"/>
              <w:rPr>
                <w:rFonts w:ascii="宋体" w:hAnsi="宋体" w:cs="宋体" w:eastAsia="宋体" w:hint="default"/>
                <w:sz w:val="18"/>
                <w:szCs w:val="18"/>
              </w:rPr>
            </w:pPr>
            <w:r>
              <w:rPr>
                <w:rFonts w:ascii="宋体" w:hAnsi="宋体" w:cs="宋体" w:eastAsia="宋体" w:hint="default"/>
                <w:spacing w:val="-4"/>
                <w:sz w:val="18"/>
                <w:szCs w:val="18"/>
              </w:rPr>
              <w:t>累积影响金额（分类和计</w:t>
            </w:r>
            <w:r>
              <w:rPr>
                <w:rFonts w:ascii="宋体" w:hAnsi="宋体" w:cs="宋体" w:eastAsia="宋体" w:hint="default"/>
                <w:sz w:val="18"/>
                <w:szCs w:val="18"/>
              </w:rPr>
              <w:t> 量的影响）</w:t>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2019年1月1日</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应收票据（注1）</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33,026,210.66</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w:t>
            </w:r>
            <w:r>
              <w:rPr>
                <w:rFonts w:ascii="宋体"/>
                <w:spacing w:val="-6"/>
                <w:sz w:val="18"/>
              </w:rPr>
              <w:t> </w:t>
            </w:r>
            <w:r>
              <w:rPr>
                <w:rFonts w:ascii="宋体"/>
                <w:sz w:val="18"/>
              </w:rPr>
              <w:t>31,086,210.66</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1,940,000.00</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应收款项融资（注1）</w:t>
            </w:r>
          </w:p>
        </w:tc>
        <w:tc>
          <w:tcPr>
            <w:tcW w:w="1778" w:type="dxa"/>
            <w:tcBorders>
              <w:top w:val="single" w:sz="12" w:space="0" w:color="000000"/>
              <w:left w:val="single" w:sz="6" w:space="0" w:color="000000"/>
              <w:bottom w:val="single" w:sz="12" w:space="0" w:color="000000"/>
              <w:right w:val="single" w:sz="6" w:space="0" w:color="000000"/>
            </w:tcBorders>
          </w:tcPr>
          <w:p>
            <w:pP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31,086,210.66</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31,086,210.66</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其他应收款（注2）</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87,707,125.96</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-880,947.95</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86,826,178.01</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货币资金（注2）</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885,857,429.84</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880,947.95</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886,738,377.79</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4,862,149.17</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-4,862,149.17</w:t>
            </w:r>
          </w:p>
        </w:tc>
        <w:tc>
          <w:tcPr>
            <w:tcW w:w="169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78" w:type="dxa"/>
            <w:tcBorders>
              <w:top w:val="single" w:sz="12" w:space="0" w:color="000000"/>
              <w:left w:val="single" w:sz="6" w:space="0" w:color="000000"/>
              <w:bottom w:val="single" w:sz="12" w:space="0" w:color="000000"/>
              <w:right w:val="single" w:sz="6" w:space="0" w:color="000000"/>
            </w:tcBorders>
          </w:tcPr>
          <w:p>
            <w:pP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4,862,149.17</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4,862,149.17</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083"/>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1,011,452,915.63</w:t>
            </w:r>
          </w:p>
        </w:tc>
        <w:tc>
          <w:tcPr>
            <w:tcW w:w="1957" w:type="dxa"/>
            <w:tcBorders>
              <w:top w:val="single" w:sz="12" w:space="0" w:color="000000"/>
              <w:left w:val="single" w:sz="6" w:space="0" w:color="000000"/>
              <w:bottom w:val="single" w:sz="12" w:space="0" w:color="000000"/>
              <w:right w:val="single" w:sz="6" w:space="0" w:color="000000"/>
            </w:tcBorders>
          </w:tcPr>
          <w:p>
            <w:pP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1,011,452,915.63</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短期借款（注2）</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27,000,000.00</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24,508.33</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27,024,508.33</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其他应付款（注2）</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48,394,404.88</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-24,508.33</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48,369,896.55</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083"/>
              <w:jc w:val="right"/>
              <w:rPr>
                <w:rFonts w:ascii="宋体" w:hAnsi="宋体" w:cs="宋体" w:eastAsia="宋体" w:hint="default"/>
                <w:sz w:val="18"/>
                <w:szCs w:val="18"/>
              </w:rPr>
            </w:pPr>
            <w:r>
              <w:rPr>
                <w:rFonts w:ascii="宋体" w:hAnsi="宋体" w:cs="宋体" w:eastAsia="宋体" w:hint="default"/>
                <w:sz w:val="18"/>
                <w:szCs w:val="18"/>
              </w:rPr>
              <w:t>负债合计</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75,394,404.88</w:t>
            </w:r>
          </w:p>
        </w:tc>
        <w:tc>
          <w:tcPr>
            <w:tcW w:w="1957" w:type="dxa"/>
            <w:tcBorders>
              <w:top w:val="single" w:sz="12" w:space="0" w:color="000000"/>
              <w:left w:val="single" w:sz="6" w:space="0" w:color="000000"/>
              <w:bottom w:val="single" w:sz="12" w:space="0" w:color="000000"/>
              <w:right w:val="single" w:sz="6" w:space="0" w:color="000000"/>
            </w:tcBorders>
          </w:tcPr>
          <w:p>
            <w:pP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75,394,404.88</w:t>
            </w:r>
          </w:p>
        </w:tc>
      </w:tr>
    </w:tbl>
    <w:p>
      <w:pPr>
        <w:pStyle w:val="BodyText"/>
        <w:spacing w:line="408" w:lineRule="auto" w:before="65"/>
        <w:ind w:right="1131" w:firstLine="420"/>
        <w:jc w:val="both"/>
      </w:pPr>
      <w:r>
        <w:rPr>
          <w:spacing w:val="13"/>
        </w:rPr>
        <w:t>注1：执行本准则对首次执行日财务报表相关项目重分类情况说明:于2019年1月1日，账面价值</w:t>
      </w:r>
      <w:r>
        <w:rPr>
          <w:w w:val="99"/>
        </w:rPr>
        <w:t> </w:t>
      </w:r>
      <w:r>
        <w:rPr>
          <w:spacing w:val="2"/>
          <w:w w:val="95"/>
        </w:rPr>
        <w:t>31,086,210.66元的以前年度被分类为摊余成本计量的应收票据，本公司管理该金额资产的业务模式是收</w:t>
      </w:r>
      <w:r>
        <w:rPr>
          <w:spacing w:val="34"/>
          <w:w w:val="95"/>
        </w:rPr>
        <w:t> </w:t>
      </w:r>
      <w:r>
        <w:rPr>
          <w:spacing w:val="34"/>
          <w:w w:val="95"/>
        </w:rPr>
      </w:r>
      <w:r>
        <w:rPr>
          <w:spacing w:val="2"/>
          <w:w w:val="95"/>
        </w:rPr>
        <w:t>取合同现金流量和出售两者兼有，应分类为“以公允价值计量且其变动计入其他综合收益的金融资产”,</w:t>
      </w:r>
      <w:r>
        <w:rPr>
          <w:spacing w:val="49"/>
          <w:w w:val="95"/>
        </w:rPr>
        <w:t> </w:t>
      </w:r>
      <w:r>
        <w:rPr>
          <w:spacing w:val="49"/>
          <w:w w:val="95"/>
        </w:rPr>
      </w:r>
      <w:r>
        <w:rPr/>
        <w:t>因此该部分金额从应收票据重分类至应收款项融资。</w:t>
      </w:r>
    </w:p>
    <w:p>
      <w:pPr>
        <w:pStyle w:val="BodyText"/>
        <w:spacing w:line="408" w:lineRule="auto" w:before="46"/>
        <w:ind w:right="1132" w:firstLine="420"/>
        <w:jc w:val="both"/>
      </w:pPr>
      <w:r>
        <w:rPr>
          <w:spacing w:val="2"/>
          <w:w w:val="95"/>
        </w:rPr>
        <w:t>注2：将基于实际利率法计提的金融工具的利息调整至相应金融工具账面余额，调减其他应收款中应</w:t>
      </w:r>
      <w:r>
        <w:rPr>
          <w:spacing w:val="-84"/>
          <w:w w:val="95"/>
        </w:rPr>
        <w:t> </w:t>
      </w:r>
      <w:r>
        <w:rPr>
          <w:spacing w:val="-84"/>
          <w:w w:val="95"/>
        </w:rPr>
      </w:r>
      <w:r>
        <w:rPr>
          <w:w w:val="95"/>
        </w:rPr>
        <w:t>收利息金额880,947.95元，同时调增货币资金中未到期应收利息账面金额880,947.95元；调减其他应付款</w:t>
      </w:r>
      <w:r>
        <w:rPr>
          <w:spacing w:val="40"/>
          <w:w w:val="95"/>
        </w:rPr>
        <w:t> </w:t>
      </w:r>
      <w:r>
        <w:rPr>
          <w:spacing w:val="40"/>
          <w:w w:val="95"/>
        </w:rPr>
      </w:r>
      <w:r>
        <w:rPr/>
        <w:t>中应付利息金额24,508.33元，同时调增短期借款账面金额24,508.33元。</w:t>
      </w:r>
    </w:p>
    <w:p>
      <w:pPr>
        <w:pStyle w:val="BodyText"/>
        <w:spacing w:line="408" w:lineRule="auto" w:before="46"/>
        <w:ind w:right="1130" w:firstLine="420"/>
        <w:jc w:val="both"/>
      </w:pPr>
      <w:r>
        <w:rPr>
          <w:w w:val="99"/>
        </w:rPr>
        <w:t>2、财政部于2019年发布了《关于修订印发2019年度一般企业财务报表格式的通知》（财会〔2019〕6 </w:t>
      </w:r>
      <w:r>
        <w:rPr>
          <w:spacing w:val="-4"/>
          <w:w w:val="99"/>
        </w:rPr>
        <w:t>号）和《关于修订印发合并财务报表格式(2019版)的通知》（财会〔2019〕16号），对一般企业财务报表格</w:t>
      </w:r>
      <w:r>
        <w:rPr>
          <w:spacing w:val="-97"/>
          <w:w w:val="99"/>
        </w:rPr>
        <w:t> </w:t>
      </w:r>
      <w:r>
        <w:rPr>
          <w:spacing w:val="-97"/>
          <w:w w:val="99"/>
        </w:rPr>
      </w:r>
      <w:r>
        <w:rPr>
          <w:w w:val="95"/>
        </w:rPr>
        <w:t>式进行了修订，拆分部分资产负债表项目和调整利润表项目等。本公司已经根据新的企业财务报表格式的</w:t>
      </w:r>
      <w:r>
        <w:rPr>
          <w:spacing w:val="37"/>
          <w:w w:val="95"/>
        </w:rPr>
        <w:t> </w:t>
      </w:r>
      <w:r>
        <w:rPr>
          <w:spacing w:val="37"/>
          <w:w w:val="95"/>
        </w:rPr>
      </w:r>
      <w:r>
        <w:rPr>
          <w:w w:val="95"/>
        </w:rPr>
        <w:t>要求编制财务报表，财务报表的列报项目因此发生变更的，已经按照《企业会计准则第30号——财务报表</w:t>
      </w:r>
      <w:r>
        <w:rPr>
          <w:spacing w:val="43"/>
          <w:w w:val="95"/>
        </w:rPr>
        <w:t> </w:t>
      </w:r>
      <w:r>
        <w:rPr>
          <w:spacing w:val="43"/>
          <w:w w:val="95"/>
        </w:rPr>
      </w:r>
      <w:r>
        <w:rPr/>
        <w:t>列报》等的相关规定，对可比期间的比较数据进行调整。</w:t>
      </w:r>
    </w:p>
    <w:p>
      <w:pPr>
        <w:pStyle w:val="BodyText"/>
        <w:spacing w:line="240" w:lineRule="auto" w:before="46"/>
        <w:ind w:left="532" w:right="2127"/>
        <w:jc w:val="left"/>
      </w:pPr>
      <w:r>
        <w:rPr/>
        <w:t>根据财会[2019]6</w:t>
      </w:r>
      <w:r>
        <w:rPr>
          <w:spacing w:val="-19"/>
        </w:rPr>
        <w:t> </w:t>
      </w:r>
      <w:r>
        <w:rPr/>
        <w:t>号文件有关规定，公司对财务报表格式进行以下主要变动：</w:t>
      </w:r>
    </w:p>
    <w:p>
      <w:pPr>
        <w:spacing w:line="240" w:lineRule="auto" w:before="10"/>
        <w:rPr>
          <w:rFonts w:ascii="宋体" w:hAnsi="宋体" w:cs="宋体" w:eastAsia="宋体" w:hint="default"/>
          <w:sz w:val="14"/>
          <w:szCs w:val="14"/>
        </w:rPr>
      </w:pPr>
    </w:p>
    <w:p>
      <w:pPr>
        <w:pStyle w:val="BodyText"/>
        <w:spacing w:line="408" w:lineRule="auto" w:before="0"/>
        <w:ind w:left="532" w:right="1120"/>
        <w:jc w:val="left"/>
      </w:pPr>
      <w:r>
        <w:rPr/>
        <w:t>（1）资产负债表</w:t>
      </w:r>
      <w:r>
        <w:rPr>
          <w:w w:val="99"/>
        </w:rPr>
        <w:t> </w:t>
      </w:r>
      <w:r>
        <w:rPr>
          <w:w w:val="95"/>
        </w:rPr>
        <w:t>资产负债表将原“应收票据及应收账款”项目拆分为“应收票据”和“应收账款”两个项目，资产负</w:t>
      </w:r>
      <w:r>
        <w:rPr/>
      </w:r>
    </w:p>
    <w:p>
      <w:pPr>
        <w:pStyle w:val="BodyText"/>
        <w:spacing w:line="408" w:lineRule="auto" w:before="46"/>
        <w:ind w:right="0"/>
        <w:jc w:val="left"/>
      </w:pPr>
      <w:r>
        <w:rPr>
          <w:w w:val="95"/>
        </w:rPr>
        <w:t>债表将原“应付票据及应付账款”项目拆分为“应付票据”和“应付账款”两个项目。新增“应收款项融</w:t>
      </w:r>
      <w:r>
        <w:rPr>
          <w:spacing w:val="38"/>
          <w:w w:val="95"/>
        </w:rPr>
        <w:t> </w:t>
      </w:r>
      <w:r>
        <w:rPr>
          <w:spacing w:val="38"/>
          <w:w w:val="95"/>
        </w:rPr>
      </w:r>
      <w:r>
        <w:rPr/>
        <w:t>资”项目反映以公允价值计量且其变动计入其他综合收益的应收票据和应收账款等。</w:t>
      </w:r>
    </w:p>
    <w:p>
      <w:pPr>
        <w:pStyle w:val="BodyText"/>
        <w:spacing w:line="240" w:lineRule="auto" w:before="46"/>
        <w:ind w:left="532" w:right="2127"/>
        <w:jc w:val="left"/>
      </w:pPr>
      <w:r>
        <w:rPr/>
        <w:t>（2）利润表</w:t>
      </w:r>
    </w:p>
    <w:p>
      <w:pPr>
        <w:spacing w:line="240" w:lineRule="auto" w:before="10"/>
        <w:rPr>
          <w:rFonts w:ascii="宋体" w:hAnsi="宋体" w:cs="宋体" w:eastAsia="宋体" w:hint="default"/>
          <w:sz w:val="14"/>
          <w:szCs w:val="14"/>
        </w:rPr>
      </w:pPr>
    </w:p>
    <w:p>
      <w:pPr>
        <w:pStyle w:val="BodyText"/>
        <w:spacing w:line="240" w:lineRule="auto" w:before="0"/>
        <w:ind w:left="532" w:right="0"/>
        <w:jc w:val="left"/>
      </w:pPr>
      <w:r>
        <w:rPr>
          <w:spacing w:val="2"/>
          <w:w w:val="99"/>
        </w:rPr>
        <w:t>将</w:t>
      </w:r>
      <w:r>
        <w:rPr>
          <w:spacing w:val="4"/>
          <w:w w:val="99"/>
        </w:rPr>
        <w:t>利</w:t>
      </w:r>
      <w:r>
        <w:rPr>
          <w:spacing w:val="2"/>
          <w:w w:val="99"/>
        </w:rPr>
        <w:t>润表</w:t>
      </w:r>
      <w:r>
        <w:rPr>
          <w:spacing w:val="4"/>
          <w:w w:val="99"/>
        </w:rPr>
        <w:t>“</w:t>
      </w:r>
      <w:r>
        <w:rPr>
          <w:spacing w:val="2"/>
          <w:w w:val="99"/>
        </w:rPr>
        <w:t>减</w:t>
      </w:r>
      <w:r>
        <w:rPr>
          <w:spacing w:val="4"/>
          <w:w w:val="99"/>
        </w:rPr>
        <w:t>：</w:t>
      </w:r>
      <w:r>
        <w:rPr>
          <w:spacing w:val="2"/>
          <w:w w:val="99"/>
        </w:rPr>
        <w:t>资产减</w:t>
      </w:r>
      <w:r>
        <w:rPr>
          <w:spacing w:val="4"/>
          <w:w w:val="99"/>
        </w:rPr>
        <w:t>值</w:t>
      </w:r>
      <w:r>
        <w:rPr>
          <w:spacing w:val="2"/>
          <w:w w:val="99"/>
        </w:rPr>
        <w:t>损失”调</w:t>
      </w:r>
      <w:r>
        <w:rPr>
          <w:spacing w:val="4"/>
          <w:w w:val="99"/>
        </w:rPr>
        <w:t>整</w:t>
      </w:r>
      <w:r>
        <w:rPr>
          <w:spacing w:val="2"/>
          <w:w w:val="99"/>
        </w:rPr>
        <w:t>为“加</w:t>
      </w:r>
      <w:r>
        <w:rPr>
          <w:spacing w:val="4"/>
          <w:w w:val="99"/>
        </w:rPr>
        <w:t>：</w:t>
      </w:r>
      <w:r>
        <w:rPr>
          <w:spacing w:val="2"/>
          <w:w w:val="99"/>
        </w:rPr>
        <w:t>资产减</w:t>
      </w:r>
      <w:r>
        <w:rPr>
          <w:spacing w:val="4"/>
          <w:w w:val="99"/>
        </w:rPr>
        <w:t>值</w:t>
      </w:r>
      <w:r>
        <w:rPr>
          <w:spacing w:val="2"/>
          <w:w w:val="99"/>
        </w:rPr>
        <w:t>损失</w:t>
      </w:r>
      <w:r>
        <w:rPr>
          <w:spacing w:val="4"/>
          <w:w w:val="99"/>
        </w:rPr>
        <w:t>（</w:t>
      </w:r>
      <w:r>
        <w:rPr>
          <w:spacing w:val="2"/>
          <w:w w:val="99"/>
        </w:rPr>
        <w:t>损失</w:t>
      </w:r>
      <w:r>
        <w:rPr>
          <w:spacing w:val="4"/>
          <w:w w:val="99"/>
        </w:rPr>
        <w:t>以</w:t>
      </w:r>
      <w:r>
        <w:rPr>
          <w:spacing w:val="2"/>
          <w:w w:val="99"/>
        </w:rPr>
        <w:t>“</w:t>
      </w:r>
      <w:r>
        <w:rPr>
          <w:spacing w:val="3"/>
          <w:w w:val="99"/>
        </w:rPr>
        <w:t>-</w:t>
      </w:r>
      <w:r>
        <w:rPr>
          <w:spacing w:val="2"/>
          <w:w w:val="99"/>
        </w:rPr>
        <w:t>”号</w:t>
      </w:r>
      <w:r>
        <w:rPr>
          <w:spacing w:val="4"/>
          <w:w w:val="99"/>
        </w:rPr>
        <w:t>填</w:t>
      </w:r>
      <w:r>
        <w:rPr>
          <w:spacing w:val="2"/>
          <w:w w:val="99"/>
        </w:rPr>
        <w:t>列</w:t>
      </w:r>
      <w:r>
        <w:rPr>
          <w:spacing w:val="-104"/>
          <w:w w:val="99"/>
        </w:rPr>
        <w:t>）</w:t>
      </w:r>
      <w:r>
        <w:rPr>
          <w:spacing w:val="-101"/>
          <w:w w:val="99"/>
        </w:rPr>
        <w:t>”</w:t>
      </w:r>
      <w:r>
        <w:rPr>
          <w:spacing w:val="2"/>
          <w:w w:val="99"/>
        </w:rPr>
        <w:t>。</w:t>
      </w:r>
      <w:r>
        <w:rPr>
          <w:spacing w:val="4"/>
          <w:w w:val="99"/>
        </w:rPr>
        <w:t>在</w:t>
      </w:r>
      <w:r>
        <w:rPr>
          <w:spacing w:val="2"/>
          <w:w w:val="99"/>
        </w:rPr>
        <w:t>利润表</w:t>
      </w:r>
      <w:r>
        <w:rPr>
          <w:spacing w:val="4"/>
          <w:w w:val="99"/>
        </w:rPr>
        <w:t>中</w:t>
      </w:r>
      <w:r>
        <w:rPr>
          <w:w w:val="99"/>
        </w:rPr>
        <w:t>新</w:t>
      </w:r>
      <w:r>
        <w:rPr/>
      </w:r>
    </w:p>
    <w:p>
      <w:pPr>
        <w:spacing w:after="0" w:line="240" w:lineRule="auto"/>
        <w:jc w:val="left"/>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025"/>
        <w:jc w:val="left"/>
      </w:pPr>
      <w:r>
        <w:rPr>
          <w:spacing w:val="-4"/>
          <w:w w:val="99"/>
        </w:rPr>
        <w:t>增“信用减值损失”项目，并将“资产减值损失”、“信用减值损失”项目位置放至“公允价值变动收益”</w:t>
      </w:r>
      <w:r>
        <w:rPr>
          <w:spacing w:val="-102"/>
          <w:w w:val="99"/>
        </w:rPr>
        <w:t> </w:t>
      </w:r>
      <w:r>
        <w:rPr>
          <w:spacing w:val="-102"/>
          <w:w w:val="99"/>
        </w:rPr>
      </w:r>
      <w:r>
        <w:rPr/>
        <w:t>之后。</w:t>
      </w:r>
    </w:p>
    <w:p>
      <w:pPr>
        <w:pStyle w:val="BodyText"/>
        <w:spacing w:line="408" w:lineRule="auto" w:before="46"/>
        <w:ind w:left="532" w:right="1120"/>
        <w:jc w:val="left"/>
      </w:pPr>
      <w:r>
        <w:rPr/>
        <w:t>（3）现金流量表</w:t>
      </w:r>
      <w:r>
        <w:rPr>
          <w:w w:val="99"/>
        </w:rPr>
        <w:t> </w:t>
      </w:r>
      <w:r>
        <w:rPr>
          <w:w w:val="95"/>
        </w:rPr>
        <w:t>现金流量表明确了政府补助的填列口径，企业实际收到的政府补助，无论是与资产相关还是与收益相</w:t>
      </w:r>
      <w:r>
        <w:rPr/>
      </w:r>
    </w:p>
    <w:p>
      <w:pPr>
        <w:pStyle w:val="BodyText"/>
        <w:spacing w:line="240" w:lineRule="auto" w:before="46"/>
        <w:ind w:right="2127"/>
        <w:jc w:val="left"/>
      </w:pPr>
      <w:r>
        <w:rPr/>
        <w:t>关，均在“收到其他与经营活动有关的现金”项目填列。</w:t>
      </w:r>
    </w:p>
    <w:p>
      <w:pPr>
        <w:spacing w:line="240" w:lineRule="auto" w:before="10"/>
        <w:rPr>
          <w:rFonts w:ascii="宋体" w:hAnsi="宋体" w:cs="宋体" w:eastAsia="宋体" w:hint="default"/>
          <w:sz w:val="14"/>
          <w:szCs w:val="14"/>
        </w:rPr>
      </w:pPr>
    </w:p>
    <w:p>
      <w:pPr>
        <w:pStyle w:val="BodyText"/>
        <w:spacing w:line="408" w:lineRule="auto" w:before="0"/>
        <w:ind w:left="532" w:right="0"/>
        <w:jc w:val="left"/>
      </w:pPr>
      <w:r>
        <w:rPr/>
        <w:t>（4）所有者权益变动表</w:t>
      </w:r>
      <w:r>
        <w:rPr>
          <w:w w:val="99"/>
        </w:rPr>
        <w:t> 所有者权益变动表，明确了“其他权益工具持有者投入资本”项目的填列口径，“其他权益工具持有</w:t>
      </w:r>
      <w:r>
        <w:rPr/>
      </w:r>
    </w:p>
    <w:p>
      <w:pPr>
        <w:pStyle w:val="BodyText"/>
        <w:spacing w:line="408" w:lineRule="auto" w:before="46"/>
        <w:ind w:right="0"/>
        <w:jc w:val="left"/>
      </w:pPr>
      <w:r>
        <w:rPr>
          <w:w w:val="95"/>
        </w:rPr>
        <w:t>者投入资本”项目，反映企业发行的除普通股以外分类为权益工具的金融工具的持有者投入资本的金额。</w:t>
      </w:r>
      <w:r>
        <w:rPr>
          <w:spacing w:val="61"/>
          <w:w w:val="95"/>
        </w:rPr>
        <w:t> </w:t>
      </w:r>
      <w:r>
        <w:rPr>
          <w:spacing w:val="61"/>
          <w:w w:val="95"/>
        </w:rPr>
      </w:r>
      <w:r>
        <w:rPr/>
        <w:t>该项目根据金融工具类科目的相关明细科目的发生额分析填列。</w:t>
      </w:r>
    </w:p>
    <w:p>
      <w:pPr>
        <w:pStyle w:val="BodyText"/>
        <w:spacing w:line="240" w:lineRule="auto" w:before="46"/>
        <w:ind w:left="532" w:right="2127"/>
        <w:jc w:val="left"/>
      </w:pPr>
      <w:r>
        <w:rPr/>
        <w:t>对可比期间的财务报表列报项目及金额的影响如下：单位：元</w:t>
      </w:r>
    </w:p>
    <w:p>
      <w:pPr>
        <w:spacing w:line="240" w:lineRule="auto" w:before="13"/>
        <w:rPr>
          <w:rFonts w:ascii="宋体" w:hAnsi="宋体" w:cs="宋体" w:eastAsia="宋体" w:hint="default"/>
          <w:sz w:val="9"/>
          <w:szCs w:val="9"/>
        </w:rPr>
      </w:pPr>
    </w:p>
    <w:tbl>
      <w:tblPr>
        <w:tblW w:w="0" w:type="auto"/>
        <w:jc w:val="left"/>
        <w:tblInd w:w="140" w:type="dxa"/>
        <w:tblLayout w:type="fixed"/>
        <w:tblCellMar>
          <w:top w:w="0" w:type="dxa"/>
          <w:left w:w="0" w:type="dxa"/>
          <w:bottom w:w="0" w:type="dxa"/>
          <w:right w:w="0" w:type="dxa"/>
        </w:tblCellMar>
        <w:tblLook w:val="01E0"/>
      </w:tblPr>
      <w:tblGrid>
        <w:gridCol w:w="3402"/>
        <w:gridCol w:w="1559"/>
        <w:gridCol w:w="1701"/>
        <w:gridCol w:w="1701"/>
      </w:tblGrid>
      <w:tr>
        <w:trPr>
          <w:trHeight w:val="354" w:hRule="exact"/>
        </w:trPr>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7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33,026,210.66</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33,026,210.66</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439,790,844.95</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439,790,844.95</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472,817,055.61</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-472,817,055.61</w:t>
            </w: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22,004,085.71</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22,004,085.71</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468,651,800.35</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468,651,800.35</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490,655,886.06</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-490,655,886.06</w:t>
            </w:r>
          </w:p>
        </w:tc>
        <w:tc>
          <w:tcPr>
            <w:tcW w:w="1701" w:type="dxa"/>
            <w:tcBorders>
              <w:top w:val="single" w:sz="12" w:space="0" w:color="000000"/>
              <w:left w:val="single" w:sz="6" w:space="0" w:color="000000"/>
              <w:bottom w:val="single" w:sz="12" w:space="0" w:color="000000"/>
              <w:right w:val="nil" w:sz="6" w:space="0" w:color="auto"/>
            </w:tcBorders>
          </w:tcPr>
          <w:p>
            <w:pPr/>
          </w:p>
        </w:tc>
      </w:tr>
    </w:tbl>
    <w:p>
      <w:pPr>
        <w:pStyle w:val="BodyText"/>
        <w:spacing w:line="408" w:lineRule="auto" w:before="64"/>
        <w:ind w:right="0" w:firstLine="420"/>
        <w:jc w:val="left"/>
      </w:pPr>
      <w:r>
        <w:rPr>
          <w:spacing w:val="-1"/>
          <w:w w:val="99"/>
        </w:rPr>
        <w:t>3、公司自2019年6月10日起执行财政部2019年修订的《企业会计准则第7</w:t>
      </w:r>
      <w:r>
        <w:rPr>
          <w:spacing w:val="31"/>
          <w:w w:val="99"/>
        </w:rPr>
        <w:t> </w:t>
      </w:r>
      <w:r>
        <w:rPr>
          <w:spacing w:val="-8"/>
          <w:w w:val="99"/>
        </w:rPr>
        <w:t>号——非货币性资产交换》，</w:t>
      </w:r>
      <w:r>
        <w:rPr>
          <w:w w:val="99"/>
        </w:rPr>
        <w:t> </w:t>
      </w:r>
      <w:r>
        <w:rPr>
          <w:spacing w:val="-2"/>
          <w:w w:val="99"/>
        </w:rPr>
        <w:t>自2019年6月17日起执行财政部2019年修订的《企业会计准则第12号——债务重组》。该项会计政策变更采</w:t>
      </w:r>
      <w:r>
        <w:rPr>
          <w:spacing w:val="-101"/>
          <w:w w:val="99"/>
        </w:rPr>
        <w:t> </w:t>
      </w:r>
      <w:r>
        <w:rPr>
          <w:spacing w:val="-101"/>
          <w:w w:val="99"/>
        </w:rPr>
      </w:r>
      <w:r>
        <w:rPr/>
        <w:t>用未来适用法处理，并根据准则的规定对于2019年1月1日至准则实施日之间发生的非货币性资产交换和债</w:t>
      </w:r>
      <w:r>
        <w:rPr>
          <w:w w:val="99"/>
        </w:rPr>
        <w:t> </w:t>
      </w:r>
      <w:r>
        <w:rPr/>
        <w:t>务重组进行调整。</w:t>
      </w:r>
    </w:p>
    <w:p>
      <w:pPr>
        <w:pStyle w:val="BodyText"/>
        <w:spacing w:line="240" w:lineRule="auto" w:before="46"/>
        <w:ind w:left="532" w:right="2127"/>
        <w:jc w:val="left"/>
      </w:pPr>
      <w:r>
        <w:rPr/>
        <w:t>公司执行上述准则对本报告期内财务报表无重大影响。</w:t>
      </w:r>
    </w:p>
    <w:p>
      <w:pPr>
        <w:spacing w:line="240" w:lineRule="auto" w:before="0"/>
        <w:rPr>
          <w:rFonts w:ascii="宋体" w:hAnsi="宋体" w:cs="宋体" w:eastAsia="宋体" w:hint="default"/>
          <w:sz w:val="20"/>
          <w:szCs w:val="20"/>
        </w:rPr>
      </w:pPr>
    </w:p>
    <w:p>
      <w:pPr>
        <w:pStyle w:val="Heading4"/>
        <w:spacing w:line="240" w:lineRule="auto" w:before="131"/>
        <w:ind w:right="2127"/>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pStyle w:val="BodyText"/>
        <w:spacing w:line="408" w:lineRule="auto" w:before="0"/>
        <w:ind w:left="532" w:right="0"/>
        <w:jc w:val="left"/>
      </w:pPr>
      <w:r>
        <w:rPr/>
        <w:pict>
          <v:group style="position:absolute;margin-left:83.370003pt;margin-top:43.253677pt;width:428.2pt;height:19.05pt;mso-position-horizontal-relative:page;mso-position-vertical-relative:paragraph;z-index:-1321576" coordorigin="1667,865" coordsize="8564,381">
            <v:group style="position:absolute;left:1682;top:879;width:8536;height:2" coordorigin="1682,879" coordsize="8536,2">
              <v:shape style="position:absolute;left:1682;top:879;width:8536;height:2" coordorigin="1682,879" coordsize="8536,0" path="m1682,879l10217,879e" filled="false" stroked="true" strokeweight=".72pt" strokecolor="#000000">
                <v:path arrowok="t"/>
              </v:shape>
            </v:group>
            <v:group style="position:absolute;left:1682;top:1232;width:8536;height:2" coordorigin="1682,1232" coordsize="8536,2">
              <v:shape style="position:absolute;left:1682;top:1232;width:8536;height:2" coordorigin="1682,1232" coordsize="8536,0" path="m1682,1232l10217,1232e" filled="false" stroked="true" strokeweight="1.44pt" strokecolor="#000000">
                <v:path arrowok="t"/>
              </v:shape>
            </v:group>
            <v:group style="position:absolute;left:1689;top:872;width:2;height:345" coordorigin="1689,872" coordsize="2,345">
              <v:shape style="position:absolute;left:1689;top:872;width:2;height:345" coordorigin="1689,872" coordsize="0,345" path="m1689,872l1689,1217e" filled="false" stroked="true" strokeweight=".72pt" strokecolor="#000000">
                <v:path arrowok="t"/>
              </v:shape>
            </v:group>
            <v:group style="position:absolute;left:5058;top:872;width:2;height:345" coordorigin="5058,872" coordsize="2,345">
              <v:shape style="position:absolute;left:5058;top:872;width:2;height:345" coordorigin="5058,872" coordsize="0,345" path="m5058,872l5058,1217e" filled="false" stroked="true" strokeweight=".72pt" strokecolor="#000000">
                <v:path arrowok="t"/>
              </v:shape>
              <v:shape style="position:absolute;left:1689;top:879;width:3369;height:353" type="#_x0000_t202" filled="false" stroked="false">
                <v:textbox inset="0,0,0,0">
                  <w:txbxContent>
                    <w:p>
                      <w:pPr>
                        <w:spacing w:before="26"/>
                        <w:ind w:left="0" w:right="2" w:firstLine="0"/>
                        <w:jc w:val="center"/>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7277;top:9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变更原因</w:t>
                      </w:r>
                    </w:p>
                  </w:txbxContent>
                </v:textbox>
                <w10:wrap type="none"/>
              </v:shape>
            </v:group>
            <w10:wrap type="none"/>
          </v:group>
        </w:pict>
      </w:r>
      <w:r>
        <w:rPr/>
        <w:t>本期纳入合并财务报表范围的主体较上期相比，增加1户，减少0户，其中：</w:t>
      </w:r>
      <w:r>
        <w:rPr>
          <w:w w:val="99"/>
        </w:rPr>
        <w:t> </w:t>
      </w:r>
      <w:r>
        <w:rPr>
          <w:w w:val="95"/>
        </w:rPr>
        <w:t>本期新纳入合并范围的子公司、特殊目的主体、通过受托经营或承租等方式形成控制权的经营实体</w:t>
      </w:r>
      <w:r>
        <w:rPr/>
      </w:r>
    </w:p>
    <w:p>
      <w:pPr>
        <w:spacing w:after="0" w:line="408" w:lineRule="auto"/>
        <w:jc w:val="left"/>
        <w:sectPr>
          <w:pgSz w:w="11910" w:h="16840"/>
          <w:pgMar w:header="919" w:footer="1016" w:top="1120" w:bottom="1200" w:left="1020" w:right="0"/>
        </w:sectPr>
      </w:pPr>
    </w:p>
    <w:p>
      <w:pPr>
        <w:spacing w:line="240" w:lineRule="auto" w:before="11"/>
        <w:rPr>
          <w:rFonts w:ascii="宋体" w:hAnsi="宋体" w:cs="宋体" w:eastAsia="宋体" w:hint="default"/>
          <w:sz w:val="22"/>
          <w:szCs w:val="22"/>
        </w:rPr>
      </w:pPr>
    </w:p>
    <w:p>
      <w:pPr>
        <w:spacing w:line="398" w:lineRule="exact"/>
        <w:ind w:left="64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2pt;height:19.9pt;mso-position-horizontal-relative:char;mso-position-vertical-relative:line" coordorigin="0,0" coordsize="8564,398">
            <v:group style="position:absolute;left:14;top:14;width:8536;height:2" coordorigin="14,14" coordsize="8536,2">
              <v:shape style="position:absolute;left:14;top:14;width:8536;height:2" coordorigin="14,14" coordsize="8536,0" path="m14,14l8550,14e" filled="false" stroked="true" strokeweight=".72pt" strokecolor="#000000">
                <v:path arrowok="t"/>
              </v:shape>
            </v:group>
            <v:group style="position:absolute;left:14;top:384;width:8536;height:2" coordorigin="14,384" coordsize="8536,2">
              <v:shape style="position:absolute;left:14;top:384;width:8536;height:2" coordorigin="14,384" coordsize="8536,0" path="m14,384l8550,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3391;top:7;width:2;height:362" coordorigin="3391,7" coordsize="2,362">
              <v:shape style="position:absolute;left:3391;top:7;width:2;height:362" coordorigin="3391,7" coordsize="0,362" path="m3391,7l3391,369e" filled="false" stroked="true" strokeweight=".72pt" strokecolor="#000000">
                <v:path arrowok="t"/>
              </v:shape>
              <v:shape style="position:absolute;left:22;top:14;width:3369;height:370" type="#_x0000_t202" filled="false" stroked="false">
                <v:textbox inset="0,0,0,0">
                  <w:txbxContent>
                    <w:p>
                      <w:pPr>
                        <w:spacing w:before="42"/>
                        <w:ind w:left="10" w:right="0" w:firstLine="0"/>
                        <w:jc w:val="left"/>
                        <w:rPr>
                          <w:rFonts w:ascii="宋体" w:hAnsi="宋体" w:cs="宋体" w:eastAsia="宋体" w:hint="default"/>
                          <w:sz w:val="18"/>
                          <w:szCs w:val="18"/>
                        </w:rPr>
                      </w:pPr>
                      <w:r>
                        <w:rPr>
                          <w:rFonts w:ascii="宋体" w:hAnsi="宋体" w:cs="宋体" w:eastAsia="宋体" w:hint="default"/>
                          <w:sz w:val="18"/>
                          <w:szCs w:val="18"/>
                        </w:rPr>
                        <w:t>陕西皖通科技有限责任公司</w:t>
                      </w:r>
                    </w:p>
                  </w:txbxContent>
                </v:textbox>
                <w10:wrap type="none"/>
              </v:shape>
              <v:shape style="position:absolute;left:5609;top:11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投资设立</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26"/>
        <w:ind w:right="2127"/>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吴琳、王原</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12" w:right="625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9"/>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7"/>
        <w:rPr>
          <w:rFonts w:ascii="宋体" w:hAnsi="宋体" w:cs="宋体" w:eastAsia="宋体" w:hint="default"/>
          <w:sz w:val="18"/>
          <w:szCs w:val="18"/>
        </w:rPr>
      </w:pPr>
    </w:p>
    <w:p>
      <w:pPr>
        <w:pStyle w:val="Heading4"/>
        <w:spacing w:line="240" w:lineRule="auto"/>
        <w:ind w:right="2127"/>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after="0" w:line="360" w:lineRule="auto"/>
        <w:jc w:val="left"/>
        <w:rPr>
          <w:rFonts w:ascii="宋体" w:hAnsi="宋体" w:cs="宋体" w:eastAsia="宋体" w:hint="default"/>
          <w:sz w:val="18"/>
          <w:szCs w:val="18"/>
        </w:rPr>
        <w:sectPr>
          <w:footerReference w:type="default" r:id="rId18"/>
          <w:pgSz w:w="11910" w:h="16840"/>
          <w:pgMar w:footer="1016" w:header="919" w:top="1120" w:bottom="1200" w:left="1020" w:right="0"/>
          <w:pgNumType w:start="50"/>
        </w:sectPr>
      </w:pPr>
    </w:p>
    <w:p>
      <w:pPr>
        <w:spacing w:line="240" w:lineRule="auto" w:before="8"/>
        <w:rPr>
          <w:rFonts w:ascii="宋体" w:hAnsi="宋体" w:cs="宋体" w:eastAsia="宋体" w:hint="default"/>
          <w:sz w:val="18"/>
          <w:szCs w:val="18"/>
        </w:rPr>
      </w:pPr>
    </w:p>
    <w:p>
      <w:pPr>
        <w:pStyle w:val="Heading4"/>
        <w:spacing w:line="240" w:lineRule="auto" w:before="26"/>
        <w:ind w:right="0"/>
        <w:jc w:val="both"/>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pStyle w:val="BodyText"/>
        <w:spacing w:line="408" w:lineRule="auto" w:before="0"/>
        <w:ind w:left="532" w:right="0"/>
        <w:jc w:val="left"/>
      </w:pPr>
      <w:r>
        <w:rPr>
          <w:rFonts w:ascii="宋体" w:hAnsi="宋体" w:cs="宋体" w:eastAsia="宋体" w:hint="default"/>
          <w:b/>
          <w:bCs/>
        </w:rPr>
        <w:t>1、第一期员工持股计划</w:t>
      </w:r>
      <w:r>
        <w:rPr>
          <w:rFonts w:ascii="宋体" w:hAnsi="宋体" w:cs="宋体" w:eastAsia="宋体" w:hint="default"/>
          <w:b/>
          <w:bCs/>
          <w:w w:val="99"/>
        </w:rPr>
        <w:t> </w:t>
      </w:r>
      <w:r>
        <w:rPr>
          <w:spacing w:val="2"/>
          <w:w w:val="95"/>
        </w:rPr>
        <w:t>公司于2016年9月21日召开的第三届董事会第二十七次会议和2016年10月13日召开的公司2016年第一</w:t>
      </w:r>
      <w:r>
        <w:rPr>
          <w:spacing w:val="2"/>
        </w:rPr>
      </w:r>
    </w:p>
    <w:p>
      <w:pPr>
        <w:pStyle w:val="BodyText"/>
        <w:spacing w:line="408" w:lineRule="auto" w:before="46"/>
        <w:ind w:right="1132"/>
        <w:jc w:val="both"/>
      </w:pPr>
      <w:r>
        <w:rPr>
          <w:w w:val="99"/>
        </w:rPr>
        <w:t>次临时股东大会审议通过了《安徽皖通科技股份有限公司第一期员工持股计划（草案）及摘要》，同意实</w:t>
      </w:r>
      <w:r>
        <w:rPr>
          <w:spacing w:val="-94"/>
          <w:w w:val="99"/>
        </w:rPr>
        <w:t> </w:t>
      </w:r>
      <w:r>
        <w:rPr>
          <w:spacing w:val="-94"/>
          <w:w w:val="99"/>
        </w:rPr>
      </w:r>
      <w:r>
        <w:rPr>
          <w:w w:val="95"/>
        </w:rPr>
        <w:t>施公司第一期员工持股计划。本员工持股计划的参与人员范围为公司董事、监事、高级管理人员、公司及</w:t>
      </w:r>
      <w:r>
        <w:rPr>
          <w:spacing w:val="39"/>
          <w:w w:val="95"/>
        </w:rPr>
        <w:t> </w:t>
      </w:r>
      <w:r>
        <w:rPr>
          <w:spacing w:val="39"/>
          <w:w w:val="95"/>
        </w:rPr>
      </w:r>
      <w:r>
        <w:rPr>
          <w:spacing w:val="2"/>
          <w:w w:val="95"/>
        </w:rPr>
        <w:t>下属子公司核心业务骨干，参与员工总人数不超过310人；资金来源为参加对象合法薪酬、自筹资金和法</w:t>
      </w:r>
      <w:r>
        <w:rPr>
          <w:spacing w:val="47"/>
          <w:w w:val="95"/>
        </w:rPr>
        <w:t> </w:t>
      </w:r>
      <w:r>
        <w:rPr>
          <w:spacing w:val="47"/>
          <w:w w:val="95"/>
        </w:rPr>
      </w:r>
      <w:r>
        <w:rPr/>
        <w:t>律、行政法规允许的其他方式，筹集资金总额上限为7,500万元。</w:t>
      </w:r>
    </w:p>
    <w:p>
      <w:pPr>
        <w:pStyle w:val="BodyText"/>
        <w:spacing w:line="408" w:lineRule="auto" w:before="46"/>
        <w:ind w:right="1135" w:firstLine="420"/>
        <w:jc w:val="both"/>
      </w:pPr>
      <w:r>
        <w:rPr>
          <w:w w:val="95"/>
        </w:rPr>
        <w:t>截至2016年11月11日，公司第一期员工持股计划通过东兴金海27号定向资产管理计划从二级市场共计</w:t>
      </w:r>
      <w:r>
        <w:rPr>
          <w:w w:val="99"/>
        </w:rPr>
        <w:t> </w:t>
      </w:r>
      <w:r>
        <w:rPr/>
        <w:t>买入公司股票4,616,241股，成交金额为73,268,458元，成交均价为15.87元/股，已完成本次员工持股计</w:t>
      </w:r>
      <w:r>
        <w:rPr>
          <w:spacing w:val="-43"/>
        </w:rPr>
        <w:t> </w:t>
      </w:r>
      <w:r>
        <w:rPr>
          <w:spacing w:val="-43"/>
        </w:rPr>
      </w:r>
      <w:r>
        <w:rPr>
          <w:spacing w:val="11"/>
          <w:w w:val="95"/>
        </w:rPr>
        <w:t>划股票购买。截至本报告期末，公司第一期员工持股计划持有公司股票4,616,241股，占公司总股本</w:t>
      </w:r>
      <w:r>
        <w:rPr>
          <w:spacing w:val="95"/>
          <w:w w:val="95"/>
        </w:rPr>
        <w:t> </w:t>
      </w:r>
      <w:r>
        <w:rPr>
          <w:spacing w:val="95"/>
          <w:w w:val="95"/>
        </w:rPr>
      </w:r>
      <w:r>
        <w:rPr/>
        <w:t>412,135,469股的1.12%。</w:t>
      </w:r>
    </w:p>
    <w:p>
      <w:pPr>
        <w:pStyle w:val="BodyText"/>
        <w:spacing w:line="408" w:lineRule="auto" w:before="46"/>
        <w:ind w:right="1132" w:firstLine="420"/>
        <w:jc w:val="both"/>
      </w:pPr>
      <w:r>
        <w:rPr>
          <w:spacing w:val="2"/>
          <w:w w:val="95"/>
        </w:rPr>
        <w:t>公司于2018年4月12日发布了《安徽皖通科技股份有限公司关于第一期员工持股计划届满的提示性公</w:t>
      </w:r>
      <w:r>
        <w:rPr>
          <w:spacing w:val="-90"/>
          <w:w w:val="95"/>
        </w:rPr>
        <w:t> </w:t>
      </w:r>
      <w:r>
        <w:rPr>
          <w:spacing w:val="-90"/>
          <w:w w:val="95"/>
        </w:rPr>
      </w:r>
      <w:r>
        <w:rPr>
          <w:w w:val="95"/>
        </w:rPr>
        <w:t>告》(公告编号：2018-018)，本次员工持股计划购买的股票锁定期已届满，后续公司将根据员工持股计划</w:t>
      </w:r>
      <w:r>
        <w:rPr>
          <w:spacing w:val="42"/>
          <w:w w:val="95"/>
        </w:rPr>
        <w:t> </w:t>
      </w:r>
      <w:r>
        <w:rPr>
          <w:spacing w:val="42"/>
          <w:w w:val="95"/>
        </w:rPr>
      </w:r>
      <w:r>
        <w:rPr/>
        <w:t>管理委员会的意见及届时市场的情况决定是否卖出股票，并及时履行信息披露义务。</w:t>
      </w:r>
    </w:p>
    <w:p>
      <w:pPr>
        <w:pStyle w:val="BodyText"/>
        <w:spacing w:line="408" w:lineRule="auto" w:before="84"/>
        <w:ind w:right="1132" w:firstLine="420"/>
        <w:jc w:val="left"/>
      </w:pPr>
      <w:r>
        <w:rPr/>
        <w:t>公司于2018年7月26日召开的持有人会议和2018年8月7日召开的第四届董事会第十五次会议，审议通</w:t>
      </w:r>
      <w:r>
        <w:rPr>
          <w:w w:val="99"/>
        </w:rPr>
        <w:t> </w:t>
      </w:r>
      <w:r>
        <w:rPr>
          <w:spacing w:val="-2"/>
          <w:w w:val="99"/>
        </w:rPr>
        <w:t>过了《关于第一期员工持股计划存续期展期的议案》，同意公司第一期员工持股计划存续期展期一年，即</w:t>
      </w:r>
      <w:r>
        <w:rPr>
          <w:spacing w:val="-95"/>
          <w:w w:val="99"/>
        </w:rPr>
        <w:t> </w:t>
      </w:r>
      <w:r>
        <w:rPr>
          <w:spacing w:val="-95"/>
          <w:w w:val="99"/>
        </w:rPr>
      </w:r>
      <w:r>
        <w:rPr>
          <w:w w:val="95"/>
        </w:rPr>
        <w:t>存续期展期至2019年10月12日。公司于2018年8月8日披露了《安徽皖通科技股份有限公司关于第一期员工</w:t>
      </w:r>
      <w:r>
        <w:rPr>
          <w:spacing w:val="40"/>
          <w:w w:val="95"/>
        </w:rPr>
        <w:t> </w:t>
      </w:r>
      <w:r>
        <w:rPr>
          <w:spacing w:val="40"/>
          <w:w w:val="95"/>
        </w:rPr>
      </w:r>
      <w:r>
        <w:rPr>
          <w:spacing w:val="-7"/>
          <w:w w:val="99"/>
        </w:rPr>
        <w:t>持股计划存续期展期的公告》（公告编号：2018-045）。</w:t>
      </w:r>
      <w:r>
        <w:rPr>
          <w:spacing w:val="-7"/>
        </w:rPr>
      </w:r>
    </w:p>
    <w:p>
      <w:pPr>
        <w:pStyle w:val="BodyText"/>
        <w:spacing w:line="408" w:lineRule="auto" w:before="87"/>
        <w:ind w:right="1132" w:firstLine="420"/>
        <w:jc w:val="left"/>
      </w:pPr>
      <w:r>
        <w:rPr/>
        <w:t>公司于2019年4月11日披露了《安徽皖通科技股份有限公司关于第一期员工持股计划届满的提示性公</w:t>
      </w:r>
      <w:r>
        <w:rPr>
          <w:w w:val="99"/>
        </w:rPr>
        <w:t> </w:t>
      </w:r>
      <w:r>
        <w:rPr>
          <w:w w:val="95"/>
        </w:rPr>
        <w:t>告》(公告编号：2019-027)，本次员工持股计划将于2019年10月12日到期届满，后续公司将根据员工持股</w:t>
      </w:r>
      <w:r>
        <w:rPr>
          <w:spacing w:val="41"/>
          <w:w w:val="95"/>
        </w:rPr>
        <w:t> </w:t>
      </w:r>
      <w:r>
        <w:rPr>
          <w:spacing w:val="41"/>
          <w:w w:val="95"/>
        </w:rPr>
      </w:r>
      <w:r>
        <w:rPr/>
        <w:t>计划管理委员会的意见及届时市场的情况决定是否卖出股票，并及时履行信息披露义务。</w:t>
      </w:r>
    </w:p>
    <w:p>
      <w:pPr>
        <w:pStyle w:val="BodyText"/>
        <w:spacing w:line="408" w:lineRule="auto" w:before="87"/>
        <w:ind w:right="1132" w:firstLine="420"/>
        <w:jc w:val="left"/>
      </w:pPr>
      <w:r>
        <w:rPr>
          <w:w w:val="95"/>
        </w:rPr>
        <w:t>公司于2019年9月7日披露了《安徽皖通科技股份有限公司关于第一期员工持股计划股票出售完毕暨计</w:t>
      </w:r>
      <w:r>
        <w:rPr>
          <w:w w:val="99"/>
        </w:rPr>
        <w:t> </w:t>
      </w:r>
      <w:r>
        <w:rPr/>
        <w:t>划终止的公告》(公告编号：2019-067)，本次员工持股计划所持有的公司股票共计4,616,241股已于2019</w:t>
      </w:r>
      <w:r>
        <w:rPr>
          <w:w w:val="99"/>
        </w:rPr>
        <w:t> </w:t>
      </w:r>
      <w:r>
        <w:rPr>
          <w:w w:val="95"/>
        </w:rPr>
        <w:t>年9月6日通过深圳证券交易所大宗交易系统全部出售完毕。根据公司第一期员工持股计划的相关规定，本</w:t>
      </w:r>
      <w:r>
        <w:rPr>
          <w:spacing w:val="40"/>
          <w:w w:val="95"/>
        </w:rPr>
        <w:t> </w:t>
      </w:r>
      <w:r>
        <w:rPr>
          <w:spacing w:val="40"/>
          <w:w w:val="95"/>
        </w:rPr>
      </w:r>
      <w:r>
        <w:rPr/>
        <w:t>次员工持股计划实施完毕并终止。</w:t>
      </w:r>
    </w:p>
    <w:p>
      <w:pPr>
        <w:pStyle w:val="Heading5"/>
        <w:spacing w:line="240" w:lineRule="auto" w:before="84"/>
        <w:ind w:left="535" w:right="2127"/>
        <w:jc w:val="left"/>
        <w:rPr>
          <w:b w:val="0"/>
          <w:bCs w:val="0"/>
        </w:rPr>
      </w:pPr>
      <w:r>
        <w:rPr/>
        <w:t>2、第一期限制性股票激励计划</w:t>
      </w:r>
      <w:r>
        <w:rPr>
          <w:b w:val="0"/>
          <w:bCs w:val="0"/>
        </w:rPr>
      </w:r>
    </w:p>
    <w:p>
      <w:pPr>
        <w:spacing w:after="0" w:line="240" w:lineRule="auto"/>
        <w:jc w:val="left"/>
        <w:sectPr>
          <w:pgSz w:w="11910" w:h="16840"/>
          <w:pgMar w:header="919" w:footer="1016" w:top="1120" w:bottom="1200" w:left="1020" w:right="0"/>
        </w:sectPr>
      </w:pPr>
    </w:p>
    <w:p>
      <w:pPr>
        <w:spacing w:line="240" w:lineRule="auto" w:before="8"/>
        <w:rPr>
          <w:rFonts w:ascii="宋体" w:hAnsi="宋体" w:cs="宋体" w:eastAsia="宋体" w:hint="default"/>
          <w:b/>
          <w:bCs/>
          <w:sz w:val="25"/>
          <w:szCs w:val="25"/>
        </w:rPr>
      </w:pPr>
    </w:p>
    <w:p>
      <w:pPr>
        <w:pStyle w:val="BodyText"/>
        <w:spacing w:line="408" w:lineRule="auto" w:before="34"/>
        <w:ind w:right="1130" w:firstLine="420"/>
        <w:jc w:val="both"/>
      </w:pPr>
      <w:r>
        <w:rPr>
          <w:w w:val="95"/>
        </w:rPr>
        <w:t>公司于2018年2月9日召开的第四届董事会第十二次会议、第四届监事会第十次会议审议通过了《安徽</w:t>
      </w:r>
      <w:r>
        <w:rPr>
          <w:w w:val="99"/>
        </w:rPr>
        <w:t> </w:t>
      </w:r>
      <w:r>
        <w:rPr>
          <w:w w:val="95"/>
        </w:rPr>
        <w:t>皖通科技股份有限公司第一期限制性股票激励计划（草案）及摘要》等相关议案，同意实施公司第一期限</w:t>
      </w:r>
      <w:r>
        <w:rPr>
          <w:spacing w:val="44"/>
          <w:w w:val="95"/>
        </w:rPr>
        <w:t> </w:t>
      </w:r>
      <w:r>
        <w:rPr>
          <w:spacing w:val="44"/>
          <w:w w:val="95"/>
        </w:rPr>
      </w:r>
      <w:r>
        <w:rPr>
          <w:w w:val="95"/>
        </w:rPr>
        <w:t>制性股票激励计划，拟以定向发行股份的方式，向公司部分董事、高级管理人员及核心业务、技术、管理</w:t>
      </w:r>
      <w:r>
        <w:rPr>
          <w:spacing w:val="44"/>
          <w:w w:val="95"/>
        </w:rPr>
        <w:t> </w:t>
      </w:r>
      <w:r>
        <w:rPr>
          <w:spacing w:val="44"/>
          <w:w w:val="95"/>
        </w:rPr>
      </w:r>
      <w:r>
        <w:rPr>
          <w:spacing w:val="7"/>
        </w:rPr>
        <w:t>骨干共计358人授予限制性股票597.28万股，占本激励计划草案公告时公司股本总额35,032.71万股的</w:t>
      </w:r>
      <w:r>
        <w:rPr>
          <w:w w:val="99"/>
        </w:rPr>
        <w:t> </w:t>
      </w:r>
      <w:r>
        <w:rPr>
          <w:spacing w:val="2"/>
          <w:w w:val="95"/>
        </w:rPr>
        <w:t>1.70%。公司独立董事对本次限制性股票激励计划发表了独立意见，公司监事会对激励对象名单进行了核</w:t>
      </w:r>
      <w:r>
        <w:rPr>
          <w:spacing w:val="44"/>
          <w:w w:val="95"/>
        </w:rPr>
        <w:t> </w:t>
      </w:r>
      <w:r>
        <w:rPr>
          <w:spacing w:val="44"/>
          <w:w w:val="95"/>
        </w:rPr>
      </w:r>
      <w:r>
        <w:rPr>
          <w:w w:val="95"/>
        </w:rPr>
        <w:t>实，认为激励对象主体资格合法、有效，符合相关法律、法规及规范性文件规定的相关条件。具体内容详   </w:t>
      </w:r>
      <w:r>
        <w:rPr>
          <w:spacing w:val="44"/>
          <w:w w:val="95"/>
        </w:rPr>
        <w:t> </w:t>
      </w:r>
      <w:r>
        <w:rPr>
          <w:spacing w:val="44"/>
          <w:w w:val="95"/>
        </w:rPr>
      </w:r>
      <w:r>
        <w:rPr/>
        <w:t>见</w:t>
      </w:r>
      <w:r>
        <w:rPr>
          <w:spacing w:val="-59"/>
        </w:rPr>
        <w:t> </w:t>
      </w:r>
      <w:r>
        <w:rPr/>
        <w:t>公</w:t>
      </w:r>
      <w:r>
        <w:rPr>
          <w:spacing w:val="-56"/>
        </w:rPr>
        <w:t> </w:t>
      </w:r>
      <w:r>
        <w:rPr/>
        <w:t>司</w:t>
      </w:r>
      <w:r>
        <w:rPr>
          <w:spacing w:val="-59"/>
        </w:rPr>
        <w:t> </w:t>
      </w:r>
      <w:r>
        <w:rPr/>
        <w:t>于</w:t>
      </w:r>
      <w:r>
        <w:rPr>
          <w:spacing w:val="-56"/>
        </w:rPr>
        <w:t> </w:t>
      </w:r>
      <w:r>
        <w:rPr/>
        <w:t>2018</w:t>
      </w:r>
      <w:r>
        <w:rPr>
          <w:spacing w:val="-57"/>
        </w:rPr>
        <w:t> </w:t>
      </w:r>
      <w:r>
        <w:rPr/>
        <w:t>年</w:t>
      </w:r>
      <w:r>
        <w:rPr>
          <w:spacing w:val="-59"/>
        </w:rPr>
        <w:t> </w:t>
      </w:r>
      <w:r>
        <w:rPr/>
        <w:t>2</w:t>
      </w:r>
      <w:r>
        <w:rPr>
          <w:spacing w:val="-60"/>
        </w:rPr>
        <w:t> </w:t>
      </w:r>
      <w:r>
        <w:rPr/>
        <w:t>月</w:t>
      </w:r>
      <w:r>
        <w:rPr>
          <w:spacing w:val="-56"/>
        </w:rPr>
        <w:t> </w:t>
      </w:r>
      <w:r>
        <w:rPr/>
        <w:t>10</w:t>
      </w:r>
      <w:r>
        <w:rPr>
          <w:spacing w:val="-60"/>
        </w:rPr>
        <w:t> </w:t>
      </w:r>
      <w:r>
        <w:rPr/>
        <w:t>日</w:t>
      </w:r>
      <w:r>
        <w:rPr>
          <w:spacing w:val="-59"/>
        </w:rPr>
        <w:t> </w:t>
      </w:r>
      <w:r>
        <w:rPr/>
        <w:t>、</w:t>
      </w:r>
      <w:r>
        <w:rPr>
          <w:spacing w:val="-56"/>
        </w:rPr>
        <w:t> </w:t>
      </w:r>
      <w:r>
        <w:rPr/>
        <w:t>2018</w:t>
      </w:r>
      <w:r>
        <w:rPr>
          <w:spacing w:val="-60"/>
        </w:rPr>
        <w:t> </w:t>
      </w:r>
      <w:r>
        <w:rPr/>
        <w:t>年</w:t>
      </w:r>
      <w:r>
        <w:rPr>
          <w:spacing w:val="-59"/>
        </w:rPr>
        <w:t> </w:t>
      </w:r>
      <w:r>
        <w:rPr/>
        <w:t>3</w:t>
      </w:r>
      <w:r>
        <w:rPr>
          <w:spacing w:val="-57"/>
        </w:rPr>
        <w:t> </w:t>
      </w:r>
      <w:r>
        <w:rPr/>
        <w:t>月</w:t>
      </w:r>
      <w:r>
        <w:rPr>
          <w:spacing w:val="-59"/>
        </w:rPr>
        <w:t> </w:t>
      </w:r>
      <w:r>
        <w:rPr/>
        <w:t>2</w:t>
      </w:r>
      <w:r>
        <w:rPr>
          <w:spacing w:val="-57"/>
        </w:rPr>
        <w:t> </w:t>
      </w:r>
      <w:r>
        <w:rPr/>
        <w:t>日</w:t>
      </w:r>
      <w:r>
        <w:rPr>
          <w:spacing w:val="-59"/>
        </w:rPr>
        <w:t> </w:t>
      </w:r>
      <w:r>
        <w:rPr/>
        <w:t>在</w:t>
      </w:r>
      <w:r>
        <w:rPr>
          <w:spacing w:val="-56"/>
        </w:rPr>
        <w:t> </w:t>
      </w:r>
      <w:r>
        <w:rPr/>
        <w:t>《</w:t>
      </w:r>
      <w:r>
        <w:rPr>
          <w:spacing w:val="-59"/>
        </w:rPr>
        <w:t> </w:t>
      </w:r>
      <w:r>
        <w:rPr/>
        <w:t>证</w:t>
      </w:r>
      <w:r>
        <w:rPr>
          <w:spacing w:val="-59"/>
        </w:rPr>
        <w:t> </w:t>
      </w:r>
      <w:r>
        <w:rPr/>
        <w:t>券</w:t>
      </w:r>
      <w:r>
        <w:rPr>
          <w:spacing w:val="-56"/>
        </w:rPr>
        <w:t> </w:t>
      </w:r>
      <w:r>
        <w:rPr/>
        <w:t>时</w:t>
      </w:r>
      <w:r>
        <w:rPr>
          <w:spacing w:val="-59"/>
        </w:rPr>
        <w:t> </w:t>
      </w:r>
      <w:r>
        <w:rPr/>
        <w:t>报</w:t>
      </w:r>
      <w:r>
        <w:rPr>
          <w:spacing w:val="-59"/>
        </w:rPr>
        <w:t> </w:t>
      </w:r>
      <w:r>
        <w:rPr>
          <w:spacing w:val="-39"/>
        </w:rPr>
        <w:t>》、《</w:t>
      </w:r>
      <w:r>
        <w:rPr>
          <w:spacing w:val="-59"/>
        </w:rPr>
        <w:t> </w:t>
      </w:r>
      <w:r>
        <w:rPr/>
        <w:t>中</w:t>
      </w:r>
      <w:r>
        <w:rPr>
          <w:spacing w:val="-56"/>
        </w:rPr>
        <w:t> </w:t>
      </w:r>
      <w:r>
        <w:rPr/>
        <w:t>国</w:t>
      </w:r>
      <w:r>
        <w:rPr>
          <w:spacing w:val="-59"/>
        </w:rPr>
        <w:t> </w:t>
      </w:r>
      <w:r>
        <w:rPr/>
        <w:t>证</w:t>
      </w:r>
      <w:r>
        <w:rPr>
          <w:spacing w:val="-59"/>
        </w:rPr>
        <w:t> </w:t>
      </w:r>
      <w:r>
        <w:rPr/>
        <w:t>券</w:t>
      </w:r>
      <w:r>
        <w:rPr>
          <w:spacing w:val="-56"/>
        </w:rPr>
        <w:t> </w:t>
      </w:r>
      <w:r>
        <w:rPr/>
        <w:t>报</w:t>
      </w:r>
      <w:r>
        <w:rPr>
          <w:spacing w:val="-59"/>
        </w:rPr>
        <w:t> </w:t>
      </w:r>
      <w:r>
        <w:rPr/>
        <w:t>》</w:t>
      </w:r>
      <w:r>
        <w:rPr>
          <w:spacing w:val="-59"/>
        </w:rPr>
        <w:t> </w:t>
      </w:r>
      <w:r>
        <w:rPr/>
        <w:t>和</w:t>
      </w:r>
      <w:r>
        <w:rPr>
          <w:spacing w:val="-56"/>
        </w:rPr>
        <w:t> </w:t>
      </w:r>
      <w:r>
        <w:rPr/>
        <w:t>巨</w:t>
      </w:r>
      <w:r>
        <w:rPr>
          <w:spacing w:val="-59"/>
        </w:rPr>
        <w:t> </w:t>
      </w:r>
      <w:r>
        <w:rPr/>
        <w:t>潮</w:t>
      </w:r>
      <w:r>
        <w:rPr>
          <w:spacing w:val="-56"/>
        </w:rPr>
        <w:t> </w:t>
      </w:r>
      <w:r>
        <w:rPr/>
        <w:t>资</w:t>
      </w:r>
      <w:r>
        <w:rPr>
          <w:spacing w:val="-59"/>
        </w:rPr>
        <w:t> </w:t>
      </w:r>
      <w:r>
        <w:rPr/>
        <w:t>讯</w:t>
      </w:r>
      <w:r>
        <w:rPr>
          <w:spacing w:val="-59"/>
        </w:rPr>
        <w:t> </w:t>
      </w:r>
      <w:r>
        <w:rPr/>
        <w:t>网</w:t>
      </w:r>
    </w:p>
    <w:p>
      <w:pPr>
        <w:pStyle w:val="BodyText"/>
        <w:spacing w:line="240" w:lineRule="auto" w:before="46"/>
        <w:ind w:right="0"/>
        <w:jc w:val="both"/>
      </w:pPr>
      <w:r>
        <w:rPr>
          <w:spacing w:val="2"/>
          <w:w w:val="99"/>
        </w:rPr>
        <w:t>（</w:t>
      </w:r>
      <w:hyperlink r:id="rId11">
        <w:r>
          <w:rPr>
            <w:spacing w:val="1"/>
            <w:w w:val="99"/>
          </w:rPr>
          <w:t>htt</w:t>
        </w:r>
        <w:r>
          <w:rPr>
            <w:spacing w:val="-2"/>
            <w:w w:val="99"/>
          </w:rPr>
          <w:t>p</w:t>
        </w:r>
        <w:r>
          <w:rPr>
            <w:spacing w:val="1"/>
            <w:w w:val="99"/>
          </w:rPr>
          <w:t>://</w:t>
        </w:r>
        <w:r>
          <w:rPr>
            <w:spacing w:val="-2"/>
            <w:w w:val="99"/>
          </w:rPr>
          <w:t>w</w:t>
        </w:r>
        <w:r>
          <w:rPr>
            <w:spacing w:val="1"/>
            <w:w w:val="99"/>
          </w:rPr>
          <w:t>ww.</w:t>
        </w:r>
        <w:r>
          <w:rPr>
            <w:spacing w:val="-2"/>
            <w:w w:val="99"/>
          </w:rPr>
          <w:t>c</w:t>
        </w:r>
        <w:r>
          <w:rPr>
            <w:spacing w:val="1"/>
            <w:w w:val="99"/>
          </w:rPr>
          <w:t>nin</w:t>
        </w:r>
        <w:r>
          <w:rPr>
            <w:spacing w:val="-2"/>
            <w:w w:val="99"/>
          </w:rPr>
          <w:t>f</w:t>
        </w:r>
        <w:r>
          <w:rPr>
            <w:spacing w:val="1"/>
            <w:w w:val="99"/>
          </w:rPr>
          <w:t>o.c</w:t>
        </w:r>
        <w:r>
          <w:rPr>
            <w:spacing w:val="-2"/>
            <w:w w:val="99"/>
          </w:rPr>
          <w:t>o</w:t>
        </w:r>
        <w:r>
          <w:rPr>
            <w:spacing w:val="1"/>
            <w:w w:val="99"/>
          </w:rPr>
          <w:t>m.c</w:t>
        </w:r>
        <w:r>
          <w:rPr>
            <w:spacing w:val="-2"/>
            <w:w w:val="99"/>
          </w:rPr>
          <w:t>n</w:t>
        </w:r>
      </w:hyperlink>
      <w:r>
        <w:rPr>
          <w:spacing w:val="-41"/>
          <w:w w:val="99"/>
        </w:rPr>
        <w:t>）</w:t>
      </w:r>
      <w:r>
        <w:rPr>
          <w:spacing w:val="2"/>
          <w:w w:val="99"/>
        </w:rPr>
        <w:t>刊</w:t>
      </w:r>
      <w:r>
        <w:rPr>
          <w:spacing w:val="-1"/>
          <w:w w:val="99"/>
        </w:rPr>
        <w:t>登</w:t>
      </w:r>
      <w:r>
        <w:rPr>
          <w:spacing w:val="-41"/>
          <w:w w:val="99"/>
        </w:rPr>
        <w:t>的</w:t>
      </w:r>
      <w:r>
        <w:rPr>
          <w:spacing w:val="-1"/>
          <w:w w:val="99"/>
        </w:rPr>
        <w:t>《</w:t>
      </w:r>
      <w:r>
        <w:rPr>
          <w:spacing w:val="2"/>
          <w:w w:val="99"/>
        </w:rPr>
        <w:t>安</w:t>
      </w:r>
      <w:r>
        <w:rPr>
          <w:spacing w:val="-1"/>
          <w:w w:val="99"/>
        </w:rPr>
        <w:t>徽</w:t>
      </w:r>
      <w:r>
        <w:rPr>
          <w:spacing w:val="2"/>
          <w:w w:val="99"/>
        </w:rPr>
        <w:t>皖</w:t>
      </w:r>
      <w:r>
        <w:rPr>
          <w:spacing w:val="-1"/>
          <w:w w:val="99"/>
        </w:rPr>
        <w:t>通</w:t>
      </w:r>
      <w:r>
        <w:rPr>
          <w:spacing w:val="2"/>
          <w:w w:val="99"/>
        </w:rPr>
        <w:t>科</w:t>
      </w:r>
      <w:r>
        <w:rPr>
          <w:spacing w:val="-1"/>
          <w:w w:val="99"/>
        </w:rPr>
        <w:t>技</w:t>
      </w:r>
      <w:r>
        <w:rPr>
          <w:spacing w:val="2"/>
          <w:w w:val="99"/>
        </w:rPr>
        <w:t>股</w:t>
      </w:r>
      <w:r>
        <w:rPr>
          <w:spacing w:val="-1"/>
          <w:w w:val="99"/>
        </w:rPr>
        <w:t>份</w:t>
      </w:r>
      <w:r>
        <w:rPr>
          <w:spacing w:val="2"/>
          <w:w w:val="99"/>
        </w:rPr>
        <w:t>有</w:t>
      </w:r>
      <w:r>
        <w:rPr>
          <w:spacing w:val="-1"/>
          <w:w w:val="99"/>
        </w:rPr>
        <w:t>限</w:t>
      </w:r>
      <w:r>
        <w:rPr>
          <w:spacing w:val="2"/>
          <w:w w:val="99"/>
        </w:rPr>
        <w:t>公</w:t>
      </w:r>
      <w:r>
        <w:rPr>
          <w:spacing w:val="-1"/>
          <w:w w:val="99"/>
        </w:rPr>
        <w:t>司</w:t>
      </w:r>
      <w:r>
        <w:rPr>
          <w:spacing w:val="2"/>
          <w:w w:val="99"/>
        </w:rPr>
        <w:t>第</w:t>
      </w:r>
      <w:r>
        <w:rPr>
          <w:spacing w:val="-1"/>
          <w:w w:val="99"/>
        </w:rPr>
        <w:t>一</w:t>
      </w:r>
      <w:r>
        <w:rPr>
          <w:spacing w:val="2"/>
          <w:w w:val="99"/>
        </w:rPr>
        <w:t>期</w:t>
      </w:r>
      <w:r>
        <w:rPr>
          <w:spacing w:val="-1"/>
          <w:w w:val="99"/>
        </w:rPr>
        <w:t>限</w:t>
      </w:r>
      <w:r>
        <w:rPr>
          <w:spacing w:val="2"/>
          <w:w w:val="99"/>
        </w:rPr>
        <w:t>制</w:t>
      </w:r>
      <w:r>
        <w:rPr>
          <w:spacing w:val="-1"/>
          <w:w w:val="99"/>
        </w:rPr>
        <w:t>性</w:t>
      </w:r>
      <w:r>
        <w:rPr>
          <w:spacing w:val="2"/>
          <w:w w:val="99"/>
        </w:rPr>
        <w:t>股</w:t>
      </w:r>
      <w:r>
        <w:rPr>
          <w:spacing w:val="-1"/>
          <w:w w:val="99"/>
        </w:rPr>
        <w:t>票</w:t>
      </w:r>
      <w:r>
        <w:rPr>
          <w:spacing w:val="2"/>
          <w:w w:val="99"/>
        </w:rPr>
        <w:t>激励</w:t>
      </w:r>
      <w:r>
        <w:rPr>
          <w:spacing w:val="-1"/>
          <w:w w:val="99"/>
        </w:rPr>
        <w:t>计</w:t>
      </w:r>
      <w:r>
        <w:rPr>
          <w:spacing w:val="-41"/>
          <w:w w:val="99"/>
        </w:rPr>
        <w:t>划</w:t>
      </w:r>
      <w:r>
        <w:rPr>
          <w:spacing w:val="-1"/>
          <w:w w:val="99"/>
        </w:rPr>
        <w:t>（</w:t>
      </w:r>
      <w:r>
        <w:rPr>
          <w:spacing w:val="2"/>
          <w:w w:val="99"/>
        </w:rPr>
        <w:t>草</w:t>
      </w:r>
      <w:r>
        <w:rPr>
          <w:spacing w:val="-1"/>
          <w:w w:val="99"/>
        </w:rPr>
        <w:t>案</w:t>
      </w:r>
      <w:r>
        <w:rPr>
          <w:spacing w:val="-104"/>
          <w:w w:val="99"/>
        </w:rPr>
        <w:t>）》</w:t>
      </w:r>
      <w:r>
        <w:rPr>
          <w:w w:val="99"/>
        </w:rPr>
        <w:t>、</w:t>
      </w:r>
      <w:r>
        <w:rPr/>
      </w:r>
    </w:p>
    <w:p>
      <w:pPr>
        <w:spacing w:line="240" w:lineRule="auto" w:before="10"/>
        <w:rPr>
          <w:rFonts w:ascii="宋体" w:hAnsi="宋体" w:cs="宋体" w:eastAsia="宋体" w:hint="default"/>
          <w:sz w:val="14"/>
          <w:szCs w:val="14"/>
        </w:rPr>
      </w:pPr>
    </w:p>
    <w:p>
      <w:pPr>
        <w:pStyle w:val="BodyText"/>
        <w:spacing w:line="408" w:lineRule="auto" w:before="0"/>
        <w:ind w:right="1135"/>
        <w:jc w:val="both"/>
      </w:pPr>
      <w:r>
        <w:rPr>
          <w:spacing w:val="4"/>
        </w:rPr>
        <w:t>《安徽皖通科技股份有限公司监事会关于第一期限制性股票激励计划激励对象名单的审核及公示情况说</w:t>
      </w:r>
      <w:r>
        <w:rPr>
          <w:w w:val="99"/>
        </w:rPr>
        <w:t> </w:t>
      </w:r>
      <w:r>
        <w:rPr/>
        <w:t>明》等相关公告。</w:t>
      </w:r>
    </w:p>
    <w:p>
      <w:pPr>
        <w:pStyle w:val="BodyText"/>
        <w:spacing w:line="408" w:lineRule="auto" w:before="46"/>
        <w:ind w:right="1029" w:firstLine="420"/>
        <w:jc w:val="both"/>
      </w:pPr>
      <w:r>
        <w:rPr/>
        <w:t>公司于2018年3月7日召开的2018年第二次临时股东大会审议通过了《安徽皖通科技股份有限公司第一</w:t>
      </w:r>
      <w:r>
        <w:rPr>
          <w:w w:val="99"/>
        </w:rPr>
        <w:t> </w:t>
      </w:r>
      <w:r>
        <w:rPr/>
        <w:t>期限制性股票激励计划（草案）及摘要》等相关议案，并授权董事会办理限制性股票的相关事宜。具体内</w:t>
      </w:r>
      <w:r>
        <w:rPr>
          <w:w w:val="99"/>
        </w:rPr>
        <w:t> </w:t>
      </w:r>
      <w:r>
        <w:rPr>
          <w:spacing w:val="6"/>
          <w:w w:val="95"/>
        </w:rPr>
        <w:t>容详见公司于2018年3月8日发布的《安徽皖通科技股份有限公司2018年第二次临时股东大会决议公告》</w:t>
      </w:r>
      <w:r>
        <w:rPr>
          <w:spacing w:val="6"/>
        </w:rPr>
      </w:r>
    </w:p>
    <w:p>
      <w:pPr>
        <w:pStyle w:val="BodyText"/>
        <w:spacing w:line="408" w:lineRule="auto" w:before="46"/>
        <w:ind w:left="532" w:right="0" w:hanging="420"/>
        <w:jc w:val="left"/>
      </w:pPr>
      <w:r>
        <w:rPr/>
        <w:t>（2018-015）等相关公告。</w:t>
      </w:r>
      <w:r>
        <w:rPr>
          <w:w w:val="99"/>
        </w:rPr>
        <w:t> </w:t>
      </w:r>
      <w:r>
        <w:rPr>
          <w:spacing w:val="-3"/>
        </w:rPr>
        <w:t>公司于2018年4月23日召开的第四届董事会第十四次会议、第四届监事会第十二次会议审议通过了《关</w:t>
      </w:r>
    </w:p>
    <w:p>
      <w:pPr>
        <w:pStyle w:val="BodyText"/>
        <w:spacing w:line="408" w:lineRule="auto" w:before="46"/>
        <w:ind w:right="1129"/>
        <w:jc w:val="both"/>
      </w:pPr>
      <w:r>
        <w:rPr>
          <w:spacing w:val="-5"/>
          <w:w w:val="99"/>
        </w:rPr>
        <w:t>于调整公司第一期限制性股票激励计划激励对象名单和授予数量的议案》、《关于向激励对象授予限制性股</w:t>
      </w:r>
      <w:r>
        <w:rPr>
          <w:spacing w:val="-77"/>
          <w:w w:val="99"/>
        </w:rPr>
        <w:t> </w:t>
      </w:r>
      <w:r>
        <w:rPr>
          <w:spacing w:val="-77"/>
          <w:w w:val="99"/>
        </w:rPr>
      </w:r>
      <w:r>
        <w:rPr>
          <w:spacing w:val="-4"/>
          <w:w w:val="99"/>
        </w:rPr>
        <w:t>票的议案》，调整后，本次限制性股票激励对象人数由358名变更为345名，授予的限制性股票数量由597.28</w:t>
      </w:r>
      <w:r>
        <w:rPr>
          <w:spacing w:val="-95"/>
          <w:w w:val="99"/>
        </w:rPr>
        <w:t> </w:t>
      </w:r>
      <w:r>
        <w:rPr>
          <w:spacing w:val="-95"/>
          <w:w w:val="99"/>
        </w:rPr>
      </w:r>
      <w:r>
        <w:rPr>
          <w:w w:val="95"/>
        </w:rPr>
        <w:t>万股变更为595万股，授予价格为4.98元/股，授予日为2018年4月25日。具体内容详见公司于2018年4月24</w:t>
      </w:r>
      <w:r>
        <w:rPr>
          <w:spacing w:val="44"/>
          <w:w w:val="95"/>
        </w:rPr>
        <w:t> </w:t>
      </w:r>
      <w:r>
        <w:rPr>
          <w:spacing w:val="44"/>
          <w:w w:val="95"/>
        </w:rPr>
      </w:r>
      <w:r>
        <w:rPr>
          <w:w w:val="95"/>
        </w:rPr>
        <w:t>日发布的《安徽皖通科技股份有限公司关于调整第一期限制性股票激励计划激励对象名单和授予数量的公</w:t>
      </w:r>
      <w:r>
        <w:rPr>
          <w:spacing w:val="39"/>
          <w:w w:val="95"/>
        </w:rPr>
        <w:t> </w:t>
      </w:r>
      <w:r>
        <w:rPr>
          <w:spacing w:val="39"/>
          <w:w w:val="95"/>
        </w:rPr>
      </w:r>
      <w:r>
        <w:rPr>
          <w:spacing w:val="-8"/>
          <w:w w:val="99"/>
        </w:rPr>
        <w:t>告》（公告编号：2018-030）、《安徽皖通科技股份有限公司关于向激励对象授予限制性股票的公告》（公告</w:t>
      </w:r>
      <w:r>
        <w:rPr>
          <w:w w:val="99"/>
        </w:rPr>
        <w:t> </w:t>
      </w:r>
      <w:r>
        <w:rPr>
          <w:spacing w:val="-8"/>
          <w:w w:val="99"/>
        </w:rPr>
        <w:t>编号：2018-031）。</w:t>
      </w:r>
      <w:r>
        <w:rPr>
          <w:spacing w:val="-8"/>
        </w:rPr>
      </w:r>
    </w:p>
    <w:p>
      <w:pPr>
        <w:pStyle w:val="BodyText"/>
        <w:spacing w:line="408" w:lineRule="auto" w:before="87"/>
        <w:ind w:right="1130" w:firstLine="420"/>
        <w:jc w:val="both"/>
      </w:pPr>
      <w:r>
        <w:rPr>
          <w:spacing w:val="2"/>
          <w:w w:val="95"/>
        </w:rPr>
        <w:t>公司于2018年5月22日完成第一期限制性股票授予登记工作。在确定授予日后的资金缴纳、股份登记</w:t>
      </w:r>
      <w:r>
        <w:rPr>
          <w:spacing w:val="-90"/>
          <w:w w:val="95"/>
        </w:rPr>
        <w:t> </w:t>
      </w:r>
      <w:r>
        <w:rPr>
          <w:spacing w:val="-90"/>
          <w:w w:val="95"/>
        </w:rPr>
      </w:r>
      <w:r>
        <w:rPr>
          <w:spacing w:val="2"/>
          <w:w w:val="95"/>
        </w:rPr>
        <w:t>过程中，有3名激励对象因个人原因自愿放弃认购其全部获授的限制性股票3.02万股，本次限制性股票实</w:t>
      </w:r>
      <w:r>
        <w:rPr>
          <w:spacing w:val="45"/>
          <w:w w:val="95"/>
        </w:rPr>
        <w:t> </w:t>
      </w:r>
      <w:r>
        <w:rPr>
          <w:spacing w:val="45"/>
          <w:w w:val="95"/>
        </w:rPr>
      </w:r>
      <w:r>
        <w:rPr>
          <w:w w:val="95"/>
        </w:rPr>
        <w:t>际授予对象为342人，实际授予限制性股票数量为591.98万股，上市日期为2018年5月24日。具体内容详见</w:t>
      </w:r>
      <w:r>
        <w:rPr>
          <w:spacing w:val="43"/>
          <w:w w:val="95"/>
        </w:rPr>
        <w:t> </w:t>
      </w:r>
      <w:r>
        <w:rPr>
          <w:spacing w:val="43"/>
          <w:w w:val="95"/>
        </w:rPr>
      </w:r>
      <w:r>
        <w:rPr>
          <w:spacing w:val="-3"/>
          <w:w w:val="99"/>
        </w:rPr>
        <w:t>公司于2018年5月23日发布的《安徽皖通科技股份有限公司关于限制性股票授予登记完成的公告》（公告编</w:t>
      </w:r>
      <w:r>
        <w:rPr>
          <w:spacing w:val="-58"/>
          <w:w w:val="99"/>
        </w:rPr>
        <w:t> </w:t>
      </w:r>
      <w:r>
        <w:rPr>
          <w:spacing w:val="-58"/>
          <w:w w:val="99"/>
        </w:rPr>
      </w:r>
      <w:r>
        <w:rPr>
          <w:spacing w:val="-9"/>
          <w:w w:val="99"/>
        </w:rPr>
        <w:t>号：2018-036）。</w:t>
      </w:r>
      <w:r>
        <w:rPr>
          <w:spacing w:val="-9"/>
        </w:rPr>
      </w:r>
    </w:p>
    <w:p>
      <w:pPr>
        <w:pStyle w:val="BodyText"/>
        <w:spacing w:line="240" w:lineRule="auto" w:before="87"/>
        <w:ind w:left="532" w:right="0"/>
        <w:jc w:val="left"/>
      </w:pPr>
      <w:r>
        <w:rPr>
          <w:spacing w:val="2"/>
        </w:rPr>
        <w:t>公司于2019年4月22日召开的第四届董事会第二十一次会议和第四届监事会第十八次会议审议通过了</w:t>
      </w:r>
    </w:p>
    <w:p>
      <w:pPr>
        <w:spacing w:line="240" w:lineRule="auto" w:before="10"/>
        <w:rPr>
          <w:rFonts w:ascii="宋体" w:hAnsi="宋体" w:cs="宋体" w:eastAsia="宋体" w:hint="default"/>
          <w:sz w:val="14"/>
          <w:szCs w:val="14"/>
        </w:rPr>
      </w:pPr>
    </w:p>
    <w:p>
      <w:pPr>
        <w:pStyle w:val="BodyText"/>
        <w:spacing w:line="408" w:lineRule="auto" w:before="0"/>
        <w:ind w:right="1132"/>
        <w:jc w:val="both"/>
      </w:pPr>
      <w:r>
        <w:rPr>
          <w:w w:val="95"/>
        </w:rPr>
        <w:t>《关于公司第一期限制性股票激励计划第一个解除限售期解除限售条件成就的议案》及《关于回购注销部</w:t>
      </w:r>
      <w:r>
        <w:rPr>
          <w:spacing w:val="40"/>
          <w:w w:val="95"/>
        </w:rPr>
        <w:t> </w:t>
      </w:r>
      <w:r>
        <w:rPr>
          <w:spacing w:val="40"/>
          <w:w w:val="95"/>
        </w:rPr>
      </w:r>
      <w:r>
        <w:rPr>
          <w:w w:val="99"/>
        </w:rPr>
        <w:t>分已授予但尚未解除限售的限制性股票的议案》，公司第一期限制性股票激励计划第一个解除限售期的解</w:t>
      </w:r>
      <w:r>
        <w:rPr/>
      </w:r>
    </w:p>
    <w:p>
      <w:pPr>
        <w:spacing w:after="0" w:line="408" w:lineRule="auto"/>
        <w:jc w:val="both"/>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112"/>
        <w:jc w:val="both"/>
      </w:pPr>
      <w:r>
        <w:rPr>
          <w:w w:val="95"/>
        </w:rPr>
        <w:t>除限售条件已经成就，共有336名激励对象可在第一个解除限售期解除限售合计2,342,720股限制性股票；</w:t>
      </w:r>
      <w:r>
        <w:rPr>
          <w:spacing w:val="61"/>
          <w:w w:val="95"/>
        </w:rPr>
        <w:t> </w:t>
      </w:r>
      <w:r>
        <w:rPr>
          <w:spacing w:val="61"/>
          <w:w w:val="95"/>
        </w:rPr>
      </w:r>
      <w:r>
        <w:rPr>
          <w:spacing w:val="2"/>
        </w:rPr>
        <w:t>公司第一期限制性股票激励计划原激励对象段然、谢黎明、赵礼明、毛军、张斌、么存勇等6人因个人原</w:t>
      </w:r>
      <w:r>
        <w:rPr>
          <w:w w:val="99"/>
        </w:rPr>
        <w:t> 因离职，已不符合激励条件。根据《安徽皖通科技股份有限公司第一期限制性股票激励计划（草案）》的</w:t>
      </w:r>
      <w:r>
        <w:rPr>
          <w:spacing w:val="-96"/>
          <w:w w:val="99"/>
        </w:rPr>
        <w:t> </w:t>
      </w:r>
      <w:r>
        <w:rPr>
          <w:spacing w:val="-96"/>
          <w:w w:val="99"/>
        </w:rPr>
      </w:r>
      <w:r>
        <w:rPr>
          <w:w w:val="95"/>
        </w:rPr>
        <w:t>相关规定，公司拟回购注销上述人员已获授但尚未解除限售的限制性股票合计63,000股，占公司股份总数</w:t>
      </w:r>
      <w:r>
        <w:rPr>
          <w:spacing w:val="40"/>
          <w:w w:val="95"/>
        </w:rPr>
        <w:t> </w:t>
      </w:r>
      <w:r>
        <w:rPr>
          <w:spacing w:val="40"/>
          <w:w w:val="95"/>
        </w:rPr>
      </w:r>
      <w:r>
        <w:rPr>
          <w:w w:val="95"/>
        </w:rPr>
        <w:t>的0.02%。具体内容详见公司于2019年4月23日发布的《安徽皖通科技股份有限公司关于第一期限制性股票</w:t>
      </w:r>
      <w:r>
        <w:rPr>
          <w:spacing w:val="36"/>
          <w:w w:val="95"/>
        </w:rPr>
        <w:t> </w:t>
      </w:r>
      <w:r>
        <w:rPr>
          <w:spacing w:val="36"/>
          <w:w w:val="95"/>
        </w:rPr>
      </w:r>
      <w:r>
        <w:rPr>
          <w:spacing w:val="-4"/>
          <w:w w:val="99"/>
        </w:rPr>
        <w:t>激励计划第一个解除限售期解除限售条件成就的公告》（公告编号：2019-037）、《安徽皖通科技股份有限</w:t>
      </w:r>
      <w:r>
        <w:rPr>
          <w:w w:val="99"/>
        </w:rPr>
        <w:t> </w:t>
      </w:r>
      <w:r>
        <w:rPr>
          <w:spacing w:val="-5"/>
          <w:w w:val="99"/>
        </w:rPr>
        <w:t>公司关于回购注销部分已授予但尚未解除限售的限制性股票的公告》（公告编号：2019-038）。</w:t>
      </w:r>
      <w:r>
        <w:rPr>
          <w:spacing w:val="-5"/>
        </w:rPr>
      </w:r>
    </w:p>
    <w:p>
      <w:pPr>
        <w:pStyle w:val="BodyText"/>
        <w:spacing w:line="408" w:lineRule="auto" w:before="46"/>
        <w:ind w:right="1130" w:firstLine="420"/>
        <w:jc w:val="both"/>
      </w:pPr>
      <w:r>
        <w:rPr>
          <w:spacing w:val="2"/>
          <w:w w:val="95"/>
        </w:rPr>
        <w:t>公司于2019年5月16日召开的2018年年度股东大会审议通过了《关于回购注销部分已授予但尚未解除</w:t>
      </w:r>
      <w:r>
        <w:rPr>
          <w:spacing w:val="-92"/>
          <w:w w:val="95"/>
        </w:rPr>
        <w:t> </w:t>
      </w:r>
      <w:r>
        <w:rPr>
          <w:spacing w:val="-92"/>
          <w:w w:val="95"/>
        </w:rPr>
      </w:r>
      <w:r>
        <w:rPr>
          <w:w w:val="95"/>
        </w:rPr>
        <w:t>限售的限制性股票的议案》,并于2019年5月17日发布了《安徽皖通科技股份有限公司2018年年度股东大会</w:t>
      </w:r>
      <w:r>
        <w:rPr>
          <w:spacing w:val="40"/>
          <w:w w:val="95"/>
        </w:rPr>
        <w:t> </w:t>
      </w:r>
      <w:r>
        <w:rPr>
          <w:spacing w:val="40"/>
          <w:w w:val="95"/>
        </w:rPr>
      </w:r>
      <w:r>
        <w:rPr>
          <w:spacing w:val="-4"/>
          <w:w w:val="99"/>
        </w:rPr>
        <w:t>决议公告》（2019-047）、《安徽皖通科技股份有限公司关于回购注销部分限制性股票减资暨通知债权人的</w:t>
      </w:r>
      <w:r>
        <w:rPr>
          <w:spacing w:val="-102"/>
          <w:w w:val="99"/>
        </w:rPr>
        <w:t> </w:t>
      </w:r>
      <w:r>
        <w:rPr>
          <w:spacing w:val="-102"/>
          <w:w w:val="99"/>
        </w:rPr>
      </w:r>
      <w:r>
        <w:rPr>
          <w:spacing w:val="-4"/>
          <w:w w:val="99"/>
        </w:rPr>
        <w:t>公告》（公告编号：2019-048），公司拟回购注销部分已授予但尚未解除限售的限制性股票63,000股，债权</w:t>
      </w:r>
      <w:r>
        <w:rPr>
          <w:spacing w:val="-93"/>
          <w:w w:val="99"/>
        </w:rPr>
        <w:t> </w:t>
      </w:r>
      <w:r>
        <w:rPr>
          <w:spacing w:val="-93"/>
          <w:w w:val="99"/>
        </w:rPr>
      </w:r>
      <w:r>
        <w:rPr/>
        <w:t>人自公告披露之日起45日内，有权凭有效债权文件及相关凭证要求公司清偿债务或者提供相应担保。</w:t>
      </w:r>
    </w:p>
    <w:p>
      <w:pPr>
        <w:pStyle w:val="BodyText"/>
        <w:spacing w:line="408" w:lineRule="auto" w:before="46"/>
        <w:ind w:right="1130" w:firstLine="420"/>
        <w:jc w:val="both"/>
      </w:pPr>
      <w:r>
        <w:rPr>
          <w:spacing w:val="2"/>
          <w:w w:val="95"/>
        </w:rPr>
        <w:t>公司于2019年5月23日发布了《安徽皖通科技股份有限公司关于第一期限制性股票激励计划第一个解</w:t>
      </w:r>
      <w:r>
        <w:rPr>
          <w:spacing w:val="-90"/>
          <w:w w:val="95"/>
        </w:rPr>
        <w:t> </w:t>
      </w:r>
      <w:r>
        <w:rPr>
          <w:spacing w:val="-90"/>
          <w:w w:val="95"/>
        </w:rPr>
      </w:r>
      <w:r>
        <w:rPr>
          <w:spacing w:val="-5"/>
          <w:w w:val="99"/>
        </w:rPr>
        <w:t>除限售期解除限售股份上市流通的提示性公告》（公告编号：2019-050），公司第一期限制性股票激励计划</w:t>
      </w:r>
      <w:r>
        <w:rPr>
          <w:spacing w:val="-54"/>
          <w:w w:val="99"/>
        </w:rPr>
        <w:t> </w:t>
      </w:r>
      <w:r>
        <w:rPr>
          <w:spacing w:val="-54"/>
          <w:w w:val="99"/>
        </w:rPr>
      </w:r>
      <w:r>
        <w:rPr>
          <w:w w:val="95"/>
        </w:rPr>
        <w:t>第一个解除限售期的解除限售条件已经成就。根据公司2018年第二次临时股东大会对董事会的授权，公司</w:t>
      </w:r>
      <w:r>
        <w:rPr>
          <w:spacing w:val="37"/>
          <w:w w:val="95"/>
        </w:rPr>
        <w:t> </w:t>
      </w:r>
      <w:r>
        <w:rPr>
          <w:spacing w:val="37"/>
          <w:w w:val="95"/>
        </w:rPr>
      </w:r>
      <w:r>
        <w:rPr>
          <w:w w:val="95"/>
        </w:rPr>
        <w:t>办理了第一期限制性股票激励计划第一个解除限售期股份上市流通手续，本次符合解除限售条件的激励对</w:t>
      </w:r>
      <w:r>
        <w:rPr>
          <w:spacing w:val="37"/>
          <w:w w:val="95"/>
        </w:rPr>
        <w:t> </w:t>
      </w:r>
      <w:r>
        <w:rPr>
          <w:spacing w:val="37"/>
          <w:w w:val="95"/>
        </w:rPr>
      </w:r>
      <w:r>
        <w:rPr>
          <w:spacing w:val="2"/>
          <w:w w:val="95"/>
        </w:rPr>
        <w:t>象共计336名，解除限售限制性股票数量为2,342,720股，占目前公司总股本比例为0.57%，本次解除限售</w:t>
      </w:r>
      <w:r>
        <w:rPr>
          <w:spacing w:val="28"/>
          <w:w w:val="95"/>
        </w:rPr>
        <w:t> </w:t>
      </w:r>
      <w:r>
        <w:rPr>
          <w:spacing w:val="28"/>
          <w:w w:val="95"/>
        </w:rPr>
      </w:r>
      <w:r>
        <w:rPr/>
        <w:t>的限制性股票的上市流通日为2019年5月28日。</w:t>
      </w:r>
    </w:p>
    <w:p>
      <w:pPr>
        <w:pStyle w:val="BodyText"/>
        <w:spacing w:line="408" w:lineRule="auto" w:before="87"/>
        <w:ind w:right="1132" w:firstLine="420"/>
        <w:jc w:val="both"/>
      </w:pPr>
      <w:r>
        <w:rPr>
          <w:spacing w:val="2"/>
          <w:w w:val="95"/>
        </w:rPr>
        <w:t>公司于2019年7月20日发布了《安徽皖通科技股份有限公司关于部分已授予但尚未解除限售的限制性</w:t>
      </w:r>
      <w:r>
        <w:rPr>
          <w:spacing w:val="-90"/>
          <w:w w:val="95"/>
        </w:rPr>
        <w:t> </w:t>
      </w:r>
      <w:r>
        <w:rPr>
          <w:spacing w:val="-90"/>
          <w:w w:val="95"/>
        </w:rPr>
      </w:r>
      <w:r>
        <w:rPr>
          <w:spacing w:val="-5"/>
          <w:w w:val="99"/>
        </w:rPr>
        <w:t>股票回购注销完成的公告》（公告编号：2019-059），经中国证券登记结算有限责任公司深圳分公司审核确</w:t>
      </w:r>
      <w:r>
        <w:rPr>
          <w:spacing w:val="-57"/>
          <w:w w:val="99"/>
        </w:rPr>
        <w:t> </w:t>
      </w:r>
      <w:r>
        <w:rPr>
          <w:spacing w:val="-57"/>
          <w:w w:val="99"/>
        </w:rPr>
      </w:r>
      <w:r>
        <w:rPr>
          <w:spacing w:val="17"/>
        </w:rPr>
        <w:t>认，公司本次限制性股票回购注销事宜已于</w:t>
      </w:r>
      <w:r>
        <w:rPr>
          <w:spacing w:val="-94"/>
        </w:rPr>
        <w:t> </w:t>
      </w:r>
      <w:r>
        <w:rPr>
          <w:spacing w:val="4"/>
        </w:rPr>
        <w:t>2019年</w:t>
      </w:r>
      <w:r>
        <w:rPr>
          <w:spacing w:val="-94"/>
        </w:rPr>
        <w:t> </w:t>
      </w:r>
      <w:r>
        <w:rPr>
          <w:spacing w:val="7"/>
        </w:rPr>
        <w:t>7月</w:t>
      </w:r>
      <w:r>
        <w:rPr>
          <w:spacing w:val="-94"/>
        </w:rPr>
        <w:t> </w:t>
      </w:r>
      <w:r>
        <w:rPr>
          <w:spacing w:val="12"/>
        </w:rPr>
        <w:t>19日完成。</w:t>
      </w:r>
      <w:r>
        <w:rPr>
          <w:spacing w:val="-94"/>
        </w:rPr>
        <w:t> </w:t>
      </w:r>
      <w:r>
        <w:rPr>
          <w:spacing w:val="17"/>
        </w:rPr>
        <w:t>公司变更后的注册资本为人民币</w:t>
      </w:r>
      <w:r>
        <w:rPr>
          <w:w w:val="99"/>
        </w:rPr>
        <w:t> </w:t>
      </w:r>
      <w:r>
        <w:rPr/>
        <w:t>412,072,469元，实收资本（股本）为人民币412,072,469元。</w:t>
      </w:r>
    </w:p>
    <w:tbl>
      <w:tblPr>
        <w:tblW w:w="0" w:type="auto"/>
        <w:jc w:val="left"/>
        <w:tblInd w:w="106" w:type="dxa"/>
        <w:tblLayout w:type="fixed"/>
        <w:tblCellMar>
          <w:top w:w="0" w:type="dxa"/>
          <w:left w:w="0" w:type="dxa"/>
          <w:bottom w:w="0" w:type="dxa"/>
          <w:right w:w="0" w:type="dxa"/>
        </w:tblCellMar>
        <w:tblLook w:val="01E0"/>
      </w:tblPr>
      <w:tblGrid>
        <w:gridCol w:w="3799"/>
        <w:gridCol w:w="2582"/>
        <w:gridCol w:w="3188"/>
      </w:tblGrid>
      <w:tr>
        <w:trPr>
          <w:trHeight w:val="427" w:hRule="exact"/>
        </w:trPr>
        <w:tc>
          <w:tcPr>
            <w:tcW w:w="37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5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05"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9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b/>
                <w:bCs/>
                <w:sz w:val="18"/>
                <w:szCs w:val="18"/>
              </w:rPr>
              <w:t>第一期员工持股计划</w:t>
            </w:r>
            <w:r>
              <w:rPr>
                <w:rFonts w:ascii="宋体" w:hAnsi="宋体" w:cs="宋体" w:eastAsia="宋体" w:hint="default"/>
                <w:sz w:val="18"/>
                <w:szCs w:val="18"/>
              </w:rPr>
            </w:r>
          </w:p>
        </w:tc>
      </w:tr>
      <w:tr>
        <w:trPr>
          <w:trHeight w:val="73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《安徽皖通科技股份有限公司关于第一期员工 持股计划届满的提示性公告》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2018年04月12日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73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《安徽皖通科技股份有限公司关于第一期员工 持股计划存续期展期的公告》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2018年08月08日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73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《安徽皖通科技股份有限公司关于第一期员工 持股计划届满的提示性公告》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2019年04月11日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2"/>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425"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《安徽皖通科技股份有限公司关于第一期员工</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2019年09月07日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2"/>
              <w:ind w:left="505" w:right="0"/>
              <w:jc w:val="left"/>
              <w:rPr>
                <w:rFonts w:ascii="宋体" w:hAnsi="宋体" w:cs="宋体" w:eastAsia="宋体" w:hint="default"/>
                <w:sz w:val="18"/>
                <w:szCs w:val="18"/>
              </w:rPr>
            </w:pPr>
            <w:hyperlink r:id="rId11">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799"/>
        <w:gridCol w:w="2582"/>
        <w:gridCol w:w="3188"/>
      </w:tblGrid>
      <w:tr>
        <w:trPr>
          <w:trHeight w:val="387"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持股计划股票出售完毕暨计划终止的公告》</w:t>
            </w:r>
          </w:p>
        </w:tc>
        <w:tc>
          <w:tcPr>
            <w:tcW w:w="2582"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
        </w:tc>
      </w:tr>
      <w:tr>
        <w:trPr>
          <w:trHeight w:val="427" w:hRule="exact"/>
        </w:trPr>
        <w:tc>
          <w:tcPr>
            <w:tcW w:w="9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b/>
                <w:bCs/>
                <w:sz w:val="18"/>
                <w:szCs w:val="18"/>
              </w:rPr>
              <w:t>第一期限制性股票激励计划</w:t>
            </w:r>
            <w:r>
              <w:rPr>
                <w:rFonts w:ascii="宋体" w:hAnsi="宋体" w:cs="宋体" w:eastAsia="宋体" w:hint="default"/>
                <w:sz w:val="18"/>
                <w:szCs w:val="18"/>
              </w:rPr>
            </w:r>
          </w:p>
        </w:tc>
      </w:tr>
      <w:tr>
        <w:trPr>
          <w:trHeight w:val="65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《安徽皖通科技股份有限公司第一期限制性股 </w:t>
            </w:r>
            <w:r>
              <w:rPr>
                <w:rFonts w:ascii="宋体" w:hAnsi="宋体" w:cs="宋体" w:eastAsia="宋体" w:hint="default"/>
                <w:spacing w:val="-10"/>
                <w:sz w:val="18"/>
                <w:szCs w:val="18"/>
              </w:rPr>
              <w:t>票激励计划（草案）》</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2018年02月10日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0"/>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971"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80"/>
              <w:jc w:val="both"/>
              <w:rPr>
                <w:rFonts w:ascii="宋体" w:hAnsi="宋体" w:cs="宋体" w:eastAsia="宋体" w:hint="default"/>
                <w:sz w:val="18"/>
                <w:szCs w:val="18"/>
              </w:rPr>
            </w:pPr>
            <w:r>
              <w:rPr>
                <w:rFonts w:ascii="宋体" w:hAnsi="宋体" w:cs="宋体" w:eastAsia="宋体" w:hint="default"/>
                <w:sz w:val="18"/>
                <w:szCs w:val="18"/>
              </w:rPr>
              <w:t>《安徽皖通科技股份有限公司监事会关于第一 期限制性股票激励计划激励对象名单的审核及 公示情况说明》</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2018年03月02日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1"/>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65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《安徽皖通科技股份有限公司2018年第二次临 时股东大会决议公告》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2018年03月08日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0"/>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971"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80"/>
              <w:jc w:val="both"/>
              <w:rPr>
                <w:rFonts w:ascii="宋体" w:hAnsi="宋体" w:cs="宋体" w:eastAsia="宋体" w:hint="default"/>
                <w:sz w:val="18"/>
                <w:szCs w:val="18"/>
              </w:rPr>
            </w:pPr>
            <w:r>
              <w:rPr>
                <w:rFonts w:ascii="宋体" w:hAnsi="宋体" w:cs="宋体" w:eastAsia="宋体" w:hint="default"/>
                <w:sz w:val="18"/>
                <w:szCs w:val="18"/>
              </w:rPr>
              <w:t>《安徽皖通科技股份有限公司关于调整第一期 限制性股票激励计划激励对象名单和授予数量 的公告》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2018年04月24日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1"/>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65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《安徽皖通科技股份有限公司关于向激励对象 授予限制性股票的公告》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2018年04月24日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2"/>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65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《安徽皖通科技股份有限公司关于限制性股票 授予登记完成的公告》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2018年05月23日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1"/>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1051"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80"/>
              <w:jc w:val="both"/>
              <w:rPr>
                <w:rFonts w:ascii="宋体" w:hAnsi="宋体" w:cs="宋体" w:eastAsia="宋体" w:hint="default"/>
                <w:sz w:val="18"/>
                <w:szCs w:val="18"/>
              </w:rPr>
            </w:pPr>
            <w:r>
              <w:rPr>
                <w:rFonts w:ascii="宋体" w:hAnsi="宋体" w:cs="宋体" w:eastAsia="宋体" w:hint="default"/>
                <w:sz w:val="18"/>
                <w:szCs w:val="18"/>
              </w:rPr>
              <w:t>《安徽皖通科技股份有限公司关于第一期限制 性股票激励计划第一个解除限售期解除限售条 件成就的公告》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2019年04月23日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0"/>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73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《安徽皖通科技股份有限公司关于回购注销部 分已授予但尚未解除限售的限制性股票的公告》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2019年04月23日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0"/>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73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《安徽皖通科技股份有限公司2018年年度股东 大会决议公告》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2019年05月17日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0"/>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739"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80"/>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《安徽皖通科技股份有限公司关于回购注销部 分限制性股票减资暨通知债权人的公告》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2019年05月17日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1051"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80"/>
              <w:jc w:val="both"/>
              <w:rPr>
                <w:rFonts w:ascii="宋体" w:hAnsi="宋体" w:cs="宋体" w:eastAsia="宋体" w:hint="default"/>
                <w:sz w:val="18"/>
                <w:szCs w:val="18"/>
              </w:rPr>
            </w:pPr>
            <w:r>
              <w:rPr>
                <w:rFonts w:ascii="宋体" w:hAnsi="宋体" w:cs="宋体" w:eastAsia="宋体" w:hint="default"/>
                <w:sz w:val="18"/>
                <w:szCs w:val="18"/>
              </w:rPr>
              <w:t>《安徽皖通科技股份有限公司关于第一期限制 性股票激励计划第一个解除限售期解除限售股 份上市流通的提示性公告》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2019年05月23日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1051" w:hRule="exact"/>
        </w:trPr>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80"/>
              <w:jc w:val="both"/>
              <w:rPr>
                <w:rFonts w:ascii="宋体" w:hAnsi="宋体" w:cs="宋体" w:eastAsia="宋体" w:hint="default"/>
                <w:sz w:val="18"/>
                <w:szCs w:val="18"/>
              </w:rPr>
            </w:pPr>
            <w:r>
              <w:rPr>
                <w:rFonts w:ascii="宋体" w:hAnsi="宋体" w:cs="宋体" w:eastAsia="宋体" w:hint="default"/>
                <w:sz w:val="18"/>
                <w:szCs w:val="18"/>
              </w:rPr>
              <w:t>《安徽皖通科技股份有限公司关于部分已授予 但尚未解除限售的限制性股票回购注销完成的 公告》</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2019年07月20日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1"/>
              <w:ind w:left="505" w:right="0"/>
              <w:jc w:val="left"/>
              <w:rPr>
                <w:rFonts w:ascii="宋体" w:hAnsi="宋体" w:cs="宋体" w:eastAsia="宋体" w:hint="default"/>
                <w:sz w:val="18"/>
                <w:szCs w:val="18"/>
              </w:rPr>
            </w:pPr>
            <w:hyperlink r:id="rId11">
              <w:r>
                <w:rPr>
                  <w:rFonts w:ascii="宋体"/>
                  <w:sz w:val="18"/>
                </w:rPr>
                <w:t>http://www.cninfo.com.cn</w:t>
              </w:r>
            </w:hyperlink>
          </w:p>
        </w:tc>
      </w:tr>
    </w:tbl>
    <w:p>
      <w:pPr>
        <w:spacing w:line="240" w:lineRule="auto" w:before="5"/>
        <w:rPr>
          <w:rFonts w:ascii="宋体" w:hAnsi="宋体" w:cs="宋体" w:eastAsia="宋体" w:hint="default"/>
          <w:sz w:val="27"/>
          <w:szCs w:val="27"/>
        </w:rPr>
      </w:pPr>
    </w:p>
    <w:p>
      <w:pPr>
        <w:spacing w:line="328" w:lineRule="auto" w:before="44"/>
        <w:ind w:left="112" w:right="112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 本公司实施股权激励计提费用1,219.79万元，占归属于母公司所有者的净利润7.24%。核心技术人员的股权激励费用916.45 万元，占公司当期股权激励费用的比重是75.13%%。</w:t>
      </w:r>
    </w:p>
    <w:p>
      <w:pPr>
        <w:spacing w:line="240" w:lineRule="auto" w:before="13"/>
        <w:rPr>
          <w:rFonts w:ascii="宋体" w:hAnsi="宋体" w:cs="宋体" w:eastAsia="宋体" w:hint="default"/>
          <w:sz w:val="19"/>
          <w:szCs w:val="19"/>
        </w:rPr>
      </w:pPr>
    </w:p>
    <w:p>
      <w:pPr>
        <w:pStyle w:val="Heading4"/>
        <w:spacing w:line="240" w:lineRule="auto"/>
        <w:ind w:right="2127"/>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公司报告期未发生与日常经营相关的关联交易。</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64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71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7"/>
        <w:rPr>
          <w:rFonts w:ascii="宋体" w:hAnsi="宋体" w:cs="宋体" w:eastAsia="宋体" w:hint="default"/>
          <w:sz w:val="18"/>
          <w:szCs w:val="18"/>
        </w:rPr>
      </w:pPr>
    </w:p>
    <w:p>
      <w:pPr>
        <w:pStyle w:val="Heading4"/>
        <w:spacing w:line="240" w:lineRule="auto"/>
        <w:ind w:right="2127"/>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7"/>
        <w:gridCol w:w="922"/>
        <w:gridCol w:w="921"/>
        <w:gridCol w:w="1300"/>
        <w:gridCol w:w="1057"/>
        <w:gridCol w:w="1041"/>
        <w:gridCol w:w="1047"/>
        <w:gridCol w:w="790"/>
        <w:gridCol w:w="782"/>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2" w:right="177"/>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74" w:right="174"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59" w:right="188"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47" w:right="15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2"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7"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75"/>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84"/>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4"/>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7" w:right="182"/>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69" w:right="17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47" w:right="15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0"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7"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53"/>
              <w:jc w:val="left"/>
              <w:rPr>
                <w:rFonts w:ascii="宋体" w:hAnsi="宋体" w:cs="宋体" w:eastAsia="宋体" w:hint="default"/>
                <w:sz w:val="18"/>
                <w:szCs w:val="18"/>
              </w:rPr>
            </w:pPr>
            <w:r>
              <w:rPr>
                <w:rFonts w:ascii="宋体" w:hAnsi="宋体" w:cs="宋体" w:eastAsia="宋体" w:hint="default"/>
                <w:sz w:val="18"/>
                <w:szCs w:val="18"/>
              </w:rPr>
              <w:t>安徽汉高信息科技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2,295</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8"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53"/>
              <w:jc w:val="left"/>
              <w:rPr>
                <w:rFonts w:ascii="宋体" w:hAnsi="宋体" w:cs="宋体" w:eastAsia="宋体" w:hint="default"/>
                <w:sz w:val="18"/>
                <w:szCs w:val="18"/>
              </w:rPr>
            </w:pPr>
            <w:r>
              <w:rPr>
                <w:rFonts w:ascii="宋体" w:hAnsi="宋体" w:cs="宋体" w:eastAsia="宋体" w:hint="default"/>
                <w:sz w:val="18"/>
                <w:szCs w:val="18"/>
              </w:rPr>
              <w:t>安徽汉高信息科技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2,040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1,020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8"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53"/>
              <w:jc w:val="left"/>
              <w:rPr>
                <w:rFonts w:ascii="宋体" w:hAnsi="宋体" w:cs="宋体" w:eastAsia="宋体" w:hint="default"/>
                <w:sz w:val="18"/>
                <w:szCs w:val="18"/>
              </w:rPr>
            </w:pPr>
            <w:r>
              <w:rPr>
                <w:rFonts w:ascii="宋体" w:hAnsi="宋体" w:cs="宋体" w:eastAsia="宋体" w:hint="default"/>
                <w:sz w:val="18"/>
                <w:szCs w:val="18"/>
              </w:rPr>
              <w:t>安徽汉高信息科技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3,315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3,060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8"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53"/>
              <w:jc w:val="left"/>
              <w:rPr>
                <w:rFonts w:ascii="宋体" w:hAnsi="宋体" w:cs="宋体" w:eastAsia="宋体" w:hint="default"/>
                <w:sz w:val="18"/>
                <w:szCs w:val="18"/>
              </w:rPr>
            </w:pPr>
            <w:r>
              <w:rPr>
                <w:rFonts w:ascii="宋体" w:hAnsi="宋体" w:cs="宋体" w:eastAsia="宋体" w:hint="default"/>
                <w:sz w:val="18"/>
                <w:szCs w:val="18"/>
              </w:rPr>
              <w:t>安徽汉高信息科技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1,020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8"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7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8,670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0" w:right="18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52" w:right="196"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37" w:right="16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2"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7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632"/>
        <w:gridCol w:w="2218"/>
        <w:gridCol w:w="2098"/>
        <w:gridCol w:w="2620"/>
      </w:tblGrid>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8"/>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4,335</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w:t>
            </w:r>
          </w:p>
        </w:tc>
      </w:tr>
      <w:tr>
        <w:trPr>
          <w:trHeight w:val="71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8,670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4"/>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w:t>
            </w:r>
          </w:p>
        </w:tc>
      </w:tr>
      <w:tr>
        <w:trPr>
          <w:trHeight w:val="402"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偿责任的情况说明（如有）</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60" w:lineRule="auto" w:before="50"/>
        <w:ind w:left="112" w:right="805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2"/>
        <w:rPr>
          <w:rFonts w:ascii="宋体" w:hAnsi="宋体" w:cs="宋体" w:eastAsia="宋体" w:hint="default"/>
          <w:sz w:val="20"/>
          <w:szCs w:val="20"/>
        </w:rPr>
      </w:pPr>
    </w:p>
    <w:p>
      <w:pPr>
        <w:pStyle w:val="Heading5"/>
        <w:spacing w:line="240" w:lineRule="auto"/>
        <w:ind w:right="2127"/>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4"/>
        <w:rPr>
          <w:rFonts w:ascii="宋体" w:hAnsi="宋体" w:cs="宋体" w:eastAsia="宋体" w:hint="default"/>
          <w:sz w:val="20"/>
          <w:szCs w:val="20"/>
        </w:rPr>
      </w:pPr>
    </w:p>
    <w:p>
      <w:pPr>
        <w:pStyle w:val="Heading5"/>
        <w:spacing w:line="240" w:lineRule="auto"/>
        <w:ind w:right="2127"/>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3"/>
        <w:rPr>
          <w:rFonts w:ascii="宋体" w:hAnsi="宋体" w:cs="宋体" w:eastAsia="宋体" w:hint="default"/>
          <w:sz w:val="20"/>
          <w:szCs w:val="20"/>
        </w:rPr>
      </w:pPr>
    </w:p>
    <w:p>
      <w:pPr>
        <w:pStyle w:val="Heading5"/>
        <w:spacing w:line="240" w:lineRule="auto"/>
        <w:ind w:right="2127"/>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1120" w:firstLine="0"/>
        <w:jc w:val="left"/>
        <w:rPr>
          <w:rFonts w:ascii="宋体" w:hAnsi="宋体" w:cs="宋体" w:eastAsia="宋体" w:hint="default"/>
          <w:sz w:val="18"/>
          <w:szCs w:val="18"/>
        </w:rPr>
      </w:pPr>
      <w:r>
        <w:rPr>
          <w:rFonts w:ascii="宋体" w:hAnsi="宋体" w:cs="宋体" w:eastAsia="宋体" w:hint="default"/>
          <w:spacing w:val="-3"/>
          <w:sz w:val="18"/>
          <w:szCs w:val="18"/>
        </w:rPr>
        <w:t>《安徽皖通科技股份有限公司2019年度社会责任报告》刊登于2020年4月28日巨潮资讯网</w:t>
      </w:r>
      <w:hyperlink r:id="rId11">
        <w:r>
          <w:rPr>
            <w:rFonts w:ascii="宋体" w:hAnsi="宋体" w:cs="宋体" w:eastAsia="宋体" w:hint="default"/>
            <w:spacing w:val="-3"/>
            <w:sz w:val="18"/>
            <w:szCs w:val="18"/>
          </w:rPr>
          <w:t>（http://www.cninfo.com.cn</w:t>
        </w:r>
      </w:hyperlink>
      <w:r>
        <w:rPr>
          <w:rFonts w:ascii="宋体" w:hAnsi="宋体" w:cs="宋体" w:eastAsia="宋体" w:hint="default"/>
          <w:spacing w:val="-3"/>
          <w:sz w:val="18"/>
          <w:szCs w:val="18"/>
        </w:rPr>
        <w:t>），请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查阅。</w:t>
      </w:r>
    </w:p>
    <w:p>
      <w:pPr>
        <w:spacing w:line="240" w:lineRule="auto" w:before="8"/>
        <w:rPr>
          <w:rFonts w:ascii="宋体" w:hAnsi="宋体" w:cs="宋体" w:eastAsia="宋体" w:hint="default"/>
          <w:sz w:val="22"/>
          <w:szCs w:val="22"/>
        </w:rPr>
      </w:pPr>
    </w:p>
    <w:p>
      <w:pPr>
        <w:pStyle w:val="Heading5"/>
        <w:spacing w:line="240" w:lineRule="auto"/>
        <w:ind w:right="2127"/>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bookmarkStart w:name="公司报告年度暂未开展精准扶贫工作，也暂无后续精准扶贫计划。" w:id="102"/>
      <w:bookmarkEnd w:id="102"/>
      <w:r>
        <w:rPr/>
      </w: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line="316" w:lineRule="auto" w:before="25"/>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公司不属于环境保护部门公布的重点排污单位，具体详见2020年4月28日发布于巨潮资讯网</w:t>
      </w:r>
      <w:hyperlink r:id="rId11">
        <w:r>
          <w:rPr>
            <w:rFonts w:ascii="宋体" w:hAnsi="宋体" w:cs="宋体" w:eastAsia="宋体" w:hint="default"/>
            <w:spacing w:val="-2"/>
            <w:sz w:val="18"/>
            <w:szCs w:val="18"/>
          </w:rPr>
          <w:t>（www.cninfo.com.cn</w:t>
        </w:r>
      </w:hyperlink>
      <w:r>
        <w:rPr>
          <w:rFonts w:ascii="宋体" w:hAnsi="宋体" w:cs="宋体" w:eastAsia="宋体" w:hint="default"/>
          <w:spacing w:val="-2"/>
          <w:sz w:val="18"/>
          <w:szCs w:val="18"/>
        </w:rPr>
        <w:t>）的《安徽</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皖通科技股份有限公司2019年度社会责任报告》"第六章</w:t>
      </w:r>
      <w:r>
        <w:rPr>
          <w:rFonts w:ascii="宋体" w:hAnsi="宋体" w:cs="宋体" w:eastAsia="宋体" w:hint="default"/>
          <w:spacing w:val="87"/>
          <w:sz w:val="18"/>
          <w:szCs w:val="18"/>
        </w:rPr>
        <w:t> </w:t>
      </w:r>
      <w:r>
        <w:rPr>
          <w:rFonts w:ascii="宋体" w:hAnsi="宋体" w:cs="宋体" w:eastAsia="宋体" w:hint="default"/>
          <w:sz w:val="18"/>
          <w:szCs w:val="18"/>
        </w:rPr>
        <w:t>环境保护与可持续发展"。</w:t>
      </w:r>
    </w:p>
    <w:p>
      <w:pPr>
        <w:spacing w:line="240" w:lineRule="auto" w:before="11"/>
        <w:rPr>
          <w:rFonts w:ascii="宋体" w:hAnsi="宋体" w:cs="宋体" w:eastAsia="宋体" w:hint="default"/>
          <w:sz w:val="20"/>
          <w:szCs w:val="20"/>
        </w:rPr>
      </w:pPr>
    </w:p>
    <w:p>
      <w:pPr>
        <w:pStyle w:val="Heading4"/>
        <w:spacing w:line="240" w:lineRule="auto"/>
        <w:ind w:right="2127"/>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pStyle w:val="BodyText"/>
        <w:spacing w:line="408" w:lineRule="auto" w:before="0"/>
        <w:ind w:right="1130" w:firstLine="420"/>
        <w:jc w:val="left"/>
      </w:pPr>
      <w:r>
        <w:rPr>
          <w:spacing w:val="-4"/>
          <w:w w:val="95"/>
        </w:rPr>
        <w:t>因筹划控制权变更事项，公司股票自2018年12月10日开市时起停牌。公司于2018年12月10日披露了《安</w:t>
      </w:r>
      <w:r>
        <w:rPr>
          <w:spacing w:val="-85"/>
          <w:w w:val="95"/>
        </w:rPr>
        <w:t> </w:t>
      </w:r>
      <w:r>
        <w:rPr>
          <w:spacing w:val="-85"/>
          <w:w w:val="95"/>
        </w:rPr>
      </w:r>
      <w:r>
        <w:rPr>
          <w:spacing w:val="-5"/>
          <w:w w:val="99"/>
        </w:rPr>
        <w:t>徽皖通科技股份有限公司关于筹划控制权变更的停牌公告》（公告编号：2018-061）。</w:t>
      </w:r>
      <w:r>
        <w:rPr>
          <w:spacing w:val="-5"/>
        </w:rPr>
      </w:r>
    </w:p>
    <w:p>
      <w:pPr>
        <w:pStyle w:val="BodyText"/>
        <w:spacing w:line="408" w:lineRule="auto" w:before="46"/>
        <w:ind w:right="1135" w:firstLine="420"/>
        <w:jc w:val="both"/>
      </w:pPr>
      <w:r>
        <w:rPr>
          <w:w w:val="95"/>
        </w:rPr>
        <w:t>公司于2018年12月14日披露了《安徽皖通科技股份有限公司关于控股股东签订&lt;表决权委托协议&gt;及控</w:t>
      </w:r>
      <w:r>
        <w:rPr>
          <w:w w:val="99"/>
        </w:rPr>
        <w:t> </w:t>
      </w:r>
      <w:r>
        <w:rPr>
          <w:spacing w:val="2"/>
          <w:w w:val="95"/>
        </w:rPr>
        <w:t>制权拟变更暨公司股票复牌的提示性公告》(公告编号：2018-063),公司股票于2018年12月14日开市时起  </w:t>
      </w:r>
      <w:r>
        <w:rPr>
          <w:spacing w:val="27"/>
          <w:w w:val="95"/>
        </w:rPr>
        <w:t> </w:t>
      </w:r>
      <w:r>
        <w:rPr>
          <w:spacing w:val="27"/>
          <w:w w:val="95"/>
        </w:rPr>
      </w:r>
      <w:r>
        <w:rPr/>
        <w:t>复牌。</w:t>
      </w:r>
    </w:p>
    <w:p>
      <w:pPr>
        <w:pStyle w:val="BodyText"/>
        <w:spacing w:line="408" w:lineRule="auto" w:before="46"/>
        <w:ind w:right="1132" w:firstLine="420"/>
        <w:jc w:val="left"/>
      </w:pPr>
      <w:r>
        <w:rPr>
          <w:spacing w:val="-5"/>
          <w:w w:val="99"/>
        </w:rPr>
        <w:t>公司于2019年3月7日披露了《安徽皖通科技股份有限公司控股股东及实际控制人发生变更的公告》（公</w:t>
      </w:r>
      <w:r>
        <w:rPr>
          <w:w w:val="99"/>
        </w:rPr>
        <w:t> </w:t>
      </w:r>
      <w:r>
        <w:rPr>
          <w:spacing w:val="-2"/>
          <w:w w:val="99"/>
        </w:rPr>
        <w:t>告编号：2019-010），公司控制权变更事项于2019年3月5日取得国防科工局批准，公司控股股东变更为南</w:t>
      </w:r>
      <w:r>
        <w:rPr>
          <w:spacing w:val="-81"/>
          <w:w w:val="99"/>
        </w:rPr>
        <w:t> </w:t>
      </w:r>
      <w:r>
        <w:rPr>
          <w:spacing w:val="-81"/>
          <w:w w:val="99"/>
        </w:rPr>
      </w:r>
      <w:r>
        <w:rPr/>
        <w:t>方银谷科技有限公司，实际控制人变更为周发展。</w:t>
      </w:r>
    </w:p>
    <w:tbl>
      <w:tblPr>
        <w:tblW w:w="0" w:type="auto"/>
        <w:jc w:val="left"/>
        <w:tblInd w:w="106" w:type="dxa"/>
        <w:tblLayout w:type="fixed"/>
        <w:tblCellMar>
          <w:top w:w="0" w:type="dxa"/>
          <w:left w:w="0" w:type="dxa"/>
          <w:bottom w:w="0" w:type="dxa"/>
          <w:right w:w="0" w:type="dxa"/>
        </w:tblCellMar>
        <w:tblLook w:val="01E0"/>
      </w:tblPr>
      <w:tblGrid>
        <w:gridCol w:w="3191"/>
        <w:gridCol w:w="3190"/>
        <w:gridCol w:w="3188"/>
      </w:tblGrid>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47"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05"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7" w:hRule="exact"/>
        </w:trPr>
        <w:tc>
          <w:tcPr>
            <w:tcW w:w="9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宋体" w:hAnsi="宋体" w:cs="宋体" w:eastAsia="宋体" w:hint="default"/>
                <w:sz w:val="18"/>
                <w:szCs w:val="18"/>
              </w:rPr>
            </w:pPr>
            <w:r>
              <w:rPr>
                <w:rFonts w:ascii="宋体" w:hAnsi="宋体" w:cs="宋体" w:eastAsia="宋体" w:hint="default"/>
                <w:b/>
                <w:bCs/>
                <w:sz w:val="18"/>
                <w:szCs w:val="18"/>
              </w:rPr>
              <w:t>控制权变更事项</w:t>
            </w:r>
            <w:r>
              <w:rPr>
                <w:rFonts w:ascii="宋体" w:hAnsi="宋体" w:cs="宋体" w:eastAsia="宋体" w:hint="default"/>
                <w:sz w:val="18"/>
                <w:szCs w:val="18"/>
              </w:rPr>
            </w:r>
          </w:p>
        </w:tc>
      </w:tr>
      <w:tr>
        <w:trPr>
          <w:trHeight w:val="739"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3"/>
              <w:ind w:left="3" w:right="112"/>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《安徽皖通科技股份有限公司关于筹划 控制权变更的停牌公告》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2018年12月10日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43"/>
              <w:ind w:left="505" w:right="0"/>
              <w:jc w:val="left"/>
              <w:rPr>
                <w:rFonts w:ascii="宋体" w:hAnsi="宋体" w:cs="宋体" w:eastAsia="宋体" w:hint="default"/>
                <w:sz w:val="18"/>
                <w:szCs w:val="18"/>
              </w:rPr>
            </w:pPr>
            <w:hyperlink r:id="rId11">
              <w:r>
                <w:rPr>
                  <w:rFonts w:ascii="宋体"/>
                  <w:sz w:val="18"/>
                </w:rPr>
                <w:t>http://www.cninfo.com.cn</w:t>
              </w:r>
            </w:hyperlink>
          </w:p>
        </w:tc>
      </w:tr>
      <w:tr>
        <w:trPr>
          <w:trHeight w:val="1049"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3"/>
              <w:ind w:left="3" w:right="112"/>
              <w:jc w:val="both"/>
              <w:rPr>
                <w:rFonts w:ascii="宋体" w:hAnsi="宋体" w:cs="宋体" w:eastAsia="宋体" w:hint="default"/>
                <w:sz w:val="18"/>
                <w:szCs w:val="18"/>
              </w:rPr>
            </w:pPr>
            <w:r>
              <w:rPr>
                <w:rFonts w:ascii="宋体" w:hAnsi="宋体" w:cs="宋体" w:eastAsia="宋体" w:hint="default"/>
                <w:sz w:val="18"/>
                <w:szCs w:val="18"/>
              </w:rPr>
              <w:t>《安徽皖通科技股份有限公司关于控股 股东签订&lt;表决权委托协议&gt;及控制权拟 变更暨公司股票复牌的提示性公告》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2018年12月14日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43"/>
              <w:ind w:left="505" w:right="0"/>
              <w:jc w:val="left"/>
              <w:rPr>
                <w:rFonts w:ascii="宋体" w:hAnsi="宋体" w:cs="宋体" w:eastAsia="宋体" w:hint="default"/>
                <w:sz w:val="18"/>
                <w:szCs w:val="18"/>
              </w:rPr>
            </w:pPr>
            <w:hyperlink r:id="rId11">
              <w:r>
                <w:rPr>
                  <w:rFonts w:ascii="宋体"/>
                  <w:sz w:val="18"/>
                </w:rPr>
                <w:t>http://www.cninfo.com.cn</w:t>
              </w:r>
            </w:hyperlink>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191"/>
        <w:gridCol w:w="3190"/>
        <w:gridCol w:w="3188"/>
      </w:tblGrid>
      <w:tr>
        <w:trPr>
          <w:trHeight w:val="739"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12"/>
              <w:jc w:val="left"/>
              <w:rPr>
                <w:rFonts w:ascii="宋体" w:hAnsi="宋体" w:cs="宋体" w:eastAsia="宋体" w:hint="default"/>
                <w:sz w:val="18"/>
                <w:szCs w:val="18"/>
              </w:rPr>
            </w:pPr>
            <w:r>
              <w:rPr>
                <w:rFonts w:ascii="宋体" w:hAnsi="宋体" w:cs="宋体" w:eastAsia="宋体" w:hint="default"/>
                <w:sz w:val="18"/>
                <w:szCs w:val="18"/>
              </w:rPr>
              <w:t>《安徽皖通科技股份有限公司控股股东 及实际控制人发生变更的公告》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57" w:right="0"/>
              <w:jc w:val="left"/>
              <w:rPr>
                <w:rFonts w:ascii="宋体" w:hAnsi="宋体" w:cs="宋体" w:eastAsia="宋体" w:hint="default"/>
                <w:sz w:val="18"/>
                <w:szCs w:val="18"/>
              </w:rPr>
            </w:pPr>
            <w:r>
              <w:rPr>
                <w:rFonts w:ascii="宋体" w:hAnsi="宋体" w:cs="宋体" w:eastAsia="宋体" w:hint="default"/>
                <w:sz w:val="18"/>
                <w:szCs w:val="18"/>
              </w:rPr>
              <w:t>2019年03月07日</w:t>
            </w:r>
          </w:p>
        </w:tc>
        <w:tc>
          <w:tcPr>
            <w:tcW w:w="3188"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62"/>
              <w:ind w:left="505" w:right="0"/>
              <w:jc w:val="left"/>
              <w:rPr>
                <w:rFonts w:ascii="宋体" w:hAnsi="宋体" w:cs="宋体" w:eastAsia="宋体" w:hint="default"/>
                <w:sz w:val="18"/>
                <w:szCs w:val="18"/>
              </w:rPr>
            </w:pPr>
            <w:hyperlink r:id="rId11">
              <w:r>
                <w:rPr>
                  <w:rFonts w:ascii="宋体"/>
                  <w:sz w:val="18"/>
                </w:rPr>
                <w:t>http://www.cninfo.com.cn</w:t>
              </w:r>
            </w:hyperlink>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26"/>
        <w:ind w:right="2127"/>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928" w:right="2127"/>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97"/>
        <w:gridCol w:w="1080"/>
        <w:gridCol w:w="810"/>
        <w:gridCol w:w="585"/>
        <w:gridCol w:w="600"/>
        <w:gridCol w:w="825"/>
        <w:gridCol w:w="1080"/>
        <w:gridCol w:w="1050"/>
        <w:gridCol w:w="951"/>
        <w:gridCol w:w="794"/>
      </w:tblGrid>
      <w:tr>
        <w:trPr>
          <w:trHeight w:val="322" w:hRule="exact"/>
        </w:trPr>
        <w:tc>
          <w:tcPr>
            <w:tcW w:w="1797" w:type="dxa"/>
            <w:vMerge w:val="restart"/>
            <w:tcBorders>
              <w:top w:val="single" w:sz="4" w:space="0" w:color="000000"/>
              <w:left w:val="single" w:sz="4" w:space="0" w:color="000000"/>
              <w:right w:val="single" w:sz="4" w:space="0" w:color="000000"/>
            </w:tcBorders>
            <w:shd w:val="clear" w:color="auto" w:fill="D2D2D2"/>
          </w:tcPr>
          <w:p>
            <w:pPr/>
          </w:p>
        </w:tc>
        <w:tc>
          <w:tcPr>
            <w:tcW w:w="18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7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4" w:hRule="exact"/>
        </w:trPr>
        <w:tc>
          <w:tcPr>
            <w:tcW w:w="1797"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6" w:right="10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送股</w:t>
            </w:r>
          </w:p>
        </w:tc>
        <w:tc>
          <w:tcPr>
            <w:tcW w:w="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6" w:right="13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108,882,2</w:t>
            </w:r>
          </w:p>
          <w:p>
            <w:pPr>
              <w:pStyle w:val="TableParagraph"/>
              <w:spacing w:line="240" w:lineRule="auto" w:before="76"/>
              <w:ind w:right="100"/>
              <w:jc w:val="right"/>
              <w:rPr>
                <w:rFonts w:ascii="宋体" w:hAnsi="宋体" w:cs="宋体" w:eastAsia="宋体" w:hint="default"/>
                <w:sz w:val="18"/>
                <w:szCs w:val="18"/>
              </w:rPr>
            </w:pPr>
            <w:r>
              <w:rPr>
                <w:rFonts w:ascii="宋体"/>
                <w:sz w:val="18"/>
              </w:rPr>
              <w:t>08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26.42%</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-33,340,7</w:t>
            </w:r>
          </w:p>
          <w:p>
            <w:pPr>
              <w:pStyle w:val="TableParagraph"/>
              <w:spacing w:line="240" w:lineRule="auto" w:before="76"/>
              <w:ind w:right="100"/>
              <w:jc w:val="right"/>
              <w:rPr>
                <w:rFonts w:ascii="宋体" w:hAnsi="宋体" w:cs="宋体" w:eastAsia="宋体" w:hint="default"/>
                <w:sz w:val="18"/>
                <w:szCs w:val="18"/>
              </w:rPr>
            </w:pPr>
            <w:r>
              <w:rPr>
                <w:rFonts w:ascii="宋体"/>
                <w:sz w:val="18"/>
              </w:rPr>
              <w:t>74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-33,340,7</w:t>
            </w:r>
          </w:p>
          <w:p>
            <w:pPr>
              <w:pStyle w:val="TableParagraph"/>
              <w:spacing w:line="240" w:lineRule="auto" w:before="76"/>
              <w:ind w:right="99"/>
              <w:jc w:val="right"/>
              <w:rPr>
                <w:rFonts w:ascii="宋体" w:hAnsi="宋体" w:cs="宋体" w:eastAsia="宋体" w:hint="default"/>
                <w:sz w:val="18"/>
                <w:szCs w:val="18"/>
              </w:rPr>
            </w:pPr>
            <w:r>
              <w:rPr>
                <w:rFonts w:ascii="宋体"/>
                <w:sz w:val="18"/>
              </w:rPr>
              <w:t>74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75,541,4</w:t>
            </w:r>
          </w:p>
          <w:p>
            <w:pPr>
              <w:pStyle w:val="TableParagraph"/>
              <w:spacing w:line="240" w:lineRule="auto" w:before="76"/>
              <w:ind w:right="100"/>
              <w:jc w:val="right"/>
              <w:rPr>
                <w:rFonts w:ascii="宋体" w:hAnsi="宋体" w:cs="宋体" w:eastAsia="宋体" w:hint="default"/>
                <w:sz w:val="18"/>
                <w:szCs w:val="18"/>
              </w:rPr>
            </w:pPr>
            <w:r>
              <w:rPr>
                <w:rFonts w:ascii="宋体"/>
                <w:sz w:val="18"/>
              </w:rPr>
              <w:t>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8"/>
                <w:szCs w:val="18"/>
              </w:rPr>
            </w:pPr>
            <w:r>
              <w:rPr>
                <w:rFonts w:ascii="宋体"/>
                <w:sz w:val="18"/>
              </w:rPr>
              <w:t>18.33%</w:t>
            </w:r>
          </w:p>
        </w:tc>
      </w:tr>
      <w:tr>
        <w:trPr>
          <w:trHeight w:val="32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6" w:right="0"/>
              <w:jc w:val="center"/>
              <w:rPr>
                <w:rFonts w:ascii="宋体" w:hAnsi="宋体" w:cs="宋体" w:eastAsia="宋体" w:hint="default"/>
                <w:sz w:val="18"/>
                <w:szCs w:val="18"/>
              </w:rPr>
            </w:pPr>
            <w:r>
              <w:rPr>
                <w:rFonts w:ascii="宋体"/>
                <w:sz w:val="18"/>
              </w:rPr>
              <w:t>0.00%</w:t>
            </w:r>
          </w:p>
        </w:tc>
      </w:tr>
      <w:tr>
        <w:trPr>
          <w:trHeight w:val="32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6" w:right="0"/>
              <w:jc w:val="center"/>
              <w:rPr>
                <w:rFonts w:ascii="宋体" w:hAnsi="宋体" w:cs="宋体" w:eastAsia="宋体" w:hint="default"/>
                <w:sz w:val="18"/>
                <w:szCs w:val="18"/>
              </w:rPr>
            </w:pPr>
            <w:r>
              <w:rPr>
                <w:rFonts w:ascii="宋体"/>
                <w:sz w:val="18"/>
              </w:rPr>
              <w:t>0.00%</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108,882,2</w:t>
            </w:r>
          </w:p>
          <w:p>
            <w:pPr>
              <w:pStyle w:val="TableParagraph"/>
              <w:spacing w:line="240" w:lineRule="auto" w:before="76"/>
              <w:ind w:right="100"/>
              <w:jc w:val="right"/>
              <w:rPr>
                <w:rFonts w:ascii="宋体" w:hAnsi="宋体" w:cs="宋体" w:eastAsia="宋体" w:hint="default"/>
                <w:sz w:val="18"/>
                <w:szCs w:val="18"/>
              </w:rPr>
            </w:pPr>
            <w:r>
              <w:rPr>
                <w:rFonts w:ascii="宋体"/>
                <w:sz w:val="18"/>
              </w:rPr>
              <w:t>08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26.42%</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-33,340,7</w:t>
            </w:r>
          </w:p>
          <w:p>
            <w:pPr>
              <w:pStyle w:val="TableParagraph"/>
              <w:spacing w:line="240" w:lineRule="auto" w:before="76"/>
              <w:ind w:right="100"/>
              <w:jc w:val="right"/>
              <w:rPr>
                <w:rFonts w:ascii="宋体" w:hAnsi="宋体" w:cs="宋体" w:eastAsia="宋体" w:hint="default"/>
                <w:sz w:val="18"/>
                <w:szCs w:val="18"/>
              </w:rPr>
            </w:pPr>
            <w:r>
              <w:rPr>
                <w:rFonts w:ascii="宋体"/>
                <w:sz w:val="18"/>
              </w:rPr>
              <w:t>74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-33,340,7</w:t>
            </w:r>
          </w:p>
          <w:p>
            <w:pPr>
              <w:pStyle w:val="TableParagraph"/>
              <w:spacing w:line="240" w:lineRule="auto" w:before="76"/>
              <w:ind w:right="99"/>
              <w:jc w:val="right"/>
              <w:rPr>
                <w:rFonts w:ascii="宋体" w:hAnsi="宋体" w:cs="宋体" w:eastAsia="宋体" w:hint="default"/>
                <w:sz w:val="18"/>
                <w:szCs w:val="18"/>
              </w:rPr>
            </w:pPr>
            <w:r>
              <w:rPr>
                <w:rFonts w:ascii="宋体"/>
                <w:sz w:val="18"/>
              </w:rPr>
              <w:t>74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75,541,4</w:t>
            </w:r>
          </w:p>
          <w:p>
            <w:pPr>
              <w:pStyle w:val="TableParagraph"/>
              <w:spacing w:line="240" w:lineRule="auto" w:before="76"/>
              <w:ind w:right="100"/>
              <w:jc w:val="right"/>
              <w:rPr>
                <w:rFonts w:ascii="宋体" w:hAnsi="宋体" w:cs="宋体" w:eastAsia="宋体" w:hint="default"/>
                <w:sz w:val="18"/>
                <w:szCs w:val="18"/>
              </w:rPr>
            </w:pPr>
            <w:r>
              <w:rPr>
                <w:rFonts w:ascii="宋体"/>
                <w:sz w:val="18"/>
              </w:rPr>
              <w:t>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8"/>
                <w:szCs w:val="18"/>
              </w:rPr>
            </w:pPr>
            <w:r>
              <w:rPr>
                <w:rFonts w:ascii="宋体"/>
                <w:sz w:val="18"/>
              </w:rPr>
              <w:t>18.33%</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5"/>
                <w:sz w:val="18"/>
                <w:szCs w:val="18"/>
              </w:rPr>
              <w:t>其中：境内法人持股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24,013,15</w:t>
            </w:r>
          </w:p>
          <w:p>
            <w:pPr>
              <w:pStyle w:val="TableParagraph"/>
              <w:spacing w:line="240" w:lineRule="auto" w:before="76"/>
              <w:ind w:right="100"/>
              <w:jc w:val="right"/>
              <w:rPr>
                <w:rFonts w:ascii="宋体" w:hAnsi="宋体" w:cs="宋体" w:eastAsia="宋体" w:hint="default"/>
                <w:sz w:val="18"/>
                <w:szCs w:val="18"/>
              </w:rPr>
            </w:pPr>
            <w:r>
              <w:rPr>
                <w:rFonts w:ascii="宋体"/>
                <w:sz w:val="18"/>
              </w:rPr>
              <w:t>7</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5.83%</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-24,013,1</w:t>
            </w:r>
          </w:p>
          <w:p>
            <w:pPr>
              <w:pStyle w:val="TableParagraph"/>
              <w:spacing w:line="240" w:lineRule="auto" w:before="76"/>
              <w:ind w:right="100"/>
              <w:jc w:val="right"/>
              <w:rPr>
                <w:rFonts w:ascii="宋体" w:hAnsi="宋体" w:cs="宋体" w:eastAsia="宋体" w:hint="default"/>
                <w:sz w:val="18"/>
                <w:szCs w:val="18"/>
              </w:rPr>
            </w:pPr>
            <w:r>
              <w:rPr>
                <w:rFonts w:ascii="宋体"/>
                <w:sz w:val="18"/>
              </w:rPr>
              <w:t>57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-24,013,1</w:t>
            </w:r>
          </w:p>
          <w:p>
            <w:pPr>
              <w:pStyle w:val="TableParagraph"/>
              <w:spacing w:line="240" w:lineRule="auto" w:before="76"/>
              <w:ind w:right="99"/>
              <w:jc w:val="right"/>
              <w:rPr>
                <w:rFonts w:ascii="宋体" w:hAnsi="宋体" w:cs="宋体" w:eastAsia="宋体" w:hint="default"/>
                <w:sz w:val="18"/>
                <w:szCs w:val="18"/>
              </w:rPr>
            </w:pPr>
            <w:r>
              <w:rPr>
                <w:rFonts w:ascii="宋体"/>
                <w:sz w:val="18"/>
              </w:rPr>
              <w:t>57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6" w:right="0"/>
              <w:jc w:val="center"/>
              <w:rPr>
                <w:rFonts w:ascii="宋体" w:hAnsi="宋体" w:cs="宋体" w:eastAsia="宋体" w:hint="default"/>
                <w:sz w:val="18"/>
                <w:szCs w:val="18"/>
              </w:rPr>
            </w:pPr>
            <w:r>
              <w:rPr>
                <w:rFonts w:ascii="宋体"/>
                <w:sz w:val="18"/>
              </w:rPr>
              <w:t>0.00%</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84,869,05</w:t>
            </w:r>
          </w:p>
          <w:p>
            <w:pPr>
              <w:pStyle w:val="TableParagraph"/>
              <w:spacing w:line="240" w:lineRule="auto" w:before="76"/>
              <w:ind w:right="100"/>
              <w:jc w:val="right"/>
              <w:rPr>
                <w:rFonts w:ascii="宋体" w:hAnsi="宋体" w:cs="宋体" w:eastAsia="宋体" w:hint="default"/>
                <w:sz w:val="18"/>
                <w:szCs w:val="18"/>
              </w:rPr>
            </w:pPr>
            <w:r>
              <w:rPr>
                <w:rFonts w:ascii="宋体"/>
                <w:sz w:val="18"/>
              </w:rPr>
              <w:t>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20.59%</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-9,327,61</w:t>
            </w:r>
          </w:p>
          <w:p>
            <w:pPr>
              <w:pStyle w:val="TableParagraph"/>
              <w:spacing w:line="240" w:lineRule="auto" w:before="76"/>
              <w:ind w:right="100"/>
              <w:jc w:val="right"/>
              <w:rPr>
                <w:rFonts w:ascii="宋体" w:hAnsi="宋体" w:cs="宋体" w:eastAsia="宋体" w:hint="default"/>
                <w:sz w:val="18"/>
                <w:szCs w:val="18"/>
              </w:rPr>
            </w:pPr>
            <w:r>
              <w:rPr>
                <w:rFonts w:ascii="宋体"/>
                <w:sz w:val="18"/>
              </w:rPr>
              <w:t>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-9,327,61</w:t>
            </w:r>
          </w:p>
          <w:p>
            <w:pPr>
              <w:pStyle w:val="TableParagraph"/>
              <w:spacing w:line="240" w:lineRule="auto" w:before="76"/>
              <w:ind w:right="101"/>
              <w:jc w:val="right"/>
              <w:rPr>
                <w:rFonts w:ascii="宋体" w:hAnsi="宋体" w:cs="宋体" w:eastAsia="宋体" w:hint="default"/>
                <w:sz w:val="18"/>
                <w:szCs w:val="18"/>
              </w:rPr>
            </w:pPr>
            <w:r>
              <w:rPr>
                <w:rFonts w:ascii="宋体"/>
                <w:sz w:val="18"/>
              </w:rPr>
              <w:t>7</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75,541,4</w:t>
            </w:r>
          </w:p>
          <w:p>
            <w:pPr>
              <w:pStyle w:val="TableParagraph"/>
              <w:spacing w:line="240" w:lineRule="auto" w:before="76"/>
              <w:ind w:right="100"/>
              <w:jc w:val="right"/>
              <w:rPr>
                <w:rFonts w:ascii="宋体" w:hAnsi="宋体" w:cs="宋体" w:eastAsia="宋体" w:hint="default"/>
                <w:sz w:val="18"/>
                <w:szCs w:val="18"/>
              </w:rPr>
            </w:pPr>
            <w:r>
              <w:rPr>
                <w:rFonts w:ascii="宋体"/>
                <w:sz w:val="18"/>
              </w:rPr>
              <w:t>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8"/>
                <w:szCs w:val="18"/>
              </w:rPr>
            </w:pPr>
            <w:r>
              <w:rPr>
                <w:rFonts w:ascii="宋体"/>
                <w:sz w:val="18"/>
              </w:rPr>
              <w:t>18.33%</w:t>
            </w:r>
          </w:p>
        </w:tc>
      </w:tr>
      <w:tr>
        <w:trPr>
          <w:trHeight w:val="32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center"/>
              <w:rPr>
                <w:rFonts w:ascii="宋体" w:hAnsi="宋体" w:cs="宋体" w:eastAsia="宋体" w:hint="default"/>
                <w:sz w:val="18"/>
                <w:szCs w:val="18"/>
              </w:rPr>
            </w:pPr>
            <w:r>
              <w:rPr>
                <w:rFonts w:ascii="宋体"/>
                <w:sz w:val="18"/>
              </w:rPr>
              <w:t>0.00%</w:t>
            </w:r>
          </w:p>
        </w:tc>
      </w:tr>
      <w:tr>
        <w:trPr>
          <w:trHeight w:val="32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6" w:right="0"/>
              <w:jc w:val="center"/>
              <w:rPr>
                <w:rFonts w:ascii="宋体" w:hAnsi="宋体" w:cs="宋体" w:eastAsia="宋体" w:hint="default"/>
                <w:sz w:val="18"/>
                <w:szCs w:val="18"/>
              </w:rPr>
            </w:pPr>
            <w:r>
              <w:rPr>
                <w:rFonts w:ascii="宋体"/>
                <w:sz w:val="18"/>
              </w:rPr>
              <w:t>0.00%</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宋体" w:hAnsi="宋体" w:cs="宋体" w:eastAsia="宋体" w:hint="default"/>
                <w:sz w:val="18"/>
                <w:szCs w:val="18"/>
              </w:rPr>
            </w:pPr>
            <w:r>
              <w:rPr>
                <w:rFonts w:ascii="宋体"/>
                <w:sz w:val="18"/>
              </w:rPr>
              <w:t>0.00%</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303,253,2</w:t>
            </w:r>
          </w:p>
          <w:p>
            <w:pPr>
              <w:pStyle w:val="TableParagraph"/>
              <w:spacing w:line="240" w:lineRule="auto" w:before="76"/>
              <w:ind w:right="100"/>
              <w:jc w:val="right"/>
              <w:rPr>
                <w:rFonts w:ascii="宋体" w:hAnsi="宋体" w:cs="宋体" w:eastAsia="宋体" w:hint="default"/>
                <w:sz w:val="18"/>
                <w:szCs w:val="18"/>
              </w:rPr>
            </w:pPr>
            <w:r>
              <w:rPr>
                <w:rFonts w:ascii="宋体"/>
                <w:sz w:val="18"/>
              </w:rPr>
              <w:t>61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73.58%</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33,277,77</w:t>
            </w:r>
          </w:p>
          <w:p>
            <w:pPr>
              <w:pStyle w:val="TableParagraph"/>
              <w:spacing w:line="240" w:lineRule="auto" w:before="76"/>
              <w:ind w:right="100"/>
              <w:jc w:val="right"/>
              <w:rPr>
                <w:rFonts w:ascii="宋体" w:hAnsi="宋体" w:cs="宋体" w:eastAsia="宋体" w:hint="default"/>
                <w:sz w:val="18"/>
                <w:szCs w:val="18"/>
              </w:rPr>
            </w:pPr>
            <w:r>
              <w:rPr>
                <w:rFonts w:ascii="宋体"/>
                <w:sz w:val="18"/>
              </w:rPr>
              <w:t>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33,277,77</w:t>
            </w:r>
          </w:p>
          <w:p>
            <w:pPr>
              <w:pStyle w:val="TableParagraph"/>
              <w:spacing w:line="240" w:lineRule="auto" w:before="76"/>
              <w:ind w:right="101"/>
              <w:jc w:val="right"/>
              <w:rPr>
                <w:rFonts w:ascii="宋体" w:hAnsi="宋体" w:cs="宋体" w:eastAsia="宋体" w:hint="default"/>
                <w:sz w:val="18"/>
                <w:szCs w:val="18"/>
              </w:rPr>
            </w:pPr>
            <w:r>
              <w:rPr>
                <w:rFonts w:ascii="宋体"/>
                <w:sz w:val="18"/>
              </w:rPr>
              <w:t>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8" w:right="0"/>
              <w:jc w:val="left"/>
              <w:rPr>
                <w:rFonts w:ascii="宋体" w:hAnsi="宋体" w:cs="宋体" w:eastAsia="宋体" w:hint="default"/>
                <w:sz w:val="18"/>
                <w:szCs w:val="18"/>
              </w:rPr>
            </w:pPr>
            <w:r>
              <w:rPr>
                <w:rFonts w:ascii="宋体"/>
                <w:sz w:val="18"/>
              </w:rPr>
              <w:t>336,531,</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8"/>
                <w:szCs w:val="18"/>
              </w:rPr>
            </w:pPr>
            <w:r>
              <w:rPr>
                <w:rFonts w:ascii="宋体"/>
                <w:sz w:val="18"/>
              </w:rPr>
              <w:t>81.67%</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303,253,2</w:t>
            </w:r>
          </w:p>
          <w:p>
            <w:pPr>
              <w:pStyle w:val="TableParagraph"/>
              <w:spacing w:line="240" w:lineRule="auto" w:before="76"/>
              <w:ind w:right="100"/>
              <w:jc w:val="right"/>
              <w:rPr>
                <w:rFonts w:ascii="宋体" w:hAnsi="宋体" w:cs="宋体" w:eastAsia="宋体" w:hint="default"/>
                <w:sz w:val="18"/>
                <w:szCs w:val="18"/>
              </w:rPr>
            </w:pPr>
            <w:r>
              <w:rPr>
                <w:rFonts w:ascii="宋体"/>
                <w:sz w:val="18"/>
              </w:rPr>
              <w:t>61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73.58%</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33,277,77</w:t>
            </w:r>
          </w:p>
          <w:p>
            <w:pPr>
              <w:pStyle w:val="TableParagraph"/>
              <w:spacing w:line="240" w:lineRule="auto" w:before="76"/>
              <w:ind w:right="100"/>
              <w:jc w:val="right"/>
              <w:rPr>
                <w:rFonts w:ascii="宋体" w:hAnsi="宋体" w:cs="宋体" w:eastAsia="宋体" w:hint="default"/>
                <w:sz w:val="18"/>
                <w:szCs w:val="18"/>
              </w:rPr>
            </w:pPr>
            <w:r>
              <w:rPr>
                <w:rFonts w:ascii="宋体"/>
                <w:sz w:val="18"/>
              </w:rPr>
              <w:t>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33,277,77</w:t>
            </w:r>
          </w:p>
          <w:p>
            <w:pPr>
              <w:pStyle w:val="TableParagraph"/>
              <w:spacing w:line="240" w:lineRule="auto" w:before="76"/>
              <w:ind w:right="101"/>
              <w:jc w:val="right"/>
              <w:rPr>
                <w:rFonts w:ascii="宋体" w:hAnsi="宋体" w:cs="宋体" w:eastAsia="宋体" w:hint="default"/>
                <w:sz w:val="18"/>
                <w:szCs w:val="18"/>
              </w:rPr>
            </w:pPr>
            <w:r>
              <w:rPr>
                <w:rFonts w:ascii="宋体"/>
                <w:sz w:val="18"/>
              </w:rPr>
              <w:t>4</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left"/>
              <w:rPr>
                <w:rFonts w:ascii="宋体" w:hAnsi="宋体" w:cs="宋体" w:eastAsia="宋体" w:hint="default"/>
                <w:sz w:val="18"/>
                <w:szCs w:val="18"/>
              </w:rPr>
            </w:pPr>
            <w:r>
              <w:rPr>
                <w:rFonts w:ascii="宋体"/>
                <w:sz w:val="18"/>
              </w:rPr>
              <w:t>336,531,</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8"/>
                <w:szCs w:val="18"/>
              </w:rPr>
            </w:pPr>
            <w:r>
              <w:rPr>
                <w:rFonts w:ascii="宋体"/>
                <w:sz w:val="18"/>
              </w:rPr>
              <w:t>81.67%</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1" w:right="152"/>
              <w:jc w:val="left"/>
              <w:rPr>
                <w:rFonts w:ascii="宋体" w:hAnsi="宋体" w:cs="宋体" w:eastAsia="宋体" w:hint="default"/>
                <w:sz w:val="18"/>
                <w:szCs w:val="18"/>
              </w:rPr>
            </w:pPr>
            <w:r>
              <w:rPr>
                <w:rFonts w:ascii="宋体" w:hAnsi="宋体" w:cs="宋体" w:eastAsia="宋体" w:hint="default"/>
                <w:sz w:val="18"/>
                <w:szCs w:val="18"/>
              </w:rPr>
              <w:t>2、境内上市的外资 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6" w:right="0"/>
              <w:jc w:val="center"/>
              <w:rPr>
                <w:rFonts w:ascii="宋体" w:hAnsi="宋体" w:cs="宋体" w:eastAsia="宋体" w:hint="default"/>
                <w:sz w:val="18"/>
                <w:szCs w:val="18"/>
              </w:rPr>
            </w:pPr>
            <w:r>
              <w:rPr>
                <w:rFonts w:ascii="宋体"/>
                <w:sz w:val="18"/>
              </w:rPr>
              <w:t>0.00%</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1" w:right="152"/>
              <w:jc w:val="left"/>
              <w:rPr>
                <w:rFonts w:ascii="宋体" w:hAnsi="宋体" w:cs="宋体" w:eastAsia="宋体" w:hint="default"/>
                <w:sz w:val="18"/>
                <w:szCs w:val="18"/>
              </w:rPr>
            </w:pPr>
            <w:r>
              <w:rPr>
                <w:rFonts w:ascii="宋体" w:hAnsi="宋体" w:cs="宋体" w:eastAsia="宋体" w:hint="default"/>
                <w:sz w:val="18"/>
                <w:szCs w:val="18"/>
              </w:rPr>
              <w:t>3、境外上市的外资 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6" w:right="0"/>
              <w:jc w:val="center"/>
              <w:rPr>
                <w:rFonts w:ascii="宋体" w:hAnsi="宋体" w:cs="宋体" w:eastAsia="宋体" w:hint="default"/>
                <w:sz w:val="18"/>
                <w:szCs w:val="18"/>
              </w:rPr>
            </w:pPr>
            <w:r>
              <w:rPr>
                <w:rFonts w:ascii="宋体"/>
                <w:sz w:val="18"/>
              </w:rPr>
              <w:t>0.00%</w:t>
            </w:r>
          </w:p>
        </w:tc>
      </w:tr>
      <w:tr>
        <w:trPr>
          <w:trHeight w:val="322"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pacing w:val="-1"/>
                <w:sz w:val="18"/>
              </w:rPr>
              <w:t>0.00%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18"/>
                <w:szCs w:val="18"/>
              </w:rPr>
            </w:pPr>
            <w:r>
              <w:rPr>
                <w:rFonts w:ascii="宋体"/>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6" w:right="0"/>
              <w:jc w:val="center"/>
              <w:rPr>
                <w:rFonts w:ascii="宋体" w:hAnsi="宋体" w:cs="宋体" w:eastAsia="宋体" w:hint="default"/>
                <w:sz w:val="18"/>
                <w:szCs w:val="18"/>
              </w:rPr>
            </w:pPr>
            <w:r>
              <w:rPr>
                <w:rFonts w:ascii="宋体"/>
                <w:sz w:val="18"/>
              </w:rPr>
              <w:t>0.00%</w:t>
            </w:r>
          </w:p>
        </w:tc>
      </w:tr>
      <w:tr>
        <w:trPr>
          <w:trHeight w:val="634" w:hRule="exact"/>
        </w:trPr>
        <w:tc>
          <w:tcPr>
            <w:tcW w:w="1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412,135,4</w:t>
            </w:r>
          </w:p>
          <w:p>
            <w:pPr>
              <w:pStyle w:val="TableParagraph"/>
              <w:spacing w:line="240" w:lineRule="auto" w:before="76"/>
              <w:ind w:right="100"/>
              <w:jc w:val="right"/>
              <w:rPr>
                <w:rFonts w:ascii="宋体" w:hAnsi="宋体" w:cs="宋体" w:eastAsia="宋体" w:hint="default"/>
                <w:sz w:val="18"/>
                <w:szCs w:val="18"/>
              </w:rPr>
            </w:pPr>
            <w:r>
              <w:rPr>
                <w:rFonts w:ascii="宋体"/>
                <w:sz w:val="18"/>
              </w:rPr>
              <w:t>69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1"/>
              <w:jc w:val="right"/>
              <w:rPr>
                <w:rFonts w:ascii="宋体" w:hAnsi="宋体" w:cs="宋体" w:eastAsia="宋体" w:hint="default"/>
                <w:sz w:val="18"/>
                <w:szCs w:val="18"/>
              </w:rPr>
            </w:pPr>
            <w:r>
              <w:rPr>
                <w:rFonts w:ascii="宋体"/>
                <w:sz w:val="18"/>
              </w:rPr>
              <w:t>%</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8" w:right="0"/>
              <w:jc w:val="left"/>
              <w:rPr>
                <w:rFonts w:ascii="宋体" w:hAnsi="宋体" w:cs="宋体" w:eastAsia="宋体" w:hint="default"/>
                <w:sz w:val="18"/>
                <w:szCs w:val="18"/>
              </w:rPr>
            </w:pPr>
            <w:r>
              <w:rPr>
                <w:rFonts w:ascii="宋体"/>
                <w:sz w:val="18"/>
              </w:rPr>
              <w:t>412,072,</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469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102"/>
              <w:jc w:val="right"/>
              <w:rPr>
                <w:rFonts w:ascii="宋体" w:hAnsi="宋体" w:cs="宋体" w:eastAsia="宋体" w:hint="default"/>
                <w:sz w:val="18"/>
                <w:szCs w:val="18"/>
              </w:rPr>
            </w:pPr>
            <w:r>
              <w:rPr>
                <w:rFonts w:ascii="宋体"/>
                <w:sz w:val="18"/>
              </w:rPr>
              <w:t>%</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5"/>
        <w:ind w:left="112" w:right="1124" w:firstLine="0"/>
        <w:jc w:val="left"/>
        <w:rPr>
          <w:rFonts w:ascii="宋体" w:hAnsi="宋体" w:cs="宋体" w:eastAsia="宋体" w:hint="default"/>
          <w:sz w:val="18"/>
          <w:szCs w:val="18"/>
        </w:rPr>
      </w:pPr>
      <w:r>
        <w:rPr>
          <w:rFonts w:ascii="宋体" w:hAnsi="宋体" w:cs="宋体" w:eastAsia="宋体" w:hint="default"/>
          <w:sz w:val="18"/>
          <w:szCs w:val="18"/>
        </w:rPr>
        <w:t>√ 适用 □ 不适用 1、每年的第一个交易日，中国结算深圳分公司以公司董事、监事和高级管理人员在上年最后一个交易日登记在其名下的本 公司股份为基数，按25%计算其本年度可转让股份法定额度；同时，对该人员所持的在本年度可转让股份额度内的无限售条</w:t>
      </w:r>
    </w:p>
    <w:p>
      <w:pPr>
        <w:spacing w:line="360" w:lineRule="auto" w:before="2"/>
        <w:ind w:left="112" w:right="1124" w:firstLine="0"/>
        <w:jc w:val="left"/>
        <w:rPr>
          <w:rFonts w:ascii="宋体" w:hAnsi="宋体" w:cs="宋体" w:eastAsia="宋体" w:hint="default"/>
          <w:sz w:val="18"/>
          <w:szCs w:val="18"/>
        </w:rPr>
      </w:pPr>
      <w:r>
        <w:rPr>
          <w:rFonts w:ascii="宋体" w:hAnsi="宋体" w:cs="宋体" w:eastAsia="宋体" w:hint="default"/>
          <w:sz w:val="18"/>
          <w:szCs w:val="18"/>
        </w:rPr>
        <w:t>件的流通股进行解锁。 2、报告期内，公司向张荷花发行股份购买资产的4,781,319股股份解除限售，占公司股份总数的1.16%，本次解除限售股份</w:t>
      </w:r>
    </w:p>
    <w:p>
      <w:pPr>
        <w:spacing w:after="0" w:line="360" w:lineRule="auto"/>
        <w:jc w:val="left"/>
        <w:rPr>
          <w:rFonts w:ascii="宋体" w:hAnsi="宋体" w:cs="宋体" w:eastAsia="宋体" w:hint="default"/>
          <w:sz w:val="18"/>
          <w:szCs w:val="18"/>
        </w:rPr>
        <w:sectPr>
          <w:footerReference w:type="default" r:id="rId19"/>
          <w:pgSz w:w="11910" w:h="16840"/>
          <w:pgMar w:footer="1016" w:header="919" w:top="1120" w:bottom="1200" w:left="1020" w:right="0"/>
          <w:pgNumType w:start="60"/>
        </w:sectPr>
      </w:pPr>
    </w:p>
    <w:p>
      <w:pPr>
        <w:spacing w:line="240" w:lineRule="auto" w:before="12"/>
        <w:rPr>
          <w:rFonts w:ascii="宋体" w:hAnsi="宋体" w:cs="宋体" w:eastAsia="宋体" w:hint="default"/>
          <w:sz w:val="20"/>
          <w:szCs w:val="20"/>
        </w:rPr>
      </w:pPr>
    </w:p>
    <w:p>
      <w:pPr>
        <w:spacing w:line="338" w:lineRule="auto" w:before="44"/>
        <w:ind w:left="112" w:right="1124" w:firstLine="0"/>
        <w:jc w:val="left"/>
        <w:rPr>
          <w:rFonts w:ascii="宋体" w:hAnsi="宋体" w:cs="宋体" w:eastAsia="宋体" w:hint="default"/>
          <w:sz w:val="18"/>
          <w:szCs w:val="18"/>
        </w:rPr>
      </w:pPr>
      <w:r>
        <w:rPr>
          <w:rFonts w:ascii="宋体" w:hAnsi="宋体" w:cs="宋体" w:eastAsia="宋体" w:hint="default"/>
          <w:sz w:val="18"/>
          <w:szCs w:val="18"/>
        </w:rPr>
        <w:t>上市流通日为2019年2月14日。 </w:t>
      </w:r>
      <w:r>
        <w:rPr>
          <w:rFonts w:ascii="宋体" w:hAnsi="宋体" w:cs="宋体" w:eastAsia="宋体" w:hint="default"/>
          <w:spacing w:val="-2"/>
          <w:sz w:val="18"/>
          <w:szCs w:val="18"/>
        </w:rPr>
        <w:t>3、2019年3月14日，公司原董事、副董事长杨世宁由于工作调整原因申请辞去董事、副董事长职务，辞职报告自送达公司董</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事会之日起生效，杨世宁持有公司股份自其辞职之日起6个月内100%锁定,辞职6个月后，在其就任时确定的任期内和任期届</w:t>
      </w:r>
    </w:p>
    <w:p>
      <w:pPr>
        <w:spacing w:line="338" w:lineRule="auto" w:before="2"/>
        <w:ind w:left="112" w:right="1124" w:firstLine="0"/>
        <w:jc w:val="left"/>
        <w:rPr>
          <w:rFonts w:ascii="宋体" w:hAnsi="宋体" w:cs="宋体" w:eastAsia="宋体" w:hint="default"/>
          <w:sz w:val="18"/>
          <w:szCs w:val="18"/>
        </w:rPr>
      </w:pPr>
      <w:r>
        <w:rPr>
          <w:rFonts w:ascii="宋体" w:hAnsi="宋体" w:cs="宋体" w:eastAsia="宋体" w:hint="default"/>
          <w:sz w:val="18"/>
          <w:szCs w:val="18"/>
        </w:rPr>
        <w:t>满后六个月内，每年转让的股份不得超过其所持有本公司股份总数的25%。 4、报告期内，公司办理了第一期限制性股票激励计划第一个解除限售期股份上市流通手续，本次符合解除限售条件的激励 对象共计336名，本次解除限售的限制性股票数量为2,342,720股，占目前公司总股本的0.57%，本次解除限售的限制性股票</w:t>
      </w:r>
    </w:p>
    <w:p>
      <w:pPr>
        <w:spacing w:line="360" w:lineRule="auto" w:before="2"/>
        <w:ind w:left="112" w:right="1394" w:firstLine="0"/>
        <w:jc w:val="left"/>
        <w:rPr>
          <w:rFonts w:ascii="宋体" w:hAnsi="宋体" w:cs="宋体" w:eastAsia="宋体" w:hint="default"/>
          <w:sz w:val="18"/>
          <w:szCs w:val="18"/>
        </w:rPr>
      </w:pPr>
      <w:r>
        <w:rPr>
          <w:rFonts w:ascii="宋体" w:hAnsi="宋体" w:cs="宋体" w:eastAsia="宋体" w:hint="default"/>
          <w:sz w:val="18"/>
          <w:szCs w:val="18"/>
        </w:rPr>
        <w:t>的上市流通日为2019年5月28日。 5、2019年11月15日，公司原董事、副董事长陈新任期届满离任，陈新持有公司股份自其离任之日起6个月内100%锁定。</w:t>
      </w:r>
    </w:p>
    <w:p>
      <w:pPr>
        <w:spacing w:line="316" w:lineRule="auto" w:before="25"/>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6、报告期内，公司向南方银谷科技有限公司发行股份购买资产并募集配套资金之非公开发行的24,013,157股股份解除限售，</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占公司股份总数的5.8274%，本次解除限售股份上市流通日为2019年12月4日。</w:t>
      </w:r>
    </w:p>
    <w:p>
      <w:pPr>
        <w:spacing w:before="59"/>
        <w:ind w:left="112" w:right="2127"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1、公司于2017年9月7日召开的第四届董事会第八次会议、第四届监事会第六次会议和2017年9月27日召开的2017年第二次临</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时股东大会审议通过发行股份购买资产并募集配套资金事项，于2017年11月29日召开的第四届董事会第十次会议、第四届监</w:t>
      </w:r>
    </w:p>
    <w:p>
      <w:pPr>
        <w:spacing w:before="2"/>
        <w:ind w:left="112" w:right="0" w:firstLine="0"/>
        <w:jc w:val="left"/>
        <w:rPr>
          <w:rFonts w:ascii="宋体" w:hAnsi="宋体" w:cs="宋体" w:eastAsia="宋体" w:hint="default"/>
          <w:sz w:val="18"/>
          <w:szCs w:val="18"/>
        </w:rPr>
      </w:pPr>
      <w:r>
        <w:rPr>
          <w:rFonts w:ascii="宋体" w:hAnsi="宋体" w:cs="宋体" w:eastAsia="宋体" w:hint="default"/>
          <w:sz w:val="18"/>
          <w:szCs w:val="18"/>
        </w:rPr>
        <w:t>事会第八次会议审议通过了发行股份购买资产并募集配套资金方案调整事项，并于2018年1月5日获得中国证监会核准批复</w:t>
      </w:r>
    </w:p>
    <w:p>
      <w:pPr>
        <w:spacing w:line="338" w:lineRule="auto" w:before="76"/>
        <w:ind w:left="112" w:right="1124" w:firstLine="0"/>
        <w:jc w:val="left"/>
        <w:rPr>
          <w:rFonts w:ascii="宋体" w:hAnsi="宋体" w:cs="宋体" w:eastAsia="宋体" w:hint="default"/>
          <w:sz w:val="18"/>
          <w:szCs w:val="18"/>
        </w:rPr>
      </w:pPr>
      <w:r>
        <w:rPr>
          <w:rFonts w:ascii="宋体" w:hAnsi="宋体" w:cs="宋体" w:eastAsia="宋体" w:hint="default"/>
          <w:spacing w:val="-6"/>
          <w:sz w:val="18"/>
          <w:szCs w:val="18"/>
        </w:rPr>
        <w:t>（证监许可[2017]2457号）。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2、公司于2018年2月9日召开的第四届董事会第十二次会议、第四届监事会第十次会议和2018年3月7日召开的2018年第二次</w:t>
      </w:r>
      <w:r>
        <w:rPr>
          <w:rFonts w:ascii="宋体" w:hAnsi="宋体" w:cs="宋体" w:eastAsia="宋体" w:hint="default"/>
          <w:sz w:val="18"/>
          <w:szCs w:val="18"/>
        </w:rPr>
        <w:t> </w:t>
      </w:r>
      <w:r>
        <w:rPr>
          <w:rFonts w:ascii="宋体" w:hAnsi="宋体" w:cs="宋体" w:eastAsia="宋体" w:hint="default"/>
          <w:spacing w:val="-3"/>
          <w:sz w:val="18"/>
          <w:szCs w:val="18"/>
        </w:rPr>
        <w:t>临时股东大会审议通过了《关于提请公司股东大会授权董事会办理股权激励相关事宜的议案》。</w:t>
      </w:r>
    </w:p>
    <w:p>
      <w:pPr>
        <w:spacing w:line="316" w:lineRule="auto" w:before="43"/>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3、公司于2019年4月22日召开的第四届董事会第二十一次会议和第四届监事会第十八次会议审议通过了《关于公司第一期限</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制性股票激励计划第一个解除限售期解除限售条件成就的议案》，根据公司2018年第二次临时股东大会对董事会的授权，公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司办理了第一期限制性股票激励计划第一个解除限售期股份上市流通手续。</w:t>
      </w:r>
    </w:p>
    <w:p>
      <w:pPr>
        <w:spacing w:before="57"/>
        <w:ind w:left="112" w:right="2127"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60" w:lineRule="auto" w:before="117"/>
        <w:ind w:left="112" w:right="8774" w:firstLine="0"/>
        <w:jc w:val="left"/>
        <w:rPr>
          <w:rFonts w:ascii="宋体" w:hAnsi="宋体" w:cs="宋体" w:eastAsia="宋体" w:hint="default"/>
          <w:sz w:val="18"/>
          <w:szCs w:val="18"/>
        </w:rPr>
      </w:pPr>
      <w:r>
        <w:rPr>
          <w:rFonts w:ascii="宋体" w:hAnsi="宋体" w:cs="宋体" w:eastAsia="宋体" w:hint="default"/>
          <w:sz w:val="18"/>
          <w:szCs w:val="18"/>
        </w:rPr>
        <w:t>□ 适用 √ 不适用 股份回购的实施进展情况</w:t>
      </w:r>
    </w:p>
    <w:p>
      <w:pPr>
        <w:spacing w:line="360" w:lineRule="auto" w:before="25"/>
        <w:ind w:left="112" w:right="6974" w:firstLine="0"/>
        <w:jc w:val="left"/>
        <w:rPr>
          <w:rFonts w:ascii="宋体" w:hAnsi="宋体" w:cs="宋体" w:eastAsia="宋体" w:hint="default"/>
          <w:sz w:val="18"/>
          <w:szCs w:val="18"/>
        </w:rPr>
      </w:pPr>
      <w:r>
        <w:rPr>
          <w:rFonts w:ascii="宋体" w:hAnsi="宋体" w:cs="宋体" w:eastAsia="宋体" w:hint="default"/>
          <w:sz w:val="18"/>
          <w:szCs w:val="18"/>
        </w:rPr>
        <w:t>□ 适用 √ 不适用 采用集中竞价方式减持回购股份的实施进展情况</w:t>
      </w:r>
    </w:p>
    <w:p>
      <w:pPr>
        <w:spacing w:line="357" w:lineRule="auto" w:before="27"/>
        <w:ind w:left="112" w:right="1394"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60" w:lineRule="auto" w:before="29"/>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101"/>
        <w:gridCol w:w="1140"/>
        <w:gridCol w:w="1290"/>
        <w:gridCol w:w="193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183"/>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4" w:right="11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48" w:right="189"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98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1" w:right="175"/>
              <w:jc w:val="left"/>
              <w:rPr>
                <w:rFonts w:ascii="宋体" w:hAnsi="宋体" w:cs="宋体" w:eastAsia="宋体" w:hint="default"/>
                <w:sz w:val="18"/>
                <w:szCs w:val="18"/>
              </w:rPr>
            </w:pPr>
            <w:r>
              <w:rPr>
                <w:rFonts w:ascii="宋体" w:hAnsi="宋体" w:cs="宋体" w:eastAsia="宋体" w:hint="default"/>
                <w:sz w:val="18"/>
                <w:szCs w:val="18"/>
              </w:rPr>
              <w:t>南方银谷科技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pacing w:val="-1"/>
                <w:sz w:val="18"/>
              </w:rPr>
              <w:t>24,013,157</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17" w:right="0"/>
              <w:jc w:val="left"/>
              <w:rPr>
                <w:rFonts w:ascii="Times New Roman" w:hAnsi="Times New Roman" w:cs="Times New Roman" w:eastAsia="Times New Roman" w:hint="default"/>
                <w:sz w:val="18"/>
                <w:szCs w:val="18"/>
              </w:rPr>
            </w:pPr>
            <w:r>
              <w:rPr>
                <w:rFonts w:ascii="Times New Roman"/>
                <w:sz w:val="18"/>
              </w:rPr>
              <w:t>24,013,157</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pacing w:val="-8"/>
                <w:sz w:val="18"/>
                <w:szCs w:val="18"/>
              </w:rPr>
              <w:t>首发后限售股：非公开</w:t>
            </w:r>
            <w:r>
              <w:rPr>
                <w:rFonts w:ascii="宋体" w:hAnsi="宋体" w:cs="宋体" w:eastAsia="宋体" w:hint="default"/>
                <w:sz w:val="18"/>
                <w:szCs w:val="18"/>
              </w:rPr>
              <w:t> 发行股份募集配套资 金认购股份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1"/>
              <w:jc w:val="left"/>
              <w:rPr>
                <w:rFonts w:ascii="Times New Roman" w:hAnsi="Times New Roman" w:cs="Times New Roman" w:eastAsia="Times New Roman" w:hint="default"/>
                <w:sz w:val="18"/>
                <w:szCs w:val="18"/>
              </w:rPr>
            </w:pPr>
            <w:r>
              <w:rPr>
                <w:rFonts w:ascii="宋体" w:hAnsi="宋体" w:cs="宋体" w:eastAsia="宋体" w:hint="default"/>
                <w:sz w:val="18"/>
                <w:szCs w:val="18"/>
              </w:rPr>
              <w:t>上市流通日期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tc>
      </w:tr>
    </w:tbl>
    <w:p>
      <w:pPr>
        <w:spacing w:after="0" w:line="248" w:lineRule="exact"/>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101"/>
        <w:gridCol w:w="1140"/>
        <w:gridCol w:w="1290"/>
        <w:gridCol w:w="1937"/>
        <w:gridCol w:w="1367"/>
      </w:tblGrid>
      <w:tr>
        <w:trPr>
          <w:trHeight w:val="322" w:hRule="exact"/>
        </w:trPr>
        <w:tc>
          <w:tcPr>
            <w:tcW w:w="1369"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101" w:type="dxa"/>
            <w:vMerge w:val="restart"/>
            <w:tcBorders>
              <w:top w:val="single" w:sz="4" w:space="0" w:color="000000"/>
              <w:left w:val="single" w:sz="4" w:space="0" w:color="000000"/>
              <w:right w:val="single" w:sz="4" w:space="0" w:color="000000"/>
            </w:tcBorders>
          </w:tcPr>
          <w:p>
            <w:pPr/>
          </w:p>
        </w:tc>
        <w:tc>
          <w:tcPr>
            <w:tcW w:w="114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24,013,157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限售股份数量</w:t>
            </w:r>
          </w:p>
        </w:tc>
      </w:tr>
      <w:tr>
        <w:trPr>
          <w:trHeight w:val="312"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24,013,157</w:t>
            </w:r>
          </w:p>
        </w:tc>
      </w:tr>
      <w:tr>
        <w:trPr>
          <w:trHeight w:val="352" w:hRule="exact"/>
        </w:trPr>
        <w:tc>
          <w:tcPr>
            <w:tcW w:w="1369"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日离职后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r>
      <w:tr>
        <w:trPr>
          <w:trHeight w:val="30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个月内，所持</w:t>
            </w: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tc>
      </w:tr>
      <w:tr>
        <w:trPr>
          <w:trHeight w:val="30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在其就任时确</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定的任期内和</w:t>
            </w: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14,987,218</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2,250,000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12,737,218</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日）后六个</w:t>
            </w:r>
          </w:p>
        </w:tc>
      </w:tr>
      <w:tr>
        <w:trPr>
          <w:trHeight w:val="30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月内，每年转</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让的股份不得</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本公司股份总</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日离职后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个月内，所持</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定。</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在其就任时确</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定的任期内和</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15,934,806</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15,934,806</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日）后六个</w:t>
            </w: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月内，每年转</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让的股份不得</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本公司股份总</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上市流通日期</w:t>
            </w: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80"/>
                <w:sz w:val="18"/>
                <w:szCs w:val="18"/>
              </w:rPr>
              <w:t>：</w:t>
            </w:r>
            <w:r>
              <w:rPr>
                <w:rFonts w:ascii="宋体" w:hAnsi="宋体" w:cs="宋体" w:eastAsia="宋体" w:hint="default"/>
                <w:sz w:val="18"/>
                <w:szCs w:val="18"/>
              </w:rPr>
              <w:t>发行股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14,343,958</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14,343,958</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份购买资产认购股份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日，解除限</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14,343,958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售股份数量为</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14,343,958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362"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r>
      <w:tr>
        <w:trPr>
          <w:trHeight w:val="30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日离职后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r>
      <w:tr>
        <w:trPr>
          <w:trHeight w:val="319"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10,137,215</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10,137,215</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个月内，所持</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w:t>
            </w:r>
          </w:p>
        </w:tc>
      </w:tr>
      <w:tr>
        <w:trPr>
          <w:trHeight w:val="310"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定。</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101"/>
        <w:gridCol w:w="1140"/>
        <w:gridCol w:w="1290"/>
        <w:gridCol w:w="1937"/>
        <w:gridCol w:w="1367"/>
      </w:tblGrid>
      <w:tr>
        <w:trPr>
          <w:trHeight w:val="318" w:hRule="exact"/>
        </w:trPr>
        <w:tc>
          <w:tcPr>
            <w:tcW w:w="1369"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101" w:type="dxa"/>
            <w:vMerge w:val="restart"/>
            <w:tcBorders>
              <w:top w:val="single" w:sz="4" w:space="0" w:color="000000"/>
              <w:left w:val="single" w:sz="4" w:space="0" w:color="000000"/>
              <w:right w:val="single" w:sz="4" w:space="0" w:color="000000"/>
            </w:tcBorders>
          </w:tcPr>
          <w:p>
            <w:pPr/>
          </w:p>
        </w:tc>
        <w:tc>
          <w:tcPr>
            <w:tcW w:w="1140" w:type="dxa"/>
            <w:vMerge w:val="restart"/>
            <w:tcBorders>
              <w:top w:val="single" w:sz="4" w:space="0" w:color="000000"/>
              <w:left w:val="single" w:sz="4" w:space="0" w:color="000000"/>
              <w:right w:val="single" w:sz="4" w:space="0" w:color="000000"/>
            </w:tcBorders>
          </w:tcPr>
          <w:p>
            <w:pPr/>
          </w:p>
        </w:tc>
        <w:tc>
          <w:tcPr>
            <w:tcW w:w="1290" w:type="dxa"/>
            <w:vMerge w:val="restart"/>
            <w:tcBorders>
              <w:top w:val="single" w:sz="4" w:space="0" w:color="000000"/>
              <w:left w:val="single" w:sz="4" w:space="0" w:color="000000"/>
              <w:right w:val="single" w:sz="4" w:space="0" w:color="000000"/>
            </w:tcBorders>
          </w:tcPr>
          <w:p>
            <w:pPr/>
          </w:p>
        </w:tc>
        <w:tc>
          <w:tcPr>
            <w:tcW w:w="193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在其就任时确</w:t>
            </w:r>
          </w:p>
        </w:tc>
      </w:tr>
      <w:tr>
        <w:trPr>
          <w:trHeight w:val="312"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定的任期内和</w:t>
            </w:r>
          </w:p>
        </w:tc>
      </w:tr>
      <w:tr>
        <w:trPr>
          <w:trHeight w:val="312"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316"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p>
        </w:tc>
      </w:tr>
      <w:tr>
        <w:trPr>
          <w:trHeight w:val="312"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日）后六个</w:t>
            </w:r>
          </w:p>
        </w:tc>
      </w:tr>
      <w:tr>
        <w:trPr>
          <w:trHeight w:val="308"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月内，每年转</w:t>
            </w:r>
          </w:p>
        </w:tc>
      </w:tr>
      <w:tr>
        <w:trPr>
          <w:trHeight w:val="312"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让的股份不得</w:t>
            </w:r>
          </w:p>
        </w:tc>
      </w:tr>
      <w:tr>
        <w:trPr>
          <w:trHeight w:val="312"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r>
      <w:tr>
        <w:trPr>
          <w:trHeight w:val="312" w:hRule="exact"/>
        </w:trPr>
        <w:tc>
          <w:tcPr>
            <w:tcW w:w="1369"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101"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c>
          <w:tcPr>
            <w:tcW w:w="1290" w:type="dxa"/>
            <w:vMerge/>
            <w:tcBorders>
              <w:left w:val="single" w:sz="4" w:space="0" w:color="000000"/>
              <w:right w:val="single" w:sz="4" w:space="0" w:color="000000"/>
            </w:tcBorders>
          </w:tcPr>
          <w:p>
            <w:pPr/>
          </w:p>
        </w:tc>
        <w:tc>
          <w:tcPr>
            <w:tcW w:w="193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本公司股份总</w:t>
            </w:r>
          </w:p>
        </w:tc>
      </w:tr>
      <w:tr>
        <w:trPr>
          <w:trHeight w:val="356" w:hRule="exact"/>
        </w:trPr>
        <w:tc>
          <w:tcPr>
            <w:tcW w:w="1369"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93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上市流通日期</w:t>
            </w: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80"/>
                <w:sz w:val="18"/>
                <w:szCs w:val="18"/>
              </w:rPr>
              <w:t>：</w:t>
            </w:r>
            <w:r>
              <w:rPr>
                <w:rFonts w:ascii="宋体" w:hAnsi="宋体" w:cs="宋体" w:eastAsia="宋体" w:hint="default"/>
                <w:sz w:val="18"/>
                <w:szCs w:val="18"/>
              </w:rPr>
              <w:t>发行股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林木顺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6,375,092</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6,375,092</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份购买资产认购股份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日，解除限</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6,375,092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售股份数量为</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6,375,092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年第一个交易</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6,011,355</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15,148</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5,996,207</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8"/>
                <w:sz w:val="18"/>
                <w:szCs w:val="18"/>
              </w:rPr>
              <w:t>高管锁定股；股权激励</w:t>
            </w:r>
            <w:r>
              <w:rPr>
                <w:rFonts w:ascii="宋体" w:hAnsi="宋体" w:cs="宋体" w:eastAsia="宋体" w:hint="default"/>
                <w:sz w:val="18"/>
                <w:szCs w:val="18"/>
              </w:rPr>
              <w:t> 限售股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后六个月内， 每年转让的股</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份不得超过其</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所持有本公司</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股份总数的</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宋体" w:hAnsi="宋体" w:cs="宋体" w:eastAsia="宋体" w:hint="default"/>
                <w:spacing w:val="-80"/>
                <w:sz w:val="18"/>
                <w:szCs w:val="18"/>
              </w:rPr>
              <w:t>；</w:t>
            </w:r>
            <w:r>
              <w:rPr>
                <w:rFonts w:ascii="宋体" w:hAnsi="宋体" w:cs="宋体" w:eastAsia="宋体" w:hint="default"/>
                <w:sz w:val="18"/>
                <w:szCs w:val="18"/>
              </w:rPr>
              <w:t>股权激励</w:t>
            </w: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限售股按相关</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规定解除限售</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上市流通日期</w:t>
            </w: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80"/>
                <w:sz w:val="18"/>
                <w:szCs w:val="18"/>
              </w:rPr>
              <w:t>：</w:t>
            </w:r>
            <w:r>
              <w:rPr>
                <w:rFonts w:ascii="宋体" w:hAnsi="宋体" w:cs="宋体" w:eastAsia="宋体" w:hint="default"/>
                <w:sz w:val="18"/>
                <w:szCs w:val="18"/>
              </w:rPr>
              <w:t>发行股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吴常念</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1,593,773</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pacing w:val="-1"/>
                <w:sz w:val="18"/>
              </w:rPr>
              <w:t>1,593,773</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份购买资产认购股份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日，解除限</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1,593,773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售股份数量为</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1,593,773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上市流通日期</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80"/>
                <w:sz w:val="18"/>
                <w:szCs w:val="18"/>
              </w:rPr>
              <w:t>：</w:t>
            </w:r>
            <w:r>
              <w:rPr>
                <w:rFonts w:ascii="宋体" w:hAnsi="宋体" w:cs="宋体" w:eastAsia="宋体" w:hint="default"/>
                <w:sz w:val="18"/>
                <w:szCs w:val="18"/>
              </w:rPr>
              <w:t>发行股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汪学刚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1,593,773</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1,593,773</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份购买资产认购股份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日，解除限</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1,593,773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售股份数量为</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1,593,773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129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张荷花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4,781,319</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4,781,319</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8"/>
                <w:sz w:val="18"/>
                <w:szCs w:val="18"/>
              </w:rPr>
              <w:t>首发后限售股：发行股</w:t>
            </w:r>
            <w:r>
              <w:rPr>
                <w:rFonts w:ascii="宋体" w:hAnsi="宋体" w:cs="宋体" w:eastAsia="宋体" w:hint="default"/>
                <w:sz w:val="18"/>
                <w:szCs w:val="18"/>
              </w:rPr>
              <w:t> 份购买资产认购股份 </w:t>
            </w:r>
            <w:r>
              <w:rPr>
                <w:rFonts w:ascii="Times New Roman" w:hAnsi="Times New Roman" w:cs="Times New Roman" w:eastAsia="Times New Roman" w:hint="default"/>
                <w:sz w:val="18"/>
                <w:szCs w:val="18"/>
              </w:rPr>
              <w:t>4,781,319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2"/>
              <w:jc w:val="left"/>
              <w:rPr>
                <w:rFonts w:ascii="宋体" w:hAnsi="宋体" w:cs="宋体" w:eastAsia="宋体" w:hint="default"/>
                <w:sz w:val="18"/>
                <w:szCs w:val="18"/>
              </w:rPr>
            </w:pPr>
            <w:r>
              <w:rPr>
                <w:rFonts w:ascii="宋体" w:hAnsi="宋体" w:cs="宋体" w:eastAsia="宋体" w:hint="default"/>
                <w:sz w:val="18"/>
                <w:szCs w:val="18"/>
              </w:rPr>
              <w:t>上市流通日期 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300" w:lineRule="auto"/>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售股份数量为</w:t>
            </w:r>
          </w:p>
        </w:tc>
      </w:tr>
    </w:tbl>
    <w:p>
      <w:pPr>
        <w:spacing w:after="0" w:line="30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101"/>
        <w:gridCol w:w="1140"/>
        <w:gridCol w:w="1290"/>
        <w:gridCol w:w="193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4,781,319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在达成相关业</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绩考核后，在</w:t>
            </w: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-2021</w:t>
            </w:r>
          </w:p>
        </w:tc>
      </w:tr>
      <w:tr>
        <w:trPr>
          <w:trHeight w:val="93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1" w:right="175"/>
              <w:jc w:val="left"/>
              <w:rPr>
                <w:rFonts w:ascii="宋体" w:hAnsi="宋体" w:cs="宋体" w:eastAsia="宋体" w:hint="default"/>
                <w:sz w:val="18"/>
                <w:szCs w:val="18"/>
              </w:rPr>
            </w:pPr>
            <w:r>
              <w:rPr>
                <w:rFonts w:ascii="宋体" w:hAnsi="宋体" w:cs="宋体" w:eastAsia="宋体" w:hint="default"/>
                <w:sz w:val="18"/>
                <w:szCs w:val="18"/>
              </w:rPr>
              <w:t>其他股权激励 限售股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5,833,000</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2,371,000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3,462,000</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201"/>
              <w:jc w:val="left"/>
              <w:rPr>
                <w:rFonts w:ascii="宋体" w:hAnsi="宋体" w:cs="宋体" w:eastAsia="宋体" w:hint="default"/>
                <w:sz w:val="18"/>
                <w:szCs w:val="18"/>
              </w:rPr>
            </w:pPr>
            <w:r>
              <w:rPr>
                <w:rFonts w:ascii="宋体" w:hAnsi="宋体" w:cs="宋体" w:eastAsia="宋体" w:hint="default"/>
                <w:sz w:val="18"/>
                <w:szCs w:val="18"/>
              </w:rPr>
              <w:t>限制性股票激励限售 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57"/>
              <w:jc w:val="left"/>
              <w:rPr>
                <w:rFonts w:ascii="宋体" w:hAnsi="宋体" w:cs="宋体" w:eastAsia="宋体" w:hint="default"/>
                <w:sz w:val="18"/>
                <w:szCs w:val="18"/>
              </w:rPr>
            </w:pPr>
            <w:r>
              <w:rPr>
                <w:rFonts w:ascii="宋体" w:hAnsi="宋体" w:cs="宋体" w:eastAsia="宋体" w:hint="default"/>
                <w:sz w:val="18"/>
                <w:szCs w:val="18"/>
              </w:rPr>
              <w:t>年分三期解 锁，各期解锁 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（回</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购注销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63000</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每年第一个交</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易日按</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w:t>
            </w:r>
          </w:p>
        </w:tc>
      </w:tr>
      <w:tr>
        <w:trPr>
          <w:trHeight w:val="308"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除限售；股权</w:t>
            </w: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75"/>
              <w:jc w:val="left"/>
              <w:rPr>
                <w:rFonts w:ascii="宋体" w:hAnsi="宋体" w:cs="宋体" w:eastAsia="宋体" w:hint="default"/>
                <w:sz w:val="18"/>
                <w:szCs w:val="18"/>
              </w:rPr>
            </w:pPr>
            <w:r>
              <w:rPr>
                <w:rFonts w:ascii="宋体" w:hAnsi="宋体" w:cs="宋体" w:eastAsia="宋体" w:hint="default"/>
                <w:sz w:val="18"/>
                <w:szCs w:val="18"/>
              </w:rPr>
              <w:t>其他高管锁定 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89,850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179,850</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21"/>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激励限售股解 禁后转为高管</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锁定股，按高</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101" w:type="dxa"/>
            <w:tcBorders>
              <w:top w:val="nil" w:sz="6" w:space="0" w:color="auto"/>
              <w:left w:val="single" w:sz="4" w:space="0" w:color="000000"/>
              <w:bottom w:val="nil" w:sz="6" w:space="0" w:color="auto"/>
              <w:right w:val="single" w:sz="4" w:space="0" w:color="000000"/>
            </w:tcBorders>
          </w:tcPr>
          <w:p>
            <w:pPr/>
          </w:p>
        </w:tc>
        <w:tc>
          <w:tcPr>
            <w:tcW w:w="1140"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管锁定股要求</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进行解禁</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101"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上市流通日期</w:t>
            </w:r>
          </w:p>
        </w:tc>
      </w:tr>
      <w:tr>
        <w:trPr>
          <w:trHeight w:val="94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175"/>
              <w:jc w:val="left"/>
              <w:rPr>
                <w:rFonts w:ascii="宋体" w:hAnsi="宋体" w:cs="宋体" w:eastAsia="宋体" w:hint="default"/>
                <w:sz w:val="18"/>
                <w:szCs w:val="18"/>
              </w:rPr>
            </w:pPr>
            <w:r>
              <w:rPr>
                <w:rFonts w:ascii="宋体" w:hAnsi="宋体" w:cs="宋体" w:eastAsia="宋体" w:hint="default"/>
                <w:sz w:val="18"/>
                <w:szCs w:val="18"/>
              </w:rPr>
              <w:t>其他首发后限 售股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3,187,542</w:t>
            </w:r>
          </w:p>
        </w:tc>
        <w:tc>
          <w:tcPr>
            <w:tcW w:w="11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0</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3,187,542</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8"/>
                <w:sz w:val="18"/>
                <w:szCs w:val="18"/>
              </w:rPr>
              <w:t>首发后限售股：发行股</w:t>
            </w:r>
            <w:r>
              <w:rPr>
                <w:rFonts w:ascii="宋体" w:hAnsi="宋体" w:cs="宋体" w:eastAsia="宋体" w:hint="default"/>
                <w:sz w:val="18"/>
                <w:szCs w:val="18"/>
              </w:rPr>
              <w:t> 份购买资产认购股份 </w:t>
            </w:r>
            <w:r>
              <w:rPr>
                <w:rFonts w:ascii="Times New Roman" w:hAnsi="Times New Roman" w:cs="Times New Roman" w:eastAsia="Times New Roman" w:hint="default"/>
                <w:sz w:val="18"/>
                <w:szCs w:val="18"/>
              </w:rPr>
              <w:t>3,187,542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300" w:lineRule="auto" w:before="63"/>
              <w:ind w:left="10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售股份数量为</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10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3,187,542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108,882,208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89,850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33,430,624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75,541,434</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02"/>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Times New Roman" w:hAnsi="Times New Roman" w:cs="Times New Roman" w:eastAsia="Times New Roman" w:hint="default"/>
          <w:sz w:val="20"/>
          <w:szCs w:val="20"/>
        </w:rPr>
      </w:pPr>
    </w:p>
    <w:p>
      <w:pPr>
        <w:pStyle w:val="Heading4"/>
        <w:spacing w:line="240" w:lineRule="auto" w:before="26"/>
        <w:ind w:right="2127"/>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92" w:lineRule="auto" w:before="117"/>
        <w:ind w:left="112" w:right="1124" w:firstLine="0"/>
        <w:jc w:val="left"/>
        <w:rPr>
          <w:rFonts w:ascii="宋体" w:hAnsi="宋体" w:cs="宋体" w:eastAsia="宋体" w:hint="default"/>
          <w:sz w:val="21"/>
          <w:szCs w:val="21"/>
        </w:rPr>
      </w:pPr>
      <w:r>
        <w:rPr>
          <w:rFonts w:ascii="宋体" w:hAnsi="宋体" w:cs="宋体" w:eastAsia="宋体" w:hint="default"/>
          <w:sz w:val="18"/>
          <w:szCs w:val="18"/>
        </w:rPr>
        <w:t>2019年7月19日，公司实施完成回购注销部分已授予但尚未解除限售的限制性股票，减少股本63,000股。截至本报告期末， 公司股本为412,072,469股</w:t>
      </w:r>
      <w:r>
        <w:rPr>
          <w:rFonts w:ascii="宋体" w:hAnsi="宋体" w:cs="宋体" w:eastAsia="宋体" w:hint="default"/>
          <w:sz w:val="21"/>
          <w:szCs w:val="21"/>
        </w:rPr>
        <w:t>。</w:t>
      </w:r>
    </w:p>
    <w:p>
      <w:pPr>
        <w:spacing w:line="240" w:lineRule="auto" w:before="3"/>
        <w:rPr>
          <w:rFonts w:ascii="宋体" w:hAnsi="宋体" w:cs="宋体" w:eastAsia="宋体" w:hint="default"/>
          <w:sz w:val="22"/>
          <w:szCs w:val="22"/>
        </w:rPr>
      </w:pPr>
    </w:p>
    <w:p>
      <w:pPr>
        <w:pStyle w:val="Heading5"/>
        <w:spacing w:line="240" w:lineRule="auto"/>
        <w:ind w:right="2127"/>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4"/>
        <w:spacing w:line="240" w:lineRule="auto" w:before="26"/>
        <w:ind w:right="2127"/>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274"/>
        <w:gridCol w:w="922"/>
        <w:gridCol w:w="490"/>
        <w:gridCol w:w="748"/>
        <w:gridCol w:w="826"/>
        <w:gridCol w:w="328"/>
        <w:gridCol w:w="461"/>
        <w:gridCol w:w="761"/>
        <w:gridCol w:w="866"/>
        <w:gridCol w:w="305"/>
        <w:gridCol w:w="1044"/>
        <w:gridCol w:w="152"/>
        <w:gridCol w:w="1196"/>
      </w:tblGrid>
      <w:tr>
        <w:trPr>
          <w:trHeight w:val="227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1" w:right="181"/>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31,567</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222"/>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32,766</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2" w:right="37"/>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2"/>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6" w:lineRule="auto" w:before="19"/>
              <w:ind w:left="101" w:right="100"/>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0" w:right="7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7" w:right="117"/>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75"/>
              <w:jc w:val="left"/>
              <w:rPr>
                <w:rFonts w:ascii="宋体" w:hAnsi="宋体" w:cs="宋体" w:eastAsia="宋体" w:hint="default"/>
                <w:sz w:val="18"/>
                <w:szCs w:val="18"/>
              </w:rPr>
            </w:pPr>
            <w:r>
              <w:rPr>
                <w:rFonts w:ascii="宋体" w:hAnsi="宋体" w:cs="宋体" w:eastAsia="宋体" w:hint="default"/>
                <w:sz w:val="18"/>
                <w:szCs w:val="18"/>
              </w:rPr>
              <w:t>南方银谷科技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13.73%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56,593,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019</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325798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 w:right="0"/>
              <w:jc w:val="left"/>
              <w:rPr>
                <w:rFonts w:ascii="Times New Roman" w:hAnsi="Times New Roman" w:cs="Times New Roman" w:eastAsia="Times New Roman" w:hint="default"/>
                <w:sz w:val="18"/>
                <w:szCs w:val="18"/>
              </w:rPr>
            </w:pPr>
            <w:r>
              <w:rPr>
                <w:rFonts w:ascii="Times New Roman"/>
                <w:sz w:val="18"/>
              </w:rPr>
              <w:t>56,593,</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019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24,013,157</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75"/>
              <w:jc w:val="both"/>
              <w:rPr>
                <w:rFonts w:ascii="宋体" w:hAnsi="宋体" w:cs="宋体" w:eastAsia="宋体" w:hint="default"/>
                <w:sz w:val="18"/>
                <w:szCs w:val="18"/>
              </w:rPr>
            </w:pPr>
            <w:r>
              <w:rPr>
                <w:rFonts w:ascii="宋体" w:hAnsi="宋体" w:cs="宋体" w:eastAsia="宋体" w:hint="default"/>
                <w:sz w:val="18"/>
                <w:szCs w:val="18"/>
              </w:rPr>
              <w:t>福建广聚信息 技术服务有限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4"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4.95%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20,398,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816</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561403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20,398,</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816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75"/>
              <w:jc w:val="left"/>
              <w:rPr>
                <w:rFonts w:ascii="宋体" w:hAnsi="宋体" w:cs="宋体" w:eastAsia="宋体" w:hint="default"/>
                <w:sz w:val="18"/>
                <w:szCs w:val="18"/>
              </w:rPr>
            </w:pPr>
            <w:r>
              <w:rPr>
                <w:rFonts w:ascii="宋体" w:hAnsi="宋体" w:cs="宋体" w:eastAsia="宋体" w:hint="default"/>
                <w:sz w:val="18"/>
                <w:szCs w:val="18"/>
              </w:rPr>
              <w:t>西藏景源投资 管理有限公司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4.85%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19,996,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669</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 w:right="0"/>
              <w:jc w:val="left"/>
              <w:rPr>
                <w:rFonts w:ascii="Times New Roman" w:hAnsi="Times New Roman" w:cs="Times New Roman" w:eastAsia="Times New Roman" w:hint="default"/>
                <w:sz w:val="18"/>
                <w:szCs w:val="18"/>
              </w:rPr>
            </w:pPr>
            <w:r>
              <w:rPr>
                <w:rFonts w:ascii="Times New Roman"/>
                <w:sz w:val="18"/>
              </w:rPr>
              <w:t>19,996,</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669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4.12%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16,982,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957</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12,737,</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218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4,245,7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3.87%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15,936,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708</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-53097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15,934,</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806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3.48%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958</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958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梁山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2.91%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12,001,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052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 w:right="0"/>
              <w:jc w:val="left"/>
              <w:rPr>
                <w:rFonts w:ascii="Times New Roman" w:hAnsi="Times New Roman" w:cs="Times New Roman" w:eastAsia="Times New Roman" w:hint="default"/>
                <w:sz w:val="18"/>
                <w:szCs w:val="18"/>
              </w:rPr>
            </w:pPr>
            <w:r>
              <w:rPr>
                <w:rFonts w:ascii="Times New Roman"/>
                <w:sz w:val="18"/>
              </w:rPr>
              <w:t>12,001,</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052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11,000,000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2.46%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10,146,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287</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-33700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215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9,072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刘含</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2.27%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9,355,5</w:t>
            </w:r>
          </w:p>
          <w:p>
            <w:pPr>
              <w:pStyle w:val="TableParagraph"/>
              <w:spacing w:line="240" w:lineRule="auto" w:before="105"/>
              <w:ind w:left="534" w:right="0"/>
              <w:jc w:val="left"/>
              <w:rPr>
                <w:rFonts w:ascii="Times New Roman" w:hAnsi="Times New Roman" w:cs="Times New Roman" w:eastAsia="Times New Roman" w:hint="default"/>
                <w:sz w:val="18"/>
                <w:szCs w:val="18"/>
              </w:rPr>
            </w:pPr>
            <w:r>
              <w:rPr>
                <w:rFonts w:ascii="Times New Roman"/>
                <w:sz w:val="18"/>
              </w:rPr>
              <w:t>02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9,355,5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林木顺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1.55%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6,375,0</w:t>
            </w:r>
          </w:p>
          <w:p>
            <w:pPr>
              <w:pStyle w:val="TableParagraph"/>
              <w:spacing w:line="240" w:lineRule="auto" w:before="105"/>
              <w:ind w:left="534" w:right="0"/>
              <w:jc w:val="left"/>
              <w:rPr>
                <w:rFonts w:ascii="Times New Roman" w:hAnsi="Times New Roman" w:cs="Times New Roman" w:eastAsia="Times New Roman" w:hint="default"/>
                <w:sz w:val="18"/>
                <w:szCs w:val="18"/>
              </w:rPr>
            </w:pPr>
            <w:r>
              <w:rPr>
                <w:rFonts w:ascii="Times New Roman"/>
                <w:sz w:val="18"/>
              </w:rPr>
              <w:t>92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6,375,0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92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南方银谷科技有限公司认购公司发行股份购买资产之募集配套资金非公开发行股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24,013,157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股，该部分股份性质为有限售条件股份，上市日为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881"/>
        <w:gridCol w:w="3990"/>
        <w:gridCol w:w="1349"/>
        <w:gridCol w:w="1348"/>
      </w:tblGrid>
      <w:tr>
        <w:trPr>
          <w:trHeight w:val="674"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锁定期为自本次非公开发行的股票上市之日起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个月，上市流通日为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70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101" w:right="2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、王中胜、杨世宁、杨新子为一致行动人；</w:t>
            </w:r>
          </w:p>
          <w:p>
            <w:pPr>
              <w:pStyle w:val="TableParagraph"/>
              <w:spacing w:line="240" w:lineRule="auto" w:before="10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日，南方银谷与王中胜、杨世宁、杨新子签署《表决权委托协</w:t>
            </w:r>
          </w:p>
          <w:p>
            <w:pPr>
              <w:pStyle w:val="TableParagraph"/>
              <w:spacing w:line="309" w:lineRule="auto" w:before="63"/>
              <w:ind w:left="103" w:right="101"/>
              <w:jc w:val="both"/>
              <w:rPr>
                <w:rFonts w:ascii="宋体" w:hAnsi="宋体" w:cs="宋体" w:eastAsia="宋体" w:hint="default"/>
                <w:sz w:val="18"/>
                <w:szCs w:val="18"/>
              </w:rPr>
            </w:pPr>
            <w:r>
              <w:rPr>
                <w:rFonts w:ascii="宋体" w:hAnsi="宋体" w:cs="宋体" w:eastAsia="宋体" w:hint="default"/>
                <w:spacing w:val="-9"/>
                <w:sz w:val="18"/>
                <w:szCs w:val="18"/>
              </w:rPr>
              <w:t>议》，表决权委托事项于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日取得国防科工局的批准，南方银谷与王中</w:t>
            </w:r>
            <w:r>
              <w:rPr>
                <w:rFonts w:ascii="宋体" w:hAnsi="宋体" w:cs="宋体" w:eastAsia="宋体" w:hint="default"/>
                <w:sz w:val="18"/>
                <w:szCs w:val="18"/>
              </w:rPr>
              <w:t> </w:t>
            </w:r>
            <w:r>
              <w:rPr>
                <w:rFonts w:ascii="宋体" w:hAnsi="宋体" w:cs="宋体" w:eastAsia="宋体" w:hint="default"/>
                <w:spacing w:val="-1"/>
                <w:sz w:val="18"/>
                <w:szCs w:val="18"/>
              </w:rPr>
              <w:t>胜、杨世宁、杨新子签署的《表决权委托协议》生效。在表决权委托期间，南方银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谷和王中胜、杨世宁、杨新子因本次表决权委托事项构成一致行动关系；</w:t>
            </w:r>
          </w:p>
          <w:p>
            <w:pPr>
              <w:pStyle w:val="TableParagraph"/>
              <w:spacing w:line="240" w:lineRule="auto" w:before="65"/>
              <w:ind w:left="103"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日，梁山、刘含、王亚东签署了《一致行动关系解除协议</w:t>
            </w:r>
            <w:r>
              <w:rPr>
                <w:rFonts w:ascii="宋体" w:hAnsi="宋体" w:cs="宋体" w:eastAsia="宋体" w:hint="default"/>
                <w:spacing w:val="-92"/>
                <w:sz w:val="18"/>
                <w:szCs w:val="18"/>
              </w:rPr>
              <w:t>》</w:t>
            </w:r>
            <w:r>
              <w:rPr>
                <w:rFonts w:ascii="宋体" w:hAnsi="宋体" w:cs="宋体" w:eastAsia="宋体" w:hint="default"/>
                <w:sz w:val="18"/>
                <w:szCs w:val="18"/>
              </w:rPr>
              <w:t>，三</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方的一致行动关系自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240" w:lineRule="auto" w:before="10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、除此之外，未知以上其余股东之间是否存在关联关系或一致行动关系。</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56,593,019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56,593,019</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福建广聚信息技术服务有限公司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20,398,816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20,398,816</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西藏景源投资管理有限公司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19,996,669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19,996,669</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梁山</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12,001,052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12,001,052</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刘含</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9,355,502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9,355,502</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王亚东</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4,883,167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4,883,167</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4,245,739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4,245,739</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87"/>
              <w:jc w:val="left"/>
              <w:rPr>
                <w:rFonts w:ascii="宋体" w:hAnsi="宋体" w:cs="宋体" w:eastAsia="宋体" w:hint="default"/>
                <w:sz w:val="18"/>
                <w:szCs w:val="18"/>
              </w:rPr>
            </w:pPr>
            <w:r>
              <w:rPr>
                <w:rFonts w:ascii="宋体" w:hAnsi="宋体" w:cs="宋体" w:eastAsia="宋体" w:hint="default"/>
                <w:sz w:val="18"/>
                <w:szCs w:val="18"/>
              </w:rPr>
              <w:t>招商银行股份有限公司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国泰聚优 价值灵活配置混合型证券投资基 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丁雪松</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3,880,740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3,880,740</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87"/>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国泰 金牛创新成长混合型证券投资基 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3,339,071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4"/>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3,339,071</w:t>
            </w:r>
          </w:p>
        </w:tc>
      </w:tr>
      <w:tr>
        <w:trPr>
          <w:trHeight w:val="266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101"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日，王中胜、杨世宁、杨新子等三人与南方银谷科技有限公司</w:t>
            </w:r>
          </w:p>
          <w:p>
            <w:pPr>
              <w:pStyle w:val="TableParagraph"/>
              <w:spacing w:line="312" w:lineRule="auto" w:before="63"/>
              <w:ind w:left="103" w:right="101"/>
              <w:jc w:val="both"/>
              <w:rPr>
                <w:rFonts w:ascii="宋体" w:hAnsi="宋体" w:cs="宋体" w:eastAsia="宋体" w:hint="default"/>
                <w:sz w:val="18"/>
                <w:szCs w:val="18"/>
              </w:rPr>
            </w:pPr>
            <w:r>
              <w:rPr>
                <w:rFonts w:ascii="宋体" w:hAnsi="宋体" w:cs="宋体" w:eastAsia="宋体" w:hint="default"/>
                <w:spacing w:val="-5"/>
                <w:sz w:val="18"/>
                <w:szCs w:val="18"/>
              </w:rPr>
              <w:t>签署了《表决权委托协议》，表决权委托事项于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日取得国防科工局的 </w:t>
            </w:r>
            <w:r>
              <w:rPr>
                <w:rFonts w:ascii="宋体" w:hAnsi="宋体" w:cs="宋体" w:eastAsia="宋体" w:hint="default"/>
                <w:spacing w:val="-1"/>
                <w:sz w:val="18"/>
                <w:szCs w:val="18"/>
              </w:rPr>
              <w:t>批准，南方银谷与王中胜、杨世宁、杨新子签署的《表决权委托协议》生效。南方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银谷和王中胜、杨世宁、杨新子因本次表决权委托事项在表决权委托期间构成一致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行动关系；</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日，梁山、刘含、王亚东签署了《一致行动关系解除协议</w:t>
            </w:r>
            <w:r>
              <w:rPr>
                <w:rFonts w:ascii="宋体" w:hAnsi="宋体" w:cs="宋体" w:eastAsia="宋体" w:hint="default"/>
                <w:spacing w:val="-92"/>
                <w:sz w:val="18"/>
                <w:szCs w:val="18"/>
              </w:rPr>
              <w:t>》</w:t>
            </w:r>
            <w:r>
              <w:rPr>
                <w:rFonts w:ascii="宋体" w:hAnsi="宋体" w:cs="宋体" w:eastAsia="宋体" w:hint="default"/>
                <w:sz w:val="18"/>
                <w:szCs w:val="18"/>
              </w:rPr>
              <w:t>，三</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方的一致行动关系自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240" w:lineRule="auto" w:before="10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、除此之外，未知以上其余股东之间是否存在关联关系或一致行动关系。</w:t>
            </w: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before="101"/>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right="2127"/>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1512"/>
        <w:gridCol w:w="1290"/>
        <w:gridCol w:w="1665"/>
        <w:gridCol w:w="1890"/>
        <w:gridCol w:w="3211"/>
      </w:tblGrid>
      <w:tr>
        <w:trPr>
          <w:trHeight w:val="71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90" w:right="16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单位负责人</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512" w:type="dxa"/>
            <w:tcBorders>
              <w:top w:val="single" w:sz="4" w:space="0" w:color="000000"/>
              <w:left w:val="single" w:sz="4" w:space="0" w:color="000000"/>
              <w:bottom w:val="nil" w:sz="6" w:space="0" w:color="auto"/>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c>
          <w:tcPr>
            <w:tcW w:w="1665" w:type="dxa"/>
            <w:tcBorders>
              <w:top w:val="single" w:sz="4" w:space="0" w:color="000000"/>
              <w:left w:val="single" w:sz="4" w:space="0" w:color="000000"/>
              <w:bottom w:val="nil" w:sz="6" w:space="0" w:color="auto"/>
              <w:right w:val="single" w:sz="4" w:space="0" w:color="000000"/>
            </w:tcBorders>
          </w:tcPr>
          <w:p>
            <w:pPr/>
          </w:p>
        </w:tc>
        <w:tc>
          <w:tcPr>
            <w:tcW w:w="1890" w:type="dxa"/>
            <w:tcBorders>
              <w:top w:val="single" w:sz="4" w:space="0" w:color="000000"/>
              <w:left w:val="single" w:sz="4" w:space="0" w:color="000000"/>
              <w:bottom w:val="nil" w:sz="6" w:space="0" w:color="auto"/>
              <w:right w:val="single" w:sz="4" w:space="0" w:color="000000"/>
            </w:tcBorders>
          </w:tcPr>
          <w:p>
            <w:pPr/>
          </w:p>
        </w:tc>
        <w:tc>
          <w:tcPr>
            <w:tcW w:w="32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pacing w:val="-4"/>
                <w:sz w:val="18"/>
                <w:szCs w:val="18"/>
              </w:rPr>
              <w:t>电脑软硬件的技术开发与销售、技术咨</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询与上门维护；信息系统集成（不含限</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制项目</w:t>
            </w:r>
            <w:r>
              <w:rPr>
                <w:rFonts w:ascii="宋体" w:hAnsi="宋体" w:cs="宋体" w:eastAsia="宋体" w:hint="default"/>
                <w:spacing w:val="-89"/>
                <w:sz w:val="18"/>
                <w:szCs w:val="18"/>
              </w:rPr>
              <w:t>）</w:t>
            </w:r>
            <w:r>
              <w:rPr>
                <w:rFonts w:ascii="宋体" w:hAnsi="宋体" w:cs="宋体" w:eastAsia="宋体" w:hint="default"/>
                <w:sz w:val="18"/>
                <w:szCs w:val="18"/>
              </w:rPr>
              <w:t>；通信工程、通信技术、网络</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工程；经营电子商务（涉及前置性行政</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许可的，须取得前置性行政许可文件后</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方可经营</w:t>
            </w:r>
            <w:r>
              <w:rPr>
                <w:rFonts w:ascii="宋体" w:hAnsi="宋体" w:cs="宋体" w:eastAsia="宋体" w:hint="default"/>
                <w:spacing w:val="-89"/>
                <w:sz w:val="18"/>
                <w:szCs w:val="18"/>
              </w:rPr>
              <w:t>）</w:t>
            </w:r>
            <w:r>
              <w:rPr>
                <w:rFonts w:ascii="宋体" w:hAnsi="宋体" w:cs="宋体" w:eastAsia="宋体" w:hint="default"/>
                <w:sz w:val="18"/>
                <w:szCs w:val="18"/>
              </w:rPr>
              <w:t>；国内贸易（法律、行政法</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规、国务院决定规定在登记前须经批准</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的项目除外</w:t>
            </w:r>
            <w:r>
              <w:rPr>
                <w:rFonts w:ascii="宋体" w:hAnsi="宋体" w:cs="宋体" w:eastAsia="宋体" w:hint="default"/>
                <w:spacing w:val="-89"/>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经营进出口业</w:t>
            </w:r>
            <w:r>
              <w:rPr>
                <w:rFonts w:ascii="宋体" w:hAnsi="宋体" w:cs="宋体" w:eastAsia="宋体" w:hint="default"/>
                <w:spacing w:val="-32"/>
                <w:sz w:val="18"/>
                <w:szCs w:val="18"/>
              </w:rPr>
              <w:t>务</w:t>
            </w:r>
            <w:r>
              <w:rPr>
                <w:rFonts w:ascii="宋体" w:hAnsi="宋体" w:cs="宋体" w:eastAsia="宋体" w:hint="default"/>
                <w:sz w:val="18"/>
                <w:szCs w:val="18"/>
              </w:rPr>
              <w:t>（法律、</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行政法规、国务院决定禁止的项目除</w:t>
            </w:r>
          </w:p>
        </w:tc>
      </w:tr>
      <w:tr>
        <w:trPr>
          <w:trHeight w:val="936" w:hRule="exact"/>
        </w:trPr>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138"/>
              <w:jc w:val="left"/>
              <w:rPr>
                <w:rFonts w:ascii="宋体" w:hAnsi="宋体" w:cs="宋体" w:eastAsia="宋体" w:hint="default"/>
                <w:sz w:val="18"/>
                <w:szCs w:val="18"/>
              </w:rPr>
            </w:pPr>
            <w:r>
              <w:rPr>
                <w:rFonts w:ascii="宋体" w:hAnsi="宋体" w:cs="宋体" w:eastAsia="宋体" w:hint="default"/>
                <w:sz w:val="18"/>
                <w:szCs w:val="18"/>
              </w:rPr>
              <w:t>南方银谷科技有 限公司</w:t>
            </w: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166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9"/>
              <w:jc w:val="center"/>
              <w:rPr>
                <w:rFonts w:ascii="Times New Roman" w:hAnsi="Times New Roman" w:cs="Times New Roman" w:eastAsia="Times New Roman" w:hint="default"/>
                <w:sz w:val="18"/>
                <w:szCs w:val="18"/>
              </w:rPr>
            </w:pPr>
            <w:r>
              <w:rPr>
                <w:rFonts w:ascii="Times New Roman"/>
                <w:sz w:val="18"/>
              </w:rPr>
              <w:t>914403007604721315</w:t>
            </w: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外，限制的项目须取得许可后方可经 </w:t>
            </w:r>
            <w:r>
              <w:rPr>
                <w:rFonts w:ascii="宋体" w:hAnsi="宋体" w:cs="宋体" w:eastAsia="宋体" w:hint="default"/>
                <w:spacing w:val="-6"/>
                <w:sz w:val="18"/>
                <w:szCs w:val="18"/>
              </w:rPr>
              <w:t>营）；从事广告业务（法律、行政法规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规定应进行广告经营审批登记的，另行</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办理审批登记后方可经营</w:t>
            </w:r>
            <w:r>
              <w:rPr>
                <w:rFonts w:ascii="宋体" w:hAnsi="宋体" w:cs="宋体" w:eastAsia="宋体" w:hint="default"/>
                <w:spacing w:val="-89"/>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礼仪策划，</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企业形象设计，展览展示策划；信息咨</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询、投资咨询、企业管理咨询（不含证</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券、保险、基金、金融业务、人才中介</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服务及其它限制项目</w:t>
            </w:r>
            <w:r>
              <w:rPr>
                <w:rFonts w:ascii="宋体" w:hAnsi="宋体" w:cs="宋体" w:eastAsia="宋体" w:hint="default"/>
                <w:spacing w:val="-89"/>
                <w:sz w:val="18"/>
                <w:szCs w:val="18"/>
              </w:rPr>
              <w:t>）</w:t>
            </w:r>
            <w:r>
              <w:rPr>
                <w:rFonts w:ascii="宋体" w:hAnsi="宋体" w:cs="宋体" w:eastAsia="宋体" w:hint="default"/>
                <w:sz w:val="18"/>
                <w:szCs w:val="18"/>
              </w:rPr>
              <w:t>；物业管理，自</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有物业租赁</w:t>
            </w:r>
            <w:r>
              <w:rPr>
                <w:rFonts w:ascii="宋体" w:hAnsi="宋体" w:cs="宋体" w:eastAsia="宋体" w:hint="default"/>
                <w:spacing w:val="-89"/>
                <w:sz w:val="18"/>
                <w:szCs w:val="18"/>
              </w:rPr>
              <w:t>。</w:t>
            </w:r>
            <w:r>
              <w:rPr>
                <w:rFonts w:ascii="宋体" w:hAnsi="宋体" w:cs="宋体" w:eastAsia="宋体" w:hint="default"/>
                <w:sz w:val="18"/>
                <w:szCs w:val="18"/>
              </w:rPr>
              <w:t>（以上经营范围涉及许可</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4"/>
                <w:sz w:val="18"/>
                <w:szCs w:val="18"/>
              </w:rPr>
              <w:t>经营项目的，应取得相关部门批准后方</w:t>
            </w:r>
          </w:p>
        </w:tc>
      </w:tr>
      <w:tr>
        <w:trPr>
          <w:trHeight w:val="312" w:hRule="exact"/>
        </w:trPr>
        <w:tc>
          <w:tcPr>
            <w:tcW w:w="1512" w:type="dxa"/>
            <w:tcBorders>
              <w:top w:val="nil" w:sz="6" w:space="0" w:color="auto"/>
              <w:left w:val="single" w:sz="4" w:space="0" w:color="000000"/>
              <w:bottom w:val="nil" w:sz="6" w:space="0" w:color="auto"/>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
        </w:tc>
        <w:tc>
          <w:tcPr>
            <w:tcW w:w="1665" w:type="dxa"/>
            <w:tcBorders>
              <w:top w:val="nil" w:sz="6" w:space="0" w:color="auto"/>
              <w:left w:val="single" w:sz="4" w:space="0" w:color="000000"/>
              <w:bottom w:val="nil" w:sz="6" w:space="0" w:color="auto"/>
              <w:right w:val="single" w:sz="4" w:space="0" w:color="000000"/>
            </w:tcBorders>
          </w:tcPr>
          <w:p>
            <w:pPr/>
          </w:p>
        </w:tc>
        <w:tc>
          <w:tcPr>
            <w:tcW w:w="1890" w:type="dxa"/>
            <w:tcBorders>
              <w:top w:val="nil" w:sz="6" w:space="0" w:color="auto"/>
              <w:left w:val="single" w:sz="4" w:space="0" w:color="000000"/>
              <w:bottom w:val="nil" w:sz="6" w:space="0" w:color="auto"/>
              <w:right w:val="single" w:sz="4" w:space="0" w:color="000000"/>
            </w:tcBorders>
          </w:tcPr>
          <w:p>
            <w:pPr/>
          </w:p>
        </w:tc>
        <w:tc>
          <w:tcPr>
            <w:tcW w:w="32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可经营</w:t>
            </w:r>
            <w:r>
              <w:rPr>
                <w:rFonts w:ascii="宋体" w:hAnsi="宋体" w:cs="宋体" w:eastAsia="宋体" w:hint="default"/>
                <w:spacing w:val="-89"/>
                <w:sz w:val="18"/>
                <w:szCs w:val="18"/>
              </w:rPr>
              <w:t>）</w:t>
            </w:r>
            <w:r>
              <w:rPr>
                <w:rFonts w:ascii="宋体" w:hAnsi="宋体" w:cs="宋体" w:eastAsia="宋体" w:hint="default"/>
                <w:sz w:val="18"/>
                <w:szCs w:val="18"/>
              </w:rPr>
              <w:t>；许可经营项目是：增值电信</w:t>
            </w:r>
          </w:p>
        </w:tc>
      </w:tr>
      <w:tr>
        <w:trPr>
          <w:trHeight w:val="356" w:hRule="exact"/>
        </w:trPr>
        <w:tc>
          <w:tcPr>
            <w:tcW w:w="1512" w:type="dxa"/>
            <w:tcBorders>
              <w:top w:val="nil" w:sz="6" w:space="0" w:color="auto"/>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c>
          <w:tcPr>
            <w:tcW w:w="1665" w:type="dxa"/>
            <w:tcBorders>
              <w:top w:val="nil" w:sz="6" w:space="0" w:color="auto"/>
              <w:left w:val="single" w:sz="4" w:space="0" w:color="000000"/>
              <w:bottom w:val="single" w:sz="4" w:space="0" w:color="000000"/>
              <w:right w:val="single" w:sz="4" w:space="0" w:color="000000"/>
            </w:tcBorders>
          </w:tcPr>
          <w:p>
            <w:pPr/>
          </w:p>
        </w:tc>
        <w:tc>
          <w:tcPr>
            <w:tcW w:w="1890" w:type="dxa"/>
            <w:tcBorders>
              <w:top w:val="nil" w:sz="6" w:space="0" w:color="auto"/>
              <w:left w:val="single" w:sz="4" w:space="0" w:color="000000"/>
              <w:bottom w:val="single" w:sz="4" w:space="0" w:color="000000"/>
              <w:right w:val="single" w:sz="4" w:space="0" w:color="000000"/>
            </w:tcBorders>
          </w:tcPr>
          <w:p>
            <w:pPr/>
          </w:p>
        </w:tc>
        <w:tc>
          <w:tcPr>
            <w:tcW w:w="32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w:t>
            </w:r>
          </w:p>
        </w:tc>
      </w:tr>
      <w:tr>
        <w:trPr>
          <w:trHeight w:val="35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36"/>
              <w:jc w:val="center"/>
              <w:rPr>
                <w:rFonts w:ascii="宋体" w:hAnsi="宋体" w:cs="宋体" w:eastAsia="宋体" w:hint="default"/>
                <w:sz w:val="18"/>
                <w:szCs w:val="18"/>
              </w:rPr>
            </w:pPr>
            <w:r>
              <w:rPr>
                <w:rFonts w:ascii="宋体" w:hAnsi="宋体" w:cs="宋体" w:eastAsia="宋体" w:hint="default"/>
                <w:sz w:val="18"/>
                <w:szCs w:val="18"/>
              </w:rPr>
              <w:t>控股股东报告期</w:t>
            </w:r>
          </w:p>
        </w:tc>
        <w:tc>
          <w:tcPr>
            <w:tcW w:w="8056" w:type="dxa"/>
            <w:gridSpan w:val="4"/>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138"/>
              <w:jc w:val="left"/>
              <w:rPr>
                <w:rFonts w:ascii="宋体" w:hAnsi="宋体" w:cs="宋体" w:eastAsia="宋体" w:hint="default"/>
                <w:sz w:val="18"/>
                <w:szCs w:val="18"/>
              </w:rPr>
            </w:pPr>
            <w:r>
              <w:rPr>
                <w:rFonts w:ascii="宋体" w:hAnsi="宋体" w:cs="宋体" w:eastAsia="宋体" w:hint="default"/>
                <w:sz w:val="18"/>
                <w:szCs w:val="18"/>
              </w:rPr>
              <w:t>内控股和参股的 其他境内外上市</w:t>
            </w:r>
          </w:p>
        </w:tc>
        <w:tc>
          <w:tcPr>
            <w:tcW w:w="8056"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36"/>
              <w:jc w:val="center"/>
              <w:rPr>
                <w:rFonts w:ascii="宋体" w:hAnsi="宋体" w:cs="宋体" w:eastAsia="宋体" w:hint="default"/>
                <w:sz w:val="18"/>
                <w:szCs w:val="18"/>
              </w:rPr>
            </w:pPr>
            <w:r>
              <w:rPr>
                <w:rFonts w:ascii="宋体" w:hAnsi="宋体" w:cs="宋体" w:eastAsia="宋体" w:hint="default"/>
                <w:sz w:val="18"/>
                <w:szCs w:val="18"/>
              </w:rPr>
              <w:t>公司的股权情况</w:t>
            </w:r>
          </w:p>
        </w:tc>
        <w:tc>
          <w:tcPr>
            <w:tcW w:w="8056" w:type="dxa"/>
            <w:gridSpan w:val="4"/>
            <w:tcBorders>
              <w:top w:val="nil" w:sz="6" w:space="0" w:color="auto"/>
              <w:left w:val="single" w:sz="4" w:space="0" w:color="000000"/>
              <w:bottom w:val="single" w:sz="4" w:space="0" w:color="000000"/>
              <w:right w:val="single" w:sz="4" w:space="0" w:color="000000"/>
            </w:tcBorders>
          </w:tcPr>
          <w:p>
            <w:pPr/>
          </w:p>
        </w:tc>
      </w:tr>
    </w:tbl>
    <w:p>
      <w:pPr>
        <w:spacing w:before="67"/>
        <w:ind w:left="112" w:right="212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1"/>
              <w:jc w:val="left"/>
              <w:rPr>
                <w:rFonts w:ascii="宋体" w:hAnsi="宋体" w:cs="宋体" w:eastAsia="宋体" w:hint="default"/>
                <w:sz w:val="18"/>
                <w:szCs w:val="18"/>
              </w:rPr>
            </w:pPr>
            <w:r>
              <w:rPr>
                <w:rFonts w:ascii="宋体" w:hAnsi="宋体" w:cs="宋体" w:eastAsia="宋体" w:hint="default"/>
                <w:spacing w:val="-2"/>
                <w:sz w:val="18"/>
                <w:szCs w:val="18"/>
              </w:rPr>
              <w:t>公司实际控制人，现任公司董事、公司控股股东南方银谷科技有限公司董事长、陕西皖通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科技有限责任公司董事。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2" w:right="212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周发展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12"/>
        <w:rPr>
          <w:rFonts w:ascii="宋体" w:hAnsi="宋体" w:cs="宋体" w:eastAsia="宋体" w:hint="default"/>
          <w:sz w:val="24"/>
          <w:szCs w:val="24"/>
        </w:rPr>
      </w:pPr>
    </w:p>
    <w:p>
      <w:pPr>
        <w:spacing w:line="4248" w:lineRule="exact"/>
        <w:ind w:left="1461"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408932" cy="269748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4408932" cy="269748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9"/>
        <w:rPr>
          <w:rFonts w:ascii="宋体" w:hAnsi="宋体" w:cs="宋体" w:eastAsia="宋体" w:hint="default"/>
          <w:sz w:val="20"/>
          <w:szCs w:val="20"/>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
        <w:rPr>
          <w:rFonts w:ascii="宋体" w:hAnsi="宋体" w:cs="宋体" w:eastAsia="宋体" w:hint="default"/>
          <w:sz w:val="21"/>
          <w:szCs w:val="21"/>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328" w:right="2127"/>
        <w:jc w:val="left"/>
        <w:rPr>
          <w:b w:val="0"/>
          <w:bCs w:val="0"/>
        </w:rPr>
      </w:pPr>
      <w:bookmarkStart w:name="第七节优先股相关情况" w:id="121"/>
      <w:bookmarkEnd w:id="121"/>
      <w:r>
        <w:rPr>
          <w:b w:val="0"/>
          <w:bCs w:val="0"/>
        </w:rPr>
      </w:r>
      <w:bookmarkStart w:name="_bookmark6"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859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footerReference w:type="default" r:id="rId21"/>
          <w:pgSz w:w="11910" w:h="16840"/>
          <w:pgMar w:footer="1016" w:header="919" w:top="1120" w:bottom="1200" w:left="1020" w:right="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685" w:right="2127"/>
        <w:jc w:val="left"/>
        <w:rPr>
          <w:b w:val="0"/>
          <w:bCs w:val="0"/>
        </w:rPr>
      </w:pPr>
      <w:bookmarkStart w:name="第八节可转换公司债券相关情况" w:id="123"/>
      <w:bookmarkEnd w:id="123"/>
      <w:r>
        <w:rPr>
          <w:b w:val="0"/>
          <w:bCs w:val="0"/>
        </w:rPr>
      </w:r>
      <w:bookmarkStart w:name="_bookmark7" w:id="124"/>
      <w:bookmarkEnd w:id="124"/>
      <w:r>
        <w:rPr>
          <w:b w:val="0"/>
          <w:bCs w:val="0"/>
        </w:rPr>
      </w:r>
      <w:r>
        <w:rPr/>
        <w:t>第八节可转换公司债券相关情况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报告期公司不存在可转换公司债券。</w:t>
      </w:r>
    </w:p>
    <w:p>
      <w:pPr>
        <w:spacing w:after="0" w:line="36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1723" w:right="2127"/>
        <w:jc w:val="left"/>
        <w:rPr>
          <w:b w:val="0"/>
          <w:bCs w:val="0"/>
        </w:rPr>
      </w:pPr>
      <w:bookmarkStart w:name="第九节董事、监事、高级管理人员和员工情况" w:id="125"/>
      <w:bookmarkEnd w:id="125"/>
      <w:r>
        <w:rPr>
          <w:b w:val="0"/>
          <w:bCs w:val="0"/>
        </w:rPr>
      </w:r>
      <w:bookmarkStart w:name="_bookmark8" w:id="126"/>
      <w:bookmarkEnd w:id="126"/>
      <w:r>
        <w:rPr>
          <w:b w:val="0"/>
          <w:bCs w:val="0"/>
        </w:rPr>
      </w:r>
      <w:r>
        <w:rPr/>
        <w:t>第九节董事、监事、高级管理人员和员工情况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2127"/>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026" w:hRule="exact"/>
        </w:trPr>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026" w:hRule="exact"/>
        </w:trPr>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7,986,2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1,990,0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5,996,2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07</w:t>
            </w:r>
          </w:p>
        </w:tc>
      </w:tr>
      <w:tr>
        <w:trPr>
          <w:trHeight w:val="1024" w:hRule="exact"/>
        </w:trPr>
        <w:tc>
          <w:tcPr>
            <w:tcW w:w="798" w:type="dxa"/>
            <w:vMerge/>
            <w:tcBorders>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361" w:hRule="exact"/>
        </w:trPr>
        <w:tc>
          <w:tcPr>
            <w:tcW w:w="798" w:type="dxa"/>
            <w:vMerge w:val="restart"/>
            <w:tcBorders>
              <w:top w:val="nil" w:sz="6" w:space="0" w:color="auto"/>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nil" w:sz="6" w:space="0" w:color="auto"/>
              <w:left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vMerge w:val="restart"/>
            <w:tcBorders>
              <w:top w:val="nil" w:sz="6" w:space="0" w:color="auto"/>
              <w:left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
        </w:tc>
      </w:tr>
      <w:tr>
        <w:trPr>
          <w:trHeight w:val="312" w:hRule="exact"/>
        </w:trPr>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2"/>
              <w:jc w:val="both"/>
              <w:rPr>
                <w:rFonts w:ascii="宋体" w:hAnsi="宋体" w:cs="宋体" w:eastAsia="宋体" w:hint="default"/>
                <w:sz w:val="18"/>
                <w:szCs w:val="18"/>
              </w:rPr>
            </w:pPr>
            <w:r>
              <w:rPr>
                <w:rFonts w:ascii="宋体" w:hAnsi="宋体" w:cs="宋体" w:eastAsia="宋体" w:hint="default"/>
                <w:sz w:val="18"/>
                <w:szCs w:val="18"/>
              </w:rPr>
              <w:t>董事、 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16,982,</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16,982,</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957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伍利娜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958</w:t>
            </w: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甄峰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r>
      <w:tr>
        <w:trPr>
          <w:trHeight w:val="257" w:hRule="exact"/>
        </w:trPr>
        <w:tc>
          <w:tcPr>
            <w:tcW w:w="79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r>
      <w:tr>
        <w:trPr>
          <w:trHeight w:val="96" w:hRule="exact"/>
        </w:trPr>
        <w:tc>
          <w:tcPr>
            <w:tcW w:w="798" w:type="dxa"/>
            <w:vMerge w:val="restart"/>
            <w:tcBorders>
              <w:top w:val="nil" w:sz="6" w:space="0" w:color="auto"/>
              <w:left w:val="single" w:sz="4" w:space="0" w:color="000000"/>
              <w:right w:val="single" w:sz="4" w:space="0" w:color="000000"/>
            </w:tcBorders>
          </w:tcPr>
          <w:p>
            <w:pPr>
              <w:pStyle w:val="TableParagraph"/>
              <w:spacing w:line="186" w:lineRule="exact"/>
              <w:ind w:left="101"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val="restart"/>
            <w:tcBorders>
              <w:top w:val="nil" w:sz="6" w:space="0" w:color="auto"/>
              <w:left w:val="single" w:sz="4" w:space="0" w:color="000000"/>
              <w:right w:val="single" w:sz="4" w:space="0" w:color="000000"/>
            </w:tcBorders>
          </w:tcPr>
          <w:p>
            <w:pPr>
              <w:pStyle w:val="TableParagraph"/>
              <w:spacing w:line="186" w:lineRule="exact"/>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vMerge w:val="restart"/>
            <w:tcBorders>
              <w:top w:val="nil" w:sz="6" w:space="0" w:color="auto"/>
              <w:left w:val="single" w:sz="4" w:space="0" w:color="000000"/>
              <w:right w:val="single" w:sz="4" w:space="0" w:color="000000"/>
            </w:tcBorders>
          </w:tcPr>
          <w:p>
            <w:pPr>
              <w:pStyle w:val="TableParagraph"/>
              <w:spacing w:line="199" w:lineRule="exact"/>
              <w:ind w:left="505" w:right="0"/>
              <w:jc w:val="lef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Style w:val="TableParagraph"/>
              <w:spacing w:line="199" w:lineRule="exact"/>
              <w:ind w:left="191" w:right="0"/>
              <w:jc w:val="left"/>
              <w:rPr>
                <w:rFonts w:ascii="Times New Roman" w:hAnsi="Times New Roman" w:cs="Times New Roman" w:eastAsia="Times New Roman" w:hint="default"/>
                <w:sz w:val="18"/>
                <w:szCs w:val="18"/>
              </w:rPr>
            </w:pPr>
            <w:r>
              <w:rPr>
                <w:rFonts w:ascii="Times New Roman"/>
                <w:sz w:val="18"/>
              </w:rPr>
              <w:t>86,800</w:t>
            </w:r>
          </w:p>
        </w:tc>
        <w:tc>
          <w:tcPr>
            <w:tcW w:w="798" w:type="dxa"/>
            <w:vMerge w:val="restart"/>
            <w:tcBorders>
              <w:top w:val="nil" w:sz="6" w:space="0" w:color="auto"/>
              <w:left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nil" w:sz="6" w:space="0" w:color="auto"/>
              <w:left w:val="single" w:sz="4" w:space="0" w:color="000000"/>
              <w:right w:val="single" w:sz="4" w:space="0" w:color="000000"/>
            </w:tcBorders>
          </w:tcPr>
          <w:p>
            <w:pPr>
              <w:pStyle w:val="TableParagraph"/>
              <w:spacing w:line="199"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nil" w:sz="6" w:space="0" w:color="auto"/>
              <w:left w:val="single" w:sz="4" w:space="0" w:color="000000"/>
              <w:right w:val="single" w:sz="4" w:space="0" w:color="000000"/>
            </w:tcBorders>
          </w:tcPr>
          <w:p>
            <w:pPr>
              <w:pStyle w:val="TableParagraph"/>
              <w:spacing w:line="199" w:lineRule="exact"/>
              <w:ind w:right="10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nil" w:sz="6" w:space="0" w:color="auto"/>
              <w:left w:val="single" w:sz="4" w:space="0" w:color="000000"/>
              <w:right w:val="single" w:sz="4" w:space="0" w:color="000000"/>
            </w:tcBorders>
          </w:tcPr>
          <w:p>
            <w:pPr>
              <w:pStyle w:val="TableParagraph"/>
              <w:spacing w:line="199" w:lineRule="exact"/>
              <w:ind w:left="191" w:right="0"/>
              <w:jc w:val="left"/>
              <w:rPr>
                <w:rFonts w:ascii="Times New Roman" w:hAnsi="Times New Roman" w:cs="Times New Roman" w:eastAsia="Times New Roman" w:hint="default"/>
                <w:sz w:val="18"/>
                <w:szCs w:val="18"/>
              </w:rPr>
            </w:pPr>
            <w:r>
              <w:rPr>
                <w:rFonts w:ascii="Times New Roman"/>
                <w:sz w:val="18"/>
              </w:rPr>
              <w:t>86,800</w:t>
            </w:r>
          </w:p>
        </w:tc>
      </w:tr>
      <w:tr>
        <w:trPr>
          <w:trHeight w:val="106" w:hRule="exact"/>
        </w:trPr>
        <w:tc>
          <w:tcPr>
            <w:tcW w:w="798" w:type="dxa"/>
            <w:vMerge/>
            <w:tcBorders>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r>
      <w:tr>
        <w:trPr>
          <w:trHeight w:val="920"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6"/>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赵梦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监事、 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袁照云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2"/>
              <w:jc w:val="both"/>
              <w:rPr>
                <w:rFonts w:ascii="宋体" w:hAnsi="宋体" w:cs="宋体" w:eastAsia="宋体" w:hint="default"/>
                <w:sz w:val="18"/>
                <w:szCs w:val="18"/>
              </w:rPr>
            </w:pPr>
            <w:r>
              <w:rPr>
                <w:rFonts w:ascii="宋体" w:hAnsi="宋体" w:cs="宋体" w:eastAsia="宋体" w:hint="default"/>
                <w:sz w:val="18"/>
                <w:szCs w:val="18"/>
              </w:rPr>
              <w:t>监事、 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陈延风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竺进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马晶晶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财务负 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68,200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2"/>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49,600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49,600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39,757,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1,990,0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37,767,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122</w:t>
            </w:r>
          </w:p>
        </w:tc>
      </w:tr>
    </w:tbl>
    <w:p>
      <w:pPr>
        <w:spacing w:line="240" w:lineRule="auto" w:before="8"/>
        <w:rPr>
          <w:rFonts w:ascii="Times New Roman" w:hAnsi="Times New Roman" w:cs="Times New Roman" w:eastAsia="Times New Roman" w:hint="default"/>
          <w:sz w:val="20"/>
          <w:szCs w:val="20"/>
        </w:rPr>
      </w:pPr>
    </w:p>
    <w:p>
      <w:pPr>
        <w:pStyle w:val="Heading4"/>
        <w:spacing w:line="240" w:lineRule="auto" w:before="26"/>
        <w:ind w:right="2127"/>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0"/>
        <w:gridCol w:w="1592"/>
        <w:gridCol w:w="1215"/>
        <w:gridCol w:w="1785"/>
        <w:gridCol w:w="3645"/>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工作调整原因辞职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工作调整原因辞职</w:t>
            </w:r>
          </w:p>
        </w:tc>
      </w:tr>
      <w:tr>
        <w:trPr>
          <w:trHeight w:val="40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工作调整辞去总经理职务，改任董事长</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30"/>
        <w:gridCol w:w="1592"/>
        <w:gridCol w:w="1215"/>
        <w:gridCol w:w="1785"/>
        <w:gridCol w:w="3645"/>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工作调整辞去董事长职务，改任副董事长</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赵梦</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9"/>
                <w:sz w:val="18"/>
                <w:szCs w:val="18"/>
              </w:rPr>
              <w:t>监事、监事会主席</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竺进</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退休原因辞职</w:t>
            </w:r>
          </w:p>
        </w:tc>
      </w:tr>
    </w:tbl>
    <w:p>
      <w:pPr>
        <w:spacing w:line="240" w:lineRule="auto" w:before="2"/>
        <w:rPr>
          <w:rFonts w:ascii="宋体" w:hAnsi="宋体" w:cs="宋体" w:eastAsia="宋体" w:hint="default"/>
          <w:sz w:val="18"/>
          <w:szCs w:val="18"/>
        </w:rPr>
      </w:pPr>
    </w:p>
    <w:p>
      <w:pPr>
        <w:pStyle w:val="Heading4"/>
        <w:spacing w:line="240" w:lineRule="auto" w:before="26"/>
        <w:ind w:right="2127"/>
        <w:jc w:val="left"/>
        <w:rPr>
          <w:b w:val="0"/>
          <w:bCs w:val="0"/>
        </w:rPr>
      </w:pPr>
      <w:bookmarkStart w:name="三、任职情况" w:id="129"/>
      <w:bookmarkEnd w:id="129"/>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Heading5"/>
        <w:spacing w:line="240" w:lineRule="auto" w:before="92"/>
        <w:ind w:left="429" w:right="2127"/>
        <w:jc w:val="left"/>
        <w:rPr>
          <w:b w:val="0"/>
          <w:bCs w:val="0"/>
        </w:rPr>
      </w:pPr>
      <w:r>
        <w:rPr/>
        <w:t>（一）董事会成员</w:t>
      </w:r>
      <w:r>
        <w:rPr>
          <w:b w:val="0"/>
          <w:bCs w:val="0"/>
        </w:rPr>
      </w:r>
    </w:p>
    <w:p>
      <w:pPr>
        <w:pStyle w:val="BodyText"/>
        <w:spacing w:line="273" w:lineRule="auto" w:before="37"/>
        <w:ind w:right="1130" w:firstLine="420"/>
        <w:jc w:val="both"/>
      </w:pPr>
      <w:r>
        <w:rPr/>
        <w:t>廖</w:t>
      </w:r>
      <w:r>
        <w:rPr>
          <w:spacing w:val="-16"/>
        </w:rPr>
        <w:t> </w:t>
      </w:r>
      <w:r>
        <w:rPr>
          <w:spacing w:val="2"/>
        </w:rPr>
        <w:t>凯先生：1977年生，中国国籍，无境外永久居留权，本科学历。曾任职于公司控股股东南方银谷</w:t>
      </w:r>
      <w:r>
        <w:rPr>
          <w:w w:val="99"/>
        </w:rPr>
        <w:t> </w:t>
      </w:r>
      <w:r>
        <w:rPr>
          <w:w w:val="95"/>
        </w:rPr>
        <w:t>科技有限公司、深圳桑达房地产开发有限公司、招商局地产控股股份有限公司、深圳市龙光地产股份有限</w:t>
      </w:r>
      <w:r>
        <w:rPr>
          <w:spacing w:val="40"/>
          <w:w w:val="95"/>
        </w:rPr>
        <w:t> </w:t>
      </w:r>
      <w:r>
        <w:rPr>
          <w:spacing w:val="40"/>
          <w:w w:val="95"/>
        </w:rPr>
      </w:r>
      <w:r>
        <w:rPr>
          <w:w w:val="95"/>
        </w:rPr>
        <w:t>公司，现任公司董事、董事长、总经理、烟台华东电子软件技术有限公司董事、烟台华东电子科技有限公</w:t>
      </w:r>
      <w:r>
        <w:rPr>
          <w:spacing w:val="44"/>
          <w:w w:val="95"/>
        </w:rPr>
        <w:t> </w:t>
      </w:r>
      <w:r>
        <w:rPr>
          <w:spacing w:val="44"/>
          <w:w w:val="95"/>
        </w:rPr>
      </w:r>
      <w:r>
        <w:rPr/>
        <w:t>司董事、安徽汉高信息科技有限公司董事、安徽行云天下科技有限公司董事。</w:t>
      </w:r>
    </w:p>
    <w:p>
      <w:pPr>
        <w:pStyle w:val="BodyText"/>
        <w:spacing w:line="273" w:lineRule="auto"/>
        <w:ind w:right="1130" w:firstLine="420"/>
        <w:jc w:val="both"/>
      </w:pPr>
      <w:r>
        <w:rPr/>
        <w:t>李</w:t>
      </w:r>
      <w:r>
        <w:rPr>
          <w:spacing w:val="-16"/>
        </w:rPr>
        <w:t> </w:t>
      </w:r>
      <w:r>
        <w:rPr>
          <w:spacing w:val="2"/>
        </w:rPr>
        <w:t>臻先生：1983年生，中国国籍，无境外永久居留权，中欧国际工商学院金融工商管理硕士。曾任</w:t>
      </w:r>
      <w:r>
        <w:rPr>
          <w:w w:val="99"/>
        </w:rPr>
        <w:t> </w:t>
      </w:r>
      <w:r>
        <w:rPr>
          <w:w w:val="95"/>
        </w:rPr>
        <w:t>职于南京证券、兴业证券、上海德晖投资管理有限公司，现任公司董事、副董事长、烟台华东电子软件技</w:t>
      </w:r>
      <w:r>
        <w:rPr>
          <w:spacing w:val="42"/>
          <w:w w:val="95"/>
        </w:rPr>
        <w:t> </w:t>
      </w:r>
      <w:r>
        <w:rPr>
          <w:spacing w:val="42"/>
          <w:w w:val="95"/>
        </w:rPr>
      </w:r>
      <w:r>
        <w:rPr>
          <w:w w:val="95"/>
        </w:rPr>
        <w:t>术有限公司董事、烟台华东电子科技有限公司董事、安徽汉高信息科技有限公司董事、安徽行云天下科技</w:t>
      </w:r>
      <w:r>
        <w:rPr>
          <w:spacing w:val="43"/>
          <w:w w:val="95"/>
        </w:rPr>
        <w:t> </w:t>
      </w:r>
      <w:r>
        <w:rPr>
          <w:spacing w:val="43"/>
          <w:w w:val="95"/>
        </w:rPr>
      </w:r>
      <w:r>
        <w:rPr/>
        <w:t>有限公司董事长、上海执古资产管理有限公司执行董事、总经理。</w:t>
      </w:r>
    </w:p>
    <w:p>
      <w:pPr>
        <w:pStyle w:val="BodyText"/>
        <w:spacing w:line="273" w:lineRule="auto"/>
        <w:ind w:right="1130" w:firstLine="420"/>
        <w:jc w:val="both"/>
      </w:pPr>
      <w:r>
        <w:rPr>
          <w:w w:val="95"/>
        </w:rPr>
        <w:t>周发展先生：1980年生，中国国籍，无境外永久居留权，文学学士。曾任职于深圳特区报业集团、深</w:t>
      </w:r>
      <w:r>
        <w:rPr>
          <w:w w:val="99"/>
        </w:rPr>
        <w:t> </w:t>
      </w:r>
      <w:r>
        <w:rPr>
          <w:w w:val="95"/>
        </w:rPr>
        <w:t>圳晚报、深圳地铁报，历任公司总经理、董事长，现任公司董事、公司控股股东南方银谷科技有限公司董</w:t>
      </w:r>
      <w:r>
        <w:rPr>
          <w:spacing w:val="43"/>
          <w:w w:val="95"/>
        </w:rPr>
        <w:t> </w:t>
      </w:r>
      <w:r>
        <w:rPr>
          <w:spacing w:val="43"/>
          <w:w w:val="95"/>
        </w:rPr>
      </w:r>
      <w:r>
        <w:rPr/>
        <w:t>事长、陕西皖通科技有限责任公司董事。</w:t>
      </w:r>
    </w:p>
    <w:p>
      <w:pPr>
        <w:pStyle w:val="BodyText"/>
        <w:spacing w:line="273" w:lineRule="auto"/>
        <w:ind w:right="1132" w:firstLine="420"/>
        <w:jc w:val="both"/>
      </w:pPr>
      <w:r>
        <w:rPr>
          <w:spacing w:val="2"/>
          <w:w w:val="95"/>
        </w:rPr>
        <w:t>易增辉先生：1963年生，中国国籍，无境外永久居留权，本科学历，工程师。2010年5月至今任成都</w:t>
      </w:r>
      <w:r>
        <w:rPr>
          <w:spacing w:val="-90"/>
          <w:w w:val="95"/>
        </w:rPr>
        <w:t> </w:t>
      </w:r>
      <w:r>
        <w:rPr>
          <w:spacing w:val="-90"/>
          <w:w w:val="95"/>
        </w:rPr>
      </w:r>
      <w:r>
        <w:rPr/>
        <w:t>赛英科技有限公司总经理，现任公司董事、成都赛英科技有限公司董事长、总经理。</w:t>
      </w:r>
    </w:p>
    <w:p>
      <w:pPr>
        <w:pStyle w:val="BodyText"/>
        <w:spacing w:line="264" w:lineRule="auto" w:before="1"/>
        <w:ind w:right="1130" w:firstLine="420"/>
        <w:jc w:val="both"/>
      </w:pPr>
      <w:r>
        <w:rPr/>
        <w:t>甄</w:t>
      </w:r>
      <w:r>
        <w:rPr>
          <w:spacing w:val="-3"/>
        </w:rPr>
        <w:t> </w:t>
      </w:r>
      <w:r>
        <w:rPr/>
        <w:t>峰先生：1973年生，中国国籍，无境外永久居留权，本科学历，工学学士。曾任</w:t>
      </w:r>
      <w:r>
        <w:rPr>
          <w:sz w:val="22"/>
          <w:szCs w:val="22"/>
        </w:rPr>
        <w:t>控股股东南方银</w:t>
      </w:r>
      <w:r>
        <w:rPr>
          <w:w w:val="100"/>
          <w:sz w:val="22"/>
          <w:szCs w:val="22"/>
        </w:rPr>
        <w:t> </w:t>
      </w:r>
      <w:r>
        <w:rPr>
          <w:spacing w:val="2"/>
          <w:w w:val="95"/>
          <w:sz w:val="22"/>
          <w:szCs w:val="22"/>
        </w:rPr>
        <w:t>谷科技有限公司董事、</w:t>
      </w:r>
      <w:r>
        <w:rPr>
          <w:spacing w:val="2"/>
          <w:w w:val="95"/>
        </w:rPr>
        <w:t>富国基金管理有限公司营销中心总经理、华金证券珠海横琴证券营业部总经理、</w:t>
      </w:r>
      <w:r>
        <w:rPr>
          <w:spacing w:val="52"/>
          <w:w w:val="95"/>
        </w:rPr>
        <w:t> </w:t>
      </w:r>
      <w:r>
        <w:rPr>
          <w:spacing w:val="52"/>
          <w:w w:val="95"/>
        </w:rPr>
      </w:r>
      <w:r>
        <w:rPr/>
        <w:t>珠海和诚智益资本管理有限公司总经理，现任公司董事、副总经理。</w:t>
      </w:r>
    </w:p>
    <w:p>
      <w:pPr>
        <w:pStyle w:val="BodyText"/>
        <w:spacing w:line="273" w:lineRule="auto" w:before="16"/>
        <w:ind w:right="1135" w:firstLine="420"/>
        <w:jc w:val="both"/>
      </w:pPr>
      <w:r>
        <w:rPr/>
        <w:t>王</w:t>
      </w:r>
      <w:r>
        <w:rPr>
          <w:spacing w:val="-17"/>
        </w:rPr>
        <w:t> </w:t>
      </w:r>
      <w:r>
        <w:rPr>
          <w:spacing w:val="2"/>
        </w:rPr>
        <w:t>辉先生：1976年生，中国国籍，无境外永久居留权，厦门大学企业管理系毕业。曾任职于中国电</w:t>
      </w:r>
      <w:r>
        <w:rPr>
          <w:w w:val="99"/>
        </w:rPr>
        <w:t> </w:t>
      </w:r>
      <w:r>
        <w:rPr/>
        <w:t>信浙江分公司、中国移动杭州分公司，现任公司董事、台州市金银楼珠宝钟表有限公司总经理。</w:t>
      </w:r>
    </w:p>
    <w:p>
      <w:pPr>
        <w:pStyle w:val="BodyText"/>
        <w:spacing w:line="273" w:lineRule="auto"/>
        <w:ind w:right="1130" w:firstLine="420"/>
        <w:jc w:val="both"/>
      </w:pPr>
      <w:r>
        <w:rPr>
          <w:w w:val="95"/>
        </w:rPr>
        <w:t>罗守生先生：1957年生，中国国籍，无境外永久居留权，研究生学历，教授级高级工程师，拥有全国</w:t>
      </w:r>
      <w:r>
        <w:rPr>
          <w:spacing w:val="-97"/>
          <w:w w:val="95"/>
        </w:rPr>
        <w:t> </w:t>
      </w:r>
      <w:r>
        <w:rPr>
          <w:spacing w:val="-97"/>
          <w:w w:val="95"/>
        </w:rPr>
      </w:r>
      <w:r>
        <w:rPr>
          <w:w w:val="95"/>
        </w:rPr>
        <w:t>工程总承包项目经理证书。曾任东华工程科技股份有限公司董事、董事会秘书、总法律顾问，现任安徽华</w:t>
      </w:r>
      <w:r>
        <w:rPr>
          <w:spacing w:val="40"/>
          <w:w w:val="95"/>
        </w:rPr>
        <w:t> </w:t>
      </w:r>
      <w:r>
        <w:rPr>
          <w:spacing w:val="40"/>
          <w:w w:val="95"/>
        </w:rPr>
      </w:r>
      <w:r>
        <w:rPr/>
        <w:t>信国际控股股份有限公司独立董事、安徽合力股份有限公司独立董事和本公司独立董事。</w:t>
      </w:r>
    </w:p>
    <w:p>
      <w:pPr>
        <w:pStyle w:val="BodyText"/>
        <w:spacing w:line="273" w:lineRule="auto"/>
        <w:ind w:right="1130" w:firstLine="420"/>
        <w:jc w:val="both"/>
      </w:pPr>
      <w:r>
        <w:rPr>
          <w:w w:val="95"/>
        </w:rPr>
        <w:t>伍利娜女士：1972年生，中国国籍，无境外永久居留权，博士研究生。现任北京大学光华管理学院会</w:t>
      </w:r>
      <w:r>
        <w:rPr>
          <w:spacing w:val="-96"/>
          <w:w w:val="95"/>
        </w:rPr>
        <w:t> </w:t>
      </w:r>
      <w:r>
        <w:rPr>
          <w:spacing w:val="-96"/>
          <w:w w:val="95"/>
        </w:rPr>
      </w:r>
      <w:r>
        <w:rPr>
          <w:w w:val="95"/>
        </w:rPr>
        <w:t>计系副教授、博士生导师、中国中金财富证券有限公司独立董事、北京荣之联科技股份有限公司独立董事</w:t>
      </w:r>
      <w:r>
        <w:rPr>
          <w:spacing w:val="40"/>
          <w:w w:val="95"/>
        </w:rPr>
        <w:t> </w:t>
      </w:r>
      <w:r>
        <w:rPr>
          <w:spacing w:val="40"/>
          <w:w w:val="95"/>
        </w:rPr>
      </w:r>
      <w:r>
        <w:rPr/>
        <w:t>和本公司独立董事。</w:t>
      </w:r>
    </w:p>
    <w:p>
      <w:pPr>
        <w:pStyle w:val="BodyText"/>
        <w:spacing w:line="273" w:lineRule="auto"/>
        <w:ind w:right="1130" w:firstLine="420"/>
        <w:jc w:val="both"/>
      </w:pPr>
      <w:r>
        <w:rPr/>
        <w:t>周</w:t>
      </w:r>
      <w:r>
        <w:rPr>
          <w:spacing w:val="-16"/>
        </w:rPr>
        <w:t> </w:t>
      </w:r>
      <w:r>
        <w:rPr>
          <w:spacing w:val="2"/>
        </w:rPr>
        <w:t>艳女士：1974年生，中国国籍，无境外永久居留权，硕士研究生，拥有注册会计师及律师资格证</w:t>
      </w:r>
      <w:r>
        <w:rPr>
          <w:w w:val="99"/>
        </w:rPr>
        <w:t> </w:t>
      </w:r>
      <w:r>
        <w:rPr>
          <w:w w:val="95"/>
        </w:rPr>
        <w:t>书。曾担任甘肃国芳工贸（集团）股份有限公司独立董事、梦百合家居科技股份有限公司董事，现任上海</w:t>
      </w:r>
      <w:r>
        <w:rPr>
          <w:spacing w:val="43"/>
          <w:w w:val="95"/>
        </w:rPr>
        <w:t> </w:t>
      </w:r>
      <w:r>
        <w:rPr>
          <w:spacing w:val="43"/>
          <w:w w:val="95"/>
        </w:rPr>
      </w:r>
      <w:r>
        <w:rPr>
          <w:w w:val="95"/>
        </w:rPr>
        <w:t>绿河投资有限公司合伙人及风控负责人、苏州聚晟太阳能科技股份有限公司董事、吉林奥来德光电材料股</w:t>
      </w:r>
      <w:r>
        <w:rPr>
          <w:spacing w:val="37"/>
          <w:w w:val="95"/>
        </w:rPr>
        <w:t> </w:t>
      </w:r>
      <w:r>
        <w:rPr>
          <w:spacing w:val="37"/>
          <w:w w:val="95"/>
        </w:rPr>
      </w:r>
      <w:r>
        <w:rPr/>
        <w:t>份有限公司董事、鼎诚人寿保险有限责任公司董事和本公司独立董事。</w:t>
      </w:r>
    </w:p>
    <w:p>
      <w:pPr>
        <w:pStyle w:val="Heading5"/>
        <w:spacing w:line="240" w:lineRule="auto" w:before="7"/>
        <w:ind w:left="532" w:right="2127"/>
        <w:jc w:val="left"/>
        <w:rPr>
          <w:b w:val="0"/>
          <w:bCs w:val="0"/>
        </w:rPr>
      </w:pPr>
      <w:r>
        <w:rPr/>
        <w:t>（二）监事会成员</w:t>
      </w:r>
      <w:r>
        <w:rPr>
          <w:b w:val="0"/>
          <w:bCs w:val="0"/>
        </w:rPr>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b/>
          <w:bCs/>
          <w:sz w:val="19"/>
          <w:szCs w:val="19"/>
        </w:rPr>
      </w:pPr>
    </w:p>
    <w:p>
      <w:pPr>
        <w:pStyle w:val="BodyText"/>
        <w:spacing w:line="273" w:lineRule="auto" w:before="34"/>
        <w:ind w:right="0" w:firstLine="420"/>
        <w:jc w:val="left"/>
      </w:pPr>
      <w:r>
        <w:rPr>
          <w:spacing w:val="-3"/>
        </w:rPr>
        <w:t>袁照云先生：1968年生，中国国籍，无境外永久居留权，硕士研究生。曾任职于雅致集成房屋（集团）</w:t>
      </w:r>
      <w:r>
        <w:rPr>
          <w:w w:val="99"/>
        </w:rPr>
        <w:t> </w:t>
      </w:r>
      <w:r>
        <w:rPr/>
        <w:t>股份有限公司、广东东方盛世可再生能源产业基金管理有限公司，现任公司监事会主席。</w:t>
      </w:r>
    </w:p>
    <w:p>
      <w:pPr>
        <w:pStyle w:val="BodyText"/>
        <w:spacing w:line="273" w:lineRule="auto"/>
        <w:ind w:right="1130" w:firstLine="420"/>
        <w:jc w:val="both"/>
      </w:pPr>
      <w:r>
        <w:rPr>
          <w:w w:val="95"/>
        </w:rPr>
        <w:t>陈延风先生：1964年生，中国国籍，无境外永久居留权，本科学历，高级经济师。曾任本公司董事会</w:t>
      </w:r>
      <w:r>
        <w:rPr>
          <w:spacing w:val="-97"/>
          <w:w w:val="95"/>
        </w:rPr>
        <w:t> </w:t>
      </w:r>
      <w:r>
        <w:rPr>
          <w:spacing w:val="-97"/>
          <w:w w:val="95"/>
        </w:rPr>
      </w:r>
      <w:r>
        <w:rPr/>
        <w:t>办公室主任、证券事务代表，现任本公司监事、行政部经理。</w:t>
      </w:r>
    </w:p>
    <w:p>
      <w:pPr>
        <w:pStyle w:val="BodyText"/>
        <w:spacing w:line="273" w:lineRule="auto" w:before="46"/>
        <w:ind w:right="1130" w:firstLine="420"/>
        <w:jc w:val="both"/>
      </w:pPr>
      <w:r>
        <w:rPr>
          <w:w w:val="95"/>
        </w:rPr>
        <w:t>马晶晶女士：1983年生，中国国籍，无境外永久居留权，本科学历。曾任公司项目管理部职员，现任</w:t>
      </w:r>
      <w:r>
        <w:rPr>
          <w:spacing w:val="-97"/>
          <w:w w:val="95"/>
        </w:rPr>
        <w:t> </w:t>
      </w:r>
      <w:r>
        <w:rPr>
          <w:spacing w:val="-97"/>
          <w:w w:val="95"/>
        </w:rPr>
      </w:r>
      <w:r>
        <w:rPr/>
        <w:t>公司职工代表监事、党支部书记、项目管理部经理。</w:t>
      </w:r>
    </w:p>
    <w:p>
      <w:pPr>
        <w:pStyle w:val="Heading5"/>
        <w:spacing w:line="240" w:lineRule="auto" w:before="48"/>
        <w:ind w:left="532" w:right="2127"/>
        <w:jc w:val="left"/>
        <w:rPr>
          <w:b w:val="0"/>
          <w:bCs w:val="0"/>
        </w:rPr>
      </w:pPr>
      <w:r>
        <w:rPr/>
        <w:t>（三）高级管理人员</w:t>
      </w:r>
      <w:r>
        <w:rPr>
          <w:b w:val="0"/>
          <w:bCs w:val="0"/>
        </w:rPr>
      </w:r>
    </w:p>
    <w:p>
      <w:pPr>
        <w:pStyle w:val="BodyText"/>
        <w:spacing w:line="273" w:lineRule="auto" w:before="37"/>
        <w:ind w:right="1130" w:firstLine="420"/>
        <w:jc w:val="both"/>
      </w:pPr>
      <w:r>
        <w:rPr/>
        <w:t>廖</w:t>
      </w:r>
      <w:r>
        <w:rPr>
          <w:spacing w:val="-16"/>
        </w:rPr>
        <w:t> </w:t>
      </w:r>
      <w:r>
        <w:rPr>
          <w:spacing w:val="2"/>
        </w:rPr>
        <w:t>凯先生：1977年生，中国国籍，无境外永久居留权，本科学历。曾任职于公司控股股东南方银谷</w:t>
      </w:r>
      <w:r>
        <w:rPr>
          <w:w w:val="99"/>
        </w:rPr>
        <w:t> </w:t>
      </w:r>
      <w:r>
        <w:rPr>
          <w:w w:val="95"/>
        </w:rPr>
        <w:t>科技有限公司、深圳桑达房地产开发有限公司、招商局地产控股股份有限公司、深圳市龙光地产股份有限</w:t>
      </w:r>
      <w:r>
        <w:rPr>
          <w:spacing w:val="40"/>
          <w:w w:val="95"/>
        </w:rPr>
        <w:t> </w:t>
      </w:r>
      <w:r>
        <w:rPr>
          <w:spacing w:val="40"/>
          <w:w w:val="95"/>
        </w:rPr>
      </w:r>
      <w:r>
        <w:rPr>
          <w:w w:val="95"/>
        </w:rPr>
        <w:t>公司，现任公司董事、董事长、总经理、烟台华东电子软件技术有限公司董事、烟台华东电子科技有限公</w:t>
      </w:r>
      <w:r>
        <w:rPr>
          <w:spacing w:val="44"/>
          <w:w w:val="95"/>
        </w:rPr>
        <w:t> </w:t>
      </w:r>
      <w:r>
        <w:rPr>
          <w:spacing w:val="44"/>
          <w:w w:val="95"/>
        </w:rPr>
      </w:r>
      <w:r>
        <w:rPr/>
        <w:t>司董事、安徽汉高信息科技有限公司董事、安徽行云天下科技有限公司董事。</w:t>
      </w:r>
    </w:p>
    <w:p>
      <w:pPr>
        <w:pStyle w:val="BodyText"/>
        <w:spacing w:line="273" w:lineRule="auto"/>
        <w:ind w:right="1135" w:firstLine="420"/>
        <w:jc w:val="both"/>
      </w:pPr>
      <w:r>
        <w:rPr/>
        <w:t>孙</w:t>
      </w:r>
      <w:r>
        <w:rPr>
          <w:spacing w:val="-17"/>
        </w:rPr>
        <w:t> </w:t>
      </w:r>
      <w:r>
        <w:rPr>
          <w:spacing w:val="2"/>
        </w:rPr>
        <w:t>胜先生：1971年生，中国国籍，无境外永久居留权，本科学历，工程师。曾任本公司职工代表监</w:t>
      </w:r>
      <w:r>
        <w:rPr>
          <w:w w:val="99"/>
        </w:rPr>
        <w:t> </w:t>
      </w:r>
      <w:r>
        <w:rPr/>
        <w:t>事、董事，现任本公司副总经理、安徽汉高信息科技有限公司执行监事。</w:t>
      </w:r>
    </w:p>
    <w:p>
      <w:pPr>
        <w:pStyle w:val="BodyText"/>
        <w:spacing w:line="273" w:lineRule="auto"/>
        <w:ind w:right="1135" w:firstLine="420"/>
        <w:jc w:val="both"/>
      </w:pPr>
      <w:r>
        <w:rPr/>
        <w:t>孔</w:t>
      </w:r>
      <w:r>
        <w:rPr>
          <w:spacing w:val="-17"/>
        </w:rPr>
        <w:t> </w:t>
      </w:r>
      <w:r>
        <w:rPr>
          <w:spacing w:val="2"/>
        </w:rPr>
        <w:t>梅女士：1969年生，中国国籍，无境外永久居留权，大专学历。曾任安徽皖通科技发展有限公司</w:t>
      </w:r>
      <w:r>
        <w:rPr>
          <w:w w:val="99"/>
        </w:rPr>
        <w:t> </w:t>
      </w:r>
      <w:r>
        <w:rPr/>
        <w:t>总经理助理，现任本公司副总经理、子公司安徽皖通城市智能交通科技有限公司董事长。</w:t>
      </w:r>
    </w:p>
    <w:p>
      <w:pPr>
        <w:pStyle w:val="BodyText"/>
        <w:spacing w:line="273" w:lineRule="auto"/>
        <w:ind w:right="1130" w:firstLine="420"/>
        <w:jc w:val="both"/>
      </w:pPr>
      <w:r>
        <w:rPr>
          <w:w w:val="95"/>
        </w:rPr>
        <w:t>卢玉平先生：1985年生，中国国籍，无境外永久居留权，本科学历，中国注册会计师协会会员（非执</w:t>
      </w:r>
      <w:r>
        <w:rPr>
          <w:w w:val="99"/>
        </w:rPr>
        <w:t> 业）。曾任华普天健会计师事务所（特殊普通合伙）审计职务，本公司财务部经理，现任本公司财务负责</w:t>
      </w:r>
      <w:r>
        <w:rPr>
          <w:spacing w:val="-94"/>
          <w:w w:val="99"/>
        </w:rPr>
        <w:t> </w:t>
      </w:r>
      <w:r>
        <w:rPr>
          <w:spacing w:val="-94"/>
          <w:w w:val="99"/>
        </w:rPr>
      </w:r>
      <w:r>
        <w:rPr>
          <w:w w:val="95"/>
        </w:rPr>
        <w:t>人、子公司重庆皖通科技有限责任公司董事、安徽行云天下科技有限公司监事、成都赛英科技有限公司董   </w:t>
      </w:r>
      <w:r>
        <w:rPr>
          <w:spacing w:val="40"/>
          <w:w w:val="95"/>
        </w:rPr>
        <w:t> </w:t>
      </w:r>
      <w:r>
        <w:rPr>
          <w:spacing w:val="40"/>
          <w:w w:val="95"/>
        </w:rPr>
      </w:r>
      <w:r>
        <w:rPr/>
        <w:t>事。</w:t>
      </w:r>
    </w:p>
    <w:p>
      <w:pPr>
        <w:pStyle w:val="BodyText"/>
        <w:spacing w:line="273" w:lineRule="auto"/>
        <w:ind w:right="1025" w:firstLine="420"/>
        <w:jc w:val="left"/>
      </w:pPr>
      <w:r>
        <w:rPr>
          <w:spacing w:val="2"/>
        </w:rPr>
        <w:t>潘大圣先生：1979年生，中国国籍，无境外永久居留权，工商管理硕士，高级工程师。2002年7月至</w:t>
      </w:r>
      <w:r>
        <w:rPr>
          <w:w w:val="99"/>
        </w:rPr>
        <w:t> </w:t>
      </w:r>
      <w:r>
        <w:rPr/>
        <w:t>今在公司任职，曾任公司交通工程事业部下商务部经理、公司董事会办公室主任、证券事务代表。现任本</w:t>
      </w:r>
      <w:r>
        <w:rPr>
          <w:w w:val="99"/>
        </w:rPr>
        <w:t> </w:t>
      </w:r>
      <w:r>
        <w:rPr>
          <w:spacing w:val="-3"/>
        </w:rPr>
        <w:t>公司副总经理、董事会秘书、安徽皖通城市智能交通科技有限公司董事、重庆皖通科技有限责任公司董事、</w:t>
      </w:r>
      <w:r>
        <w:rPr>
          <w:w w:val="99"/>
        </w:rPr>
        <w:t> </w:t>
      </w:r>
      <w:r>
        <w:rPr/>
        <w:t>武汉宏途科技有限公司董事、成都赛英科技有限公司董事。</w:t>
      </w:r>
    </w:p>
    <w:p>
      <w:pPr>
        <w:pStyle w:val="BodyText"/>
        <w:spacing w:line="273" w:lineRule="auto"/>
        <w:ind w:right="1112" w:firstLine="420"/>
        <w:jc w:val="both"/>
      </w:pPr>
      <w:r>
        <w:rPr>
          <w:w w:val="95"/>
        </w:rPr>
        <w:t>汪博涵先生：1984年生，中国国籍，无境外永久居留权，理学学士。曾任职于南方基金、东方证券，</w:t>
      </w:r>
      <w:r>
        <w:rPr>
          <w:spacing w:val="-79"/>
          <w:w w:val="95"/>
        </w:rPr>
        <w:t> </w:t>
      </w:r>
      <w:r>
        <w:rPr>
          <w:spacing w:val="-79"/>
          <w:w w:val="95"/>
        </w:rPr>
      </w:r>
      <w:r>
        <w:rPr>
          <w:w w:val="95"/>
        </w:rPr>
        <w:t>历任南方银谷科技有限公司高级副总裁，现任本公司副总经理、烟台华东电子软件技术有限公司董事、烟</w:t>
      </w:r>
      <w:r>
        <w:rPr>
          <w:spacing w:val="43"/>
          <w:w w:val="95"/>
        </w:rPr>
        <w:t> </w:t>
      </w:r>
      <w:r>
        <w:rPr>
          <w:spacing w:val="43"/>
          <w:w w:val="95"/>
        </w:rPr>
      </w:r>
      <w:r>
        <w:rPr/>
        <w:t>台华东电子科技有限公司董事、安徽汉高信息科技有限公司董事、南方银谷科技有限公司董事。</w:t>
      </w:r>
    </w:p>
    <w:p>
      <w:pPr>
        <w:pStyle w:val="BodyText"/>
        <w:spacing w:line="264" w:lineRule="auto" w:before="1"/>
        <w:ind w:right="1130" w:firstLine="420"/>
        <w:jc w:val="both"/>
      </w:pPr>
      <w:r>
        <w:rPr/>
        <w:t>甄</w:t>
      </w:r>
      <w:r>
        <w:rPr>
          <w:spacing w:val="-3"/>
        </w:rPr>
        <w:t> </w:t>
      </w:r>
      <w:r>
        <w:rPr/>
        <w:t>峰先生：1973年生，中国国籍，无境外永久居留权，本科学历，工学学士。曾任</w:t>
      </w:r>
      <w:r>
        <w:rPr>
          <w:sz w:val="22"/>
          <w:szCs w:val="22"/>
        </w:rPr>
        <w:t>控股股东南方银</w:t>
      </w:r>
      <w:r>
        <w:rPr>
          <w:w w:val="100"/>
          <w:sz w:val="22"/>
          <w:szCs w:val="22"/>
        </w:rPr>
        <w:t> </w:t>
      </w:r>
      <w:r>
        <w:rPr>
          <w:spacing w:val="2"/>
          <w:w w:val="95"/>
          <w:sz w:val="22"/>
          <w:szCs w:val="22"/>
        </w:rPr>
        <w:t>谷科技有限公司董事、</w:t>
      </w:r>
      <w:r>
        <w:rPr>
          <w:spacing w:val="2"/>
          <w:w w:val="95"/>
        </w:rPr>
        <w:t>富国基金管理有限公司营销中心总经理、华金证券珠海横琴证券营业部总经理、</w:t>
      </w:r>
      <w:r>
        <w:rPr>
          <w:spacing w:val="52"/>
          <w:w w:val="95"/>
        </w:rPr>
        <w:t> </w:t>
      </w:r>
      <w:r>
        <w:rPr>
          <w:spacing w:val="52"/>
          <w:w w:val="95"/>
        </w:rPr>
      </w:r>
      <w:r>
        <w:rPr/>
        <w:t>珠海和诚智益资本管理有限公司总经理，现任公司董事、副总经理。</w:t>
      </w:r>
    </w:p>
    <w:p>
      <w:pPr>
        <w:spacing w:before="82"/>
        <w:ind w:left="112" w:right="212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7"/>
        <w:gridCol w:w="2530"/>
        <w:gridCol w:w="1635"/>
        <w:gridCol w:w="1350"/>
        <w:gridCol w:w="1351"/>
        <w:gridCol w:w="148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12" w:right="153"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42" w:right="180"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8" w:right="10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甄峰</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李臻</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上海执古资产管理有限公司</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3"/>
                <w:sz w:val="18"/>
                <w:szCs w:val="18"/>
              </w:rPr>
              <w:t>执行董事、总经理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17"/>
        <w:gridCol w:w="2530"/>
        <w:gridCol w:w="1635"/>
        <w:gridCol w:w="1350"/>
        <w:gridCol w:w="1351"/>
        <w:gridCol w:w="1485"/>
      </w:tblGrid>
      <w:tr>
        <w:trPr>
          <w:trHeight w:val="36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2530"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3"/>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3"/>
        <w:gridCol w:w="3024"/>
        <w:gridCol w:w="1345"/>
        <w:gridCol w:w="1229"/>
        <w:gridCol w:w="1360"/>
        <w:gridCol w:w="1376"/>
      </w:tblGrid>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2" w:right="159"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6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6" w:right="126"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9"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1"/>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国信银谷科技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深圳银谷建科网络有限公司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深圳市花生科技有限公司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安徽华信国际控股股份有限公司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安徽合力股份有限公司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伍利娜</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四川兰德斯达铝业有限公司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伍利娜</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中国中金财富证券有限公司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伍利娜</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上海绿河投资有限公司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合伙人及风控 负责人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苏州聚晟太阳能科技股份有限公司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吉林奥来德光电材料股份有限公司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鼎诚人寿保险有限责任公司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上海典博投资顾问有限公司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上海万云会宇教育科技有限公司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广东电视地铁传播有限公司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33"/>
        <w:gridCol w:w="3024"/>
        <w:gridCol w:w="1345"/>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上海东方银谷科技有限公司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上海南方银谷科技有限公司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深圳市花生科技有限公司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新余银谷投资管理有限公司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国信银谷科技（深圳）有限公司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深圳市银谷科技有限公司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深圳花生互娱科技有限公司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北京花生文化传媒有限公司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执行董事、经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北京北部银谷科技有限公司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深圳柚子投资有限公司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深圳银谷建科网络有限公司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深圳市银谷动力投资发展有限公司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天津津铁银谷科技发展有限公司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广州乐途网络科技有限公司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广州乐途传媒有限公司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新余坚果资产管理中心（有限合伙）</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花生谷（上海）数据服务有限公司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广州银谷网络科技有限公司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33"/>
        <w:gridCol w:w="3024"/>
        <w:gridCol w:w="1345"/>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深圳市花生兄弟网络科技有限公司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深圳市花生金石网络科技有限公司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上海车鑫信息科技有限公司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深圳市视博威科技有限公司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安徽银古网络科技有限公司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209"/>
              <w:jc w:val="left"/>
              <w:rPr>
                <w:rFonts w:ascii="宋体" w:hAnsi="宋体" w:cs="宋体" w:eastAsia="宋体" w:hint="default"/>
                <w:sz w:val="18"/>
                <w:szCs w:val="18"/>
              </w:rPr>
            </w:pPr>
            <w:r>
              <w:rPr>
                <w:rFonts w:ascii="宋体" w:hAnsi="宋体" w:cs="宋体" w:eastAsia="宋体" w:hint="default"/>
                <w:sz w:val="18"/>
                <w:szCs w:val="18"/>
              </w:rPr>
              <w:t>深圳哈德斯投资合伙企业（有限合 伙）</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深圳市车鑫信息科技有限公司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深圳太坦投资合伙企业（有限合伙）</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执行合伙事务 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深圳市旗舰广告有限公司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甄峰</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深圳前海泓麟资本管理有限公司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台州市路桥金银楼珠宝有限公司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台州市艺术空间珠宝有限公司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台州市路桥艺术空间珠宝有限公司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台州市椒江金银楼珠宝有限公司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浙江亚米食品有限公司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北京北部银谷科技有限公司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新余银谷投资管理有限公司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33"/>
        <w:gridCol w:w="3024"/>
        <w:gridCol w:w="1345"/>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上海东方银谷科技有限公司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深圳市优加生活网络科技有限公司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5"/>
                <w:sz w:val="18"/>
                <w:szCs w:val="18"/>
              </w:rPr>
              <w:t>中亿融投商业保理（福建）有限公司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50"/>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上海车鑫信息科技有限公司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深圳市车鑫信息科技有限公司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广州乐途传媒有限公司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深圳市视博威科技有限公司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花生谷（上海）数据服务有限公司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1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2"/>
          <w:szCs w:val="12"/>
        </w:rPr>
      </w:pPr>
    </w:p>
    <w:p>
      <w:pPr>
        <w:pStyle w:val="BodyText"/>
        <w:spacing w:line="408" w:lineRule="auto" w:before="0"/>
        <w:ind w:right="1025" w:firstLine="420"/>
        <w:jc w:val="left"/>
      </w:pPr>
      <w:r>
        <w:rPr/>
        <w:t>公司董事会薪酬与考核委员会负责对高级管理人员的工作能力、履职情况、责任目标完成情况等进行</w:t>
      </w:r>
      <w:r>
        <w:rPr>
          <w:w w:val="99"/>
        </w:rPr>
        <w:t> </w:t>
      </w:r>
      <w:r>
        <w:rPr/>
        <w:t>综合考评，制定薪酬计划或方案报董事会审批，独立董事每年对董事、监事及高级管理人员的薪酬情况进</w:t>
      </w:r>
      <w:r>
        <w:rPr>
          <w:w w:val="99"/>
        </w:rPr>
        <w:t> </w:t>
      </w:r>
      <w:r>
        <w:rPr/>
        <w:t>行核查，并发表独立意见。公司建立了完善的董事、监事及高级管理人员绩效考评体系和薪酬制度，根据</w:t>
      </w:r>
      <w:r>
        <w:rPr>
          <w:w w:val="99"/>
        </w:rPr>
        <w:t> </w:t>
      </w:r>
      <w:r>
        <w:rPr>
          <w:spacing w:val="-3"/>
        </w:rPr>
        <w:t>经营业绩、管理绩效、个人绩效等指标考核情况，确定相关人员薪酬，通过持续强化激励措施和考核管理，</w:t>
      </w:r>
      <w:r>
        <w:rPr>
          <w:w w:val="99"/>
        </w:rPr>
        <w:t> </w:t>
      </w:r>
      <w:r>
        <w:rPr/>
        <w:t>提升企业管理水平、运营能力和经济效益。</w:t>
      </w:r>
    </w:p>
    <w:p>
      <w:pPr>
        <w:spacing w:before="33"/>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77"/>
        <w:gridCol w:w="2040"/>
        <w:gridCol w:w="1170"/>
        <w:gridCol w:w="1183"/>
        <w:gridCol w:w="1367"/>
        <w:gridCol w:w="1367"/>
        <w:gridCol w:w="1367"/>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董事、董事长、总经理</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李臻</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10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22"/>
          <w:pgSz w:w="11910" w:h="16840"/>
          <w:pgMar w:footer="1016" w:header="919" w:top="1120" w:bottom="1200" w:left="1020" w:right="0"/>
          <w:pgNumType w:start="8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077"/>
        <w:gridCol w:w="2040"/>
        <w:gridCol w:w="1170"/>
        <w:gridCol w:w="1183"/>
        <w:gridCol w:w="1367"/>
        <w:gridCol w:w="1367"/>
        <w:gridCol w:w="1367"/>
      </w:tblGrid>
      <w:tr>
        <w:trPr>
          <w:trHeight w:val="402" w:hRule="exact"/>
        </w:trPr>
        <w:tc>
          <w:tcPr>
            <w:tcW w:w="1077" w:type="dxa"/>
            <w:tcBorders>
              <w:top w:val="nil" w:sz="6" w:space="0" w:color="auto"/>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总经理、董事长</w:t>
            </w:r>
          </w:p>
        </w:tc>
        <w:tc>
          <w:tcPr>
            <w:tcW w:w="1170"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伍利娜</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甄峰</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76</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vMerge/>
            <w:tcBorders>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0"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赵梦</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监事、监事会主席</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袁照云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监事、监事会主席</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陈延风</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马晶晶</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竺进</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529.25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4613" w:space="4305"/>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196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34" w:right="134" w:firstLine="26"/>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7"/>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0" w:lineRule="auto" w:before="19"/>
              <w:ind w:left="248" w:right="223"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9"/>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9" w:right="159"/>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34" w:right="134" w:firstLine="26"/>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9"/>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71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9.87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86,800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34,720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52,080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865"/>
        <w:gridCol w:w="866"/>
        <w:gridCol w:w="873"/>
        <w:gridCol w:w="870"/>
        <w:gridCol w:w="870"/>
        <w:gridCol w:w="869"/>
        <w:gridCol w:w="870"/>
        <w:gridCol w:w="870"/>
        <w:gridCol w:w="870"/>
        <w:gridCol w:w="870"/>
        <w:gridCol w:w="870"/>
      </w:tblGrid>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1"/>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44,640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1"/>
              <w:jc w:val="left"/>
              <w:rPr>
                <w:rFonts w:ascii="宋体" w:hAnsi="宋体" w:cs="宋体" w:eastAsia="宋体" w:hint="default"/>
                <w:sz w:val="18"/>
                <w:szCs w:val="18"/>
              </w:rPr>
            </w:pPr>
            <w:r>
              <w:rPr>
                <w:rFonts w:ascii="宋体" w:hAnsi="宋体" w:cs="宋体" w:eastAsia="宋体" w:hint="default"/>
                <w:sz w:val="18"/>
                <w:szCs w:val="18"/>
              </w:rPr>
              <w:t>财务负 责人</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40,920</w:t>
            </w:r>
          </w:p>
        </w:tc>
      </w:tr>
      <w:tr>
        <w:trPr>
          <w:trHeight w:val="356" w:hRule="exact"/>
        </w:trPr>
        <w:tc>
          <w:tcPr>
            <w:tcW w:w="865"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07"/>
              <w:jc w:val="center"/>
              <w:rPr>
                <w:rFonts w:ascii="宋体" w:hAnsi="宋体" w:cs="宋体" w:eastAsia="宋体" w:hint="default"/>
                <w:sz w:val="18"/>
                <w:szCs w:val="18"/>
              </w:rPr>
            </w:pPr>
            <w:r>
              <w:rPr>
                <w:rFonts w:ascii="宋体" w:hAnsi="宋体" w:cs="宋体" w:eastAsia="宋体" w:hint="default"/>
                <w:sz w:val="18"/>
                <w:szCs w:val="18"/>
              </w:rPr>
              <w:t>副总经</w:t>
            </w:r>
          </w:p>
        </w:tc>
        <w:tc>
          <w:tcPr>
            <w:tcW w:w="873"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pacing w:val="-17"/>
                <w:sz w:val="18"/>
                <w:szCs w:val="18"/>
              </w:rPr>
              <w:t>理、董事</w:t>
            </w:r>
          </w:p>
        </w:tc>
        <w:tc>
          <w:tcPr>
            <w:tcW w:w="87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870"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9.87</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49,600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19,840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4.98</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60" w:right="0"/>
              <w:jc w:val="center"/>
              <w:rPr>
                <w:rFonts w:ascii="Times New Roman" w:hAnsi="Times New Roman" w:cs="Times New Roman" w:eastAsia="Times New Roman" w:hint="default"/>
                <w:sz w:val="18"/>
                <w:szCs w:val="18"/>
              </w:rPr>
            </w:pPr>
            <w:r>
              <w:rPr>
                <w:rFonts w:ascii="Times New Roman"/>
                <w:sz w:val="18"/>
              </w:rPr>
              <w:t>29,760</w:t>
            </w:r>
          </w:p>
        </w:tc>
      </w:tr>
      <w:tr>
        <w:trPr>
          <w:trHeight w:val="353" w:hRule="exact"/>
        </w:trPr>
        <w:tc>
          <w:tcPr>
            <w:tcW w:w="865"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7"/>
              <w:jc w:val="center"/>
              <w:rPr>
                <w:rFonts w:ascii="宋体" w:hAnsi="宋体" w:cs="宋体" w:eastAsia="宋体" w:hint="default"/>
                <w:sz w:val="18"/>
                <w:szCs w:val="18"/>
              </w:rPr>
            </w:pPr>
            <w:r>
              <w:rPr>
                <w:rFonts w:ascii="宋体" w:hAnsi="宋体" w:cs="宋体" w:eastAsia="宋体" w:hint="default"/>
                <w:sz w:val="18"/>
                <w:szCs w:val="18"/>
              </w:rPr>
              <w:t>会秘书</w:t>
            </w:r>
          </w:p>
        </w:tc>
        <w:tc>
          <w:tcPr>
            <w:tcW w:w="873"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279,000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3"/>
                <w:sz w:val="18"/>
              </w:rPr>
              <w:t>111,600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167,400</w:t>
            </w:r>
          </w:p>
        </w:tc>
      </w:tr>
      <w:tr>
        <w:trPr>
          <w:trHeight w:val="361" w:hRule="exact"/>
        </w:trPr>
        <w:tc>
          <w:tcPr>
            <w:tcW w:w="17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32" w:type="dxa"/>
            <w:gridSpan w:val="9"/>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日授予高级管理人员孙胜先生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股限制性股票，报告期内解锁股份数</w:t>
            </w:r>
          </w:p>
        </w:tc>
      </w:tr>
      <w:tr>
        <w:trPr>
          <w:trHeight w:val="312"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2D2D2"/>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34,720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股，未解锁股份数量为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52,080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授予高级管理人员孔梅女士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股限制性股票，</w:t>
            </w:r>
          </w:p>
        </w:tc>
      </w:tr>
      <w:tr>
        <w:trPr>
          <w:trHeight w:val="624"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报告期内解锁股份数量为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股，未解锁股份数量为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44,640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授予高级管理人员卢玉平先生</w:t>
            </w:r>
          </w:p>
          <w:p>
            <w:pPr>
              <w:pStyle w:val="TableParagraph"/>
              <w:spacing w:line="240" w:lineRule="auto" w:before="6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68,200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股限制性股票，报告期内解锁股份数量为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27,280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股，未解锁股份数量为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40,920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授予高级</w:t>
            </w:r>
          </w:p>
        </w:tc>
      </w:tr>
      <w:tr>
        <w:trPr>
          <w:trHeight w:val="312"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2D2D2"/>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管理人员潘大圣先生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49,600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股限制性股票，报告期内解锁股份数量为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19,840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股，未解锁股份数量</w:t>
            </w:r>
          </w:p>
        </w:tc>
      </w:tr>
      <w:tr>
        <w:trPr>
          <w:trHeight w:val="353" w:hRule="exact"/>
        </w:trPr>
        <w:tc>
          <w:tcPr>
            <w:tcW w:w="17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32" w:type="dxa"/>
            <w:gridSpan w:val="9"/>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0"/>
        <w:rPr>
          <w:rFonts w:ascii="宋体" w:hAnsi="宋体" w:cs="宋体" w:eastAsia="宋体" w:hint="default"/>
          <w:sz w:val="18"/>
          <w:szCs w:val="18"/>
        </w:rPr>
      </w:pPr>
    </w:p>
    <w:p>
      <w:pPr>
        <w:pStyle w:val="Heading4"/>
        <w:spacing w:line="240" w:lineRule="auto" w:before="26"/>
        <w:ind w:right="2127"/>
        <w:jc w:val="left"/>
        <w:rPr>
          <w:b w:val="0"/>
          <w:bCs w:val="0"/>
        </w:rPr>
      </w:pPr>
      <w:bookmarkStart w:name="五、公司员工情况" w:id="131"/>
      <w:bookmarkEnd w:id="13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1,475</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902</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374</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1,475</w:t>
            </w:r>
          </w:p>
        </w:tc>
      </w:tr>
    </w:tbl>
    <w:p>
      <w:pPr>
        <w:spacing w:line="240" w:lineRule="auto" w:before="3"/>
        <w:rPr>
          <w:rFonts w:ascii="宋体" w:hAnsi="宋体" w:cs="宋体" w:eastAsia="宋体" w:hint="default"/>
          <w:b/>
          <w:bCs/>
          <w:sz w:val="19"/>
          <w:szCs w:val="19"/>
        </w:rPr>
      </w:pPr>
    </w:p>
    <w:p>
      <w:pPr>
        <w:pStyle w:val="Heading5"/>
        <w:spacing w:line="240" w:lineRule="auto" w:before="34"/>
        <w:ind w:right="2127"/>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12" w:firstLine="420"/>
        <w:jc w:val="both"/>
      </w:pPr>
      <w:r>
        <w:rPr>
          <w:spacing w:val="-5"/>
          <w:w w:val="99"/>
        </w:rPr>
        <w:t>公司根据《劳动法》、《劳动合同法》等相关法律法规和《公司章程》的规定，结合公司实际情况，以</w:t>
      </w:r>
      <w:r>
        <w:rPr>
          <w:w w:val="99"/>
        </w:rPr>
        <w:t> </w:t>
      </w:r>
      <w:r>
        <w:rPr>
          <w:w w:val="95"/>
        </w:rPr>
        <w:t>岗位职责为基础、工作绩效为尺度，体现效率优先兼顾公平、按劳分配的原则，逐步建立了与市场经济相</w:t>
      </w:r>
      <w:r>
        <w:rPr>
          <w:spacing w:val="42"/>
          <w:w w:val="95"/>
        </w:rPr>
        <w:t> </w:t>
      </w:r>
      <w:r>
        <w:rPr>
          <w:spacing w:val="42"/>
          <w:w w:val="95"/>
        </w:rPr>
      </w:r>
      <w:r>
        <w:rPr>
          <w:w w:val="95"/>
        </w:rPr>
        <w:t>适应的企业内部分配激励机制，建立了具有公平性、行业内具有竞争力的薪酬福利制度--《安徽皖通科技</w:t>
      </w:r>
      <w:r>
        <w:rPr>
          <w:spacing w:val="42"/>
          <w:w w:val="95"/>
        </w:rPr>
        <w:t> </w:t>
      </w:r>
      <w:r>
        <w:rPr>
          <w:spacing w:val="42"/>
          <w:w w:val="95"/>
        </w:rPr>
      </w:r>
      <w:r>
        <w:rPr>
          <w:w w:val="99"/>
        </w:rPr>
        <w:t>股份有限公司薪资管理制度》。按照工作职能，公司岗位分为五个系列：管理系列、管理辅助系列、市场</w:t>
      </w:r>
      <w:r>
        <w:rPr>
          <w:spacing w:val="-95"/>
          <w:w w:val="99"/>
        </w:rPr>
        <w:t> </w:t>
      </w:r>
      <w:r>
        <w:rPr>
          <w:spacing w:val="-95"/>
          <w:w w:val="99"/>
        </w:rPr>
      </w:r>
      <w:r>
        <w:rPr>
          <w:w w:val="95"/>
        </w:rPr>
        <w:t>销售系列、软件设计系列和项目管理系列；每个系列设定为初级、中级、高级等多个级别，对应不同的薪</w:t>
      </w:r>
      <w:r>
        <w:rPr>
          <w:spacing w:val="44"/>
          <w:w w:val="95"/>
        </w:rPr>
        <w:t> </w:t>
      </w:r>
      <w:r>
        <w:rPr>
          <w:spacing w:val="44"/>
          <w:w w:val="95"/>
        </w:rPr>
      </w:r>
      <w:r>
        <w:rPr>
          <w:w w:val="95"/>
        </w:rPr>
        <w:t>资档位。公司实行动态的薪酬调整和管理制度，探索多元化的激励机制，激发全员积极性和主观能动性，</w:t>
      </w:r>
      <w:r>
        <w:rPr>
          <w:spacing w:val="61"/>
          <w:w w:val="95"/>
        </w:rPr>
        <w:t> </w:t>
      </w:r>
      <w:r>
        <w:rPr>
          <w:spacing w:val="61"/>
          <w:w w:val="95"/>
        </w:rPr>
      </w:r>
      <w:r>
        <w:rPr/>
        <w:t>努力实现员工能力、贡献与价值分配的统一。</w:t>
      </w:r>
    </w:p>
    <w:p>
      <w:pPr>
        <w:spacing w:before="33"/>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10"/>
        <w:rPr>
          <w:rFonts w:ascii="宋体" w:hAnsi="宋体" w:cs="宋体" w:eastAsia="宋体" w:hint="default"/>
          <w:sz w:val="25"/>
          <w:szCs w:val="25"/>
        </w:rPr>
      </w:pPr>
    </w:p>
    <w:p>
      <w:pPr>
        <w:pStyle w:val="Heading5"/>
        <w:spacing w:line="240" w:lineRule="auto"/>
        <w:ind w:right="2127"/>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8" w:firstLine="420"/>
        <w:jc w:val="both"/>
      </w:pPr>
      <w:r>
        <w:rPr>
          <w:spacing w:val="-3"/>
        </w:rPr>
        <w:t>公司持续健全完善企业培训体系，推进员工职业生涯规划工作，畅通各类人才的职业发展和晋升通道，</w:t>
      </w:r>
      <w:r>
        <w:rPr>
          <w:w w:val="99"/>
        </w:rPr>
        <w:t> </w:t>
      </w:r>
      <w:r>
        <w:rPr>
          <w:spacing w:val="-3"/>
        </w:rPr>
        <w:t>开展以集中培训、个人自学等多种形式、多种渠道、多种载体的岗位培训，提升员工专业技能和职业资格。</w:t>
      </w:r>
    </w:p>
    <w:p>
      <w:pPr>
        <w:pStyle w:val="BodyText"/>
        <w:spacing w:line="408" w:lineRule="auto" w:before="46"/>
        <w:ind w:right="1130" w:firstLine="420"/>
        <w:jc w:val="both"/>
      </w:pPr>
      <w:r>
        <w:rPr>
          <w:w w:val="95"/>
        </w:rPr>
        <w:t>公司针对不同对象制定个性化、多元化的专项培训计划：新员工入职培训、岗位技能培训、继续教育</w:t>
      </w:r>
      <w:r>
        <w:rPr>
          <w:spacing w:val="-97"/>
          <w:w w:val="95"/>
        </w:rPr>
        <w:t> </w:t>
      </w:r>
      <w:r>
        <w:rPr>
          <w:spacing w:val="-97"/>
          <w:w w:val="95"/>
        </w:rPr>
      </w:r>
      <w:r>
        <w:rPr/>
        <w:t>培训、管理能力培训等，全面拓展员工视野，提升员工综合素质，为企业发展提供坚实的人才保障。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5"/>
        <w:spacing w:line="240" w:lineRule="auto"/>
        <w:ind w:right="2127"/>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1020"/>
        <w:jc w:val="center"/>
        <w:rPr>
          <w:b w:val="0"/>
          <w:bCs w:val="0"/>
        </w:rPr>
      </w:pPr>
      <w:bookmarkStart w:name="第十节公司治理" w:id="136"/>
      <w:bookmarkEnd w:id="136"/>
      <w:r>
        <w:rPr>
          <w:b w:val="0"/>
          <w:bCs w:val="0"/>
        </w:rPr>
      </w:r>
      <w:bookmarkStart w:name="_bookmark9"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both"/>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92" w:right="0"/>
        <w:jc w:val="left"/>
      </w:pPr>
      <w:r>
        <w:rPr>
          <w:spacing w:val="4"/>
          <w:w w:val="99"/>
        </w:rPr>
        <w:t>公</w:t>
      </w:r>
      <w:r>
        <w:rPr>
          <w:spacing w:val="2"/>
          <w:w w:val="99"/>
        </w:rPr>
        <w:t>司</w:t>
      </w:r>
      <w:r>
        <w:rPr>
          <w:spacing w:val="4"/>
          <w:w w:val="99"/>
        </w:rPr>
        <w:t>坚持</w:t>
      </w:r>
      <w:r>
        <w:rPr>
          <w:spacing w:val="2"/>
          <w:w w:val="99"/>
        </w:rPr>
        <w:t>严</w:t>
      </w:r>
      <w:r>
        <w:rPr>
          <w:spacing w:val="4"/>
          <w:w w:val="99"/>
        </w:rPr>
        <w:t>格按</w:t>
      </w:r>
      <w:r>
        <w:rPr>
          <w:spacing w:val="2"/>
          <w:w w:val="99"/>
        </w:rPr>
        <w:t>照</w:t>
      </w:r>
      <w:r>
        <w:rPr>
          <w:spacing w:val="4"/>
          <w:w w:val="99"/>
        </w:rPr>
        <w:t>《公</w:t>
      </w:r>
      <w:r>
        <w:rPr>
          <w:spacing w:val="2"/>
          <w:w w:val="99"/>
        </w:rPr>
        <w:t>司</w:t>
      </w:r>
      <w:r>
        <w:rPr>
          <w:spacing w:val="4"/>
          <w:w w:val="99"/>
        </w:rPr>
        <w:t>法</w:t>
      </w:r>
      <w:r>
        <w:rPr>
          <w:spacing w:val="-101"/>
          <w:w w:val="99"/>
        </w:rPr>
        <w:t>》、</w:t>
      </w:r>
      <w:r>
        <w:rPr>
          <w:spacing w:val="4"/>
          <w:w w:val="99"/>
        </w:rPr>
        <w:t>《</w:t>
      </w:r>
      <w:r>
        <w:rPr>
          <w:spacing w:val="2"/>
          <w:w w:val="99"/>
        </w:rPr>
        <w:t>证</w:t>
      </w:r>
      <w:r>
        <w:rPr>
          <w:spacing w:val="4"/>
          <w:w w:val="99"/>
        </w:rPr>
        <w:t>券法</w:t>
      </w:r>
      <w:r>
        <w:rPr>
          <w:spacing w:val="-104"/>
          <w:w w:val="99"/>
        </w:rPr>
        <w:t>》</w:t>
      </w:r>
      <w:r>
        <w:rPr>
          <w:spacing w:val="-101"/>
          <w:w w:val="99"/>
        </w:rPr>
        <w:t>、</w:t>
      </w:r>
      <w:r>
        <w:rPr>
          <w:spacing w:val="4"/>
          <w:w w:val="99"/>
        </w:rPr>
        <w:t>《</w:t>
      </w:r>
      <w:r>
        <w:rPr>
          <w:spacing w:val="2"/>
          <w:w w:val="99"/>
        </w:rPr>
        <w:t>上</w:t>
      </w:r>
      <w:r>
        <w:rPr>
          <w:spacing w:val="4"/>
          <w:w w:val="99"/>
        </w:rPr>
        <w:t>市公</w:t>
      </w:r>
      <w:r>
        <w:rPr>
          <w:spacing w:val="2"/>
          <w:w w:val="99"/>
        </w:rPr>
        <w:t>司</w:t>
      </w:r>
      <w:r>
        <w:rPr>
          <w:spacing w:val="4"/>
          <w:w w:val="99"/>
        </w:rPr>
        <w:t>治理</w:t>
      </w:r>
      <w:r>
        <w:rPr>
          <w:spacing w:val="2"/>
          <w:w w:val="99"/>
        </w:rPr>
        <w:t>准</w:t>
      </w:r>
      <w:r>
        <w:rPr>
          <w:spacing w:val="4"/>
          <w:w w:val="99"/>
        </w:rPr>
        <w:t>则</w:t>
      </w:r>
      <w:r>
        <w:rPr>
          <w:spacing w:val="-101"/>
          <w:w w:val="99"/>
        </w:rPr>
        <w:t>》、</w:t>
      </w:r>
      <w:r>
        <w:rPr>
          <w:spacing w:val="4"/>
          <w:w w:val="99"/>
        </w:rPr>
        <w:t>《</w:t>
      </w:r>
      <w:r>
        <w:rPr>
          <w:spacing w:val="2"/>
          <w:w w:val="99"/>
        </w:rPr>
        <w:t>深</w:t>
      </w:r>
      <w:r>
        <w:rPr>
          <w:spacing w:val="4"/>
          <w:w w:val="99"/>
        </w:rPr>
        <w:t>圳证</w:t>
      </w:r>
      <w:r>
        <w:rPr>
          <w:spacing w:val="2"/>
          <w:w w:val="99"/>
        </w:rPr>
        <w:t>券</w:t>
      </w:r>
      <w:r>
        <w:rPr>
          <w:spacing w:val="4"/>
          <w:w w:val="99"/>
        </w:rPr>
        <w:t>交易</w:t>
      </w:r>
      <w:r>
        <w:rPr>
          <w:spacing w:val="2"/>
          <w:w w:val="99"/>
        </w:rPr>
        <w:t>所</w:t>
      </w:r>
      <w:r>
        <w:rPr>
          <w:spacing w:val="4"/>
          <w:w w:val="99"/>
        </w:rPr>
        <w:t>股票</w:t>
      </w:r>
      <w:r>
        <w:rPr>
          <w:spacing w:val="2"/>
          <w:w w:val="99"/>
        </w:rPr>
        <w:t>上</w:t>
      </w:r>
      <w:r>
        <w:rPr>
          <w:spacing w:val="4"/>
          <w:w w:val="99"/>
        </w:rPr>
        <w:t>市规则</w:t>
      </w:r>
      <w:r>
        <w:rPr>
          <w:spacing w:val="-104"/>
          <w:w w:val="99"/>
        </w:rPr>
        <w:t>》</w:t>
      </w:r>
      <w:r>
        <w:rPr>
          <w:w w:val="99"/>
        </w:rPr>
        <w:t>、</w:t>
      </w:r>
      <w:r>
        <w:rPr/>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w w:val="95"/>
        </w:rPr>
        <w:t>《深圳证券交易所上市公司规范运作指引》等法律法规和规范性文件要求，不断巩固和完善股东大会、董</w:t>
      </w:r>
      <w:r>
        <w:rPr>
          <w:spacing w:val="43"/>
          <w:w w:val="95"/>
        </w:rPr>
        <w:t> </w:t>
      </w:r>
      <w:r>
        <w:rPr>
          <w:spacing w:val="43"/>
          <w:w w:val="95"/>
        </w:rPr>
      </w:r>
      <w:r>
        <w:rPr>
          <w:w w:val="95"/>
        </w:rPr>
        <w:t>事会、监事会和经理层之间权责明确、相互制衡的公司法人治理结构。报告期内，公司持续巩固公司治理</w:t>
      </w:r>
      <w:r>
        <w:rPr>
          <w:spacing w:val="45"/>
          <w:w w:val="95"/>
        </w:rPr>
        <w:t> </w:t>
      </w:r>
      <w:r>
        <w:rPr>
          <w:spacing w:val="45"/>
          <w:w w:val="95"/>
        </w:rPr>
      </w:r>
      <w:r>
        <w:rPr>
          <w:w w:val="95"/>
        </w:rPr>
        <w:t>专项活动成果，充分发挥董事会各专门委员会在公司治理机制中的作用。截至报告期末，公司法人治理结</w:t>
      </w:r>
      <w:r>
        <w:rPr>
          <w:spacing w:val="40"/>
          <w:w w:val="95"/>
        </w:rPr>
        <w:t> </w:t>
      </w:r>
      <w:r>
        <w:rPr>
          <w:spacing w:val="40"/>
          <w:w w:val="95"/>
        </w:rPr>
      </w:r>
      <w:r>
        <w:rPr/>
        <w:t>构的实际情况符合中国证监会、深圳证券交易所有关上市公司治理的规范性文件要求。</w:t>
      </w:r>
    </w:p>
    <w:p>
      <w:pPr>
        <w:pStyle w:val="BodyText"/>
        <w:spacing w:line="240" w:lineRule="auto" w:before="87"/>
        <w:ind w:left="532" w:right="2127"/>
        <w:jc w:val="left"/>
      </w:pPr>
      <w:r>
        <w:rPr/>
        <w:t>报告期内，公司建立和修订的治理制度：</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32"/>
        <w:gridCol w:w="6990"/>
        <w:gridCol w:w="1432"/>
      </w:tblGrid>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披露载体</w:t>
            </w:r>
          </w:p>
        </w:tc>
      </w:tr>
      <w:tr>
        <w:trPr>
          <w:trHeight w:val="42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2019-04-23</w:t>
            </w:r>
          </w:p>
        </w:tc>
        <w:tc>
          <w:tcPr>
            <w:tcW w:w="6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安徽皖通科技股份有限公司章程（2019年4月）</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408" w:lineRule="auto" w:before="64"/>
        <w:ind w:left="532" w:right="0"/>
        <w:jc w:val="left"/>
      </w:pPr>
      <w:r>
        <w:rPr/>
        <w:t>（一）关于股东与股东大会</w:t>
      </w:r>
      <w:r>
        <w:rPr>
          <w:w w:val="99"/>
        </w:rPr>
        <w:t> </w:t>
      </w:r>
      <w:r>
        <w:rPr>
          <w:w w:val="95"/>
        </w:rPr>
        <w:t>报告期内，公司坚持严格按照《公司章程》和《公司股东大会议事规则》的要求，规范股东大会的召</w:t>
      </w:r>
      <w:r>
        <w:rPr/>
      </w:r>
    </w:p>
    <w:p>
      <w:pPr>
        <w:pStyle w:val="BodyText"/>
        <w:spacing w:line="408" w:lineRule="auto" w:before="46"/>
        <w:ind w:right="0"/>
        <w:jc w:val="left"/>
      </w:pPr>
      <w:r>
        <w:rPr>
          <w:w w:val="95"/>
        </w:rPr>
        <w:t>集、召开及议事程序，确保全体股东尤其是中小股东享有平等地位，充分行使股东权利。公司股东大会均</w:t>
      </w:r>
      <w:r>
        <w:rPr>
          <w:spacing w:val="40"/>
          <w:w w:val="95"/>
        </w:rPr>
        <w:t> </w:t>
      </w:r>
      <w:r>
        <w:rPr>
          <w:spacing w:val="40"/>
          <w:w w:val="95"/>
        </w:rPr>
      </w:r>
      <w:r>
        <w:rPr/>
        <w:t>有律师出席见证，并出具法律意见书。公司的重大决策均由股东大会依法作出决议。</w:t>
      </w:r>
    </w:p>
    <w:p>
      <w:pPr>
        <w:pStyle w:val="BodyText"/>
        <w:spacing w:line="408" w:lineRule="auto" w:before="46"/>
        <w:ind w:left="532" w:right="0"/>
        <w:jc w:val="left"/>
      </w:pPr>
      <w:r>
        <w:rPr/>
        <w:t>(二）关于控股股东</w:t>
      </w:r>
      <w:r>
        <w:rPr>
          <w:w w:val="99"/>
        </w:rPr>
        <w:t> </w:t>
      </w:r>
      <w:r>
        <w:rPr>
          <w:w w:val="95"/>
        </w:rPr>
        <w:t>2019年3月5日，公司原控股股东、实际控制人王中胜、杨世宁、杨新子等三人将合计持有约占公司总</w:t>
      </w:r>
      <w:r>
        <w:rPr/>
      </w:r>
    </w:p>
    <w:p>
      <w:pPr>
        <w:pStyle w:val="BodyText"/>
        <w:spacing w:line="408" w:lineRule="auto" w:before="46"/>
        <w:ind w:right="1130"/>
        <w:jc w:val="both"/>
      </w:pPr>
      <w:r>
        <w:rPr>
          <w:w w:val="99"/>
        </w:rPr>
        <w:t>股本比例为5%的股份对应的表决权委托给南方银谷科技有限公司（以下简称“南方银谷”）行使事项经四</w:t>
      </w:r>
      <w:r>
        <w:rPr>
          <w:spacing w:val="-95"/>
          <w:w w:val="99"/>
        </w:rPr>
        <w:t> </w:t>
      </w:r>
      <w:r>
        <w:rPr>
          <w:spacing w:val="-95"/>
          <w:w w:val="99"/>
        </w:rPr>
      </w:r>
      <w:r>
        <w:rPr>
          <w:w w:val="95"/>
        </w:rPr>
        <w:t>川省国防科学技术工业办公室和国家国防科技工业局批准同意，公司控股股东变更为南方银谷，实际控制</w:t>
      </w:r>
      <w:r>
        <w:rPr>
          <w:spacing w:val="37"/>
          <w:w w:val="95"/>
        </w:rPr>
        <w:t> </w:t>
      </w:r>
      <w:r>
        <w:rPr>
          <w:spacing w:val="37"/>
          <w:w w:val="95"/>
        </w:rPr>
      </w:r>
      <w:r>
        <w:rPr>
          <w:w w:val="95"/>
        </w:rPr>
        <w:t>人变更为南方银谷的实际控制人周发展。公司控股股东能严格规范自己的行为，依法行使股东权利，承担</w:t>
      </w:r>
      <w:r>
        <w:rPr>
          <w:spacing w:val="43"/>
          <w:w w:val="95"/>
        </w:rPr>
        <w:t> </w:t>
      </w:r>
      <w:r>
        <w:rPr>
          <w:spacing w:val="43"/>
          <w:w w:val="95"/>
        </w:rPr>
      </w:r>
      <w:r>
        <w:rPr>
          <w:w w:val="95"/>
        </w:rPr>
        <w:t>股东义务，不存在超越股东大会直接或间接干预公司的决策和经营活动的情形，不存在控股股东违规占用</w:t>
      </w:r>
      <w:r>
        <w:rPr>
          <w:spacing w:val="40"/>
          <w:w w:val="95"/>
        </w:rPr>
        <w:t> </w:t>
      </w:r>
      <w:r>
        <w:rPr>
          <w:spacing w:val="40"/>
          <w:w w:val="95"/>
        </w:rPr>
      </w:r>
      <w:r>
        <w:rPr/>
        <w:t>公司资金的情形，也不存在损害公司及其他股东合法权益的情形。</w:t>
      </w:r>
    </w:p>
    <w:p>
      <w:pPr>
        <w:pStyle w:val="BodyText"/>
        <w:spacing w:line="408" w:lineRule="auto" w:before="46"/>
        <w:ind w:left="532" w:right="0"/>
        <w:jc w:val="left"/>
      </w:pPr>
      <w:r>
        <w:rPr/>
        <w:t>（三）关于董事与董事会</w:t>
      </w:r>
      <w:r>
        <w:rPr>
          <w:w w:val="99"/>
        </w:rPr>
        <w:t> </w:t>
      </w:r>
      <w:r>
        <w:rPr>
          <w:spacing w:val="-12"/>
          <w:w w:val="99"/>
        </w:rPr>
        <w:t>公司董事会严格按照有关法律法规和《公司章程》、《公司董事会议事规则》、《公司独立董事议事规则》</w:t>
      </w:r>
      <w:r>
        <w:rPr>
          <w:spacing w:val="-12"/>
        </w:rPr>
      </w:r>
    </w:p>
    <w:p>
      <w:pPr>
        <w:pStyle w:val="BodyText"/>
        <w:spacing w:line="408" w:lineRule="auto" w:before="46"/>
        <w:ind w:right="1025"/>
        <w:jc w:val="left"/>
      </w:pPr>
      <w:r>
        <w:rPr/>
        <w:t>的规定行使职权、履行职责，切实执行股东大会决议。报告期内，董事会成员谨慎、忠实、勤勉地履行职</w:t>
      </w:r>
      <w:r>
        <w:rPr>
          <w:w w:val="99"/>
        </w:rPr>
        <w:t> </w:t>
      </w:r>
      <w:r>
        <w:rPr>
          <w:spacing w:val="-3"/>
        </w:rPr>
        <w:t>责，积极出席董事会会议，对公司定期报告签署书面确认意见，保证公司所披露的信息真实、准确和完整；</w:t>
      </w:r>
      <w:r>
        <w:rPr>
          <w:w w:val="99"/>
        </w:rPr>
        <w:t> </w:t>
      </w:r>
      <w:r>
        <w:rPr>
          <w:spacing w:val="-5"/>
          <w:w w:val="99"/>
        </w:rPr>
        <w:t>2019年11月，根据《公司法》、《公司章程》有关规定，公司顺利完成董事会换届选举工作，董事会战略委</w:t>
      </w:r>
      <w:r>
        <w:rPr>
          <w:spacing w:val="-58"/>
          <w:w w:val="99"/>
        </w:rPr>
        <w:t> </w:t>
      </w:r>
      <w:r>
        <w:rPr>
          <w:spacing w:val="-58"/>
          <w:w w:val="99"/>
        </w:rPr>
      </w:r>
      <w:r>
        <w:rPr/>
        <w:t>员会、薪酬与考核委员会、提名委员会和审计委员会随之调整完成。董事会各专门委员会按照实施细则履</w:t>
      </w:r>
    </w:p>
    <w:p>
      <w:pPr>
        <w:spacing w:after="0" w:line="408" w:lineRule="auto"/>
        <w:jc w:val="left"/>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0"/>
        <w:jc w:val="left"/>
      </w:pPr>
      <w:r>
        <w:rPr>
          <w:w w:val="95"/>
        </w:rPr>
        <w:t>行职责，针对年报审计、聘任外部审计机构、内部控制、高级管理人员年度薪酬考核结果、提名董事及高</w:t>
      </w:r>
      <w:r>
        <w:rPr>
          <w:spacing w:val="46"/>
          <w:w w:val="95"/>
        </w:rPr>
        <w:t> </w:t>
      </w:r>
      <w:r>
        <w:rPr>
          <w:spacing w:val="46"/>
          <w:w w:val="95"/>
        </w:rPr>
      </w:r>
      <w:r>
        <w:rPr/>
        <w:t>级管理人员人选等事项出具专项意见。</w:t>
      </w:r>
    </w:p>
    <w:p>
      <w:pPr>
        <w:pStyle w:val="BodyText"/>
        <w:spacing w:line="408" w:lineRule="auto" w:before="46"/>
        <w:ind w:left="532" w:right="0"/>
        <w:jc w:val="left"/>
      </w:pPr>
      <w:r>
        <w:rPr/>
        <w:t>（四）关于监事与监事会</w:t>
      </w:r>
      <w:r>
        <w:rPr>
          <w:w w:val="99"/>
        </w:rPr>
        <w:t> </w:t>
      </w:r>
      <w:r>
        <w:rPr>
          <w:spacing w:val="-5"/>
          <w:w w:val="99"/>
        </w:rPr>
        <w:t>公司监事会严格按照《公司章程》、《公司监事会议事规则》的规定，本着对全体股东负责的态度履行</w:t>
      </w:r>
      <w:r>
        <w:rPr>
          <w:spacing w:val="-5"/>
        </w:rPr>
      </w:r>
    </w:p>
    <w:p>
      <w:pPr>
        <w:pStyle w:val="BodyText"/>
        <w:spacing w:line="408" w:lineRule="auto" w:before="46"/>
        <w:ind w:right="1028"/>
        <w:jc w:val="left"/>
      </w:pPr>
      <w:r>
        <w:rPr>
          <w:spacing w:val="-3"/>
        </w:rPr>
        <w:t>职责。11月公司顺利完成监事会换届选举工作，监事会对公司依法运作、内部控制、定期报告编制与披露、</w:t>
      </w:r>
      <w:r>
        <w:rPr>
          <w:w w:val="99"/>
        </w:rPr>
        <w:t> </w:t>
      </w:r>
      <w:r>
        <w:rPr/>
        <w:t>公司财务状况和董事、高级管理人员职务行为及其他重大事项进行有效监督。报告期内，公司监事列席了</w:t>
      </w:r>
      <w:r>
        <w:rPr>
          <w:w w:val="99"/>
        </w:rPr>
        <w:t> </w:t>
      </w:r>
      <w:r>
        <w:rPr/>
        <w:t>董事会、股东大会会议。</w:t>
      </w:r>
    </w:p>
    <w:p>
      <w:pPr>
        <w:pStyle w:val="BodyText"/>
        <w:spacing w:line="408" w:lineRule="auto" w:before="46"/>
        <w:ind w:left="532" w:right="0"/>
        <w:jc w:val="left"/>
      </w:pPr>
      <w:r>
        <w:rPr/>
        <w:t>（五）关于信息披露与透明度</w:t>
      </w:r>
      <w:r>
        <w:rPr>
          <w:w w:val="99"/>
        </w:rPr>
        <w:t> </w:t>
      </w:r>
      <w:r>
        <w:rPr>
          <w:w w:val="95"/>
        </w:rPr>
        <w:t>公司严格按照《信息披露管理制度》相关规定，本着公平、公正、公开的原则，履行信息披露义务。</w:t>
      </w:r>
      <w:r>
        <w:rPr/>
      </w:r>
    </w:p>
    <w:p>
      <w:pPr>
        <w:pStyle w:val="BodyText"/>
        <w:spacing w:line="408" w:lineRule="auto" w:before="46"/>
        <w:ind w:right="0"/>
        <w:jc w:val="left"/>
      </w:pPr>
      <w:r>
        <w:rPr/>
        <w:t>公司董事会秘书为公司信息披露与投资者关系管理的主要负责人，协调公司与投资者的关系，建立投资者</w:t>
      </w:r>
      <w:r>
        <w:rPr>
          <w:w w:val="99"/>
        </w:rPr>
        <w:t> </w:t>
      </w:r>
      <w:r>
        <w:rPr>
          <w:spacing w:val="-3"/>
        </w:rPr>
        <w:t>专线，接待股东来访，回答投资者咨询，向投资者提供公司已披露的资料。报告期内，公司能真实、准确、</w:t>
      </w:r>
      <w:r>
        <w:rPr>
          <w:w w:val="99"/>
        </w:rPr>
        <w:t> </w:t>
      </w:r>
      <w:r>
        <w:rPr>
          <w:spacing w:val="2"/>
        </w:rPr>
        <w:t>完整、及时、公平地披露应披露的信息，没有选择性信息披露行为发生。全年共披露各类公告143篇次。</w:t>
      </w:r>
      <w:r>
        <w:rPr>
          <w:w w:val="99"/>
        </w:rPr>
        <w:t> </w:t>
      </w:r>
      <w:r>
        <w:rPr/>
        <w:t>主要涉及“三会”决议、发行股份购买资产并募集配套资金之非公开发行限售股份上市事宜、第一期员工</w:t>
      </w:r>
      <w:r>
        <w:rPr>
          <w:w w:val="99"/>
        </w:rPr>
        <w:t> </w:t>
      </w:r>
      <w:r>
        <w:rPr/>
        <w:t>持股计划股票出售完毕事宜、第一期限制性股票激励计划第一个解除限售期解除限售股份上市流通事宜、</w:t>
      </w:r>
      <w:r>
        <w:rPr>
          <w:w w:val="99"/>
        </w:rPr>
        <w:t> </w:t>
      </w:r>
      <w:r>
        <w:rPr/>
        <w:t>变更募集资金投资项目事宜、会计政策变更事宜等。</w:t>
      </w:r>
    </w:p>
    <w:p>
      <w:pPr>
        <w:pStyle w:val="BodyText"/>
        <w:spacing w:line="408" w:lineRule="auto" w:before="46"/>
        <w:ind w:left="532" w:right="0"/>
        <w:jc w:val="left"/>
      </w:pPr>
      <w:r>
        <w:rPr/>
        <w:t>（六）关于投资者关系管理</w:t>
      </w:r>
      <w:r>
        <w:rPr>
          <w:w w:val="99"/>
        </w:rPr>
        <w:t> </w:t>
      </w:r>
      <w:r>
        <w:rPr>
          <w:w w:val="95"/>
        </w:rPr>
        <w:t>公司不断按照《深圳证券交易所上市公司规范运作指引》及《公司接待和推广制度》等规范性文件规</w:t>
      </w:r>
      <w:r>
        <w:rPr/>
      </w:r>
    </w:p>
    <w:p>
      <w:pPr>
        <w:pStyle w:val="BodyText"/>
        <w:spacing w:line="408" w:lineRule="auto" w:before="46"/>
        <w:ind w:right="0"/>
        <w:jc w:val="left"/>
      </w:pPr>
      <w:r>
        <w:rPr>
          <w:w w:val="95"/>
        </w:rPr>
        <w:t>定，规范投资者关系活动。公司通过设立专门的投资者咨询电话、接待投资者来访和运用深交所投资者互</w:t>
      </w:r>
      <w:r>
        <w:rPr>
          <w:spacing w:val="40"/>
          <w:w w:val="95"/>
        </w:rPr>
        <w:t> </w:t>
      </w:r>
      <w:r>
        <w:rPr>
          <w:spacing w:val="40"/>
          <w:w w:val="95"/>
        </w:rPr>
      </w:r>
      <w:r>
        <w:rPr/>
        <w:t>动平台——“互动易”等多种方式，实现与投资者持续、有效沟通，促进了投资者对公司了解和认同。</w:t>
      </w:r>
    </w:p>
    <w:p>
      <w:pPr>
        <w:pStyle w:val="BodyText"/>
        <w:spacing w:line="408" w:lineRule="auto" w:before="46"/>
        <w:ind w:left="532" w:right="0"/>
        <w:jc w:val="left"/>
      </w:pPr>
      <w:r>
        <w:rPr/>
        <w:t>（七）关于绩效评价和激励约束机制</w:t>
      </w:r>
      <w:r>
        <w:rPr>
          <w:w w:val="99"/>
        </w:rPr>
        <w:t> </w:t>
      </w:r>
      <w:r>
        <w:rPr>
          <w:w w:val="95"/>
        </w:rPr>
        <w:t>公司建立和完善了公正、透明的高级管理人员绩效考评和激励机制，公司高级管理人员的聘任公开、</w:t>
      </w:r>
      <w:r>
        <w:rPr/>
      </w:r>
    </w:p>
    <w:p>
      <w:pPr>
        <w:pStyle w:val="BodyText"/>
        <w:spacing w:line="240" w:lineRule="auto" w:before="46"/>
        <w:ind w:right="0"/>
        <w:jc w:val="left"/>
      </w:pPr>
      <w:r>
        <w:rPr>
          <w:spacing w:val="-3"/>
        </w:rPr>
        <w:t>透明，符合法律法规的规定。董事会对报告期内高级管理人员按照年度经营计划制定的目标进行绩效考核。</w:t>
      </w:r>
    </w:p>
    <w:p>
      <w:pPr>
        <w:spacing w:line="240" w:lineRule="auto" w:before="10"/>
        <w:rPr>
          <w:rFonts w:ascii="宋体" w:hAnsi="宋体" w:cs="宋体" w:eastAsia="宋体" w:hint="default"/>
          <w:sz w:val="13"/>
          <w:szCs w:val="13"/>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7"/>
        <w:ind w:left="112" w:right="355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4"/>
        <w:spacing w:line="240" w:lineRule="auto"/>
        <w:ind w:right="2127"/>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w w:val="95"/>
        </w:rPr>
        <w:t>公司在业务、资产、人员、财务、机构等方面完全独立，具有完整的业务体系及面向市场的独立经营</w:t>
      </w:r>
      <w:r>
        <w:rPr>
          <w:w w:val="99"/>
        </w:rPr>
        <w:t> </w:t>
      </w:r>
      <w:r>
        <w:rPr/>
        <w:t>能力，具备完整的供应、生产、销售系统，能够独立承担责任和风险。</w:t>
      </w:r>
    </w:p>
    <w:p>
      <w:pPr>
        <w:pStyle w:val="Heading5"/>
        <w:spacing w:line="240" w:lineRule="auto" w:before="46"/>
        <w:ind w:left="324" w:right="2127"/>
        <w:jc w:val="left"/>
        <w:rPr>
          <w:b w:val="0"/>
          <w:bCs w:val="0"/>
        </w:rPr>
      </w:pPr>
      <w:r>
        <w:rPr/>
        <w:t>（一）业务独立情况</w:t>
      </w:r>
      <w:r>
        <w:rPr>
          <w:b w:val="0"/>
          <w:bCs w:val="0"/>
        </w:rPr>
      </w:r>
    </w:p>
    <w:p>
      <w:pPr>
        <w:spacing w:after="0" w:line="240" w:lineRule="auto"/>
        <w:jc w:val="left"/>
        <w:sectPr>
          <w:pgSz w:w="11910" w:h="16840"/>
          <w:pgMar w:header="919" w:footer="1016" w:top="1120" w:bottom="1200" w:left="1020" w:right="0"/>
        </w:sectPr>
      </w:pPr>
    </w:p>
    <w:p>
      <w:pPr>
        <w:spacing w:line="240" w:lineRule="auto" w:before="8"/>
        <w:rPr>
          <w:rFonts w:ascii="宋体" w:hAnsi="宋体" w:cs="宋体" w:eastAsia="宋体" w:hint="default"/>
          <w:b/>
          <w:bCs/>
          <w:sz w:val="25"/>
          <w:szCs w:val="25"/>
        </w:rPr>
      </w:pPr>
    </w:p>
    <w:p>
      <w:pPr>
        <w:pStyle w:val="BodyText"/>
        <w:spacing w:line="408" w:lineRule="auto" w:before="34"/>
        <w:ind w:right="0" w:firstLine="420"/>
        <w:jc w:val="left"/>
      </w:pPr>
      <w:r>
        <w:rPr>
          <w:w w:val="95"/>
        </w:rPr>
        <w:t>公司建立了符合现代企业制度要求的法人治理结构和内部组织结构，具有独立完整的业务及自主经营</w:t>
      </w:r>
      <w:r>
        <w:rPr>
          <w:w w:val="99"/>
        </w:rPr>
        <w:t> </w:t>
      </w:r>
      <w:r>
        <w:rPr/>
        <w:t>能力。公司在业务上与控股股东之间不存在竞争关系，也不存在对控股股东及其关联方的依赖关系。</w:t>
      </w:r>
    </w:p>
    <w:p>
      <w:pPr>
        <w:pStyle w:val="BodyText"/>
        <w:spacing w:line="408" w:lineRule="auto" w:before="46"/>
        <w:ind w:left="480" w:right="0" w:hanging="156"/>
        <w:jc w:val="left"/>
      </w:pPr>
      <w:r>
        <w:rPr>
          <w:rFonts w:ascii="宋体" w:hAnsi="宋体" w:cs="宋体" w:eastAsia="宋体" w:hint="default"/>
          <w:b/>
          <w:bCs/>
        </w:rPr>
        <w:t>（二）人员独立情况</w:t>
      </w:r>
      <w:r>
        <w:rPr>
          <w:rFonts w:ascii="宋体" w:hAnsi="宋体" w:cs="宋体" w:eastAsia="宋体" w:hint="default"/>
          <w:b/>
          <w:bCs/>
          <w:w w:val="99"/>
        </w:rPr>
        <w:t> </w:t>
      </w:r>
      <w:r>
        <w:rPr>
          <w:w w:val="95"/>
        </w:rPr>
        <w:t>公司拥有独立于控股股东、实际控制人及其关联方的员工队伍，公司的高级管理人员均专职在本公司</w:t>
      </w:r>
      <w:r>
        <w:rPr/>
      </w:r>
    </w:p>
    <w:p>
      <w:pPr>
        <w:pStyle w:val="BodyText"/>
        <w:spacing w:line="408" w:lineRule="auto" w:before="46"/>
        <w:ind w:right="0"/>
        <w:jc w:val="left"/>
      </w:pPr>
      <w:r>
        <w:rPr>
          <w:w w:val="95"/>
        </w:rPr>
        <w:t>任职并领取薪酬，均未在控股股东单位担任除董事、监事以外其他任何职务。公司的劳动、人事、工资报</w:t>
      </w:r>
      <w:r>
        <w:rPr>
          <w:spacing w:val="38"/>
          <w:w w:val="95"/>
        </w:rPr>
        <w:t> </w:t>
      </w:r>
      <w:r>
        <w:rPr>
          <w:spacing w:val="38"/>
          <w:w w:val="95"/>
        </w:rPr>
      </w:r>
      <w:r>
        <w:rPr/>
        <w:t>酬以及相应的社会保障独立管理，人员独立。</w:t>
      </w:r>
    </w:p>
    <w:p>
      <w:pPr>
        <w:pStyle w:val="BodyText"/>
        <w:spacing w:line="408" w:lineRule="auto" w:before="46"/>
        <w:ind w:left="532" w:right="0" w:hanging="209"/>
        <w:jc w:val="left"/>
      </w:pPr>
      <w:r>
        <w:rPr>
          <w:rFonts w:ascii="宋体" w:hAnsi="宋体" w:cs="宋体" w:eastAsia="宋体" w:hint="default"/>
          <w:b/>
          <w:bCs/>
        </w:rPr>
        <w:t>（三）机构独立情况</w:t>
      </w:r>
      <w:r>
        <w:rPr>
          <w:rFonts w:ascii="宋体" w:hAnsi="宋体" w:cs="宋体" w:eastAsia="宋体" w:hint="default"/>
          <w:b/>
          <w:bCs/>
          <w:w w:val="99"/>
        </w:rPr>
        <w:t> </w:t>
      </w:r>
      <w:r>
        <w:rPr>
          <w:w w:val="95"/>
        </w:rPr>
        <w:t>公司拥有健全的组织机构体系，董事会、监事会及其他内部机构独立运作，具有决策和经营管理的独</w:t>
      </w:r>
      <w:r>
        <w:rPr/>
      </w:r>
    </w:p>
    <w:p>
      <w:pPr>
        <w:pStyle w:val="BodyText"/>
        <w:spacing w:line="408" w:lineRule="auto" w:before="46"/>
        <w:ind w:right="0"/>
        <w:jc w:val="left"/>
      </w:pPr>
      <w:r>
        <w:rPr>
          <w:w w:val="95"/>
        </w:rPr>
        <w:t>立性。各部门按照规定的职责分工协作、独立运作，不存在合署办公的情况。公司管理层独立行使经营管</w:t>
      </w:r>
      <w:r>
        <w:rPr>
          <w:spacing w:val="38"/>
          <w:w w:val="95"/>
        </w:rPr>
        <w:t> </w:t>
      </w:r>
      <w:r>
        <w:rPr>
          <w:spacing w:val="38"/>
          <w:w w:val="95"/>
        </w:rPr>
      </w:r>
      <w:r>
        <w:rPr/>
        <w:t>理职权，与控股股东、实际控制人及其控制的其他企业不存在机构混同的情形。</w:t>
      </w:r>
    </w:p>
    <w:p>
      <w:pPr>
        <w:pStyle w:val="BodyText"/>
        <w:spacing w:line="408" w:lineRule="auto" w:before="46"/>
        <w:ind w:left="532" w:right="0" w:hanging="209"/>
        <w:jc w:val="left"/>
      </w:pPr>
      <w:r>
        <w:rPr>
          <w:rFonts w:ascii="宋体" w:hAnsi="宋体" w:cs="宋体" w:eastAsia="宋体" w:hint="default"/>
          <w:b/>
          <w:bCs/>
        </w:rPr>
        <w:t>（四）资产独立情况</w:t>
      </w:r>
      <w:r>
        <w:rPr>
          <w:rFonts w:ascii="宋体" w:hAnsi="宋体" w:cs="宋体" w:eastAsia="宋体" w:hint="default"/>
          <w:b/>
          <w:bCs/>
          <w:w w:val="99"/>
        </w:rPr>
        <w:t> </w:t>
      </w:r>
      <w:r>
        <w:rPr>
          <w:w w:val="95"/>
        </w:rPr>
        <w:t>公司资产权属清晰、独立完整，不存在被董事、监事、高级管理人员、控股股东、实际控制人及其关</w:t>
      </w:r>
      <w:r>
        <w:rPr/>
      </w:r>
    </w:p>
    <w:p>
      <w:pPr>
        <w:pStyle w:val="BodyText"/>
        <w:spacing w:line="240" w:lineRule="auto" w:before="46"/>
        <w:ind w:right="2127"/>
        <w:jc w:val="left"/>
      </w:pPr>
      <w:r>
        <w:rPr/>
        <w:t>联人占用或支配的情形。</w:t>
      </w:r>
    </w:p>
    <w:p>
      <w:pPr>
        <w:spacing w:line="240" w:lineRule="auto" w:before="10"/>
        <w:rPr>
          <w:rFonts w:ascii="宋体" w:hAnsi="宋体" w:cs="宋体" w:eastAsia="宋体" w:hint="default"/>
          <w:sz w:val="14"/>
          <w:szCs w:val="14"/>
        </w:rPr>
      </w:pPr>
    </w:p>
    <w:p>
      <w:pPr>
        <w:pStyle w:val="BodyText"/>
        <w:spacing w:line="408" w:lineRule="auto" w:before="0"/>
        <w:ind w:left="532" w:right="0" w:hanging="209"/>
        <w:jc w:val="left"/>
      </w:pPr>
      <w:r>
        <w:rPr>
          <w:rFonts w:ascii="宋体" w:hAnsi="宋体" w:cs="宋体" w:eastAsia="宋体" w:hint="default"/>
          <w:b/>
          <w:bCs/>
        </w:rPr>
        <w:t>（五）财务独立情况</w:t>
      </w:r>
      <w:r>
        <w:rPr>
          <w:rFonts w:ascii="宋体" w:hAnsi="宋体" w:cs="宋体" w:eastAsia="宋体" w:hint="default"/>
          <w:b/>
          <w:bCs/>
          <w:w w:val="99"/>
        </w:rPr>
        <w:t> </w:t>
      </w:r>
      <w:r>
        <w:rPr>
          <w:spacing w:val="2"/>
          <w:w w:val="95"/>
        </w:rPr>
        <w:t>公司按照《企业会计制度》等有关法规的要求，制定了规范、独立的财务会计制度,拥有独立的财务</w:t>
      </w:r>
      <w:r>
        <w:rPr>
          <w:spacing w:val="2"/>
        </w:rPr>
      </w:r>
    </w:p>
    <w:p>
      <w:pPr>
        <w:pStyle w:val="BodyText"/>
        <w:spacing w:line="240" w:lineRule="auto" w:before="46"/>
        <w:ind w:right="0"/>
        <w:jc w:val="left"/>
      </w:pPr>
      <w:r>
        <w:rPr>
          <w:spacing w:val="-3"/>
        </w:rPr>
        <w:t>管理部门和会计核算系统、独立的银行账户，独立进行财务决策，依法独立进行纳税申报和履行缴纳义务。</w:t>
      </w:r>
    </w:p>
    <w:p>
      <w:pPr>
        <w:spacing w:line="240" w:lineRule="auto" w:before="0"/>
        <w:rPr>
          <w:rFonts w:ascii="宋体" w:hAnsi="宋体" w:cs="宋体" w:eastAsia="宋体" w:hint="default"/>
          <w:sz w:val="20"/>
          <w:szCs w:val="20"/>
        </w:rPr>
      </w:pPr>
    </w:p>
    <w:p>
      <w:pPr>
        <w:pStyle w:val="Heading4"/>
        <w:spacing w:line="240" w:lineRule="auto" w:before="131"/>
        <w:ind w:right="2127"/>
        <w:jc w:val="left"/>
        <w:rPr>
          <w:b w:val="0"/>
          <w:bCs w:val="0"/>
        </w:rPr>
      </w:pPr>
      <w:bookmarkStart w:name="三、同业竞争情况" w:id="140"/>
      <w:bookmarkEnd w:id="140"/>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02"/>
              <w:jc w:val="both"/>
              <w:rPr>
                <w:rFonts w:ascii="宋体" w:hAnsi="宋体" w:cs="宋体" w:eastAsia="宋体" w:hint="default"/>
                <w:sz w:val="18"/>
                <w:szCs w:val="18"/>
              </w:rPr>
            </w:pPr>
            <w:r>
              <w:rPr>
                <w:rFonts w:ascii="宋体" w:hAnsi="宋体" w:cs="宋体" w:eastAsia="宋体" w:hint="default"/>
                <w:spacing w:val="-27"/>
                <w:sz w:val="18"/>
                <w:szCs w:val="18"/>
              </w:rPr>
              <w:t>《证券时报》、《中</w:t>
            </w:r>
            <w:r>
              <w:rPr>
                <w:rFonts w:ascii="宋体" w:hAnsi="宋体" w:cs="宋体" w:eastAsia="宋体" w:hint="default"/>
                <w:sz w:val="18"/>
                <w:szCs w:val="18"/>
              </w:rPr>
              <w:t> </w:t>
            </w:r>
            <w:r>
              <w:rPr>
                <w:rFonts w:ascii="宋体" w:hAnsi="宋体" w:cs="宋体" w:eastAsia="宋体" w:hint="default"/>
                <w:spacing w:val="-27"/>
                <w:sz w:val="18"/>
                <w:szCs w:val="18"/>
              </w:rPr>
              <w:t>国证券报》、《巨潮</w:t>
            </w:r>
            <w:r>
              <w:rPr>
                <w:rFonts w:ascii="宋体" w:hAnsi="宋体" w:cs="宋体" w:eastAsia="宋体" w:hint="default"/>
                <w:sz w:val="18"/>
                <w:szCs w:val="18"/>
              </w:rPr>
              <w:t> 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00"/>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2"/>
              <w:jc w:val="both"/>
              <w:rPr>
                <w:rFonts w:ascii="宋体" w:hAnsi="宋体" w:cs="宋体" w:eastAsia="宋体" w:hint="default"/>
                <w:sz w:val="18"/>
                <w:szCs w:val="18"/>
              </w:rPr>
            </w:pPr>
            <w:r>
              <w:rPr>
                <w:rFonts w:ascii="宋体" w:hAnsi="宋体" w:cs="宋体" w:eastAsia="宋体" w:hint="default"/>
                <w:spacing w:val="-27"/>
                <w:sz w:val="18"/>
                <w:szCs w:val="18"/>
              </w:rPr>
              <w:t>《证券时报》、《中</w:t>
            </w:r>
            <w:r>
              <w:rPr>
                <w:rFonts w:ascii="宋体" w:hAnsi="宋体" w:cs="宋体" w:eastAsia="宋体" w:hint="default"/>
                <w:sz w:val="18"/>
                <w:szCs w:val="18"/>
              </w:rPr>
              <w:t> </w:t>
            </w:r>
            <w:r>
              <w:rPr>
                <w:rFonts w:ascii="宋体" w:hAnsi="宋体" w:cs="宋体" w:eastAsia="宋体" w:hint="default"/>
                <w:spacing w:val="-27"/>
                <w:sz w:val="18"/>
                <w:szCs w:val="18"/>
              </w:rPr>
              <w:t>国证券报》、《巨潮</w:t>
            </w:r>
            <w:r>
              <w:rPr>
                <w:rFonts w:ascii="宋体" w:hAnsi="宋体" w:cs="宋体" w:eastAsia="宋体" w:hint="default"/>
                <w:sz w:val="18"/>
                <w:szCs w:val="18"/>
              </w:rPr>
              <w:t> 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02"/>
              <w:jc w:val="both"/>
              <w:rPr>
                <w:rFonts w:ascii="宋体" w:hAnsi="宋体" w:cs="宋体" w:eastAsia="宋体" w:hint="default"/>
                <w:sz w:val="18"/>
                <w:szCs w:val="18"/>
              </w:rPr>
            </w:pPr>
            <w:r>
              <w:rPr>
                <w:rFonts w:ascii="宋体" w:hAnsi="宋体" w:cs="宋体" w:eastAsia="宋体" w:hint="default"/>
                <w:spacing w:val="-27"/>
                <w:sz w:val="18"/>
                <w:szCs w:val="18"/>
              </w:rPr>
              <w:t>《证券时报》、《中</w:t>
            </w:r>
            <w:r>
              <w:rPr>
                <w:rFonts w:ascii="宋体" w:hAnsi="宋体" w:cs="宋体" w:eastAsia="宋体" w:hint="default"/>
                <w:sz w:val="18"/>
                <w:szCs w:val="18"/>
              </w:rPr>
              <w:t> </w:t>
            </w:r>
            <w:r>
              <w:rPr>
                <w:rFonts w:ascii="宋体" w:hAnsi="宋体" w:cs="宋体" w:eastAsia="宋体" w:hint="default"/>
                <w:spacing w:val="-27"/>
                <w:sz w:val="18"/>
                <w:szCs w:val="18"/>
              </w:rPr>
              <w:t>国证券报》、《巨潮</w:t>
            </w:r>
            <w:r>
              <w:rPr>
                <w:rFonts w:ascii="宋体" w:hAnsi="宋体" w:cs="宋体" w:eastAsia="宋体" w:hint="default"/>
                <w:sz w:val="18"/>
                <w:szCs w:val="18"/>
              </w:rPr>
              <w:t> 资讯网》</w:t>
            </w:r>
          </w:p>
        </w:tc>
      </w:tr>
    </w:tbl>
    <w:p>
      <w:pPr>
        <w:spacing w:after="0" w:line="316" w:lineRule="auto"/>
        <w:jc w:val="both"/>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b/>
          <w:bCs/>
          <w:sz w:val="19"/>
          <w:szCs w:val="19"/>
        </w:rPr>
      </w:pPr>
    </w:p>
    <w:p>
      <w:pPr>
        <w:pStyle w:val="Heading5"/>
        <w:spacing w:line="240" w:lineRule="auto" w:before="34"/>
        <w:ind w:right="2127"/>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罗守生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伍利娜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r>
    </w:tbl>
    <w:p>
      <w:pPr>
        <w:spacing w:line="360" w:lineRule="auto" w:before="49"/>
        <w:ind w:left="11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5"/>
        <w:ind w:left="112" w:right="6974"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2"/>
        <w:rPr>
          <w:rFonts w:ascii="宋体" w:hAnsi="宋体" w:cs="宋体" w:eastAsia="宋体" w:hint="default"/>
          <w:sz w:val="20"/>
          <w:szCs w:val="20"/>
        </w:rPr>
      </w:pPr>
    </w:p>
    <w:p>
      <w:pPr>
        <w:pStyle w:val="Heading5"/>
        <w:spacing w:line="240" w:lineRule="auto"/>
        <w:ind w:right="2127"/>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408" w:lineRule="auto" w:before="78"/>
        <w:ind w:right="1025" w:firstLine="420"/>
        <w:jc w:val="left"/>
      </w:pPr>
      <w:r>
        <w:rPr>
          <w:spacing w:val="-12"/>
          <w:w w:val="99"/>
        </w:rPr>
        <w:t>报告期内，公司独立董事严格按照《公司章程》、《独立董事工作细则》、《上市公司治理准则》及 </w:t>
      </w:r>
      <w:r>
        <w:rPr>
          <w:spacing w:val="1"/>
          <w:w w:val="99"/>
        </w:rPr>
        <w:t>《深</w:t>
      </w:r>
      <w:r>
        <w:rPr>
          <w:w w:val="99"/>
        </w:rPr>
        <w:t> </w:t>
      </w:r>
      <w:r>
        <w:rPr/>
        <w:t>圳证券交易所上市公司规范运作指引》及相关法律、法规等有关规定和要求，本着对公司及中小股东负责</w:t>
      </w:r>
      <w:r>
        <w:rPr>
          <w:w w:val="99"/>
        </w:rPr>
        <w:t> </w:t>
      </w:r>
      <w:r>
        <w:rPr/>
        <w:t>的态度，独立公正地履行职责，积极出席董事会、股东大会，深入公司现场调查，了解生产经营状况和内</w:t>
      </w:r>
      <w:r>
        <w:rPr>
          <w:w w:val="99"/>
        </w:rPr>
        <w:t> </w:t>
      </w:r>
      <w:r>
        <w:rPr/>
        <w:t>部控制建设及董事会决议的执行情况，关注外部环境变化对公司造成的影响。独立董事利用自已的专业知</w:t>
      </w:r>
      <w:r>
        <w:rPr>
          <w:w w:val="99"/>
        </w:rPr>
        <w:t> </w:t>
      </w:r>
      <w:r>
        <w:rPr>
          <w:spacing w:val="-3"/>
        </w:rPr>
        <w:t>识和经验对公司的战略发展、内部控制、重大经营决策等提供了专业性意见，对公司财务及生产经营活动、</w:t>
      </w:r>
      <w:r>
        <w:rPr>
          <w:w w:val="99"/>
        </w:rPr>
        <w:t> </w:t>
      </w:r>
      <w:r>
        <w:rPr/>
        <w:t>信息披露工作进行有效监督，为公司未来发展和规范运作及提升管理水平起到了积极作用。</w:t>
      </w:r>
    </w:p>
    <w:p>
      <w:pPr>
        <w:spacing w:after="0" w:line="408" w:lineRule="auto"/>
        <w:jc w:val="left"/>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4"/>
        <w:spacing w:line="240" w:lineRule="auto" w:before="26"/>
        <w:ind w:right="2127"/>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8" w:firstLine="420"/>
        <w:jc w:val="both"/>
      </w:pPr>
      <w:r>
        <w:rPr>
          <w:spacing w:val="-3"/>
        </w:rPr>
        <w:t>公司董事会下设四个专门委员会，分别为战略委员会、提名委员会、薪酬与考核委员会、审计委员会。</w:t>
      </w:r>
      <w:r>
        <w:rPr>
          <w:w w:val="99"/>
        </w:rPr>
        <w:t> </w:t>
      </w:r>
      <w:r>
        <w:rPr>
          <w:spacing w:val="-3"/>
        </w:rPr>
        <w:t>2019年，公司董事会各专门委员会恪尽职守、勤勉尽责，切实履行相关职责，推动公司持续健康稳定发展。</w:t>
      </w:r>
      <w:r>
        <w:rPr>
          <w:w w:val="99"/>
        </w:rPr>
        <w:t> </w:t>
      </w:r>
      <w:r>
        <w:rPr/>
        <w:t>报告期内，各专门委员会履职情况如下：</w:t>
      </w:r>
    </w:p>
    <w:p>
      <w:pPr>
        <w:pStyle w:val="BodyText"/>
        <w:spacing w:line="408" w:lineRule="auto" w:before="46"/>
        <w:ind w:left="532" w:right="0"/>
        <w:jc w:val="left"/>
      </w:pPr>
      <w:r>
        <w:rPr/>
        <w:t>（一）董事会战略委员会履职情况</w:t>
      </w:r>
      <w:r>
        <w:rPr>
          <w:w w:val="99"/>
        </w:rPr>
        <w:t> </w:t>
      </w:r>
      <w:r>
        <w:rPr>
          <w:w w:val="95"/>
        </w:rPr>
        <w:t>报告期内，董事会战略委员会根据有关规定积极开展相关工作，认真履行职责。战略委员会基于对宏</w:t>
      </w:r>
      <w:r>
        <w:rPr/>
      </w:r>
    </w:p>
    <w:p>
      <w:pPr>
        <w:pStyle w:val="BodyText"/>
        <w:spacing w:line="240" w:lineRule="auto" w:before="46"/>
        <w:ind w:right="0"/>
        <w:jc w:val="left"/>
      </w:pPr>
      <w:r>
        <w:rPr/>
        <w:t>观经济形势和公司发展现状，对业务发展、资本运作、内部管理等多方面进行了研究并提出专业化建议。</w:t>
      </w:r>
    </w:p>
    <w:p>
      <w:pPr>
        <w:spacing w:line="240" w:lineRule="auto" w:before="10"/>
        <w:rPr>
          <w:rFonts w:ascii="宋体" w:hAnsi="宋体" w:cs="宋体" w:eastAsia="宋体" w:hint="default"/>
          <w:sz w:val="14"/>
          <w:szCs w:val="14"/>
        </w:rPr>
      </w:pPr>
    </w:p>
    <w:p>
      <w:pPr>
        <w:pStyle w:val="BodyText"/>
        <w:spacing w:line="408" w:lineRule="auto" w:before="0"/>
        <w:ind w:left="532" w:right="0"/>
        <w:jc w:val="left"/>
      </w:pPr>
      <w:r>
        <w:rPr/>
        <w:t>（二）董事会提名委员会履职情况</w:t>
      </w:r>
      <w:r>
        <w:rPr>
          <w:w w:val="99"/>
        </w:rPr>
        <w:t> </w:t>
      </w:r>
      <w:r>
        <w:rPr>
          <w:w w:val="95"/>
        </w:rPr>
        <w:t>报告期内，董事会提名委员会根据有关规定积极开展相关工作，认真履行职责。报告期内，提名委员</w:t>
      </w:r>
      <w:r>
        <w:rPr/>
      </w:r>
    </w:p>
    <w:p>
      <w:pPr>
        <w:pStyle w:val="BodyText"/>
        <w:spacing w:line="408" w:lineRule="auto" w:before="46"/>
        <w:ind w:right="1025"/>
        <w:jc w:val="left"/>
      </w:pPr>
      <w:r>
        <w:rPr/>
        <w:t>会对周发展、李臻、汪博涵、王辉为第四届董事会非独立董事候选人、廖凯担任公司总经理、汪博涵担任</w:t>
      </w:r>
      <w:r>
        <w:rPr>
          <w:w w:val="99"/>
        </w:rPr>
        <w:t> </w:t>
      </w:r>
      <w:r>
        <w:rPr/>
        <w:t>公司副总经理的任职资格进行审核；对董事会换届选举事宜进行了讨论，提名周发展、廖凯、易增辉、甄</w:t>
      </w:r>
      <w:r>
        <w:rPr>
          <w:w w:val="99"/>
        </w:rPr>
        <w:t> </w:t>
      </w:r>
      <w:r>
        <w:rPr/>
        <w:t>峰、李臻、王辉等6名人选为第五届董事会非独立董事候选人；罗守生、伍利娜、周艳等3名人选为第五届</w:t>
      </w:r>
      <w:r>
        <w:rPr>
          <w:w w:val="99"/>
        </w:rPr>
        <w:t> </w:t>
      </w:r>
      <w:r>
        <w:rPr>
          <w:spacing w:val="-3"/>
        </w:rPr>
        <w:t>董事会独立董事候选人；经过综合评估和资格审查，提名廖凯为公司总经理，潘大圣为董事会秘书，孔梅、</w:t>
      </w:r>
      <w:r>
        <w:rPr>
          <w:w w:val="99"/>
        </w:rPr>
        <w:t> </w:t>
      </w:r>
      <w:r>
        <w:rPr/>
        <w:t>孙胜、汪博涵、潘大圣、甄峰等5人为公司副总经理，卢玉平为公司财务负责人。</w:t>
      </w:r>
    </w:p>
    <w:p>
      <w:pPr>
        <w:pStyle w:val="BodyText"/>
        <w:spacing w:line="408" w:lineRule="auto" w:before="46"/>
        <w:ind w:left="532" w:right="0"/>
        <w:jc w:val="left"/>
      </w:pPr>
      <w:r>
        <w:rPr/>
        <w:t>（三）董事会薪酬与考核委员会履职情况</w:t>
      </w:r>
      <w:r>
        <w:rPr>
          <w:w w:val="99"/>
        </w:rPr>
        <w:t> </w:t>
      </w:r>
      <w:r>
        <w:rPr>
          <w:w w:val="95"/>
        </w:rPr>
        <w:t>报告期内，董事会薪酬与考核委员会根据有关规定积极开展相关工作，认真履行职责。报告期内，薪</w:t>
      </w:r>
      <w:r>
        <w:rPr/>
      </w:r>
    </w:p>
    <w:p>
      <w:pPr>
        <w:pStyle w:val="BodyText"/>
        <w:spacing w:line="408" w:lineRule="auto" w:before="46"/>
        <w:ind w:right="0"/>
        <w:jc w:val="left"/>
      </w:pPr>
      <w:r>
        <w:rPr>
          <w:w w:val="95"/>
        </w:rPr>
        <w:t>酬与考核委员会对公司第一期限制性股票激励计划第一个解除限售期解除限售条件进行了审核，认为解除</w:t>
      </w:r>
      <w:r>
        <w:rPr>
          <w:spacing w:val="37"/>
          <w:w w:val="95"/>
        </w:rPr>
        <w:t> </w:t>
      </w:r>
      <w:r>
        <w:rPr>
          <w:spacing w:val="37"/>
          <w:w w:val="95"/>
        </w:rPr>
      </w:r>
      <w:r>
        <w:rPr/>
        <w:t>限售条件已成就，符合行权条件。</w:t>
      </w:r>
    </w:p>
    <w:p>
      <w:pPr>
        <w:pStyle w:val="BodyText"/>
        <w:spacing w:line="408" w:lineRule="auto" w:before="46"/>
        <w:ind w:left="532" w:right="0"/>
        <w:jc w:val="left"/>
      </w:pPr>
      <w:r>
        <w:rPr/>
        <w:t>（四）董事会审计委员会履职情况</w:t>
      </w:r>
      <w:r>
        <w:rPr>
          <w:w w:val="99"/>
        </w:rPr>
        <w:t> </w:t>
      </w:r>
      <w:r>
        <w:rPr>
          <w:w w:val="95"/>
        </w:rPr>
        <w:t>报告期内，审计委员会本着勤勉尽责的原则，依照有关法律法规和证券监管部门有关规范性文件要求</w:t>
      </w:r>
      <w:r>
        <w:rPr/>
      </w:r>
    </w:p>
    <w:p>
      <w:pPr>
        <w:pStyle w:val="BodyText"/>
        <w:spacing w:line="408" w:lineRule="auto" w:before="46"/>
        <w:ind w:right="0"/>
        <w:jc w:val="left"/>
      </w:pPr>
      <w:r>
        <w:rPr>
          <w:spacing w:val="-5"/>
          <w:w w:val="99"/>
        </w:rPr>
        <w:t>及公司《董事会审计委员会工作细则》、《董事会审计委员会年报工作制度》，履行审议公司财务报告、监</w:t>
      </w:r>
      <w:r>
        <w:rPr>
          <w:spacing w:val="-68"/>
          <w:w w:val="99"/>
        </w:rPr>
        <w:t> </w:t>
      </w:r>
      <w:r>
        <w:rPr>
          <w:spacing w:val="-68"/>
          <w:w w:val="99"/>
        </w:rPr>
      </w:r>
      <w:r>
        <w:rPr/>
        <w:t>督内部控制、评价和提议续聘外部审计机构等职责。</w:t>
      </w:r>
    </w:p>
    <w:p>
      <w:pPr>
        <w:pStyle w:val="BodyText"/>
        <w:spacing w:line="408" w:lineRule="auto" w:before="46"/>
        <w:ind w:left="501" w:right="1017"/>
        <w:jc w:val="left"/>
      </w:pPr>
      <w:r>
        <w:rPr/>
        <w:t>1、对财务报告、募集资金管理专项报告的审议</w:t>
      </w:r>
      <w:r>
        <w:rPr>
          <w:w w:val="99"/>
        </w:rPr>
        <w:t> </w:t>
      </w:r>
      <w:r>
        <w:rPr>
          <w:spacing w:val="-2"/>
        </w:rPr>
        <w:t>审计委员会认真审阅了2018年度财务报告、2019年一季度、半年度、三季度财务报告及2018年四季度、</w:t>
      </w:r>
    </w:p>
    <w:p>
      <w:pPr>
        <w:pStyle w:val="BodyText"/>
        <w:spacing w:line="408" w:lineRule="auto" w:before="46"/>
        <w:ind w:right="1132"/>
        <w:jc w:val="both"/>
      </w:pPr>
      <w:r>
        <w:rPr>
          <w:w w:val="95"/>
        </w:rPr>
        <w:t>2019年一季度、二季度、三季度募集资金管理专项报告，重点关注财务报告的编制是否执行了企业会计准</w:t>
      </w:r>
      <w:r>
        <w:rPr>
          <w:spacing w:val="40"/>
          <w:w w:val="95"/>
        </w:rPr>
        <w:t> </w:t>
      </w:r>
      <w:r>
        <w:rPr>
          <w:spacing w:val="40"/>
          <w:w w:val="95"/>
        </w:rPr>
      </w:r>
      <w:r>
        <w:rPr>
          <w:w w:val="95"/>
        </w:rPr>
        <w:t>则及公司财务制度的有关规定，财务信息是否的公平、真实及完整；募集资金管理与使用是否符合募集资</w:t>
      </w:r>
      <w:r>
        <w:rPr>
          <w:spacing w:val="37"/>
          <w:w w:val="95"/>
        </w:rPr>
        <w:t> </w:t>
      </w:r>
      <w:r>
        <w:rPr>
          <w:spacing w:val="37"/>
          <w:w w:val="95"/>
        </w:rPr>
      </w:r>
      <w:r>
        <w:rPr/>
        <w:t>金使用管理办法的有关规定，没有发生挪用、挤压现象。</w:t>
      </w:r>
    </w:p>
    <w:p>
      <w:pPr>
        <w:pStyle w:val="BodyText"/>
        <w:spacing w:line="408" w:lineRule="auto" w:before="46"/>
        <w:ind w:left="501" w:right="0"/>
        <w:jc w:val="left"/>
      </w:pPr>
      <w:r>
        <w:rPr/>
        <w:t>2、对内部控制的审查监督</w:t>
      </w:r>
      <w:r>
        <w:rPr>
          <w:w w:val="99"/>
        </w:rPr>
        <w:t> </w:t>
      </w:r>
      <w:r>
        <w:rPr>
          <w:w w:val="95"/>
        </w:rPr>
        <w:t>审计委员会高度关注公司内部控制的建立健全与有效实施情况。督促公司按照《企业内部控制基本规</w:t>
      </w:r>
      <w:r>
        <w:rPr/>
      </w:r>
    </w:p>
    <w:p>
      <w:pPr>
        <w:spacing w:after="0" w:line="408" w:lineRule="auto"/>
        <w:jc w:val="left"/>
        <w:sectPr>
          <w:pgSz w:w="11910" w:h="16840"/>
          <w:pgMar w:header="919" w:footer="1016" w:top="1120" w:bottom="1200" w:left="1020" w:right="0"/>
        </w:sectPr>
      </w:pPr>
    </w:p>
    <w:p>
      <w:pPr>
        <w:spacing w:line="240" w:lineRule="auto" w:before="8"/>
        <w:rPr>
          <w:rFonts w:ascii="宋体" w:hAnsi="宋体" w:cs="宋体" w:eastAsia="宋体" w:hint="default"/>
          <w:sz w:val="25"/>
          <w:szCs w:val="25"/>
        </w:rPr>
      </w:pPr>
    </w:p>
    <w:p>
      <w:pPr>
        <w:pStyle w:val="BodyText"/>
        <w:spacing w:line="408" w:lineRule="auto" w:before="34"/>
        <w:ind w:right="1132"/>
        <w:jc w:val="both"/>
      </w:pPr>
      <w:r>
        <w:rPr>
          <w:w w:val="95"/>
        </w:rPr>
        <w:t>范》的要求，健全内部控制制度，有效实施内部控制，强化对财务、关联交易、对外担保等重点风险领域</w:t>
      </w:r>
      <w:r>
        <w:rPr>
          <w:spacing w:val="40"/>
          <w:w w:val="95"/>
        </w:rPr>
        <w:t> </w:t>
      </w:r>
      <w:r>
        <w:rPr>
          <w:spacing w:val="40"/>
          <w:w w:val="95"/>
        </w:rPr>
      </w:r>
      <w:r>
        <w:rPr>
          <w:w w:val="95"/>
        </w:rPr>
        <w:t>的内部控制。报告期内，审计委员会对公司财务信息披露、年度报告编制、内部审计等方面的内部控制情</w:t>
      </w:r>
      <w:r>
        <w:rPr>
          <w:spacing w:val="41"/>
          <w:w w:val="95"/>
        </w:rPr>
        <w:t> </w:t>
      </w:r>
      <w:r>
        <w:rPr>
          <w:spacing w:val="41"/>
          <w:w w:val="95"/>
        </w:rPr>
      </w:r>
      <w:r>
        <w:rPr/>
        <w:t>况给予重点关注，审阅了公司内部控制自我评价报告。</w:t>
      </w:r>
    </w:p>
    <w:p>
      <w:pPr>
        <w:pStyle w:val="BodyText"/>
        <w:spacing w:line="240" w:lineRule="auto" w:before="46"/>
        <w:ind w:left="501" w:right="2127"/>
        <w:jc w:val="left"/>
      </w:pPr>
      <w:r>
        <w:rPr/>
        <w:t>3、对会计师事务所2019年度审计工作的总结报告</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w w:val="95"/>
        </w:rPr>
        <w:t>2019年，大华会计师事务所按照中国注册会计师审计准则的规定，在制定合理的审计计划、运用正确</w:t>
      </w:r>
      <w:r>
        <w:rPr>
          <w:spacing w:val="-97"/>
          <w:w w:val="95"/>
        </w:rPr>
        <w:t> </w:t>
      </w:r>
      <w:r>
        <w:rPr>
          <w:spacing w:val="-97"/>
          <w:w w:val="95"/>
        </w:rPr>
      </w:r>
      <w:r>
        <w:rPr>
          <w:w w:val="95"/>
        </w:rPr>
        <w:t>的审计方法、履行必要的审计程序、获取适当的审计证据基础上，恰当、公允地发表了审计意见，并按时</w:t>
      </w:r>
      <w:r>
        <w:rPr>
          <w:spacing w:val="43"/>
          <w:w w:val="95"/>
        </w:rPr>
        <w:t> </w:t>
      </w:r>
      <w:r>
        <w:rPr>
          <w:spacing w:val="43"/>
          <w:w w:val="95"/>
        </w:rPr>
      </w:r>
      <w:r>
        <w:rPr>
          <w:w w:val="95"/>
        </w:rPr>
        <w:t>提交了审计报告。审计委员会认为：大华会计师事务所能按照中国注册会计师审计准则要求，很好履行了</w:t>
      </w:r>
      <w:r>
        <w:rPr>
          <w:spacing w:val="40"/>
          <w:w w:val="95"/>
        </w:rPr>
        <w:t> </w:t>
      </w:r>
      <w:r>
        <w:rPr>
          <w:spacing w:val="40"/>
          <w:w w:val="95"/>
        </w:rPr>
      </w:r>
      <w:r>
        <w:rPr>
          <w:w w:val="95"/>
        </w:rPr>
        <w:t>双方签订的《业务约定书》所规定的责任与义务，较好地完成了对公司2018年度财务报告和内部控制的审</w:t>
      </w:r>
      <w:r>
        <w:rPr>
          <w:spacing w:val="40"/>
          <w:w w:val="95"/>
        </w:rPr>
        <w:t> </w:t>
      </w:r>
      <w:r>
        <w:rPr>
          <w:spacing w:val="40"/>
          <w:w w:val="95"/>
        </w:rPr>
      </w:r>
      <w:r>
        <w:rPr/>
        <w:t>计工作，其出具的审计报告符合公司的实际情况。</w:t>
      </w:r>
    </w:p>
    <w:p>
      <w:pPr>
        <w:spacing w:line="240" w:lineRule="auto" w:before="11"/>
        <w:rPr>
          <w:rFonts w:ascii="宋体" w:hAnsi="宋体" w:cs="宋体" w:eastAsia="宋体" w:hint="default"/>
          <w:sz w:val="18"/>
          <w:szCs w:val="18"/>
        </w:rPr>
      </w:pPr>
    </w:p>
    <w:p>
      <w:pPr>
        <w:pStyle w:val="Heading4"/>
        <w:spacing w:line="240" w:lineRule="auto"/>
        <w:ind w:right="0"/>
        <w:jc w:val="both"/>
        <w:rPr>
          <w:b w:val="0"/>
          <w:bCs w:val="0"/>
        </w:rPr>
      </w:pPr>
      <w:bookmarkStart w:name="七、监事会工作情况" w:id="149"/>
      <w:bookmarkEnd w:id="14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12" w:right="7694"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7"/>
        <w:rPr>
          <w:rFonts w:ascii="宋体" w:hAnsi="宋体" w:cs="宋体" w:eastAsia="宋体" w:hint="default"/>
          <w:sz w:val="18"/>
          <w:szCs w:val="18"/>
        </w:rPr>
      </w:pPr>
    </w:p>
    <w:p>
      <w:pPr>
        <w:pStyle w:val="Heading4"/>
        <w:spacing w:line="240" w:lineRule="auto"/>
        <w:ind w:right="0"/>
        <w:jc w:val="both"/>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30"/>
          <w:szCs w:val="30"/>
        </w:rPr>
      </w:pPr>
    </w:p>
    <w:p>
      <w:pPr>
        <w:pStyle w:val="BodyText"/>
        <w:spacing w:line="240" w:lineRule="auto" w:before="0"/>
        <w:ind w:left="532" w:right="0"/>
        <w:jc w:val="left"/>
      </w:pPr>
      <w:r>
        <w:rPr/>
        <w:t>公司高级管理人员全部由董事会聘任，直接对董事会负责，承担董事会下达的经营指标。董事会制定</w:t>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w w:val="99"/>
        </w:rPr>
        <w:t>《绩效考核办法》，办法对薪酬发放、比例考核、年终绩效奖金考核、对未完成目标人员的处罚等作出了</w:t>
      </w:r>
      <w:r>
        <w:rPr>
          <w:spacing w:val="-94"/>
          <w:w w:val="99"/>
        </w:rPr>
        <w:t> </w:t>
      </w:r>
      <w:r>
        <w:rPr>
          <w:spacing w:val="-94"/>
          <w:w w:val="99"/>
        </w:rPr>
      </w:r>
      <w:r>
        <w:rPr>
          <w:w w:val="95"/>
        </w:rPr>
        <w:t>明确规定，根据高级管理人员的工作能力、履职情况、责任目标完成情况等进行年终考评，并及时进行年</w:t>
      </w:r>
      <w:r>
        <w:rPr>
          <w:spacing w:val="45"/>
          <w:w w:val="95"/>
        </w:rPr>
        <w:t> </w:t>
      </w:r>
      <w:r>
        <w:rPr>
          <w:spacing w:val="45"/>
          <w:w w:val="95"/>
        </w:rPr>
      </w:r>
      <w:r>
        <w:rPr/>
        <w:t>终绩效奖金发放。</w:t>
      </w:r>
    </w:p>
    <w:p>
      <w:pPr>
        <w:pStyle w:val="BodyText"/>
        <w:spacing w:line="408" w:lineRule="auto" w:before="46"/>
        <w:ind w:right="1130" w:firstLine="420"/>
        <w:jc w:val="both"/>
      </w:pPr>
      <w:r>
        <w:rPr>
          <w:spacing w:val="-5"/>
          <w:w w:val="95"/>
        </w:rPr>
        <w:t>报告期内，高级管理人员薪酬及绩效考核管理制度执行情况良好。公司高级管理人员能够严格按照《公</w:t>
      </w:r>
      <w:r>
        <w:rPr>
          <w:spacing w:val="-72"/>
          <w:w w:val="95"/>
        </w:rPr>
        <w:t> </w:t>
      </w:r>
      <w:r>
        <w:rPr>
          <w:spacing w:val="-72"/>
          <w:w w:val="95"/>
        </w:rPr>
      </w:r>
      <w:r>
        <w:rPr>
          <w:spacing w:val="-5"/>
          <w:w w:val="99"/>
        </w:rPr>
        <w:t>司法》、《公司章程》及国家有关法律法规认真履行职责，积极落实公司股东大会和董事会相关决议，在董</w:t>
      </w:r>
      <w:r>
        <w:rPr>
          <w:spacing w:val="-73"/>
          <w:w w:val="99"/>
        </w:rPr>
        <w:t> </w:t>
      </w:r>
      <w:r>
        <w:rPr>
          <w:spacing w:val="-73"/>
          <w:w w:val="99"/>
        </w:rPr>
      </w:r>
      <w:r>
        <w:rPr/>
        <w:t>事会的正确指导下积极调整经营思路，加强内部管理，较好地完成了本年度的各项工作任务。</w:t>
      </w:r>
    </w:p>
    <w:p>
      <w:pPr>
        <w:spacing w:line="240" w:lineRule="auto" w:before="11"/>
        <w:rPr>
          <w:rFonts w:ascii="宋体" w:hAnsi="宋体" w:cs="宋体" w:eastAsia="宋体" w:hint="default"/>
          <w:sz w:val="18"/>
          <w:szCs w:val="18"/>
        </w:rPr>
      </w:pPr>
    </w:p>
    <w:p>
      <w:pPr>
        <w:pStyle w:val="Heading4"/>
        <w:spacing w:line="240" w:lineRule="auto"/>
        <w:ind w:right="0"/>
        <w:jc w:val="both"/>
        <w:rPr>
          <w:b w:val="0"/>
          <w:bCs w:val="0"/>
        </w:rPr>
      </w:pPr>
      <w:bookmarkStart w:name="九、内部控制评价报告" w:id="151"/>
      <w:bookmarkEnd w:id="15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日巨潮资讯</w:t>
            </w:r>
            <w:r>
              <w:rPr>
                <w:rFonts w:ascii="宋体" w:hAnsi="宋体" w:cs="宋体" w:eastAsia="宋体" w:hint="default"/>
                <w:spacing w:val="-46"/>
                <w:sz w:val="18"/>
                <w:szCs w:val="18"/>
              </w:rPr>
              <w:t>网</w:t>
            </w:r>
            <w:r>
              <w:rPr>
                <w:rFonts w:ascii="宋体" w:hAnsi="宋体" w:cs="宋体" w:eastAsia="宋体" w:hint="default"/>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99"/>
                  <w:sz w:val="18"/>
                  <w:szCs w:val="18"/>
                </w:rPr>
                <w:t>tt</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8"/>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99"/>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135"/>
                <w:sz w:val="18"/>
                <w:szCs w:val="18"/>
              </w:rPr>
              <w:t>）</w:t>
            </w:r>
            <w:r>
              <w:rPr>
                <w:rFonts w:ascii="宋体" w:hAnsi="宋体" w:cs="宋体" w:eastAsia="宋体" w:hint="default"/>
                <w:sz w:val="18"/>
                <w:szCs w:val="18"/>
              </w:rPr>
              <w:t>《安徽皖通科技股份有</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102" w:right="1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A</w:t>
            </w:r>
            <w:r>
              <w:rPr>
                <w:rFonts w:ascii="宋体" w:hAnsi="宋体" w:cs="宋体" w:eastAsia="宋体" w:hint="default"/>
                <w:spacing w:val="-6"/>
                <w:sz w:val="18"/>
                <w:szCs w:val="18"/>
              </w:rPr>
              <w:t>、可认定重大缺陷的迹象：</w:t>
            </w:r>
            <w:r>
              <w:rPr>
                <w:rFonts w:ascii="Times New Roman" w:hAnsi="Times New Roman" w:cs="Times New Roman" w:eastAsia="Times New Roman" w:hint="default"/>
                <w:spacing w:val="-6"/>
                <w:sz w:val="18"/>
                <w:szCs w:val="18"/>
              </w:rPr>
              <w:t>a.</w:t>
            </w:r>
            <w:r>
              <w:rPr>
                <w:rFonts w:ascii="宋体" w:hAnsi="宋体" w:cs="宋体" w:eastAsia="宋体" w:hint="default"/>
                <w:spacing w:val="-6"/>
                <w:sz w:val="18"/>
                <w:szCs w:val="18"/>
              </w:rPr>
              <w:t>公司董事、</w:t>
            </w:r>
            <w:r>
              <w:rPr>
                <w:rFonts w:ascii="宋体" w:hAnsi="宋体" w:cs="宋体" w:eastAsia="宋体" w:hint="default"/>
                <w:sz w:val="18"/>
                <w:szCs w:val="18"/>
              </w:rPr>
              <w:t> </w:t>
            </w:r>
            <w:r>
              <w:rPr>
                <w:rFonts w:ascii="宋体" w:hAnsi="宋体" w:cs="宋体" w:eastAsia="宋体" w:hint="default"/>
                <w:spacing w:val="-5"/>
                <w:sz w:val="18"/>
                <w:szCs w:val="18"/>
              </w:rPr>
              <w:t>监事和高级管理人员的舞弊行为；</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公司</w:t>
            </w:r>
            <w:r>
              <w:rPr>
                <w:rFonts w:ascii="宋体" w:hAnsi="宋体" w:cs="宋体" w:eastAsia="宋体" w:hint="default"/>
                <w:spacing w:val="-83"/>
                <w:sz w:val="18"/>
                <w:szCs w:val="18"/>
              </w:rPr>
              <w:t> </w:t>
            </w:r>
            <w:r>
              <w:rPr>
                <w:rFonts w:ascii="宋体" w:hAnsi="宋体" w:cs="宋体" w:eastAsia="宋体" w:hint="default"/>
                <w:spacing w:val="-5"/>
                <w:w w:val="99"/>
                <w:sz w:val="18"/>
                <w:szCs w:val="18"/>
              </w:rPr>
              <w:t>更正已公布的财务报告；</w:t>
            </w:r>
            <w:r>
              <w:rPr>
                <w:rFonts w:ascii="Times New Roman" w:hAnsi="Times New Roman" w:cs="Times New Roman" w:eastAsia="Times New Roman" w:hint="default"/>
                <w:spacing w:val="-5"/>
                <w:w w:val="99"/>
                <w:sz w:val="18"/>
                <w:szCs w:val="18"/>
              </w:rPr>
              <w:t>c.</w:t>
            </w:r>
            <w:r>
              <w:rPr>
                <w:rFonts w:ascii="宋体" w:hAnsi="宋体" w:cs="宋体" w:eastAsia="宋体" w:hint="default"/>
                <w:spacing w:val="-5"/>
                <w:w w:val="99"/>
                <w:sz w:val="18"/>
                <w:szCs w:val="18"/>
              </w:rPr>
              <w:t>注册会计师发</w:t>
            </w:r>
            <w:r>
              <w:rPr>
                <w:rFonts w:ascii="宋体" w:hAnsi="宋体" w:cs="宋体" w:eastAsia="宋体" w:hint="default"/>
                <w:spacing w:val="-73"/>
                <w:w w:val="99"/>
                <w:sz w:val="18"/>
                <w:szCs w:val="18"/>
              </w:rPr>
              <w:t> </w:t>
            </w:r>
            <w:r>
              <w:rPr>
                <w:rFonts w:ascii="宋体" w:hAnsi="宋体" w:cs="宋体" w:eastAsia="宋体" w:hint="default"/>
                <w:sz w:val="18"/>
                <w:szCs w:val="18"/>
              </w:rPr>
              <w:t>现的却未被公司内部控制识别的当期财 </w:t>
            </w:r>
            <w:r>
              <w:rPr>
                <w:rFonts w:ascii="宋体" w:hAnsi="宋体" w:cs="宋体" w:eastAsia="宋体" w:hint="default"/>
                <w:spacing w:val="-5"/>
                <w:sz w:val="18"/>
                <w:szCs w:val="18"/>
              </w:rPr>
              <w:t>务报告中的重大错报；</w:t>
            </w:r>
            <w:r>
              <w:rPr>
                <w:rFonts w:ascii="Times New Roman" w:hAnsi="Times New Roman" w:cs="Times New Roman" w:eastAsia="Times New Roman" w:hint="default"/>
                <w:spacing w:val="-5"/>
                <w:sz w:val="18"/>
                <w:szCs w:val="18"/>
              </w:rPr>
              <w:t>d.</w:t>
            </w:r>
            <w:r>
              <w:rPr>
                <w:rFonts w:ascii="宋体" w:hAnsi="宋体" w:cs="宋体" w:eastAsia="宋体" w:hint="default"/>
                <w:spacing w:val="-5"/>
                <w:sz w:val="18"/>
                <w:szCs w:val="18"/>
              </w:rPr>
              <w:t>审计委员会和内</w:t>
            </w:r>
            <w:r>
              <w:rPr>
                <w:rFonts w:ascii="宋体" w:hAnsi="宋体" w:cs="宋体" w:eastAsia="宋体" w:hint="default"/>
                <w:spacing w:val="-83"/>
                <w:sz w:val="18"/>
                <w:szCs w:val="18"/>
              </w:rPr>
              <w:t> </w:t>
            </w:r>
            <w:r>
              <w:rPr>
                <w:rFonts w:ascii="宋体" w:hAnsi="宋体" w:cs="宋体" w:eastAsia="宋体" w:hint="default"/>
                <w:sz w:val="18"/>
                <w:szCs w:val="18"/>
              </w:rPr>
              <w:t>部审计部门对公司的对外财务报告和财 </w:t>
            </w:r>
            <w:r>
              <w:rPr>
                <w:rFonts w:ascii="宋体" w:hAnsi="宋体" w:cs="宋体" w:eastAsia="宋体" w:hint="default"/>
                <w:spacing w:val="-4"/>
                <w:sz w:val="18"/>
                <w:szCs w:val="18"/>
              </w:rPr>
              <w:t>务报告内部控制监督无效。</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、可认定重</w:t>
            </w:r>
            <w:r>
              <w:rPr>
                <w:rFonts w:ascii="宋体" w:hAnsi="宋体" w:cs="宋体" w:eastAsia="宋体" w:hint="default"/>
                <w:sz w:val="18"/>
                <w:szCs w:val="18"/>
              </w:rPr>
              <w:t> </w:t>
            </w:r>
            <w:r>
              <w:rPr>
                <w:rFonts w:ascii="宋体" w:hAnsi="宋体" w:cs="宋体" w:eastAsia="宋体" w:hint="default"/>
                <w:spacing w:val="-5"/>
                <w:w w:val="99"/>
                <w:sz w:val="18"/>
                <w:szCs w:val="18"/>
              </w:rPr>
              <w:t>要缺陷的迹象：</w:t>
            </w:r>
            <w:r>
              <w:rPr>
                <w:rFonts w:ascii="Times New Roman" w:hAnsi="Times New Roman" w:cs="Times New Roman" w:eastAsia="Times New Roman" w:hint="default"/>
                <w:spacing w:val="-5"/>
                <w:w w:val="99"/>
                <w:sz w:val="18"/>
                <w:szCs w:val="18"/>
              </w:rPr>
              <w:t>a.</w:t>
            </w:r>
            <w:r>
              <w:rPr>
                <w:rFonts w:ascii="宋体" w:hAnsi="宋体" w:cs="宋体" w:eastAsia="宋体" w:hint="default"/>
                <w:spacing w:val="-5"/>
                <w:w w:val="99"/>
                <w:sz w:val="18"/>
                <w:szCs w:val="18"/>
              </w:rPr>
              <w:t>未依照公认会计准则选</w:t>
            </w:r>
            <w:r>
              <w:rPr>
                <w:rFonts w:ascii="宋体" w:hAnsi="宋体" w:cs="宋体" w:eastAsia="宋体" w:hint="default"/>
                <w:spacing w:val="-73"/>
                <w:w w:val="99"/>
                <w:sz w:val="18"/>
                <w:szCs w:val="18"/>
              </w:rPr>
              <w:t> </w:t>
            </w:r>
            <w:r>
              <w:rPr>
                <w:rFonts w:ascii="宋体" w:hAnsi="宋体" w:cs="宋体" w:eastAsia="宋体" w:hint="default"/>
                <w:spacing w:val="-5"/>
                <w:sz w:val="18"/>
                <w:szCs w:val="18"/>
              </w:rPr>
              <w:t>择和应用会计政策；</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未建立反舞弊程序</w:t>
            </w:r>
            <w:r>
              <w:rPr>
                <w:rFonts w:ascii="宋体" w:hAnsi="宋体" w:cs="宋体" w:eastAsia="宋体" w:hint="default"/>
                <w:spacing w:val="-83"/>
                <w:sz w:val="18"/>
                <w:szCs w:val="18"/>
              </w:rPr>
              <w:t> </w:t>
            </w:r>
            <w:r>
              <w:rPr>
                <w:rFonts w:ascii="宋体" w:hAnsi="宋体" w:cs="宋体" w:eastAsia="宋体" w:hint="default"/>
                <w:spacing w:val="-5"/>
                <w:w w:val="99"/>
                <w:sz w:val="18"/>
                <w:szCs w:val="18"/>
              </w:rPr>
              <w:t>和控制措施；</w:t>
            </w:r>
            <w:r>
              <w:rPr>
                <w:rFonts w:ascii="Times New Roman" w:hAnsi="Times New Roman" w:cs="Times New Roman" w:eastAsia="Times New Roman" w:hint="default"/>
                <w:spacing w:val="-5"/>
                <w:w w:val="99"/>
                <w:sz w:val="18"/>
                <w:szCs w:val="18"/>
              </w:rPr>
              <w:t>c.</w:t>
            </w:r>
            <w:r>
              <w:rPr>
                <w:rFonts w:ascii="宋体" w:hAnsi="宋体" w:cs="宋体" w:eastAsia="宋体" w:hint="default"/>
                <w:spacing w:val="-5"/>
                <w:w w:val="99"/>
                <w:sz w:val="18"/>
                <w:szCs w:val="18"/>
              </w:rPr>
              <w:t>对于非常规或特殊交易的</w:t>
            </w:r>
            <w:r>
              <w:rPr>
                <w:rFonts w:ascii="宋体" w:hAnsi="宋体" w:cs="宋体" w:eastAsia="宋体" w:hint="default"/>
                <w:spacing w:val="-73"/>
                <w:w w:val="99"/>
                <w:sz w:val="18"/>
                <w:szCs w:val="18"/>
              </w:rPr>
              <w:t> </w:t>
            </w:r>
            <w:r>
              <w:rPr>
                <w:rFonts w:ascii="宋体" w:hAnsi="宋体" w:cs="宋体" w:eastAsia="宋体" w:hint="default"/>
                <w:sz w:val="18"/>
                <w:szCs w:val="18"/>
              </w:rPr>
              <w:t>账务处理没有建立相应的控制机制或没 </w:t>
            </w:r>
            <w:r>
              <w:rPr>
                <w:rFonts w:ascii="宋体" w:hAnsi="宋体" w:cs="宋体" w:eastAsia="宋体" w:hint="default"/>
                <w:spacing w:val="-5"/>
                <w:sz w:val="18"/>
                <w:szCs w:val="18"/>
              </w:rPr>
              <w:t>有实施且没有相应的补偿性控制；</w:t>
            </w:r>
            <w:r>
              <w:rPr>
                <w:rFonts w:ascii="Times New Roman" w:hAnsi="Times New Roman" w:cs="Times New Roman" w:eastAsia="Times New Roman" w:hint="default"/>
                <w:spacing w:val="-5"/>
                <w:sz w:val="18"/>
                <w:szCs w:val="18"/>
              </w:rPr>
              <w:t>d.</w:t>
            </w:r>
            <w:r>
              <w:rPr>
                <w:rFonts w:ascii="宋体" w:hAnsi="宋体" w:cs="宋体" w:eastAsia="宋体" w:hint="default"/>
                <w:spacing w:val="-5"/>
                <w:sz w:val="18"/>
                <w:szCs w:val="18"/>
              </w:rPr>
              <w:t>对于</w:t>
            </w:r>
            <w:r>
              <w:rPr>
                <w:rFonts w:ascii="宋体" w:hAnsi="宋体" w:cs="宋体" w:eastAsia="宋体" w:hint="default"/>
                <w:spacing w:val="-83"/>
                <w:sz w:val="18"/>
                <w:szCs w:val="18"/>
              </w:rPr>
              <w:t> </w:t>
            </w:r>
            <w:r>
              <w:rPr>
                <w:rFonts w:ascii="宋体" w:hAnsi="宋体" w:cs="宋体" w:eastAsia="宋体" w:hint="default"/>
                <w:sz w:val="18"/>
                <w:szCs w:val="18"/>
              </w:rPr>
              <w:t>期末财务报告过程的控制存在一项或多 项缺陷且不能合理保证编制的财务报表 达到真实、完整的目标。</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 </w:t>
            </w:r>
            <w:r>
              <w:rPr>
                <w:rFonts w:ascii="宋体" w:hAnsi="宋体" w:cs="宋体" w:eastAsia="宋体" w:hint="default"/>
                <w:spacing w:val="-3"/>
                <w:sz w:val="18"/>
                <w:szCs w:val="18"/>
              </w:rPr>
              <w:t>业务流程有效性的影响程度、发生的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可能性作判定。</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49"/>
              <w:jc w:val="left"/>
              <w:rPr>
                <w:rFonts w:ascii="宋体" w:hAnsi="宋体" w:cs="宋体" w:eastAsia="宋体" w:hint="default"/>
                <w:sz w:val="18"/>
                <w:szCs w:val="18"/>
              </w:rPr>
            </w:pPr>
            <w:r>
              <w:rPr>
                <w:rFonts w:ascii="宋体" w:hAnsi="宋体" w:cs="宋体" w:eastAsia="宋体" w:hint="default"/>
                <w:sz w:val="18"/>
                <w:szCs w:val="18"/>
              </w:rPr>
              <w:t>以财务报告营业收入、资产总额作为衡 量指标。</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以财务报告营业收入、资产总额作为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衡量指标。</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4"/>
        <w:spacing w:line="240" w:lineRule="auto" w:before="26"/>
        <w:ind w:right="2127"/>
        <w:jc w:val="left"/>
        <w:rPr>
          <w:b w:val="0"/>
          <w:bCs w:val="0"/>
        </w:rPr>
      </w:pPr>
      <w:bookmarkStart w:name="十、内部控制审计报告或鉴证报告" w:id="154"/>
      <w:bookmarkEnd w:id="154"/>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3"/>
          <w:pgSz w:w="11910" w:h="16840"/>
          <w:pgMar w:footer="1016" w:header="919" w:top="1120" w:bottom="1200" w:left="1020" w:right="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007" w:right="2127"/>
        <w:jc w:val="left"/>
        <w:rPr>
          <w:b w:val="0"/>
          <w:bCs w:val="0"/>
        </w:rPr>
      </w:pPr>
      <w:bookmarkStart w:name="第十一节公司债券相关情况" w:id="155"/>
      <w:bookmarkEnd w:id="155"/>
      <w:r>
        <w:rPr>
          <w:b w:val="0"/>
          <w:bCs w:val="0"/>
        </w:rPr>
      </w:r>
      <w:bookmarkStart w:name="_bookmark10" w:id="156"/>
      <w:bookmarkEnd w:id="156"/>
      <w:r>
        <w:rPr>
          <w:b w:val="0"/>
          <w:bCs w:val="0"/>
        </w:rPr>
      </w:r>
      <w:r>
        <w:rPr/>
        <w:t>第十一节公司债券相关情况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568" w:right="2127"/>
        <w:jc w:val="left"/>
        <w:rPr>
          <w:b w:val="0"/>
          <w:bCs w:val="0"/>
        </w:rPr>
      </w:pPr>
      <w:bookmarkStart w:name="第十二节 财务报告" w:id="157"/>
      <w:bookmarkEnd w:id="157"/>
      <w:r>
        <w:rPr>
          <w:b w:val="0"/>
          <w:bCs w:val="0"/>
        </w:rPr>
      </w:r>
      <w:bookmarkStart w:name="_bookmark11" w:id="158"/>
      <w:bookmarkEnd w:id="158"/>
      <w:r>
        <w:rPr>
          <w:b w:val="0"/>
          <w:bCs w:val="0"/>
        </w:rPr>
      </w:r>
      <w:r>
        <w:rPr/>
        <w:t>第十二节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2127"/>
        <w:jc w:val="left"/>
        <w:rPr>
          <w:b w:val="0"/>
          <w:bCs w:val="0"/>
        </w:rPr>
      </w:pPr>
      <w:bookmarkStart w:name="一、审计报告" w:id="159"/>
      <w:bookmarkEnd w:id="159"/>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[2020]001876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吴琳、王原</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before="50"/>
        <w:ind w:left="0" w:right="0" w:firstLine="0"/>
        <w:jc w:val="right"/>
        <w:rPr>
          <w:rFonts w:ascii="宋体" w:hAnsi="宋体" w:cs="宋体" w:eastAsia="宋体" w:hint="default"/>
          <w:sz w:val="18"/>
          <w:szCs w:val="18"/>
        </w:rPr>
      </w:pPr>
      <w:r>
        <w:rPr/>
        <w:pict>
          <v:shape style="position:absolute;margin-left:175.679993pt;margin-top:22.681725pt;width:179.64pt;height:20.28pt;mso-position-horizontal-relative:page;mso-position-vertical-relative:paragraph;z-index:-1321480" type="#_x0000_t75" stroked="false">
            <v:imagedata r:id="rId24" o:title=""/>
          </v:shape>
        </w:pict>
      </w: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408" w:lineRule="auto"/>
        <w:ind w:left="676" w:right="0" w:hanging="564"/>
        <w:jc w:val="left"/>
        <w:rPr>
          <w:b w:val="0"/>
          <w:bCs w:val="0"/>
        </w:rPr>
      </w:pPr>
      <w:r>
        <w:rPr>
          <w:w w:val="95"/>
        </w:rPr>
        <w:t>安徽皖通科技股份有限公司全体股东：</w:t>
      </w:r>
      <w:r>
        <w:rPr>
          <w:spacing w:val="93"/>
          <w:w w:val="95"/>
        </w:rPr>
        <w:t> </w:t>
      </w:r>
      <w:r>
        <w:rPr>
          <w:spacing w:val="93"/>
          <w:w w:val="95"/>
        </w:rPr>
      </w:r>
      <w:r>
        <w:rPr/>
        <w:t>一、审计意见</w:t>
      </w:r>
      <w:r>
        <w:rPr>
          <w:b w:val="0"/>
          <w:bCs w:val="0"/>
        </w:rPr>
      </w:r>
    </w:p>
    <w:p>
      <w:pPr>
        <w:spacing w:line="240" w:lineRule="auto" w:before="3"/>
        <w:rPr>
          <w:rFonts w:ascii="宋体" w:hAnsi="宋体" w:cs="宋体" w:eastAsia="宋体" w:hint="default"/>
          <w:b/>
          <w:bCs/>
          <w:sz w:val="37"/>
          <w:szCs w:val="37"/>
        </w:rPr>
      </w:pPr>
      <w:r>
        <w:rPr/>
        <w:br w:type="column"/>
      </w:r>
      <w:r>
        <w:rPr>
          <w:rFonts w:ascii="宋体"/>
          <w:b/>
          <w:sz w:val="37"/>
        </w:rPr>
      </w:r>
    </w:p>
    <w:p>
      <w:pPr>
        <w:spacing w:before="0"/>
        <w:ind w:left="112" w:right="0" w:firstLine="0"/>
        <w:jc w:val="left"/>
        <w:rPr>
          <w:rFonts w:ascii="宋体" w:hAnsi="宋体" w:cs="宋体" w:eastAsia="宋体" w:hint="default"/>
          <w:sz w:val="32"/>
          <w:szCs w:val="32"/>
        </w:rPr>
      </w:pPr>
      <w:r>
        <w:rPr>
          <w:rFonts w:ascii="宋体" w:hAnsi="宋体" w:cs="宋体" w:eastAsia="宋体" w:hint="default"/>
          <w:b/>
          <w:bCs/>
          <w:w w:val="95"/>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5"/>
        <w:spacing w:line="240" w:lineRule="auto"/>
        <w:ind w:left="32" w:right="0"/>
        <w:jc w:val="left"/>
        <w:rPr>
          <w:b w:val="0"/>
          <w:bCs w:val="0"/>
        </w:rPr>
      </w:pPr>
      <w:r>
        <w:rPr/>
        <w:t>大华审字[2020]001876号</w:t>
      </w:r>
      <w:r>
        <w:rPr>
          <w:b w:val="0"/>
          <w:bCs w:val="0"/>
        </w:rPr>
      </w:r>
    </w:p>
    <w:p>
      <w:pPr>
        <w:spacing w:after="0" w:line="240" w:lineRule="auto"/>
        <w:jc w:val="left"/>
        <w:sectPr>
          <w:type w:val="continuous"/>
          <w:pgSz w:w="11910" w:h="16840"/>
          <w:pgMar w:top="1120" w:bottom="1200" w:left="1020" w:right="0"/>
          <w:cols w:num="3" w:equalWidth="0">
            <w:col w:w="5473" w:space="501"/>
            <w:col w:w="1397" w:space="40"/>
            <w:col w:w="3479"/>
          </w:cols>
        </w:sectPr>
      </w:pPr>
    </w:p>
    <w:p>
      <w:pPr>
        <w:pStyle w:val="Heading3"/>
        <w:spacing w:line="408" w:lineRule="auto"/>
        <w:ind w:right="1130"/>
        <w:jc w:val="both"/>
      </w:pPr>
      <w:r>
        <w:rPr>
          <w:spacing w:val="9"/>
        </w:rPr>
        <w:t>我们审计了安徽皖通科技股份有限公司(以下简称皖通科技公司)财务报</w:t>
      </w:r>
      <w:r>
        <w:rPr>
          <w:w w:val="100"/>
        </w:rPr>
        <w:t> </w:t>
      </w:r>
      <w:r>
        <w:rPr/>
        <w:t>表，包括2019年12月31日的合并及母公司资产负债表，2019年度的合并及母公</w:t>
      </w:r>
      <w:r>
        <w:rPr>
          <w:spacing w:val="-33"/>
        </w:rPr>
        <w:t> </w:t>
      </w:r>
      <w:r>
        <w:rPr>
          <w:spacing w:val="-33"/>
        </w:rPr>
      </w:r>
      <w:r>
        <w:rPr>
          <w:spacing w:val="2"/>
        </w:rPr>
        <w:t>司利润表、合并及母公司现金流量表、合并及母公司股东权益变动表以及相关</w:t>
      </w:r>
      <w:r>
        <w:rPr>
          <w:spacing w:val="-99"/>
        </w:rPr>
        <w:t> </w:t>
      </w:r>
      <w:r>
        <w:rPr>
          <w:spacing w:val="-99"/>
        </w:rPr>
      </w:r>
      <w:r>
        <w:rPr/>
        <w:t>财务报表附注。</w:t>
      </w:r>
    </w:p>
    <w:p>
      <w:pPr>
        <w:pStyle w:val="Heading3"/>
        <w:spacing w:line="408" w:lineRule="auto"/>
        <w:ind w:right="0"/>
        <w:jc w:val="left"/>
      </w:pPr>
      <w:r>
        <w:rPr>
          <w:spacing w:val="-3"/>
        </w:rPr>
        <w:t>我们认为，后附的财务报表在所有重大方面按照企业会计准则的规定编制，</w:t>
      </w:r>
      <w:r>
        <w:rPr>
          <w:w w:val="100"/>
        </w:rPr>
        <w:t> </w:t>
      </w:r>
      <w:r>
        <w:rPr/>
        <w:t>公允反映了皖通科技公司2019年12月31日的合并及母公司财务状况以及2019年</w:t>
      </w:r>
      <w:r>
        <w:rPr>
          <w:spacing w:val="-33"/>
        </w:rPr>
        <w:t> </w:t>
      </w:r>
      <w:r>
        <w:rPr>
          <w:spacing w:val="-33"/>
        </w:rPr>
      </w:r>
      <w:r>
        <w:rPr/>
        <w:t>度的合并及母公司经营成果和现金流量。</w:t>
      </w:r>
    </w:p>
    <w:p>
      <w:pPr>
        <w:spacing w:line="408" w:lineRule="auto" w:before="61"/>
        <w:ind w:left="674" w:right="0" w:firstLine="2"/>
        <w:jc w:val="left"/>
        <w:rPr>
          <w:rFonts w:ascii="宋体" w:hAnsi="宋体" w:cs="宋体" w:eastAsia="宋体" w:hint="default"/>
          <w:sz w:val="28"/>
          <w:szCs w:val="28"/>
        </w:rPr>
      </w:pPr>
      <w:r>
        <w:rPr>
          <w:rFonts w:ascii="宋体" w:hAnsi="宋体" w:cs="宋体" w:eastAsia="宋体" w:hint="default"/>
          <w:b/>
          <w:bCs/>
          <w:sz w:val="28"/>
          <w:szCs w:val="28"/>
        </w:rPr>
        <w:t>二、形成审计意见的基础</w:t>
      </w:r>
      <w:r>
        <w:rPr>
          <w:rFonts w:ascii="宋体" w:hAnsi="宋体" w:cs="宋体" w:eastAsia="宋体" w:hint="default"/>
          <w:b/>
          <w:bCs/>
          <w:w w:val="99"/>
          <w:sz w:val="28"/>
          <w:szCs w:val="28"/>
        </w:rPr>
        <w:t> </w:t>
      </w:r>
      <w:r>
        <w:rPr>
          <w:rFonts w:ascii="宋体" w:hAnsi="宋体" w:cs="宋体" w:eastAsia="宋体" w:hint="default"/>
          <w:spacing w:val="-7"/>
          <w:sz w:val="28"/>
          <w:szCs w:val="28"/>
        </w:rPr>
        <w:t>我们按照中国注册会计师审计准则的规定执行了审计工作。审计报告的“注</w:t>
      </w:r>
    </w:p>
    <w:p>
      <w:pPr>
        <w:pStyle w:val="Heading3"/>
        <w:spacing w:line="408" w:lineRule="auto"/>
        <w:ind w:right="0" w:firstLine="0"/>
        <w:jc w:val="left"/>
      </w:pPr>
      <w:r>
        <w:rPr>
          <w:spacing w:val="-3"/>
        </w:rPr>
        <w:t>册会计师对财务报表审计的责任”部分进一步阐述了我们在这些准则下的责任。</w:t>
      </w:r>
      <w:r>
        <w:rPr>
          <w:spacing w:val="-78"/>
        </w:rPr>
        <w:t> </w:t>
      </w:r>
      <w:r>
        <w:rPr>
          <w:spacing w:val="-78"/>
        </w:rPr>
      </w:r>
      <w:r>
        <w:rPr>
          <w:spacing w:val="2"/>
        </w:rPr>
        <w:t>按照中国注册会计师职业道德守则，我们独立于皖通科技公司，并履行了职业</w:t>
      </w:r>
      <w:r>
        <w:rPr>
          <w:spacing w:val="-99"/>
        </w:rPr>
        <w:t> </w:t>
      </w:r>
      <w:r>
        <w:rPr>
          <w:spacing w:val="-99"/>
        </w:rPr>
      </w:r>
      <w:r>
        <w:rPr>
          <w:spacing w:val="2"/>
        </w:rPr>
        <w:t>道德方面的其他责任。我们相信，我们获取的审计证据是充分、适当的，为发</w:t>
      </w:r>
    </w:p>
    <w:p>
      <w:pPr>
        <w:spacing w:after="0" w:line="408" w:lineRule="auto"/>
        <w:jc w:val="left"/>
        <w:sectPr>
          <w:type w:val="continuous"/>
          <w:pgSz w:w="11910" w:h="16840"/>
          <w:pgMar w:top="1120" w:bottom="1200" w:left="1020" w:right="0"/>
        </w:sectPr>
      </w:pPr>
    </w:p>
    <w:p>
      <w:pPr>
        <w:spacing w:line="240" w:lineRule="auto" w:before="12"/>
        <w:rPr>
          <w:rFonts w:ascii="宋体" w:hAnsi="宋体" w:cs="宋体" w:eastAsia="宋体" w:hint="default"/>
          <w:sz w:val="28"/>
          <w:szCs w:val="28"/>
        </w:rPr>
      </w:pPr>
    </w:p>
    <w:p>
      <w:pPr>
        <w:spacing w:line="408" w:lineRule="auto" w:before="14"/>
        <w:ind w:left="676" w:right="6794" w:hanging="564"/>
        <w:jc w:val="left"/>
        <w:rPr>
          <w:rFonts w:ascii="宋体" w:hAnsi="宋体" w:cs="宋体" w:eastAsia="宋体" w:hint="default"/>
          <w:sz w:val="28"/>
          <w:szCs w:val="28"/>
        </w:rPr>
      </w:pPr>
      <w:r>
        <w:rPr>
          <w:rFonts w:ascii="宋体" w:hAnsi="宋体" w:cs="宋体" w:eastAsia="宋体" w:hint="default"/>
          <w:spacing w:val="-2"/>
          <w:sz w:val="28"/>
          <w:szCs w:val="28"/>
        </w:rPr>
        <w:t>表审计意见提供了基础。</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b/>
          <w:bCs/>
          <w:sz w:val="28"/>
          <w:szCs w:val="28"/>
        </w:rPr>
        <w:t>三、关键审计事项</w:t>
      </w:r>
      <w:r>
        <w:rPr>
          <w:rFonts w:ascii="宋体" w:hAnsi="宋体" w:cs="宋体" w:eastAsia="宋体" w:hint="default"/>
          <w:sz w:val="28"/>
          <w:szCs w:val="28"/>
        </w:rPr>
      </w:r>
    </w:p>
    <w:p>
      <w:pPr>
        <w:pStyle w:val="Heading3"/>
        <w:spacing w:line="408" w:lineRule="auto"/>
        <w:ind w:right="1130"/>
        <w:jc w:val="both"/>
      </w:pPr>
      <w:r>
        <w:rPr>
          <w:spacing w:val="2"/>
        </w:rPr>
        <w:t>关键审计事项是我们根据职业判断，认为对本期财务报表审计最为重要的</w:t>
      </w:r>
      <w:r>
        <w:rPr>
          <w:w w:val="100"/>
        </w:rPr>
        <w:t> </w:t>
      </w:r>
      <w:r>
        <w:rPr>
          <w:spacing w:val="2"/>
        </w:rPr>
        <w:t>事项。这些事项的应对以对财务报表整体进行审计并形成审计意见为背景，我</w:t>
      </w:r>
      <w:r>
        <w:rPr>
          <w:spacing w:val="-99"/>
        </w:rPr>
        <w:t> </w:t>
      </w:r>
      <w:r>
        <w:rPr>
          <w:spacing w:val="-99"/>
        </w:rPr>
      </w:r>
      <w:r>
        <w:rPr/>
        <w:t>们不对这些事项单独发表意见。</w:t>
      </w:r>
    </w:p>
    <w:p>
      <w:pPr>
        <w:pStyle w:val="Heading3"/>
        <w:spacing w:line="408" w:lineRule="auto"/>
        <w:ind w:left="674" w:right="2127" w:firstLine="0"/>
        <w:jc w:val="left"/>
      </w:pPr>
      <w:r>
        <w:rPr>
          <w:spacing w:val="-2"/>
        </w:rPr>
        <w:t>我们确定下列事项是需要在审计报告中沟通的关键审计事项。</w:t>
      </w:r>
      <w:r>
        <w:rPr>
          <w:spacing w:val="-103"/>
        </w:rPr>
        <w:t> </w:t>
      </w:r>
      <w:r>
        <w:rPr>
          <w:spacing w:val="-103"/>
        </w:rPr>
      </w:r>
      <w:r>
        <w:rPr/>
        <w:t>1.应收账款坏账准备计提</w:t>
      </w:r>
    </w:p>
    <w:p>
      <w:pPr>
        <w:pStyle w:val="Heading3"/>
        <w:spacing w:line="240" w:lineRule="auto"/>
        <w:ind w:left="674" w:right="2127" w:firstLine="0"/>
        <w:jc w:val="left"/>
      </w:pPr>
      <w:r>
        <w:rPr/>
        <w:t>2.</w:t>
      </w:r>
      <w:r>
        <w:rPr>
          <w:spacing w:val="-2"/>
        </w:rPr>
        <w:t> </w:t>
      </w:r>
      <w:r>
        <w:rPr/>
        <w:t>商誉减值</w:t>
      </w:r>
    </w:p>
    <w:p>
      <w:pPr>
        <w:spacing w:line="240" w:lineRule="auto" w:before="9"/>
        <w:rPr>
          <w:rFonts w:ascii="宋体" w:hAnsi="宋体" w:cs="宋体" w:eastAsia="宋体" w:hint="default"/>
          <w:sz w:val="19"/>
          <w:szCs w:val="19"/>
        </w:rPr>
      </w:pPr>
    </w:p>
    <w:p>
      <w:pPr>
        <w:pStyle w:val="Heading3"/>
        <w:spacing w:line="240" w:lineRule="auto" w:before="0"/>
        <w:ind w:left="674" w:right="2127" w:firstLine="0"/>
        <w:jc w:val="left"/>
      </w:pPr>
      <w:r>
        <w:rPr/>
        <w:t>3.</w:t>
      </w:r>
      <w:r>
        <w:rPr>
          <w:spacing w:val="-2"/>
        </w:rPr>
        <w:t> </w:t>
      </w:r>
      <w:r>
        <w:rPr/>
        <w:t>收入确认</w:t>
      </w:r>
    </w:p>
    <w:p>
      <w:pPr>
        <w:spacing w:line="240" w:lineRule="auto" w:before="9"/>
        <w:rPr>
          <w:rFonts w:ascii="宋体" w:hAnsi="宋体" w:cs="宋体" w:eastAsia="宋体" w:hint="default"/>
          <w:sz w:val="19"/>
          <w:szCs w:val="19"/>
        </w:rPr>
      </w:pPr>
    </w:p>
    <w:p>
      <w:pPr>
        <w:pStyle w:val="Heading3"/>
        <w:spacing w:line="408" w:lineRule="auto" w:before="0"/>
        <w:ind w:left="674" w:right="5430" w:firstLine="0"/>
        <w:jc w:val="left"/>
      </w:pPr>
      <w:r>
        <w:rPr>
          <w:spacing w:val="-2"/>
        </w:rPr>
        <w:t>（一）应收账款坏账准备计提事项</w:t>
      </w:r>
      <w:r>
        <w:rPr>
          <w:spacing w:val="-119"/>
        </w:rPr>
        <w:t> </w:t>
      </w:r>
      <w:r>
        <w:rPr>
          <w:spacing w:val="-119"/>
        </w:rPr>
      </w:r>
      <w:r>
        <w:rPr/>
        <w:t>1、事项描述</w:t>
      </w:r>
    </w:p>
    <w:p>
      <w:pPr>
        <w:pStyle w:val="Heading3"/>
        <w:spacing w:line="408" w:lineRule="auto"/>
        <w:ind w:right="1129"/>
        <w:jc w:val="both"/>
      </w:pPr>
      <w:r>
        <w:rPr>
          <w:spacing w:val="2"/>
        </w:rPr>
        <w:t>皖通科技与应收账款坏账准备计提相关的会计政策及账面金额信息请参阅</w:t>
      </w:r>
      <w:r>
        <w:rPr>
          <w:w w:val="100"/>
        </w:rPr>
        <w:t> </w:t>
      </w:r>
      <w:r>
        <w:rPr>
          <w:spacing w:val="-2"/>
        </w:rPr>
        <w:t>合并财务报表附注四（十一）与合并财务报表附注六注释4所述，截至2019年12</w:t>
      </w:r>
      <w:r>
        <w:rPr>
          <w:spacing w:val="-105"/>
        </w:rPr>
        <w:t> </w:t>
      </w:r>
      <w:r>
        <w:rPr>
          <w:spacing w:val="-105"/>
        </w:rPr>
      </w:r>
      <w:r>
        <w:rPr/>
        <w:t>月31日，应收账款余额615,084,143.84元，坏账准备金额47,293,958.14元。</w:t>
      </w:r>
    </w:p>
    <w:p>
      <w:pPr>
        <w:pStyle w:val="Heading3"/>
        <w:spacing w:line="408" w:lineRule="auto"/>
        <w:ind w:right="1130"/>
        <w:jc w:val="both"/>
      </w:pPr>
      <w:r>
        <w:rPr>
          <w:spacing w:val="2"/>
        </w:rPr>
        <w:t>由于皖通科技管理层在确定应收账款预计可回收金额时需要运用重要会计</w:t>
      </w:r>
      <w:r>
        <w:rPr>
          <w:w w:val="100"/>
        </w:rPr>
        <w:t> </w:t>
      </w:r>
      <w:r>
        <w:rPr>
          <w:spacing w:val="2"/>
        </w:rPr>
        <w:t>估计和判断，且若应收账款不能按期收回或者无法收回对财务报表的影响较为</w:t>
      </w:r>
      <w:r>
        <w:rPr>
          <w:spacing w:val="-99"/>
        </w:rPr>
        <w:t> </w:t>
      </w:r>
      <w:r>
        <w:rPr>
          <w:spacing w:val="-99"/>
        </w:rPr>
      </w:r>
      <w:r>
        <w:rPr/>
        <w:t>重大，因此我们将应收账款坏账准备计提事项作为关键审计事项。</w:t>
      </w:r>
    </w:p>
    <w:p>
      <w:pPr>
        <w:pStyle w:val="Heading3"/>
        <w:spacing w:line="408" w:lineRule="auto"/>
        <w:ind w:left="681" w:right="2127" w:hanging="8"/>
        <w:jc w:val="left"/>
      </w:pPr>
      <w:r>
        <w:rPr/>
        <w:t>2、审计应对</w:t>
      </w:r>
      <w:r>
        <w:rPr>
          <w:w w:val="100"/>
        </w:rPr>
        <w:t> </w:t>
      </w:r>
      <w:r>
        <w:rPr>
          <w:spacing w:val="-2"/>
        </w:rPr>
        <w:t>我们对于应收账款坏账准备计提所实施的重要审计程序包括：</w:t>
      </w:r>
    </w:p>
    <w:p>
      <w:pPr>
        <w:pStyle w:val="Heading3"/>
        <w:spacing w:line="408" w:lineRule="auto"/>
        <w:ind w:right="1130"/>
        <w:jc w:val="both"/>
      </w:pPr>
      <w:r>
        <w:rPr>
          <w:spacing w:val="-3"/>
        </w:rPr>
        <w:t>（1）了解和评估管理层对应收账款坏账准备计提相关内部控制的设计，并</w:t>
      </w:r>
      <w:r>
        <w:rPr>
          <w:w w:val="100"/>
        </w:rPr>
        <w:t> </w:t>
      </w:r>
      <w:r>
        <w:rPr/>
        <w:t>测试了关键控制执行的有效性；</w:t>
      </w:r>
    </w:p>
    <w:p>
      <w:pPr>
        <w:pStyle w:val="Heading3"/>
        <w:spacing w:line="240" w:lineRule="auto"/>
        <w:ind w:left="674" w:right="0" w:firstLine="0"/>
        <w:jc w:val="left"/>
      </w:pPr>
      <w:r>
        <w:rPr>
          <w:spacing w:val="-3"/>
        </w:rPr>
        <w:t>（2）对重点客户单位进行抽样检查，检查其收入确认、应收账款确认与销</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8"/>
          <w:szCs w:val="28"/>
        </w:rPr>
      </w:pPr>
    </w:p>
    <w:p>
      <w:pPr>
        <w:pStyle w:val="Heading3"/>
        <w:spacing w:line="240" w:lineRule="auto" w:before="14"/>
        <w:ind w:right="2127" w:firstLine="0"/>
        <w:jc w:val="left"/>
      </w:pPr>
      <w:r>
        <w:rPr/>
        <w:t>售合同、验收、回款原始凭证的对应关系，对账龄记录进行复核；</w:t>
      </w:r>
    </w:p>
    <w:p>
      <w:pPr>
        <w:spacing w:line="240" w:lineRule="auto" w:before="9"/>
        <w:rPr>
          <w:rFonts w:ascii="宋体" w:hAnsi="宋体" w:cs="宋体" w:eastAsia="宋体" w:hint="default"/>
          <w:sz w:val="19"/>
          <w:szCs w:val="19"/>
        </w:rPr>
      </w:pPr>
    </w:p>
    <w:p>
      <w:pPr>
        <w:pStyle w:val="Heading3"/>
        <w:spacing w:line="408" w:lineRule="auto" w:before="0"/>
        <w:ind w:right="1132"/>
        <w:jc w:val="both"/>
      </w:pPr>
      <w:r>
        <w:rPr>
          <w:spacing w:val="-3"/>
        </w:rPr>
        <w:t>（3）分析与应收账款坏账准备计提相关的会计政策政策的合理性，包括确</w:t>
      </w:r>
      <w:r>
        <w:rPr>
          <w:w w:val="100"/>
        </w:rPr>
        <w:t> </w:t>
      </w:r>
      <w:r>
        <w:rPr/>
        <w:t>定应收账款组合的依据、金额重大的判断、单独计提坏账准备的判断等；</w:t>
      </w:r>
    </w:p>
    <w:p>
      <w:pPr>
        <w:pStyle w:val="Heading3"/>
        <w:spacing w:line="408" w:lineRule="auto"/>
        <w:ind w:right="1132"/>
        <w:jc w:val="both"/>
      </w:pPr>
      <w:r>
        <w:rPr>
          <w:spacing w:val="-3"/>
        </w:rPr>
        <w:t>（4）对单项金额重大的应收账款单独进行减值测试，复核管理层对预计未</w:t>
      </w:r>
      <w:r>
        <w:rPr>
          <w:w w:val="100"/>
        </w:rPr>
        <w:t> </w:t>
      </w:r>
      <w:r>
        <w:rPr>
          <w:spacing w:val="2"/>
        </w:rPr>
        <w:t>来可获得的现金流做出的评估的依据；对于管理层按信用风险特性组合计提坏</w:t>
      </w:r>
      <w:r>
        <w:rPr>
          <w:spacing w:val="-99"/>
        </w:rPr>
        <w:t> </w:t>
      </w:r>
      <w:r>
        <w:rPr>
          <w:spacing w:val="-99"/>
        </w:rPr>
      </w:r>
      <w:r>
        <w:rPr>
          <w:spacing w:val="2"/>
        </w:rPr>
        <w:t>账准备的应收款项，结合信用风险特性及账龄，评价管理层坏账准备计提的合</w:t>
      </w:r>
      <w:r>
        <w:rPr>
          <w:spacing w:val="-99"/>
        </w:rPr>
        <w:t> </w:t>
      </w:r>
      <w:r>
        <w:rPr>
          <w:spacing w:val="-99"/>
        </w:rPr>
      </w:r>
      <w:r>
        <w:rPr/>
        <w:t>理性；</w:t>
      </w:r>
    </w:p>
    <w:p>
      <w:pPr>
        <w:pStyle w:val="Heading3"/>
        <w:spacing w:line="408" w:lineRule="auto"/>
        <w:ind w:right="1132"/>
        <w:jc w:val="both"/>
      </w:pPr>
      <w:r>
        <w:rPr>
          <w:spacing w:val="-3"/>
        </w:rPr>
        <w:t>（5）分析资产负债表日坏账准备金额与应收账款余额之间的比率，并与上</w:t>
      </w:r>
      <w:r>
        <w:rPr>
          <w:w w:val="100"/>
        </w:rPr>
        <w:t> </w:t>
      </w:r>
      <w:r>
        <w:rPr/>
        <w:t>年度进行对比，分析本期应收账款坏账准备计提是否充分；</w:t>
      </w:r>
    </w:p>
    <w:p>
      <w:pPr>
        <w:pStyle w:val="Heading3"/>
        <w:spacing w:line="408" w:lineRule="auto"/>
        <w:ind w:right="1130"/>
        <w:jc w:val="both"/>
      </w:pPr>
      <w:r>
        <w:rPr>
          <w:spacing w:val="-3"/>
        </w:rPr>
        <w:t>（6）分析应收账款的账龄和客户信誉情况，结合应收账款函证程序及检查</w:t>
      </w:r>
      <w:r>
        <w:rPr>
          <w:w w:val="100"/>
        </w:rPr>
        <w:t> </w:t>
      </w:r>
      <w:r>
        <w:rPr/>
        <w:t>期后回款情况，评价应收账款坏账准备计提的合理性；</w:t>
      </w:r>
    </w:p>
    <w:p>
      <w:pPr>
        <w:pStyle w:val="Heading3"/>
        <w:spacing w:line="408" w:lineRule="auto"/>
        <w:ind w:left="681" w:right="0" w:firstLine="0"/>
        <w:jc w:val="left"/>
      </w:pPr>
      <w:r>
        <w:rPr/>
        <w:t>（7）评估管理层对应收账款坏账准备的财务报表披露是否恰当</w:t>
      </w:r>
      <w:r>
        <w:rPr>
          <w:w w:val="100"/>
        </w:rPr>
        <w:t> </w:t>
      </w:r>
      <w:r>
        <w:rPr>
          <w:spacing w:val="2"/>
        </w:rPr>
        <w:t>基于已执行的审计工作，我们认为皖通科技对应收账款坏账准备计提的相</w:t>
      </w:r>
    </w:p>
    <w:p>
      <w:pPr>
        <w:pStyle w:val="Heading3"/>
        <w:spacing w:line="240" w:lineRule="auto"/>
        <w:ind w:right="2127" w:firstLine="0"/>
        <w:jc w:val="left"/>
      </w:pPr>
      <w:r>
        <w:rPr/>
        <w:t>关判断及估计是合理的。</w:t>
      </w:r>
    </w:p>
    <w:p>
      <w:pPr>
        <w:spacing w:line="240" w:lineRule="auto" w:before="9"/>
        <w:rPr>
          <w:rFonts w:ascii="宋体" w:hAnsi="宋体" w:cs="宋体" w:eastAsia="宋体" w:hint="default"/>
          <w:sz w:val="19"/>
          <w:szCs w:val="19"/>
        </w:rPr>
      </w:pPr>
    </w:p>
    <w:p>
      <w:pPr>
        <w:pStyle w:val="Heading3"/>
        <w:spacing w:line="408" w:lineRule="auto" w:before="0"/>
        <w:ind w:left="674" w:right="6794" w:firstLine="0"/>
        <w:jc w:val="left"/>
      </w:pPr>
      <w:r>
        <w:rPr>
          <w:spacing w:val="-2"/>
        </w:rPr>
        <w:t>（二）商誉减值事项</w:t>
      </w:r>
      <w:r>
        <w:rPr>
          <w:spacing w:val="-127"/>
        </w:rPr>
        <w:t> </w:t>
      </w:r>
      <w:r>
        <w:rPr>
          <w:spacing w:val="-127"/>
        </w:rPr>
      </w:r>
      <w:r>
        <w:rPr/>
        <w:t>1.事项描述</w:t>
      </w:r>
    </w:p>
    <w:p>
      <w:pPr>
        <w:pStyle w:val="Heading3"/>
        <w:spacing w:line="408" w:lineRule="auto"/>
        <w:ind w:right="1130"/>
        <w:jc w:val="both"/>
      </w:pPr>
      <w:r>
        <w:rPr/>
        <w:t>皖通科技合并财务报表附注六注释18所述，截至2019年12月31日，合并报</w:t>
      </w:r>
      <w:r>
        <w:rPr>
          <w:w w:val="100"/>
        </w:rPr>
        <w:t> </w:t>
      </w:r>
      <w:r>
        <w:rPr>
          <w:spacing w:val="-2"/>
        </w:rPr>
        <w:t>表商誉为313,899,287.80元，主要系：2011年9月非同一控制下企业合并烟台华</w:t>
      </w:r>
      <w:r>
        <w:rPr>
          <w:spacing w:val="-97"/>
        </w:rPr>
        <w:t> </w:t>
      </w:r>
      <w:r>
        <w:rPr>
          <w:spacing w:val="-97"/>
        </w:rPr>
      </w:r>
      <w:r>
        <w:rPr/>
        <w:t>东电子软件技术有限公司形成84,135,934.22元的商誉；2017年8月子公司安徽</w:t>
      </w:r>
      <w:r>
        <w:rPr>
          <w:spacing w:val="-40"/>
        </w:rPr>
        <w:t> </w:t>
      </w:r>
      <w:r>
        <w:rPr>
          <w:spacing w:val="-40"/>
        </w:rPr>
      </w:r>
      <w:r>
        <w:rPr>
          <w:spacing w:val="2"/>
        </w:rPr>
        <w:t>行云天下科技有限公司非同一控制下企业合并上海亲益保网络科技有限公司和</w:t>
      </w:r>
      <w:r>
        <w:rPr>
          <w:spacing w:val="-99"/>
        </w:rPr>
        <w:t> </w:t>
      </w:r>
      <w:r>
        <w:rPr>
          <w:spacing w:val="-99"/>
        </w:rPr>
      </w:r>
      <w:r>
        <w:rPr>
          <w:spacing w:val="-2"/>
        </w:rPr>
        <w:t>安徽光大保险代理有限责任公司，分别形成30,517,480.91元和1,800,625.42元</w:t>
      </w:r>
      <w:r>
        <w:rPr>
          <w:spacing w:val="-93"/>
        </w:rPr>
        <w:t> </w:t>
      </w:r>
      <w:r>
        <w:rPr>
          <w:spacing w:val="-93"/>
        </w:rPr>
      </w:r>
      <w:r>
        <w:rPr/>
        <w:t>的</w:t>
      </w:r>
      <w:r>
        <w:rPr>
          <w:spacing w:val="-105"/>
        </w:rPr>
        <w:t> </w:t>
      </w:r>
      <w:r>
        <w:rPr/>
        <w:t>商</w:t>
      </w:r>
      <w:r>
        <w:rPr>
          <w:spacing w:val="-101"/>
        </w:rPr>
        <w:t> </w:t>
      </w:r>
      <w:r>
        <w:rPr/>
        <w:t>誉</w:t>
      </w:r>
      <w:r>
        <w:rPr>
          <w:spacing w:val="-105"/>
        </w:rPr>
        <w:t> </w:t>
      </w:r>
      <w:r>
        <w:rPr/>
        <w:t>；</w:t>
      </w:r>
      <w:r>
        <w:rPr>
          <w:spacing w:val="-101"/>
        </w:rPr>
        <w:t> </w:t>
      </w:r>
      <w:r>
        <w:rPr/>
        <w:t>2018</w:t>
      </w:r>
      <w:r>
        <w:rPr>
          <w:spacing w:val="-103"/>
        </w:rPr>
        <w:t> </w:t>
      </w:r>
      <w:r>
        <w:rPr/>
        <w:t>年</w:t>
      </w:r>
      <w:r>
        <w:rPr>
          <w:spacing w:val="-101"/>
        </w:rPr>
        <w:t> </w:t>
      </w:r>
      <w:r>
        <w:rPr/>
        <w:t>1</w:t>
      </w:r>
      <w:r>
        <w:rPr>
          <w:spacing w:val="-103"/>
        </w:rPr>
        <w:t> </w:t>
      </w:r>
      <w:r>
        <w:rPr/>
        <w:t>月</w:t>
      </w:r>
      <w:r>
        <w:rPr>
          <w:spacing w:val="-105"/>
        </w:rPr>
        <w:t> </w:t>
      </w:r>
      <w:r>
        <w:rPr/>
        <w:t>非</w:t>
      </w:r>
      <w:r>
        <w:rPr>
          <w:spacing w:val="-101"/>
        </w:rPr>
        <w:t> </w:t>
      </w:r>
      <w:r>
        <w:rPr/>
        <w:t>同</w:t>
      </w:r>
      <w:r>
        <w:rPr>
          <w:spacing w:val="-105"/>
        </w:rPr>
        <w:t> </w:t>
      </w:r>
      <w:r>
        <w:rPr/>
        <w:t>一</w:t>
      </w:r>
      <w:r>
        <w:rPr>
          <w:spacing w:val="-101"/>
        </w:rPr>
        <w:t> </w:t>
      </w:r>
      <w:r>
        <w:rPr/>
        <w:t>控</w:t>
      </w:r>
      <w:r>
        <w:rPr>
          <w:spacing w:val="-105"/>
        </w:rPr>
        <w:t> </w:t>
      </w:r>
      <w:r>
        <w:rPr/>
        <w:t>制</w:t>
      </w:r>
      <w:r>
        <w:rPr>
          <w:spacing w:val="-101"/>
        </w:rPr>
        <w:t> </w:t>
      </w:r>
      <w:r>
        <w:rPr/>
        <w:t>下</w:t>
      </w:r>
      <w:r>
        <w:rPr>
          <w:spacing w:val="-105"/>
        </w:rPr>
        <w:t> </w:t>
      </w:r>
      <w:r>
        <w:rPr/>
        <w:t>企</w:t>
      </w:r>
      <w:r>
        <w:rPr>
          <w:spacing w:val="-101"/>
        </w:rPr>
        <w:t> </w:t>
      </w:r>
      <w:r>
        <w:rPr/>
        <w:t>业</w:t>
      </w:r>
      <w:r>
        <w:rPr>
          <w:spacing w:val="-105"/>
        </w:rPr>
        <w:t> </w:t>
      </w:r>
      <w:r>
        <w:rPr/>
        <w:t>合</w:t>
      </w:r>
      <w:r>
        <w:rPr>
          <w:spacing w:val="-105"/>
        </w:rPr>
        <w:t> </w:t>
      </w:r>
      <w:r>
        <w:rPr/>
        <w:t>并</w:t>
      </w:r>
      <w:r>
        <w:rPr>
          <w:spacing w:val="-101"/>
        </w:rPr>
        <w:t> </w:t>
      </w:r>
      <w:r>
        <w:rPr/>
        <w:t>成</w:t>
      </w:r>
      <w:r>
        <w:rPr>
          <w:spacing w:val="-105"/>
        </w:rPr>
        <w:t> </w:t>
      </w:r>
      <w:r>
        <w:rPr/>
        <w:t>都</w:t>
      </w:r>
      <w:r>
        <w:rPr>
          <w:spacing w:val="-101"/>
        </w:rPr>
        <w:t> </w:t>
      </w:r>
      <w:r>
        <w:rPr/>
        <w:t>赛</w:t>
      </w:r>
      <w:r>
        <w:rPr>
          <w:spacing w:val="-105"/>
        </w:rPr>
        <w:t> </w:t>
      </w:r>
      <w:r>
        <w:rPr/>
        <w:t>英</w:t>
      </w:r>
      <w:r>
        <w:rPr>
          <w:spacing w:val="-101"/>
        </w:rPr>
        <w:t> </w:t>
      </w:r>
      <w:r>
        <w:rPr/>
        <w:t>科</w:t>
      </w:r>
      <w:r>
        <w:rPr>
          <w:spacing w:val="-105"/>
        </w:rPr>
        <w:t> </w:t>
      </w:r>
      <w:r>
        <w:rPr/>
        <w:t>技</w:t>
      </w:r>
      <w:r>
        <w:rPr>
          <w:spacing w:val="-101"/>
        </w:rPr>
        <w:t> </w:t>
      </w:r>
      <w:r>
        <w:rPr/>
        <w:t>有</w:t>
      </w:r>
      <w:r>
        <w:rPr>
          <w:spacing w:val="-105"/>
        </w:rPr>
        <w:t> </w:t>
      </w:r>
      <w:r>
        <w:rPr/>
        <w:t>限</w:t>
      </w:r>
      <w:r>
        <w:rPr>
          <w:spacing w:val="-105"/>
        </w:rPr>
        <w:t> </w:t>
      </w:r>
      <w:r>
        <w:rPr/>
        <w:t>公</w:t>
      </w:r>
      <w:r>
        <w:rPr>
          <w:spacing w:val="-101"/>
        </w:rPr>
        <w:t> </w:t>
      </w:r>
      <w:r>
        <w:rPr/>
        <w:t>司</w:t>
      </w:r>
      <w:r>
        <w:rPr>
          <w:spacing w:val="-105"/>
        </w:rPr>
        <w:t> </w:t>
      </w:r>
      <w:r>
        <w:rPr/>
        <w:t>形</w:t>
      </w:r>
      <w:r>
        <w:rPr>
          <w:spacing w:val="-101"/>
        </w:rPr>
        <w:t> </w:t>
      </w:r>
      <w:r>
        <w:rPr/>
        <w:t>成</w:t>
      </w:r>
    </w:p>
    <w:p>
      <w:pPr>
        <w:spacing w:after="0" w:line="408"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8"/>
          <w:szCs w:val="28"/>
        </w:rPr>
      </w:pPr>
    </w:p>
    <w:p>
      <w:pPr>
        <w:pStyle w:val="Heading3"/>
        <w:spacing w:line="408" w:lineRule="auto" w:before="14"/>
        <w:ind w:right="1130" w:firstLine="0"/>
        <w:jc w:val="both"/>
      </w:pPr>
      <w:r>
        <w:rPr/>
        <w:t>225,581,557.33元的商誉。皖通科技需每年按照包含商誉的相关资产组的预计</w:t>
      </w:r>
      <w:r>
        <w:rPr>
          <w:spacing w:val="-37"/>
        </w:rPr>
        <w:t> </w:t>
      </w:r>
      <w:r>
        <w:rPr>
          <w:spacing w:val="-37"/>
        </w:rPr>
      </w:r>
      <w:r>
        <w:rPr>
          <w:spacing w:val="2"/>
        </w:rPr>
        <w:t>未来现金流量及折现率计算现值确定可收回金额进行商誉减值测算。由于商誉</w:t>
      </w:r>
      <w:r>
        <w:rPr>
          <w:spacing w:val="-99"/>
        </w:rPr>
        <w:t> </w:t>
      </w:r>
      <w:r>
        <w:rPr>
          <w:spacing w:val="-99"/>
        </w:rPr>
      </w:r>
      <w:r>
        <w:rPr>
          <w:spacing w:val="2"/>
        </w:rPr>
        <w:t>的减值测试需要评估相关资产组预计未来现金流量的现值，涉及管理层的重大</w:t>
      </w:r>
      <w:r>
        <w:rPr>
          <w:spacing w:val="-99"/>
        </w:rPr>
        <w:t> </w:t>
      </w:r>
      <w:r>
        <w:rPr>
          <w:spacing w:val="-99"/>
        </w:rPr>
      </w:r>
      <w:r>
        <w:rPr/>
        <w:t>判断和估计，故将商誉的减值测试作为关键审计事项。</w:t>
      </w:r>
    </w:p>
    <w:p>
      <w:pPr>
        <w:pStyle w:val="Heading3"/>
        <w:spacing w:line="408" w:lineRule="auto"/>
        <w:ind w:left="674" w:right="2127" w:firstLine="0"/>
        <w:jc w:val="left"/>
      </w:pPr>
      <w:r>
        <w:rPr/>
        <w:t>2.审计应对</w:t>
      </w:r>
      <w:r>
        <w:rPr>
          <w:w w:val="100"/>
        </w:rPr>
        <w:t> </w:t>
      </w:r>
      <w:r>
        <w:rPr>
          <w:spacing w:val="-2"/>
        </w:rPr>
        <w:t>针对商誉减值测试，我们实施的重要审计程序主要包括：</w:t>
      </w:r>
    </w:p>
    <w:p>
      <w:pPr>
        <w:pStyle w:val="Heading3"/>
        <w:spacing w:line="408" w:lineRule="auto"/>
        <w:ind w:right="1132"/>
        <w:jc w:val="both"/>
      </w:pPr>
      <w:r>
        <w:rPr>
          <w:spacing w:val="-3"/>
        </w:rPr>
        <w:t>（1）与公司管理层讨论商誉减值测试过程中所使用的方法、关键评估的假</w:t>
      </w:r>
      <w:r>
        <w:rPr>
          <w:w w:val="100"/>
        </w:rPr>
        <w:t> </w:t>
      </w:r>
      <w:r>
        <w:rPr/>
        <w:t>设、参数的选择、预测未来收入及现金流折现率等的合理性；</w:t>
      </w:r>
    </w:p>
    <w:p>
      <w:pPr>
        <w:pStyle w:val="Heading3"/>
        <w:spacing w:line="408" w:lineRule="auto"/>
        <w:ind w:right="1130"/>
        <w:jc w:val="both"/>
      </w:pPr>
      <w:r>
        <w:rPr>
          <w:spacing w:val="-3"/>
        </w:rPr>
        <w:t>（2）获取公司资产组可收回金额预测的相关资料，评估可收回金额预测的</w:t>
      </w:r>
      <w:r>
        <w:rPr>
          <w:w w:val="100"/>
        </w:rPr>
        <w:t> </w:t>
      </w:r>
      <w:r>
        <w:rPr>
          <w:spacing w:val="2"/>
        </w:rPr>
        <w:t>模式、销售收入增长率、毛利率、费用率以及折现率等关键参数的选择是否合</w:t>
      </w:r>
      <w:r>
        <w:rPr>
          <w:spacing w:val="-99"/>
        </w:rPr>
        <w:t> </w:t>
      </w:r>
      <w:r>
        <w:rPr>
          <w:spacing w:val="-99"/>
        </w:rPr>
      </w:r>
      <w:r>
        <w:rPr/>
        <w:t>理；</w:t>
      </w:r>
    </w:p>
    <w:p>
      <w:pPr>
        <w:pStyle w:val="Heading3"/>
        <w:spacing w:line="408" w:lineRule="auto"/>
        <w:ind w:right="1132"/>
        <w:jc w:val="both"/>
      </w:pPr>
      <w:r>
        <w:rPr>
          <w:spacing w:val="-3"/>
        </w:rPr>
        <w:t>（3）将相关资产组本年的实际经营成果与本年度的预测进行比较，以评价</w:t>
      </w:r>
      <w:r>
        <w:rPr>
          <w:w w:val="100"/>
        </w:rPr>
        <w:t> </w:t>
      </w:r>
      <w:r>
        <w:rPr/>
        <w:t>管理层对资产组可收回现金流量的预测的可靠性；</w:t>
      </w:r>
    </w:p>
    <w:p>
      <w:pPr>
        <w:pStyle w:val="Heading3"/>
        <w:spacing w:line="408" w:lineRule="auto"/>
        <w:ind w:right="1130"/>
        <w:jc w:val="both"/>
      </w:pPr>
      <w:r>
        <w:rPr>
          <w:spacing w:val="-3"/>
        </w:rPr>
        <w:t>（4）重新复核商誉减值测试相关资产组可收回金额的计算过程，并与包括</w:t>
      </w:r>
      <w:r>
        <w:rPr>
          <w:w w:val="100"/>
        </w:rPr>
        <w:t> </w:t>
      </w:r>
      <w:r>
        <w:rPr>
          <w:spacing w:val="2"/>
        </w:rPr>
        <w:t>商誉在内的可辨认资产组的账面价值进行比较，判断是否需要计提商誉减值准</w:t>
      </w:r>
      <w:r>
        <w:rPr>
          <w:spacing w:val="-99"/>
        </w:rPr>
        <w:t> </w:t>
      </w:r>
      <w:r>
        <w:rPr>
          <w:spacing w:val="-99"/>
        </w:rPr>
      </w:r>
      <w:r>
        <w:rPr/>
        <w:t>备；</w:t>
      </w:r>
    </w:p>
    <w:p>
      <w:pPr>
        <w:pStyle w:val="Heading3"/>
        <w:spacing w:line="408" w:lineRule="auto"/>
        <w:ind w:left="674" w:right="0" w:firstLine="0"/>
        <w:jc w:val="left"/>
      </w:pPr>
      <w:r>
        <w:rPr/>
        <w:t>（5）评估管理层对商誉减值的财务报表披露是否恰当。</w:t>
      </w:r>
      <w:r>
        <w:rPr>
          <w:w w:val="100"/>
        </w:rPr>
        <w:t> </w:t>
      </w:r>
      <w:r>
        <w:rPr>
          <w:spacing w:val="2"/>
        </w:rPr>
        <w:t>基于已执行的审计工作，我们认为，皖通科技管理层对商誉确减值测试中</w:t>
      </w:r>
    </w:p>
    <w:p>
      <w:pPr>
        <w:pStyle w:val="Heading3"/>
        <w:spacing w:line="240" w:lineRule="auto"/>
        <w:ind w:right="0" w:firstLine="0"/>
        <w:jc w:val="both"/>
      </w:pPr>
      <w:r>
        <w:rPr/>
        <w:t>的相关判断及估计是合理的。</w:t>
      </w:r>
    </w:p>
    <w:p>
      <w:pPr>
        <w:spacing w:line="240" w:lineRule="auto" w:before="9"/>
        <w:rPr>
          <w:rFonts w:ascii="宋体" w:hAnsi="宋体" w:cs="宋体" w:eastAsia="宋体" w:hint="default"/>
          <w:sz w:val="19"/>
          <w:szCs w:val="19"/>
        </w:rPr>
      </w:pPr>
    </w:p>
    <w:p>
      <w:pPr>
        <w:pStyle w:val="Heading3"/>
        <w:spacing w:line="408" w:lineRule="auto" w:before="0"/>
        <w:ind w:left="674" w:right="8246" w:firstLine="0"/>
        <w:jc w:val="left"/>
      </w:pPr>
      <w:r>
        <w:rPr>
          <w:spacing w:val="-2"/>
        </w:rPr>
        <w:t>（三）收入确认</w:t>
      </w:r>
      <w:r>
        <w:rPr>
          <w:spacing w:val="-129"/>
        </w:rPr>
        <w:t> </w:t>
      </w:r>
      <w:r>
        <w:rPr>
          <w:spacing w:val="-129"/>
        </w:rPr>
      </w:r>
      <w:r>
        <w:rPr/>
        <w:t>1.事项描述</w:t>
      </w:r>
    </w:p>
    <w:p>
      <w:pPr>
        <w:pStyle w:val="Heading3"/>
        <w:spacing w:line="240" w:lineRule="auto"/>
        <w:ind w:left="674" w:right="0" w:firstLine="0"/>
        <w:jc w:val="left"/>
      </w:pPr>
      <w:r>
        <w:rPr>
          <w:spacing w:val="2"/>
        </w:rPr>
        <w:t>皖通科技从事软件和信息技术服务行业。皖通科技收入确认会计政策及账</w:t>
      </w:r>
    </w:p>
    <w:p>
      <w:pPr>
        <w:spacing w:after="0" w:line="240" w:lineRule="auto"/>
        <w:jc w:val="left"/>
        <w:sectPr>
          <w:pgSz w:w="11910" w:h="16840"/>
          <w:pgMar w:header="919" w:footer="1016" w:top="1120" w:bottom="1200" w:left="1020" w:right="0"/>
        </w:sectPr>
      </w:pPr>
    </w:p>
    <w:p>
      <w:pPr>
        <w:spacing w:line="240" w:lineRule="auto" w:before="12"/>
        <w:rPr>
          <w:rFonts w:ascii="宋体" w:hAnsi="宋体" w:cs="宋体" w:eastAsia="宋体" w:hint="default"/>
          <w:sz w:val="28"/>
          <w:szCs w:val="28"/>
        </w:rPr>
      </w:pPr>
    </w:p>
    <w:p>
      <w:pPr>
        <w:pStyle w:val="Heading3"/>
        <w:spacing w:line="408" w:lineRule="auto" w:before="14"/>
        <w:ind w:right="1130" w:firstLine="0"/>
        <w:jc w:val="both"/>
      </w:pPr>
      <w:r>
        <w:rPr>
          <w:spacing w:val="-6"/>
          <w:w w:val="100"/>
        </w:rPr>
        <w:t>面金额信息请参阅合并财务报表附注四（三十）、附注六注释34。2019年度，皖</w:t>
      </w:r>
      <w:r>
        <w:rPr>
          <w:spacing w:val="-128"/>
          <w:w w:val="100"/>
        </w:rPr>
        <w:t> </w:t>
      </w:r>
      <w:r>
        <w:rPr>
          <w:spacing w:val="-128"/>
          <w:w w:val="100"/>
        </w:rPr>
      </w:r>
      <w:r>
        <w:rPr/>
        <w:t>通科技实现了营业收入1,459,618,234.55元，收入主要来源系统集成及技术服</w:t>
      </w:r>
      <w:r>
        <w:rPr>
          <w:spacing w:val="-41"/>
        </w:rPr>
        <w:t> </w:t>
      </w:r>
      <w:r>
        <w:rPr>
          <w:spacing w:val="-41"/>
        </w:rPr>
      </w:r>
      <w:r>
        <w:rPr/>
        <w:t>务收入。</w:t>
      </w:r>
    </w:p>
    <w:p>
      <w:pPr>
        <w:pStyle w:val="Heading3"/>
        <w:spacing w:line="408" w:lineRule="auto"/>
        <w:ind w:right="1130"/>
        <w:jc w:val="both"/>
      </w:pPr>
      <w:r>
        <w:rPr>
          <w:spacing w:val="2"/>
        </w:rPr>
        <w:t>由于收入是皖通科技的关键业绩指标之一，从而存在管理层为了达到特定</w:t>
      </w:r>
      <w:r>
        <w:rPr>
          <w:w w:val="100"/>
        </w:rPr>
        <w:t> </w:t>
      </w:r>
      <w:r>
        <w:rPr>
          <w:spacing w:val="2"/>
        </w:rPr>
        <w:t>目标或期望而操纵收入确认时点的固有风险，我们将皖通科技收入确认识别为</w:t>
      </w:r>
      <w:r>
        <w:rPr>
          <w:spacing w:val="-99"/>
        </w:rPr>
        <w:t> </w:t>
      </w:r>
      <w:r>
        <w:rPr>
          <w:spacing w:val="-99"/>
        </w:rPr>
      </w:r>
      <w:r>
        <w:rPr/>
        <w:t>关键审计事项。</w:t>
      </w:r>
    </w:p>
    <w:p>
      <w:pPr>
        <w:pStyle w:val="Heading3"/>
        <w:spacing w:line="408" w:lineRule="auto"/>
        <w:ind w:left="674" w:right="2127" w:firstLine="0"/>
        <w:jc w:val="left"/>
      </w:pPr>
      <w:r>
        <w:rPr/>
        <w:t>2.审计应对</w:t>
      </w:r>
      <w:r>
        <w:rPr>
          <w:w w:val="100"/>
        </w:rPr>
        <w:t> </w:t>
      </w:r>
      <w:r>
        <w:rPr>
          <w:spacing w:val="-2"/>
        </w:rPr>
        <w:t>针对营业收入的确认，我们所实施的重要审计程序包括：</w:t>
      </w:r>
    </w:p>
    <w:p>
      <w:pPr>
        <w:pStyle w:val="Heading3"/>
        <w:spacing w:line="408" w:lineRule="auto"/>
        <w:ind w:right="1130"/>
        <w:jc w:val="both"/>
      </w:pPr>
      <w:r>
        <w:rPr>
          <w:spacing w:val="-3"/>
        </w:rPr>
        <w:t>（1）我们了解、评估皖通科技管理层对营业收入确认相关的内部控制的设</w:t>
      </w:r>
      <w:r>
        <w:rPr>
          <w:w w:val="100"/>
        </w:rPr>
        <w:t> </w:t>
      </w:r>
      <w:r>
        <w:rPr/>
        <w:t>计，并测试了关键控制执行的有效性。</w:t>
      </w:r>
    </w:p>
    <w:p>
      <w:pPr>
        <w:pStyle w:val="Heading3"/>
        <w:spacing w:line="408" w:lineRule="auto"/>
        <w:ind w:right="1130"/>
        <w:jc w:val="both"/>
      </w:pPr>
      <w:r>
        <w:rPr>
          <w:spacing w:val="-3"/>
        </w:rPr>
        <w:t>（2）我们通过抽样检查系统集成和技术服务收入合同，接受服务方验收合</w:t>
      </w:r>
      <w:r>
        <w:rPr>
          <w:w w:val="100"/>
        </w:rPr>
        <w:t> </w:t>
      </w:r>
      <w:r>
        <w:rPr>
          <w:spacing w:val="2"/>
        </w:rPr>
        <w:t>格单据或接受服务方并工程监理第三方根据工程进度检验情况确认工程结算报</w:t>
      </w:r>
      <w:r>
        <w:rPr>
          <w:spacing w:val="-99"/>
        </w:rPr>
        <w:t> </w:t>
      </w:r>
      <w:r>
        <w:rPr>
          <w:spacing w:val="-99"/>
        </w:rPr>
      </w:r>
      <w:r>
        <w:rPr>
          <w:spacing w:val="2"/>
        </w:rPr>
        <w:t>告和服务方确认的维护项目服务确认书或结算书及与管理层的访谈，对与系统</w:t>
      </w:r>
      <w:r>
        <w:rPr>
          <w:spacing w:val="-99"/>
        </w:rPr>
        <w:t> </w:t>
      </w:r>
      <w:r>
        <w:rPr>
          <w:spacing w:val="-99"/>
        </w:rPr>
      </w:r>
      <w:r>
        <w:rPr>
          <w:spacing w:val="2"/>
        </w:rPr>
        <w:t>集成及技术服务收入确认有关的重大风险及报酬转移时点进行了分析评估，进</w:t>
      </w:r>
      <w:r>
        <w:rPr>
          <w:spacing w:val="-99"/>
        </w:rPr>
        <w:t> </w:t>
      </w:r>
      <w:r>
        <w:rPr>
          <w:spacing w:val="-99"/>
        </w:rPr>
      </w:r>
      <w:r>
        <w:rPr/>
        <w:t>而评估皖通科技系统集成及技术服务收入的确认政策。</w:t>
      </w:r>
    </w:p>
    <w:p>
      <w:pPr>
        <w:pStyle w:val="Heading3"/>
        <w:spacing w:line="408" w:lineRule="auto"/>
        <w:ind w:right="1130"/>
        <w:jc w:val="both"/>
      </w:pPr>
      <w:r>
        <w:rPr>
          <w:spacing w:val="-3"/>
        </w:rPr>
        <w:t>（3）检查与系统集成和技术服务收入确认相关的支持性文件，包括销售合</w:t>
      </w:r>
      <w:r>
        <w:rPr>
          <w:w w:val="100"/>
        </w:rPr>
        <w:t> </w:t>
      </w:r>
      <w:r>
        <w:rPr>
          <w:spacing w:val="2"/>
        </w:rPr>
        <w:t>同、订单、接受服务方验收合格单据或接受服务方并工程监理第三方根据工程</w:t>
      </w:r>
      <w:r>
        <w:rPr>
          <w:spacing w:val="-99"/>
        </w:rPr>
        <w:t> </w:t>
      </w:r>
      <w:r>
        <w:rPr>
          <w:spacing w:val="-99"/>
        </w:rPr>
      </w:r>
      <w:r>
        <w:rPr>
          <w:spacing w:val="2"/>
        </w:rPr>
        <w:t>进度检验情况确认工程结算报告（即项目验收结算或中期支付证书）和接受服</w:t>
      </w:r>
      <w:r>
        <w:rPr>
          <w:spacing w:val="-99"/>
        </w:rPr>
        <w:t> </w:t>
      </w:r>
      <w:r>
        <w:rPr>
          <w:spacing w:val="-99"/>
        </w:rPr>
      </w:r>
      <w:r>
        <w:rPr/>
        <w:t>务方完工确认书或维护项目确认书或结算书、销售发票等。</w:t>
      </w:r>
    </w:p>
    <w:p>
      <w:pPr>
        <w:pStyle w:val="Heading3"/>
        <w:spacing w:line="408" w:lineRule="auto"/>
        <w:ind w:right="1130"/>
        <w:jc w:val="both"/>
      </w:pPr>
      <w:r>
        <w:rPr>
          <w:spacing w:val="-3"/>
        </w:rPr>
        <w:t>（4）针对资产负债表日前后确认的系统集成和技术服务收入，核对至接受</w:t>
      </w:r>
      <w:r>
        <w:rPr>
          <w:w w:val="100"/>
        </w:rPr>
        <w:t> </w:t>
      </w:r>
      <w:r>
        <w:rPr>
          <w:spacing w:val="2"/>
        </w:rPr>
        <w:t>服务方验收合格单据或接受服务方并工程监理第三方根据工程进度检验情况确</w:t>
      </w:r>
      <w:r>
        <w:rPr>
          <w:spacing w:val="-99"/>
        </w:rPr>
        <w:t> </w:t>
      </w:r>
      <w:r>
        <w:rPr>
          <w:spacing w:val="-99"/>
        </w:rPr>
      </w:r>
      <w:r>
        <w:rPr>
          <w:spacing w:val="2"/>
        </w:rPr>
        <w:t>认工程结算报告等支持性文件的最终签署日期和至接受服务方完工确认书或维</w:t>
      </w:r>
    </w:p>
    <w:p>
      <w:pPr>
        <w:spacing w:after="0" w:line="408"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8"/>
          <w:szCs w:val="28"/>
        </w:rPr>
      </w:pPr>
    </w:p>
    <w:p>
      <w:pPr>
        <w:pStyle w:val="Heading3"/>
        <w:spacing w:line="408" w:lineRule="auto" w:before="14"/>
        <w:ind w:right="0" w:firstLine="0"/>
        <w:jc w:val="left"/>
      </w:pPr>
      <w:r>
        <w:rPr>
          <w:spacing w:val="2"/>
        </w:rPr>
        <w:t>护项目确认书或结算书等支持性文件的最终签署日期，以评估系统集成和技术</w:t>
      </w:r>
      <w:r>
        <w:rPr>
          <w:spacing w:val="-99"/>
        </w:rPr>
        <w:t> </w:t>
      </w:r>
      <w:r>
        <w:rPr>
          <w:spacing w:val="-99"/>
        </w:rPr>
      </w:r>
      <w:r>
        <w:rPr/>
        <w:t>服务收入是否在恰当的期间确认；</w:t>
      </w:r>
    </w:p>
    <w:p>
      <w:pPr>
        <w:pStyle w:val="Heading3"/>
        <w:spacing w:line="408" w:lineRule="auto"/>
        <w:ind w:left="674" w:right="0" w:firstLine="0"/>
        <w:jc w:val="left"/>
      </w:pPr>
      <w:r>
        <w:rPr/>
        <w:t>（5）评估管理层对系统集成和技术服务收入的财务报表披露是否恰当。</w:t>
      </w:r>
      <w:r>
        <w:rPr>
          <w:w w:val="100"/>
        </w:rPr>
        <w:t> </w:t>
      </w:r>
      <w:r>
        <w:rPr>
          <w:spacing w:val="2"/>
        </w:rPr>
        <w:t>基于已执行的审计工作，我们认为皖通科技系统集成收入及技术服务收入</w:t>
      </w:r>
    </w:p>
    <w:p>
      <w:pPr>
        <w:spacing w:line="408" w:lineRule="auto" w:before="61"/>
        <w:ind w:left="676" w:right="6794" w:hanging="564"/>
        <w:jc w:val="left"/>
        <w:rPr>
          <w:rFonts w:ascii="宋体" w:hAnsi="宋体" w:cs="宋体" w:eastAsia="宋体" w:hint="default"/>
          <w:sz w:val="28"/>
          <w:szCs w:val="28"/>
        </w:rPr>
      </w:pPr>
      <w:r>
        <w:rPr>
          <w:rFonts w:ascii="宋体" w:hAnsi="宋体" w:cs="宋体" w:eastAsia="宋体" w:hint="default"/>
          <w:spacing w:val="-2"/>
          <w:sz w:val="28"/>
          <w:szCs w:val="28"/>
        </w:rPr>
        <w:t>符合其收入确认的会计政策。</w:t>
      </w:r>
      <w:r>
        <w:rPr>
          <w:rFonts w:ascii="宋体" w:hAnsi="宋体" w:cs="宋体" w:eastAsia="宋体" w:hint="default"/>
          <w:spacing w:val="-121"/>
          <w:sz w:val="28"/>
          <w:szCs w:val="28"/>
        </w:rPr>
        <w:t> </w:t>
      </w:r>
      <w:r>
        <w:rPr>
          <w:rFonts w:ascii="宋体" w:hAnsi="宋体" w:cs="宋体" w:eastAsia="宋体" w:hint="default"/>
          <w:spacing w:val="-121"/>
          <w:sz w:val="28"/>
          <w:szCs w:val="28"/>
        </w:rPr>
      </w:r>
      <w:r>
        <w:rPr>
          <w:rFonts w:ascii="宋体" w:hAnsi="宋体" w:cs="宋体" w:eastAsia="宋体" w:hint="default"/>
          <w:b/>
          <w:bCs/>
          <w:sz w:val="28"/>
          <w:szCs w:val="28"/>
        </w:rPr>
        <w:t>四、其他信息</w:t>
      </w:r>
      <w:r>
        <w:rPr>
          <w:rFonts w:ascii="宋体" w:hAnsi="宋体" w:cs="宋体" w:eastAsia="宋体" w:hint="default"/>
          <w:sz w:val="28"/>
          <w:szCs w:val="28"/>
        </w:rPr>
      </w:r>
    </w:p>
    <w:p>
      <w:pPr>
        <w:pStyle w:val="Heading3"/>
        <w:spacing w:line="408" w:lineRule="auto"/>
        <w:ind w:right="1130"/>
        <w:jc w:val="both"/>
      </w:pPr>
      <w:r>
        <w:rPr/>
        <w:t>皖通科技公司管理层对其他信息负责。其他信息包括2019年度报告中涵盖</w:t>
      </w:r>
      <w:r>
        <w:rPr>
          <w:w w:val="100"/>
        </w:rPr>
        <w:t> </w:t>
      </w:r>
      <w:r>
        <w:rPr/>
        <w:t>的信息，但不包括财务报表和我们的审计报告。</w:t>
      </w:r>
    </w:p>
    <w:p>
      <w:pPr>
        <w:pStyle w:val="Heading3"/>
        <w:spacing w:line="408" w:lineRule="auto"/>
        <w:ind w:right="1130"/>
        <w:jc w:val="both"/>
      </w:pPr>
      <w:r>
        <w:rPr>
          <w:spacing w:val="2"/>
        </w:rPr>
        <w:t>我们对财务报表发表的审计意见不涵盖其他信息，我们也不对其他信息发</w:t>
      </w:r>
      <w:r>
        <w:rPr>
          <w:w w:val="100"/>
        </w:rPr>
        <w:t> </w:t>
      </w:r>
      <w:r>
        <w:rPr/>
        <w:t>表任何形式的鉴证结论。</w:t>
      </w:r>
    </w:p>
    <w:p>
      <w:pPr>
        <w:pStyle w:val="Heading3"/>
        <w:spacing w:line="408" w:lineRule="auto"/>
        <w:ind w:right="1130"/>
        <w:jc w:val="both"/>
      </w:pPr>
      <w:r>
        <w:rPr>
          <w:spacing w:val="2"/>
        </w:rPr>
        <w:t>结合我们对财务报表的审计，我们的责任是阅读其他信息，在此过程中，</w:t>
      </w:r>
      <w:r>
        <w:rPr>
          <w:w w:val="100"/>
        </w:rPr>
        <w:t> </w:t>
      </w:r>
      <w:r>
        <w:rPr>
          <w:spacing w:val="2"/>
        </w:rPr>
        <w:t>考虑其他信息是否与财务报表或我们在审计过程中了解的情况存在重大不一致</w:t>
      </w:r>
      <w:r>
        <w:rPr>
          <w:spacing w:val="-99"/>
        </w:rPr>
        <w:t> </w:t>
      </w:r>
      <w:r>
        <w:rPr>
          <w:spacing w:val="-99"/>
        </w:rPr>
      </w:r>
      <w:r>
        <w:rPr/>
        <w:t>或者似乎存在重大错报。</w:t>
      </w:r>
    </w:p>
    <w:p>
      <w:pPr>
        <w:pStyle w:val="Heading3"/>
        <w:spacing w:line="408" w:lineRule="auto"/>
        <w:ind w:right="1130"/>
        <w:jc w:val="both"/>
      </w:pPr>
      <w:r>
        <w:rPr>
          <w:spacing w:val="2"/>
        </w:rPr>
        <w:t>基于我们已执行的工作，如果我们确定其他信息存在重大错报，我们应当</w:t>
      </w:r>
      <w:r>
        <w:rPr>
          <w:w w:val="100"/>
        </w:rPr>
        <w:t> </w:t>
      </w:r>
      <w:r>
        <w:rPr/>
        <w:t>报告该事实。在这方面，我们无任何事项需要报告。</w:t>
      </w:r>
    </w:p>
    <w:p>
      <w:pPr>
        <w:spacing w:line="408" w:lineRule="auto" w:before="61"/>
        <w:ind w:left="532" w:right="0" w:firstLine="144"/>
        <w:jc w:val="left"/>
        <w:rPr>
          <w:rFonts w:ascii="宋体" w:hAnsi="宋体" w:cs="宋体" w:eastAsia="宋体" w:hint="default"/>
          <w:sz w:val="28"/>
          <w:szCs w:val="28"/>
        </w:rPr>
      </w:pPr>
      <w:r>
        <w:rPr>
          <w:rFonts w:ascii="宋体" w:hAnsi="宋体" w:cs="宋体" w:eastAsia="宋体" w:hint="default"/>
          <w:b/>
          <w:bCs/>
          <w:sz w:val="28"/>
          <w:szCs w:val="28"/>
        </w:rPr>
        <w:t>五、管理层和治理层对财务报表的责任</w:t>
      </w:r>
      <w:r>
        <w:rPr>
          <w:rFonts w:ascii="宋体" w:hAnsi="宋体" w:cs="宋体" w:eastAsia="宋体" w:hint="default"/>
          <w:b/>
          <w:bCs/>
          <w:w w:val="99"/>
          <w:sz w:val="28"/>
          <w:szCs w:val="28"/>
        </w:rPr>
        <w:t> </w:t>
      </w:r>
      <w:r>
        <w:rPr>
          <w:rFonts w:ascii="宋体" w:hAnsi="宋体" w:cs="宋体" w:eastAsia="宋体" w:hint="default"/>
          <w:spacing w:val="-3"/>
          <w:sz w:val="28"/>
          <w:szCs w:val="28"/>
        </w:rPr>
        <w:t>皖通科技公司管理层负责按照企业会计准则的规定编制财务报表，使其实现</w:t>
      </w:r>
    </w:p>
    <w:p>
      <w:pPr>
        <w:pStyle w:val="Heading3"/>
        <w:spacing w:line="408" w:lineRule="auto"/>
        <w:ind w:right="0" w:firstLine="0"/>
        <w:jc w:val="left"/>
      </w:pPr>
      <w:r>
        <w:rPr>
          <w:spacing w:val="2"/>
        </w:rPr>
        <w:t>公允反映，并设计、执行和维护必要的内部控制，以使财务报表不存在由于舞</w:t>
      </w:r>
      <w:r>
        <w:rPr>
          <w:spacing w:val="-99"/>
        </w:rPr>
        <w:t> </w:t>
      </w:r>
      <w:r>
        <w:rPr>
          <w:spacing w:val="-99"/>
        </w:rPr>
      </w:r>
      <w:r>
        <w:rPr/>
        <w:t>弊或错误导致的重大错报。</w:t>
      </w:r>
    </w:p>
    <w:p>
      <w:pPr>
        <w:pStyle w:val="Heading3"/>
        <w:spacing w:line="408" w:lineRule="auto"/>
        <w:ind w:right="1130"/>
        <w:jc w:val="both"/>
      </w:pPr>
      <w:r>
        <w:rPr>
          <w:spacing w:val="2"/>
        </w:rPr>
        <w:t>在编制财务报表时，皖通科技公司管理层负责评估皖通科技公司的持续经</w:t>
      </w:r>
      <w:r>
        <w:rPr>
          <w:w w:val="100"/>
        </w:rPr>
        <w:t> </w:t>
      </w:r>
      <w:r>
        <w:rPr>
          <w:spacing w:val="-7"/>
          <w:w w:val="100"/>
        </w:rPr>
        <w:t>营能力，披露与持续经营相关的事项（如适用），并运用持续经营假设，除非管</w:t>
      </w:r>
      <w:r>
        <w:rPr>
          <w:spacing w:val="-111"/>
          <w:w w:val="100"/>
        </w:rPr>
        <w:t> </w:t>
      </w:r>
      <w:r>
        <w:rPr>
          <w:spacing w:val="-111"/>
          <w:w w:val="100"/>
        </w:rPr>
      </w:r>
      <w:r>
        <w:rPr/>
        <w:t>理层计划清算皖通科技公司、终止运营或别无其他现实的选择。</w:t>
      </w:r>
    </w:p>
    <w:p>
      <w:pPr>
        <w:spacing w:after="0" w:line="408"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8"/>
          <w:szCs w:val="28"/>
        </w:rPr>
      </w:pPr>
    </w:p>
    <w:p>
      <w:pPr>
        <w:spacing w:line="408" w:lineRule="auto" w:before="14"/>
        <w:ind w:left="674" w:right="0" w:firstLine="2"/>
        <w:jc w:val="left"/>
        <w:rPr>
          <w:rFonts w:ascii="宋体" w:hAnsi="宋体" w:cs="宋体" w:eastAsia="宋体" w:hint="default"/>
          <w:sz w:val="28"/>
          <w:szCs w:val="28"/>
        </w:rPr>
      </w:pPr>
      <w:r>
        <w:rPr>
          <w:rFonts w:ascii="宋体" w:hAnsi="宋体" w:cs="宋体" w:eastAsia="宋体" w:hint="default"/>
          <w:b/>
          <w:bCs/>
          <w:sz w:val="28"/>
          <w:szCs w:val="28"/>
        </w:rPr>
        <w:t>六、注册会计师对财务报表审计的责任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我们的目标是对财务报表整体是否不存在由于舞弊或错误导致的重大错报</w:t>
      </w:r>
    </w:p>
    <w:p>
      <w:pPr>
        <w:pStyle w:val="Heading3"/>
        <w:spacing w:line="408" w:lineRule="auto"/>
        <w:ind w:right="1132" w:firstLine="0"/>
        <w:jc w:val="both"/>
      </w:pPr>
      <w:r>
        <w:rPr>
          <w:spacing w:val="2"/>
        </w:rPr>
        <w:t>获取合理保证，并出具包含审计意见的审计报告。合理保证是高水平的保证，</w:t>
      </w:r>
      <w:r>
        <w:rPr>
          <w:spacing w:val="-99"/>
        </w:rPr>
        <w:t> </w:t>
      </w:r>
      <w:r>
        <w:rPr>
          <w:spacing w:val="-99"/>
        </w:rPr>
      </w:r>
      <w:r>
        <w:rPr>
          <w:spacing w:val="2"/>
        </w:rPr>
        <w:t>但并不能保证按照审计准则执行的审计在某一重大错报存在时总能发现。错报</w:t>
      </w:r>
      <w:r>
        <w:rPr>
          <w:spacing w:val="-99"/>
        </w:rPr>
        <w:t> </w:t>
      </w:r>
      <w:r>
        <w:rPr>
          <w:spacing w:val="-99"/>
        </w:rPr>
      </w:r>
      <w:r>
        <w:rPr>
          <w:spacing w:val="2"/>
        </w:rPr>
        <w:t>可能由于舞弊或错误导致，如果合理预期错报单独或汇总起来可能影响财务报</w:t>
      </w:r>
      <w:r>
        <w:rPr>
          <w:spacing w:val="-99"/>
        </w:rPr>
        <w:t> </w:t>
      </w:r>
      <w:r>
        <w:rPr>
          <w:spacing w:val="-99"/>
        </w:rPr>
      </w:r>
      <w:r>
        <w:rPr/>
        <w:t>表使用者依据财务报表作出的经济决策，则通常认为错报是重大的。</w:t>
      </w:r>
    </w:p>
    <w:p>
      <w:pPr>
        <w:pStyle w:val="Heading3"/>
        <w:spacing w:line="408" w:lineRule="auto"/>
        <w:ind w:right="1130"/>
        <w:jc w:val="both"/>
      </w:pPr>
      <w:r>
        <w:rPr>
          <w:spacing w:val="2"/>
        </w:rPr>
        <w:t>在按照审计准则执行审计工作的过程中，我们运用职业判断，并保持职业</w:t>
      </w:r>
      <w:r>
        <w:rPr>
          <w:w w:val="100"/>
        </w:rPr>
        <w:t> </w:t>
      </w:r>
      <w:r>
        <w:rPr/>
        <w:t>怀疑。同时，我们也执行以下工作：</w:t>
      </w:r>
    </w:p>
    <w:p>
      <w:pPr>
        <w:pStyle w:val="Heading3"/>
        <w:spacing w:line="408" w:lineRule="auto"/>
        <w:ind w:right="1130"/>
        <w:jc w:val="both"/>
      </w:pPr>
      <w:r>
        <w:rPr>
          <w:spacing w:val="2"/>
        </w:rPr>
        <w:t>1.识别和评估由于舞弊或错误导致的财务报表重大错报风险，设计和实施</w:t>
      </w:r>
      <w:r>
        <w:rPr>
          <w:w w:val="100"/>
        </w:rPr>
        <w:t> </w:t>
      </w:r>
      <w:r>
        <w:rPr>
          <w:spacing w:val="2"/>
        </w:rPr>
        <w:t>审计程序以应对这些风险，并获取充分、适当的审计证据，作为发表审计意见</w:t>
      </w:r>
      <w:r>
        <w:rPr>
          <w:spacing w:val="-99"/>
        </w:rPr>
        <w:t> </w:t>
      </w:r>
      <w:r>
        <w:rPr>
          <w:spacing w:val="-99"/>
        </w:rPr>
      </w:r>
      <w:r>
        <w:rPr>
          <w:spacing w:val="2"/>
        </w:rPr>
        <w:t>的基础。由于舞弊可能涉及串通、伪造、故意遗漏、虚假陈述或凌驾于内部控</w:t>
      </w:r>
      <w:r>
        <w:rPr>
          <w:spacing w:val="-99"/>
        </w:rPr>
        <w:t> </w:t>
      </w:r>
      <w:r>
        <w:rPr>
          <w:spacing w:val="-99"/>
        </w:rPr>
      </w:r>
      <w:r>
        <w:rPr>
          <w:spacing w:val="2"/>
        </w:rPr>
        <w:t>制之上，未能发现由于舞弊导致的重大错报的风险高于未能发现由于错误导致</w:t>
      </w:r>
      <w:r>
        <w:rPr>
          <w:spacing w:val="-99"/>
        </w:rPr>
        <w:t> </w:t>
      </w:r>
      <w:r>
        <w:rPr>
          <w:spacing w:val="-99"/>
        </w:rPr>
      </w:r>
      <w:r>
        <w:rPr/>
        <w:t>的重大错报的风险。</w:t>
      </w:r>
    </w:p>
    <w:p>
      <w:pPr>
        <w:pStyle w:val="Heading3"/>
        <w:spacing w:line="408" w:lineRule="auto"/>
        <w:ind w:right="1130"/>
        <w:jc w:val="both"/>
      </w:pPr>
      <w:r>
        <w:rPr>
          <w:spacing w:val="2"/>
        </w:rPr>
        <w:t>2.了解与审计相关的内部控制，以设计恰当的审计程序，但目的并非对内</w:t>
      </w:r>
      <w:r>
        <w:rPr>
          <w:w w:val="100"/>
        </w:rPr>
        <w:t> </w:t>
      </w:r>
      <w:r>
        <w:rPr/>
        <w:t>部控制的有效性发表意见。</w:t>
      </w:r>
    </w:p>
    <w:p>
      <w:pPr>
        <w:pStyle w:val="Heading3"/>
        <w:spacing w:line="408" w:lineRule="auto"/>
        <w:ind w:right="1130"/>
        <w:jc w:val="both"/>
      </w:pPr>
      <w:r>
        <w:rPr>
          <w:spacing w:val="9"/>
        </w:rPr>
        <w:t>3.评价管理层选用会计政策的恰当性和作出会计估计及相关披露的合理</w:t>
      </w:r>
      <w:r>
        <w:rPr>
          <w:w w:val="100"/>
        </w:rPr>
        <w:t> </w:t>
      </w:r>
      <w:r>
        <w:rPr/>
        <w:t>性。</w:t>
      </w:r>
    </w:p>
    <w:p>
      <w:pPr>
        <w:pStyle w:val="Heading3"/>
        <w:spacing w:line="408" w:lineRule="auto"/>
        <w:ind w:right="1130"/>
        <w:jc w:val="both"/>
      </w:pPr>
      <w:r>
        <w:rPr>
          <w:spacing w:val="2"/>
        </w:rPr>
        <w:t>4.对管理层使用持续经营假设的恰当性得出结论。同时，根据获取的审计</w:t>
      </w:r>
      <w:r>
        <w:rPr>
          <w:w w:val="100"/>
        </w:rPr>
        <w:t> </w:t>
      </w:r>
      <w:r>
        <w:rPr>
          <w:spacing w:val="2"/>
        </w:rPr>
        <w:t>证据，就可能导致对皖通科技公司持续经营能力产生重大疑虑的事项或情况是</w:t>
      </w:r>
      <w:r>
        <w:rPr>
          <w:spacing w:val="-99"/>
        </w:rPr>
        <w:t> </w:t>
      </w:r>
      <w:r>
        <w:rPr>
          <w:spacing w:val="-99"/>
        </w:rPr>
      </w:r>
      <w:r>
        <w:rPr>
          <w:spacing w:val="2"/>
        </w:rPr>
        <w:t>否存在重大不确定性得出结论。如果我们得出结论认为存在重大不确定性，审</w:t>
      </w:r>
      <w:r>
        <w:rPr>
          <w:spacing w:val="-99"/>
        </w:rPr>
        <w:t> </w:t>
      </w:r>
      <w:r>
        <w:rPr>
          <w:spacing w:val="-99"/>
        </w:rPr>
      </w:r>
      <w:r>
        <w:rPr>
          <w:spacing w:val="2"/>
        </w:rPr>
        <w:t>计准则要求我们在审计报告中提请报告使用者注意财务报表中的相关披露；如</w:t>
      </w:r>
      <w:r>
        <w:rPr>
          <w:spacing w:val="-99"/>
        </w:rPr>
        <w:t> </w:t>
      </w:r>
      <w:r>
        <w:rPr>
          <w:spacing w:val="-99"/>
        </w:rPr>
      </w:r>
      <w:r>
        <w:rPr>
          <w:spacing w:val="2"/>
        </w:rPr>
        <w:t>果披露不充分，我们应当发表非无保留意见。我们的结论基于截至审计报告日</w:t>
      </w:r>
    </w:p>
    <w:p>
      <w:pPr>
        <w:spacing w:after="0" w:line="408" w:lineRule="auto"/>
        <w:jc w:val="both"/>
        <w:sectPr>
          <w:pgSz w:w="11910" w:h="16840"/>
          <w:pgMar w:header="919" w:footer="1016" w:top="1120" w:bottom="1200" w:left="1020" w:right="0"/>
        </w:sectPr>
      </w:pPr>
    </w:p>
    <w:p>
      <w:pPr>
        <w:spacing w:line="240" w:lineRule="auto" w:before="12"/>
        <w:rPr>
          <w:rFonts w:ascii="宋体" w:hAnsi="宋体" w:cs="宋体" w:eastAsia="宋体" w:hint="default"/>
          <w:sz w:val="28"/>
          <w:szCs w:val="28"/>
        </w:rPr>
      </w:pPr>
    </w:p>
    <w:p>
      <w:pPr>
        <w:pStyle w:val="Heading3"/>
        <w:spacing w:line="408" w:lineRule="auto" w:before="14"/>
        <w:ind w:left="674" w:right="0" w:hanging="562"/>
        <w:jc w:val="left"/>
      </w:pPr>
      <w:r>
        <w:rPr>
          <w:spacing w:val="-3"/>
        </w:rPr>
        <w:t>可获得的信息。然而，未来的事项或情况可能导致皖通科技公司不能持续经营。</w:t>
      </w:r>
      <w:r>
        <w:rPr>
          <w:spacing w:val="-77"/>
        </w:rPr>
        <w:t> </w:t>
      </w:r>
      <w:r>
        <w:rPr>
          <w:spacing w:val="-77"/>
        </w:rPr>
      </w:r>
      <w:r>
        <w:rPr>
          <w:spacing w:val="2"/>
        </w:rPr>
        <w:t>5.评价财务报表的总体列报、结构和内容，并评价财务报表是否公允反映</w:t>
      </w:r>
    </w:p>
    <w:p>
      <w:pPr>
        <w:pStyle w:val="Heading3"/>
        <w:spacing w:line="408" w:lineRule="auto"/>
        <w:ind w:left="674" w:right="0" w:hanging="562"/>
        <w:jc w:val="left"/>
      </w:pPr>
      <w:r>
        <w:rPr/>
        <w:t>相关交易和事项。</w:t>
      </w:r>
      <w:r>
        <w:rPr>
          <w:w w:val="100"/>
        </w:rPr>
        <w:t> </w:t>
      </w:r>
      <w:r>
        <w:rPr>
          <w:spacing w:val="2"/>
        </w:rPr>
        <w:t>6.就皖通科技公司中实体或业务活动的财务信息获取充分、适当的审计证</w:t>
      </w:r>
    </w:p>
    <w:p>
      <w:pPr>
        <w:pStyle w:val="Heading3"/>
        <w:spacing w:line="408" w:lineRule="auto"/>
        <w:ind w:right="0" w:firstLine="0"/>
        <w:jc w:val="left"/>
      </w:pPr>
      <w:r>
        <w:rPr>
          <w:spacing w:val="2"/>
        </w:rPr>
        <w:t>据，以对财务报表发表意见。我们负责指导、监督和执行集团审计。我们对审</w:t>
      </w:r>
      <w:r>
        <w:rPr>
          <w:spacing w:val="-99"/>
        </w:rPr>
        <w:t> </w:t>
      </w:r>
      <w:r>
        <w:rPr>
          <w:spacing w:val="-99"/>
        </w:rPr>
      </w:r>
      <w:r>
        <w:rPr/>
        <w:t>计意见承担全部责任。</w:t>
      </w:r>
    </w:p>
    <w:p>
      <w:pPr>
        <w:pStyle w:val="Heading3"/>
        <w:spacing w:line="408" w:lineRule="auto"/>
        <w:ind w:right="1130"/>
        <w:jc w:val="both"/>
      </w:pPr>
      <w:r>
        <w:rPr>
          <w:spacing w:val="2"/>
        </w:rPr>
        <w:t>我们与治理层就计划的审计范围、时间安排和重大审计发现等事项进行沟</w:t>
      </w:r>
      <w:r>
        <w:rPr>
          <w:w w:val="100"/>
        </w:rPr>
        <w:t> </w:t>
      </w:r>
      <w:r>
        <w:rPr/>
        <w:t>通，包括沟通我们在审计中识别出的值得关注的内部控制缺陷。</w:t>
      </w:r>
    </w:p>
    <w:p>
      <w:pPr>
        <w:pStyle w:val="Heading3"/>
        <w:spacing w:line="408" w:lineRule="auto"/>
        <w:ind w:right="1130"/>
        <w:jc w:val="both"/>
      </w:pPr>
      <w:r>
        <w:rPr>
          <w:spacing w:val="2"/>
        </w:rPr>
        <w:t>我们还就已遵守与独立性相关的职业道德要求向治理层提供声明，并与治</w:t>
      </w:r>
      <w:r>
        <w:rPr>
          <w:w w:val="100"/>
        </w:rPr>
        <w:t> </w:t>
      </w:r>
      <w:r>
        <w:rPr>
          <w:spacing w:val="2"/>
        </w:rPr>
        <w:t>理层沟通可能被合理认为影响我们独立性的所有关系和其他事项，以及相关的</w:t>
      </w:r>
      <w:r>
        <w:rPr>
          <w:spacing w:val="-99"/>
        </w:rPr>
        <w:t> </w:t>
      </w:r>
      <w:r>
        <w:rPr>
          <w:spacing w:val="-99"/>
        </w:rPr>
      </w:r>
      <w:r>
        <w:rPr>
          <w:spacing w:val="-16"/>
          <w:w w:val="100"/>
        </w:rPr>
        <w:t>防范措施（如适用）。</w:t>
      </w:r>
    </w:p>
    <w:p>
      <w:pPr>
        <w:pStyle w:val="Heading3"/>
        <w:spacing w:line="408" w:lineRule="auto"/>
        <w:ind w:right="1130"/>
        <w:jc w:val="both"/>
      </w:pPr>
      <w:r>
        <w:rPr>
          <w:spacing w:val="2"/>
        </w:rPr>
        <w:t>从与治理层沟通过的事项中，我们确定哪些事项对本期财务报表审计最为</w:t>
      </w:r>
      <w:r>
        <w:rPr>
          <w:w w:val="100"/>
        </w:rPr>
        <w:t> </w:t>
      </w:r>
      <w:r>
        <w:rPr>
          <w:spacing w:val="2"/>
        </w:rPr>
        <w:t>重要，因而构成关键审计事项。我们在审计报告中描述这些事项，除非法律法</w:t>
      </w:r>
      <w:r>
        <w:rPr>
          <w:spacing w:val="-99"/>
        </w:rPr>
        <w:t> </w:t>
      </w:r>
      <w:r>
        <w:rPr>
          <w:spacing w:val="-99"/>
        </w:rPr>
      </w:r>
      <w:r>
        <w:rPr>
          <w:spacing w:val="2"/>
        </w:rPr>
        <w:t>规禁止公开披露这些事项，或在极少数情形下，如果合理预期在审计报告中沟</w:t>
      </w:r>
      <w:r>
        <w:rPr>
          <w:spacing w:val="-99"/>
        </w:rPr>
        <w:t> </w:t>
      </w:r>
      <w:r>
        <w:rPr>
          <w:spacing w:val="-99"/>
        </w:rPr>
      </w:r>
      <w:r>
        <w:rPr>
          <w:spacing w:val="2"/>
        </w:rPr>
        <w:t>通某事项造成的负面后果超过在公众利益方面产生的益处，我们确定不应在审</w:t>
      </w:r>
      <w:r>
        <w:rPr>
          <w:spacing w:val="-99"/>
        </w:rPr>
        <w:t> </w:t>
      </w:r>
      <w:r>
        <w:rPr>
          <w:spacing w:val="-99"/>
        </w:rPr>
      </w:r>
      <w:r>
        <w:rPr/>
        <w:t>计报告中沟通该事项。</w:t>
      </w:r>
    </w:p>
    <w:p>
      <w:pPr>
        <w:pStyle w:val="Heading3"/>
        <w:tabs>
          <w:tab w:pos="5270" w:val="left" w:leader="none"/>
          <w:tab w:pos="5980" w:val="left" w:leader="none"/>
        </w:tabs>
        <w:spacing w:line="422" w:lineRule="auto" w:before="71"/>
        <w:ind w:left="1776" w:right="2942" w:hanging="1400"/>
        <w:jc w:val="left"/>
      </w:pPr>
      <w:r>
        <w:rPr>
          <w:spacing w:val="-2"/>
        </w:rPr>
        <w:t>大华会计师事务所(特殊普通合伙)</w:t>
        <w:tab/>
        <w:t>中国注册会计师：</w:t>
      </w:r>
      <w:r>
        <w:rPr>
          <w:spacing w:val="-127"/>
        </w:rPr>
        <w:t> </w:t>
      </w:r>
      <w:r>
        <w:rPr>
          <w:spacing w:val="-127"/>
        </w:rPr>
      </w:r>
      <w:r>
        <w:rPr>
          <w:spacing w:val="-2"/>
        </w:rPr>
        <w:t>中国</w:t>
      </w:r>
      <w:r>
        <w:rPr>
          <w:rFonts w:ascii="宋体" w:hAnsi="宋体" w:cs="宋体" w:eastAsia="宋体" w:hint="default"/>
          <w:b/>
          <w:bCs/>
          <w:spacing w:val="-2"/>
        </w:rPr>
        <w:t>·</w:t>
      </w:r>
      <w:r>
        <w:rPr>
          <w:spacing w:val="-2"/>
        </w:rPr>
        <w:t>北京</w:t>
        <w:tab/>
        <w:tab/>
        <w:t>（项目合伙人）</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6"/>
          <w:szCs w:val="26"/>
        </w:rPr>
      </w:pPr>
    </w:p>
    <w:p>
      <w:pPr>
        <w:pStyle w:val="Heading3"/>
        <w:spacing w:line="240" w:lineRule="auto" w:before="0"/>
        <w:ind w:left="2917" w:right="1021" w:firstLine="0"/>
        <w:jc w:val="center"/>
      </w:pPr>
      <w:r>
        <w:rPr/>
        <w:t>中国注册会计师：</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240" w:lineRule="auto" w:before="187"/>
        <w:ind w:left="2917" w:right="1021" w:firstLine="0"/>
        <w:jc w:val="center"/>
      </w:pPr>
      <w:r>
        <w:rPr/>
        <w:t>二〇二〇年四月二十七日</w:t>
      </w:r>
    </w:p>
    <w:p>
      <w:pPr>
        <w:spacing w:after="0" w:line="240" w:lineRule="auto"/>
        <w:jc w:val="center"/>
        <w:sectPr>
          <w:pgSz w:w="11910" w:h="16840"/>
          <w:pgMar w:header="919" w:footer="1016" w:top="1120" w:bottom="1200" w:left="1020" w:right="0"/>
        </w:sectPr>
      </w:pPr>
    </w:p>
    <w:p>
      <w:pPr>
        <w:spacing w:line="240" w:lineRule="auto" w:before="8"/>
        <w:rPr>
          <w:rFonts w:ascii="宋体" w:hAnsi="宋体" w:cs="宋体" w:eastAsia="宋体" w:hint="default"/>
          <w:sz w:val="18"/>
          <w:szCs w:val="18"/>
        </w:rPr>
      </w:pPr>
    </w:p>
    <w:p>
      <w:pPr>
        <w:pStyle w:val="Heading4"/>
        <w:spacing w:line="240" w:lineRule="auto" w:before="26"/>
        <w:ind w:right="2127"/>
        <w:jc w:val="left"/>
        <w:rPr>
          <w:b w:val="0"/>
          <w:bCs w:val="0"/>
        </w:rPr>
      </w:pPr>
      <w:bookmarkStart w:name="二、财务报表" w:id="160"/>
      <w:bookmarkEnd w:id="160"/>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5"/>
          <w:pgSz w:w="11910" w:h="16840"/>
          <w:pgMar w:footer="1016" w:header="919" w:top="1120" w:bottom="1200" w:left="1020" w:right="0"/>
          <w:pgNumType w:start="10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编制单位：安徽皖通科技股份有限公司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20" w:bottom="1200" w:left="1020" w:right="0"/>
          <w:cols w:num="3" w:equalWidth="0">
            <w:col w:w="3173" w:space="904"/>
            <w:col w:w="1599" w:space="3242"/>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929,926,269.60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885,857,429.84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32,463,582.24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33,026,210.66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567,790,185.70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439,790,844.95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31,338,578.43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66,926,621.08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37,277,997.89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73,708,345.96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87,707,125.96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555,000.00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522,442,301.26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434,846,679.10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15,868,032.84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7,327,360.74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2,260,463,917.11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1,925,833,649.14</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4,862,149.17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29,025,687.18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3,100,406.48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4,662,215.64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3,541,762.51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4,757,149.17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364,096,120.34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364,413,457.50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59,421,559.82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154,820,391.62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154,615,258.18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5,760,309.41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35,963,292.14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313,899,287.80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313,899,287.80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11,534,340.92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432,983.92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14,521,950.49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12,980,223.13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5,642,344.37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17,381,365.95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968,141,356.76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911,190,186.78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3,228,605,273.87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2,837,023,835.92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30,832,688.50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127,301,131.32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22,004,085.71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539,863,482.15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468,651,800.35</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113,029,255.35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124,649,404.12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64,863,871.01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25,678,899.05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35,019,610.29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20,317,962.79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52,894,369.40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48,394,404.88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963,804,408.02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736,696,556.90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695,206.89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2,669,544.87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3,209,124.08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2,869,544.87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3,904,330.97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966,673,952.89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740,600,887.87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412,072,469.00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412,135,469.00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1,045,865,111.37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1,034,339,588.87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65,038,876.06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50,134,527.00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660,052,573.42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518,743,897.74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2,183,029,029.85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2,015,353,482.61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78,902,291.13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81,069,465.44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2,261,931,320.98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2,096,422,948.05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3,228,605,273.87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2,837,023,835.92</w:t>
            </w:r>
          </w:p>
        </w:tc>
      </w:tr>
    </w:tbl>
    <w:p>
      <w:pPr>
        <w:spacing w:line="240" w:lineRule="auto" w:before="1"/>
        <w:rPr>
          <w:rFonts w:ascii="Times New Roman" w:hAnsi="Times New Roman" w:cs="Times New Roman" w:eastAsia="Times New Roman" w:hint="default"/>
          <w:sz w:val="23"/>
          <w:szCs w:val="23"/>
        </w:rPr>
      </w:pPr>
    </w:p>
    <w:p>
      <w:pPr>
        <w:tabs>
          <w:tab w:pos="3331" w:val="left" w:leader="none"/>
          <w:tab w:pos="7559" w:val="left" w:leader="none"/>
        </w:tabs>
        <w:spacing w:before="44"/>
        <w:ind w:left="0" w:right="1231" w:firstLine="0"/>
        <w:jc w:val="right"/>
        <w:rPr>
          <w:rFonts w:ascii="宋体" w:hAnsi="宋体" w:cs="宋体" w:eastAsia="宋体" w:hint="default"/>
          <w:sz w:val="18"/>
          <w:szCs w:val="18"/>
        </w:rPr>
      </w:pPr>
      <w:r>
        <w:rPr>
          <w:rFonts w:ascii="宋体" w:hAnsi="宋体" w:cs="宋体" w:eastAsia="宋体" w:hint="default"/>
          <w:sz w:val="18"/>
          <w:szCs w:val="18"/>
        </w:rPr>
        <w:t>法定代表人：廖凯</w:t>
        <w:tab/>
        <w:t>主管会计工作负责人：卢玉平</w:t>
        <w:tab/>
        <w:t>会计机构负责人：诸黎明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654,944,124.28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631,235,989.40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24,668,738.00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243,726,545.69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175,991,431.30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51,090,850.12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33,994,082.73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57,576,195.37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84,531,376.42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3"/>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53"/>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379,398,629.12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310,813,608.32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10,426,883.63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2,377,889.50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1,441,831,966.21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1,239,344,377.67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4,862,149.17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29,025,687.18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3,100,406.48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912,054,163.36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793,041,781.69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4,757,149.17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94,815,299.87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81,388,317.47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59,975,902.13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69,780,819.29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5,342,998.64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127,826.36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10,041,548.49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8,505,151.03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17,381,365.95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1,116,012,748.84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978,187,817.44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2,557,844,715.05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2,217,532,195.11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112,686,105.34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14,579,574.39</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353,156,782.94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286,521,221.92</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85,849,235.69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89,014,300.06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40,552,005.90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9,416,569.94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407,892.64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776,563.94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4,338,619.42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4,148,278.75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596,990,641.93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404,456,509.00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695,206.89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695,206.89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596,990,641.93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405,151,715.89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412,072,469.00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412,135,469.00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1,045,912,236.81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1,033,963,150.14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64,605,056.35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49,700,707.29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438,264,310.96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316,581,152.79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1,960,854,073.12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1,812,380,479.22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2,557,844,715.05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2,217,532,195.11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2127"/>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1,459,618,234.55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1,249,370,240.05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1,459,618,234.55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1,249,370,240.05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26"/>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1,267,568,161.39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1,091,719,123.28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995,654,923.81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878,389,901.94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26"/>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7,400,416.39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8,387,052.01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51,481,843.71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41,895,018.19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127,430,840.66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115,784,147.26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88,708,052.50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49,200,074.90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-3,107,915.68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-1,937,071.02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6"/>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2,128,689.83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1,113,692.67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26"/>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8,187,603.13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4,311,747.78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21,202,395.43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15,296,285.50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6,598,502.01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4,241,935.43</w:t>
            </w:r>
          </w:p>
        </w:tc>
      </w:tr>
      <w:tr>
        <w:trPr>
          <w:trHeight w:val="71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1,675,453.13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1,338,416.58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 w:firstLine="72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-17,986,759.88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-159,719.10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-51,968,440.25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5,150,332.31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591,560.22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206,854,823.93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125,812,457.67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397,698.90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257,532.37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682,101.44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192,345.43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206,570,421.39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125,877,644.61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30,986,382.61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22,558,095.07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175,584,038.78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103,319,549.54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175,584,038.78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103,319,549.54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3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168,576,777.26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105,820,825.29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7,007,261.52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-2,501,275.75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175,584,038.78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103,319,549.54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168,576,777.26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105,820,825.29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7,007,261.52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-2,501,275.75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0.4091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0.2745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0.4091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0.2745</w:t>
            </w:r>
          </w:p>
        </w:tc>
      </w:tr>
    </w:tbl>
    <w:p>
      <w:pPr>
        <w:tabs>
          <w:tab w:pos="3443" w:val="left" w:leader="none"/>
          <w:tab w:pos="7672" w:val="left" w:leader="none"/>
        </w:tabs>
        <w:spacing w:line="624" w:lineRule="auto" w:before="50"/>
        <w:ind w:left="112" w:right="1231"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法定代表人：廖凯</w:t>
        <w:tab/>
        <w:t>主管会计工作负责人：卢玉平</w:t>
        <w:tab/>
        <w:t>会计机构负责人：诸黎明</w:t>
      </w:r>
    </w:p>
    <w:p>
      <w:pPr>
        <w:spacing w:after="0" w:line="624"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4、母公司利润表" w:id="164"/>
      <w:bookmarkEnd w:id="16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784,944,947.90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599,139,234.09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588,248,482.65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462,857,853.02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1,987,312.64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1,658,993.54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19,752,115.90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13,040,571.42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47,596,307.34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42,879,612.98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37,834,850.86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23,191,915.00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-6,237,279.16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-2,985,927.92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6,299,266.72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3,100,917.61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9,420,579.60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2,991,419.58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65,244,175.70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8,534,922.59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93"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-10,937,856.63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-6,647,822.11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159,490,056.34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63,374,736.11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7,752.86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348,555.82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54,397.60</w:t>
            </w: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159,149,253.38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63,320,338.93</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10,197,993.63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5,456,429.43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148,951,259.75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57,863,909.50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148,951,259.75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57,863,909.50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 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148,951,259.75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57,863,909.50</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1016" w:header="919" w:top="1120" w:bottom="1200" w:left="1020" w:right="0"/>
          <w:pgNumType w:start="11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right="2127"/>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1,340,910,524.47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1,303,308,713.39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9,185,869.58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5,322,568.73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154,032,687.34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155,283,274.79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1,504,129,081.39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1,463,914,556.91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875,256,488.05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948,411,006.85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209,627,403.91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186,818,051.47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68,939,881.50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63,963,245.10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182,190,232.53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199,397,251.72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1,336,014,005.99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1,398,589,555.14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168,115,075.40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65,325,001.77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680,105,000.00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445,637,850.83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5,478,048.88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2,903,518.85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15,508,031.62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1,099,964.28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8,444,253.87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701,091,080.50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458,085,587.83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106,720,587.49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72,767,873.75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700,555,000.00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442,500,000.00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807,275,587.49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515,267,873.75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-106,184,506.99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-57,182,285.92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206,621,584.11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29,021,200.65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15,794,603.68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60,121,200.65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257,416,187.79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24,337,780.00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24,382,262.18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6,671,913.51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9,898,000.00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5,567,625.00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94,214,553.68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26,274,706.88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145,596,815.86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57,284,400.39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-85,475,615.21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200,131,787.40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-14,110.24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13,065.06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-23,559,157.04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208,287,568.31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859,582,722.96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651,295,154.65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836,023,565.92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859,582,722.96</w:t>
            </w: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right="2127"/>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721,130,733.95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698,069,172.97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1,423,716.70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661,371.81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128,670,856.08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118,173,443.21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851,225,306.73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816,903,987.99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528,129,911.35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580,717,629.42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75,615,364.05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61,806,134.51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24,694,906.44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17,122,893.69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113,916,261.51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132,220,719.67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742,356,443.35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791,867,377.29</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108,868,863.38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25,036,610.70</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680,105,000.00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341,137,850.83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65,244,175.70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8,534,922.59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745,392,175.70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349,704,273.42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8,345,162.35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38,817,295.15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812,100,000.00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348,813,996.67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820,445,162.35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387,631,291.82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-75,052,986.65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-37,927,018.40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195,871,584.11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22,562,169.67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9,239,199.92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22,562,169.67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205,110,784.03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12,363,752.52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71,797,245.76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19,994,309.00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84,160,998.28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19,994,309.00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-61,598,828.61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185,116,475.03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-27,782,951.88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172,226,067.33</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611,241,680.40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439,015,613.07</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3" w:right="0"/>
              <w:jc w:val="left"/>
              <w:rPr>
                <w:rFonts w:ascii="Times New Roman" w:hAnsi="Times New Roman" w:cs="Times New Roman" w:eastAsia="Times New Roman" w:hint="default"/>
                <w:sz w:val="18"/>
                <w:szCs w:val="18"/>
              </w:rPr>
            </w:pPr>
            <w:r>
              <w:rPr>
                <w:rFonts w:ascii="Times New Roman"/>
                <w:sz w:val="18"/>
              </w:rPr>
              <w:t>583,458,728.52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9" w:right="0"/>
              <w:jc w:val="left"/>
              <w:rPr>
                <w:rFonts w:ascii="Times New Roman" w:hAnsi="Times New Roman" w:cs="Times New Roman" w:eastAsia="Times New Roman" w:hint="default"/>
                <w:sz w:val="18"/>
                <w:szCs w:val="18"/>
              </w:rPr>
            </w:pPr>
            <w:r>
              <w:rPr>
                <w:rFonts w:ascii="Times New Roman"/>
                <w:sz w:val="18"/>
              </w:rPr>
              <w:t>611,241,680.40</w:t>
            </w: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right="2127"/>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52"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6" w:right="10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7"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6" w:right="10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6" w:right="10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02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9" w:right="13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39" w:right="136"/>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一、上年期末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4,33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9,58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8.87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50,1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897.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3,48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2.61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81,0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69,4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65.4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6,42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8.05</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39"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39"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7"/>
                <w:sz w:val="18"/>
                <w:szCs w:val="18"/>
              </w:rPr>
              <w:t>二、本年期初</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412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4,33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9,58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8.87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50,1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897.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3,48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2.61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81,0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69,4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65.4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6,42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8.05</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both"/>
              <w:rPr>
                <w:rFonts w:ascii="宋体" w:hAnsi="宋体" w:cs="宋体" w:eastAsia="宋体" w:hint="default"/>
                <w:sz w:val="18"/>
                <w:szCs w:val="18"/>
              </w:rPr>
            </w:pPr>
            <w:r>
              <w:rPr>
                <w:rFonts w:ascii="宋体" w:hAnsi="宋体" w:cs="宋体" w:eastAsia="宋体" w:hint="default"/>
                <w:spacing w:val="-7"/>
                <w:sz w:val="18"/>
                <w:szCs w:val="18"/>
              </w:rPr>
              <w:t>三、本期增减</w:t>
            </w:r>
            <w:r>
              <w:rPr>
                <w:rFonts w:ascii="宋体" w:hAnsi="宋体" w:cs="宋体" w:eastAsia="宋体" w:hint="default"/>
                <w:sz w:val="18"/>
                <w:szCs w:val="18"/>
              </w:rPr>
              <w:t> </w:t>
            </w:r>
            <w:r>
              <w:rPr>
                <w:rFonts w:ascii="宋体" w:hAnsi="宋体" w:cs="宋体" w:eastAsia="宋体" w:hint="default"/>
                <w:spacing w:val="-7"/>
                <w:sz w:val="18"/>
                <w:szCs w:val="18"/>
              </w:rPr>
              <w:t>变动金额（减</w:t>
            </w:r>
            <w:r>
              <w:rPr>
                <w:rFonts w:ascii="宋体" w:hAnsi="宋体" w:cs="宋体" w:eastAsia="宋体" w:hint="default"/>
                <w:sz w:val="18"/>
                <w:szCs w:val="18"/>
              </w:rPr>
              <w:t> </w:t>
            </w:r>
            <w:r>
              <w:rPr>
                <w:rFonts w:ascii="宋体" w:hAnsi="宋体" w:cs="宋体" w:eastAsia="宋体" w:hint="default"/>
                <w:spacing w:val="-8"/>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-63</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49.0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308,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167,</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675,</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547.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67,1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93</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1" w:right="100"/>
              <w:jc w:val="left"/>
              <w:rPr>
                <w:rFonts w:ascii="宋体" w:hAnsi="宋体" w:cs="宋体" w:eastAsia="宋体" w:hint="default"/>
                <w:sz w:val="18"/>
                <w:szCs w:val="18"/>
              </w:rPr>
            </w:pPr>
            <w:r>
              <w:rPr>
                <w:rFonts w:ascii="宋体" w:hAnsi="宋体" w:cs="宋体" w:eastAsia="宋体" w:hint="default"/>
                <w:spacing w:val="-7"/>
                <w:sz w:val="18"/>
                <w:szCs w:val="18"/>
              </w:rPr>
              <w:t>（一）综合收</w:t>
            </w:r>
            <w:r>
              <w:rPr>
                <w:rFonts w:ascii="宋体" w:hAnsi="宋体" w:cs="宋体" w:eastAsia="宋体" w:hint="default"/>
                <w:sz w:val="18"/>
                <w:szCs w:val="18"/>
              </w:rPr>
              <w:t> 益总额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576,</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576,</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7,26</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1.52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038.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78</w:t>
            </w:r>
          </w:p>
        </w:tc>
      </w:tr>
      <w:tr>
        <w:trPr>
          <w:trHeight w:val="40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pacing w:val="-7"/>
                <w:sz w:val="18"/>
                <w:szCs w:val="18"/>
              </w:rPr>
              <w:t>（二）所有者</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0" w:right="0"/>
              <w:jc w:val="left"/>
              <w:rPr>
                <w:rFonts w:ascii="Times New Roman" w:hAnsi="Times New Roman" w:cs="Times New Roman" w:eastAsia="Times New Roman" w:hint="default"/>
                <w:sz w:val="18"/>
                <w:szCs w:val="18"/>
              </w:rPr>
            </w:pPr>
            <w:r>
              <w:rPr>
                <w:rFonts w:ascii="Times New Roman"/>
                <w:sz w:val="18"/>
              </w:rPr>
              <w:t>-63</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2" w:right="0"/>
              <w:jc w:val="left"/>
              <w:rPr>
                <w:rFonts w:ascii="Times New Roman" w:hAnsi="Times New Roman" w:cs="Times New Roman" w:eastAsia="Times New Roman" w:hint="default"/>
                <w:sz w:val="18"/>
                <w:szCs w:val="18"/>
              </w:rPr>
            </w:pPr>
            <w:r>
              <w:rPr>
                <w:rFonts w:ascii="Times New Roman"/>
                <w:sz w:val="18"/>
              </w:rPr>
              <w:t>-248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9" w:right="0"/>
              <w:jc w:val="left"/>
              <w:rPr>
                <w:rFonts w:ascii="Times New Roman" w:hAnsi="Times New Roman" w:cs="Times New Roman" w:eastAsia="Times New Roman" w:hint="default"/>
                <w:sz w:val="18"/>
                <w:szCs w:val="18"/>
              </w:rPr>
            </w:pPr>
            <w:r>
              <w:rPr>
                <w:rFonts w:ascii="Times New Roman"/>
                <w:sz w:val="18"/>
              </w:rPr>
              <w:t>-311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6" w:right="0"/>
              <w:jc w:val="left"/>
              <w:rPr>
                <w:rFonts w:ascii="Times New Roman" w:hAnsi="Times New Roman" w:cs="Times New Roman" w:eastAsia="Times New Roman" w:hint="default"/>
                <w:sz w:val="18"/>
                <w:szCs w:val="18"/>
              </w:rPr>
            </w:pPr>
            <w:r>
              <w:rPr>
                <w:rFonts w:ascii="Times New Roman"/>
                <w:sz w:val="18"/>
              </w:rPr>
              <w:t>300,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8" w:right="0"/>
              <w:jc w:val="left"/>
              <w:rPr>
                <w:rFonts w:ascii="Times New Roman" w:hAnsi="Times New Roman" w:cs="Times New Roman" w:eastAsia="Times New Roman" w:hint="default"/>
                <w:sz w:val="18"/>
                <w:szCs w:val="18"/>
              </w:rPr>
            </w:pPr>
            <w:r>
              <w:rPr>
                <w:rFonts w:ascii="Times New Roman"/>
                <w:sz w:val="18"/>
              </w:rPr>
              <w:t>-11,</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98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239"/>
              <w:jc w:val="left"/>
              <w:rPr>
                <w:rFonts w:ascii="宋体" w:hAnsi="宋体" w:cs="宋体" w:eastAsia="宋体" w:hint="default"/>
                <w:sz w:val="18"/>
                <w:szCs w:val="18"/>
              </w:rPr>
            </w:pPr>
            <w:r>
              <w:rPr>
                <w:rFonts w:ascii="宋体" w:hAnsi="宋体" w:cs="宋体" w:eastAsia="宋体" w:hint="default"/>
                <w:sz w:val="18"/>
                <w:szCs w:val="18"/>
              </w:rPr>
              <w:t>投入和减少 资本</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-63</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-248</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7"/>
                <w:sz w:val="18"/>
                <w:szCs w:val="18"/>
              </w:rPr>
              <w:t>（三）利润分</w:t>
            </w:r>
            <w:r>
              <w:rPr>
                <w:rFonts w:ascii="宋体" w:hAnsi="宋体" w:cs="宋体" w:eastAsia="宋体" w:hint="default"/>
                <w:sz w:val="18"/>
                <w:szCs w:val="18"/>
              </w:rPr>
              <w:t> 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49.0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center"/>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98,0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261,</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52</w:t>
            </w: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49.0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349.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0"/>
              <w:jc w:val="left"/>
              <w:rPr>
                <w:rFonts w:ascii="宋体" w:hAnsi="宋体" w:cs="宋体" w:eastAsia="宋体" w:hint="default"/>
                <w:sz w:val="18"/>
                <w:szCs w:val="18"/>
              </w:rPr>
            </w:pPr>
            <w:r>
              <w:rPr>
                <w:rFonts w:ascii="宋体" w:hAnsi="宋体" w:cs="宋体" w:eastAsia="宋体" w:hint="default"/>
                <w:spacing w:val="-7"/>
                <w:sz w:val="18"/>
                <w:szCs w:val="18"/>
              </w:rPr>
              <w:t>（或股东）的</w:t>
            </w:r>
            <w:r>
              <w:rPr>
                <w:rFonts w:ascii="宋体" w:hAnsi="宋体" w:cs="宋体" w:eastAsia="宋体" w:hint="default"/>
                <w:sz w:val="18"/>
                <w:szCs w:val="18"/>
              </w:rPr>
              <w:t> 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55" w:right="0"/>
              <w:jc w:val="center"/>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52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-9,8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98,0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261,</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752.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（四）所有者</w:t>
            </w:r>
            <w:r>
              <w:rPr>
                <w:rFonts w:ascii="宋体" w:hAnsi="宋体" w:cs="宋体" w:eastAsia="宋体" w:hint="default"/>
                <w:sz w:val="18"/>
                <w:szCs w:val="18"/>
              </w:rPr>
              <w:t> 权益内部结 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7"/>
                <w:sz w:val="18"/>
                <w:szCs w:val="18"/>
              </w:rPr>
              <w:t>转增资本（或</w:t>
            </w:r>
            <w:r>
              <w:rPr>
                <w:rFonts w:ascii="宋体" w:hAnsi="宋体" w:cs="宋体" w:eastAsia="宋体" w:hint="default"/>
                <w:sz w:val="18"/>
                <w:szCs w:val="18"/>
              </w:rPr>
              <w:t> 股本）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4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7"/>
                <w:sz w:val="18"/>
                <w:szCs w:val="18"/>
              </w:rPr>
              <w:t>（五）专项储</w:t>
            </w:r>
            <w:r>
              <w:rPr>
                <w:rFonts w:ascii="宋体" w:hAnsi="宋体" w:cs="宋体" w:eastAsia="宋体" w:hint="default"/>
                <w:sz w:val="18"/>
                <w:szCs w:val="18"/>
              </w:rPr>
              <w:t> 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1"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72.5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72.5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423,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w:t>
            </w:r>
          </w:p>
        </w:tc>
      </w:tr>
      <w:tr>
        <w:trPr>
          <w:trHeight w:val="165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0"/>
              <w:jc w:val="left"/>
              <w:rPr>
                <w:rFonts w:ascii="宋体" w:hAnsi="宋体" w:cs="宋体" w:eastAsia="宋体" w:hint="default"/>
                <w:sz w:val="18"/>
                <w:szCs w:val="18"/>
              </w:rPr>
            </w:pPr>
            <w:r>
              <w:rPr>
                <w:rFonts w:ascii="宋体" w:hAnsi="宋体" w:cs="宋体" w:eastAsia="宋体" w:hint="default"/>
                <w:spacing w:val="-7"/>
                <w:sz w:val="18"/>
                <w:szCs w:val="18"/>
              </w:rPr>
              <w:t>四、本期期末</w:t>
            </w:r>
            <w:r>
              <w:rPr>
                <w:rFonts w:ascii="宋体" w:hAnsi="宋体" w:cs="宋体" w:eastAsia="宋体" w:hint="default"/>
                <w:sz w:val="18"/>
                <w:szCs w:val="18"/>
              </w:rPr>
              <w:t> 余额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left"/>
              <w:rPr>
                <w:rFonts w:ascii="Times New Roman" w:hAnsi="Times New Roman" w:cs="Times New Roman" w:eastAsia="Times New Roman" w:hint="default"/>
                <w:sz w:val="18"/>
                <w:szCs w:val="18"/>
              </w:rPr>
            </w:pPr>
            <w:r>
              <w:rPr>
                <w:rFonts w:ascii="Times New Roman"/>
                <w:sz w:val="18"/>
              </w:rPr>
              <w:t>412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5,11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1.37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38,8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76.0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052,</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573.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9,02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9.85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02,2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91.1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1,93</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0.98</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36" w:right="13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39" w:right="140"/>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50" w:right="148"/>
              <w:jc w:val="left"/>
              <w:rPr>
                <w:rFonts w:ascii="宋体" w:hAnsi="宋体" w:cs="宋体" w:eastAsia="宋体" w:hint="default"/>
                <w:sz w:val="18"/>
                <w:szCs w:val="18"/>
              </w:rPr>
            </w:pPr>
            <w:r>
              <w:rPr>
                <w:rFonts w:ascii="宋体" w:hAnsi="宋体" w:cs="宋体" w:eastAsia="宋体" w:hint="default"/>
                <w:sz w:val="18"/>
                <w:szCs w:val="18"/>
              </w:rPr>
              <w:t>股 本</w:t>
            </w:r>
          </w:p>
        </w:tc>
        <w:tc>
          <w:tcPr>
            <w:tcW w:w="1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2" w:right="10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8"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7"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3" w:type="dxa"/>
            <w:vMerge/>
            <w:tcBorders>
              <w:left w:val="single" w:sz="4" w:space="0" w:color="000000"/>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r>
      <w:tr>
        <w:trPr>
          <w:trHeight w:val="102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7" w:right="12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0" w:right="12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9" w:right="150"/>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一、上年期末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55.</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544,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15</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44,3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418,</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709,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77,90</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9,554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1,435</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929.1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firstLine="360"/>
              <w:jc w:val="left"/>
              <w:rPr>
                <w:rFonts w:ascii="宋体" w:hAnsi="宋体" w:cs="宋体" w:eastAsia="宋体" w:hint="default"/>
                <w:sz w:val="18"/>
                <w:szCs w:val="18"/>
              </w:rPr>
            </w:pPr>
            <w:r>
              <w:rPr>
                <w:rFonts w:ascii="宋体" w:hAnsi="宋体" w:cs="宋体" w:eastAsia="宋体" w:hint="default"/>
                <w:spacing w:val="-21"/>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98"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98"/>
              <w:jc w:val="right"/>
              <w:rPr>
                <w:rFonts w:ascii="宋体" w:hAnsi="宋体" w:cs="宋体" w:eastAsia="宋体" w:hint="default"/>
                <w:sz w:val="18"/>
                <w:szCs w:val="18"/>
              </w:rPr>
            </w:pPr>
            <w:r>
              <w:rPr>
                <w:rFonts w:ascii="宋体" w:hAnsi="宋体" w:cs="宋体" w:eastAsia="宋体" w:hint="default"/>
                <w:sz w:val="18"/>
                <w:szCs w:val="18"/>
              </w:rPr>
              <w:t>同</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67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98"/>
              <w:jc w:val="left"/>
              <w:rPr>
                <w:rFonts w:ascii="宋体" w:hAnsi="宋体" w:cs="宋体" w:eastAsia="宋体" w:hint="default"/>
                <w:sz w:val="18"/>
                <w:szCs w:val="18"/>
              </w:rPr>
            </w:pPr>
            <w:r>
              <w:rPr>
                <w:rFonts w:ascii="宋体" w:hAnsi="宋体" w:cs="宋体" w:eastAsia="宋体" w:hint="default"/>
                <w:sz w:val="18"/>
                <w:szCs w:val="18"/>
              </w:rPr>
              <w:t>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二、本年期初</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,32</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55.</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544,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15</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44,3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418,</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709,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7,37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77,90</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9,554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1,435</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929.1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2"/>
              <w:jc w:val="both"/>
              <w:rPr>
                <w:rFonts w:ascii="宋体" w:hAnsi="宋体" w:cs="宋体" w:eastAsia="宋体" w:hint="default"/>
                <w:sz w:val="18"/>
                <w:szCs w:val="18"/>
              </w:rPr>
            </w:pPr>
            <w:r>
              <w:rPr>
                <w:rFonts w:ascii="宋体" w:hAnsi="宋体" w:cs="宋体" w:eastAsia="宋体" w:hint="default"/>
                <w:spacing w:val="-14"/>
                <w:sz w:val="18"/>
                <w:szCs w:val="18"/>
              </w:rPr>
              <w:t>三、本期增减</w:t>
            </w:r>
            <w:r>
              <w:rPr>
                <w:rFonts w:ascii="宋体" w:hAnsi="宋体" w:cs="宋体" w:eastAsia="宋体" w:hint="default"/>
                <w:sz w:val="18"/>
                <w:szCs w:val="18"/>
              </w:rPr>
              <w:t> </w:t>
            </w:r>
            <w:r>
              <w:rPr>
                <w:rFonts w:ascii="宋体" w:hAnsi="宋体" w:cs="宋体" w:eastAsia="宋体" w:hint="default"/>
                <w:spacing w:val="-14"/>
                <w:sz w:val="18"/>
                <w:szCs w:val="18"/>
              </w:rPr>
              <w:t>变动金额（减</w:t>
            </w:r>
            <w:r>
              <w:rPr>
                <w:rFonts w:ascii="宋体" w:hAnsi="宋体" w:cs="宋体" w:eastAsia="宋体" w:hint="default"/>
                <w:sz w:val="18"/>
                <w:szCs w:val="18"/>
              </w:rPr>
              <w:t> </w:t>
            </w:r>
            <w:r>
              <w:rPr>
                <w:rFonts w:ascii="宋体" w:hAnsi="宋体" w:cs="宋体" w:eastAsia="宋体" w:hint="default"/>
                <w:spacing w:val="-15"/>
                <w:sz w:val="18"/>
                <w:szCs w:val="18"/>
              </w:rPr>
              <w:t>少以“－”号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489,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716,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72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6,39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0.95</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034,</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657,</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346,</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3,159</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,910.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660,5</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06,01</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8.93</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（一）综合收</w:t>
            </w:r>
            <w:r>
              <w:rPr>
                <w:rFonts w:ascii="宋体" w:hAnsi="宋体" w:cs="宋体" w:eastAsia="宋体" w:hint="default"/>
                <w:sz w:val="18"/>
                <w:szCs w:val="18"/>
              </w:rPr>
              <w:t>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820,</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825.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820,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825.</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29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-2,50</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1,275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.75</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19,54</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9.54</w:t>
            </w: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（二）所有者</w:t>
            </w:r>
            <w:r>
              <w:rPr>
                <w:rFonts w:ascii="宋体" w:hAnsi="宋体" w:cs="宋体" w:eastAsia="宋体" w:hint="default"/>
                <w:sz w:val="18"/>
                <w:szCs w:val="18"/>
              </w:rPr>
              <w:t> 投入和减少 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476,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086,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823.</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72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537,</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895,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237.</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72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10,75</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45,23</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7.72</w:t>
            </w: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61,</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476,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086,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823.</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72</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537,</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895,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237.</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72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10,75</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548,6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45,23</w:t>
            </w:r>
          </w:p>
          <w:p>
            <w:pPr>
              <w:pStyle w:val="TableParagraph"/>
              <w:spacing w:line="240" w:lineRule="auto" w:before="105"/>
              <w:ind w:left="223" w:right="0"/>
              <w:jc w:val="left"/>
              <w:rPr>
                <w:rFonts w:ascii="Times New Roman" w:hAnsi="Times New Roman" w:cs="Times New Roman" w:eastAsia="Times New Roman" w:hint="default"/>
                <w:sz w:val="18"/>
                <w:szCs w:val="18"/>
              </w:rPr>
            </w:pPr>
            <w:r>
              <w:rPr>
                <w:rFonts w:ascii="Times New Roman"/>
                <w:sz w:val="18"/>
              </w:rPr>
              <w:t>7.72</w:t>
            </w:r>
          </w:p>
        </w:tc>
      </w:tr>
      <w:tr>
        <w:trPr>
          <w:trHeight w:val="362"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307"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工具持有者</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357"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362"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308" w:hRule="exact"/>
        </w:trPr>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计入所有者</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1" w:type="dxa"/>
            <w:vMerge/>
            <w:tcBorders>
              <w:left w:val="single" w:sz="4" w:space="0" w:color="000000"/>
              <w:right w:val="single" w:sz="4" w:space="0" w:color="000000"/>
            </w:tcBorders>
          </w:tcPr>
          <w:p>
            <w:pPr/>
          </w:p>
        </w:tc>
      </w:tr>
      <w:tr>
        <w:trPr>
          <w:trHeight w:val="356"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2"/>
              <w:jc w:val="left"/>
              <w:rPr>
                <w:rFonts w:ascii="宋体" w:hAnsi="宋体" w:cs="宋体" w:eastAsia="宋体" w:hint="default"/>
                <w:sz w:val="18"/>
                <w:szCs w:val="18"/>
              </w:rPr>
            </w:pPr>
            <w:r>
              <w:rPr>
                <w:rFonts w:ascii="宋体" w:hAnsi="宋体" w:cs="宋体" w:eastAsia="宋体" w:hint="default"/>
                <w:spacing w:val="-14"/>
                <w:sz w:val="18"/>
                <w:szCs w:val="18"/>
              </w:rPr>
              <w:t>（三）利润分</w:t>
            </w:r>
            <w:r>
              <w:rPr>
                <w:rFonts w:ascii="宋体" w:hAnsi="宋体" w:cs="宋体" w:eastAsia="宋体" w:hint="default"/>
                <w:sz w:val="18"/>
                <w:szCs w:val="18"/>
              </w:rPr>
              <w:t>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6,39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0.95</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-5,7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283" w:right="0"/>
              <w:jc w:val="center"/>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7,625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7,625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w:t>
            </w:r>
          </w:p>
        </w:tc>
      </w:tr>
      <w:tr>
        <w:trPr>
          <w:trHeight w:val="371"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5,78</w:t>
            </w:r>
          </w:p>
        </w:tc>
        <w:tc>
          <w:tcPr>
            <w:tcW w:w="577" w:type="dxa"/>
            <w:vMerge w:val="restart"/>
            <w:tcBorders>
              <w:top w:val="single" w:sz="4" w:space="0" w:color="000000"/>
              <w:left w:val="single" w:sz="4" w:space="0" w:color="000000"/>
              <w:right w:val="single" w:sz="4" w:space="0" w:color="000000"/>
            </w:tcBorders>
          </w:tcPr>
          <w:p>
            <w:pPr/>
          </w:p>
        </w:tc>
        <w:tc>
          <w:tcPr>
            <w:tcW w:w="5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18"/>
                <w:szCs w:val="18"/>
              </w:rPr>
            </w:pPr>
            <w:r>
              <w:rPr>
                <w:rFonts w:ascii="Times New Roman"/>
                <w:sz w:val="18"/>
              </w:rPr>
              <w:t>-5,7</w:t>
            </w:r>
          </w:p>
        </w:tc>
        <w:tc>
          <w:tcPr>
            <w:tcW w:w="567"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651" w:type="dxa"/>
            <w:vMerge w:val="restart"/>
            <w:tcBorders>
              <w:top w:val="single" w:sz="4" w:space="0" w:color="000000"/>
              <w:left w:val="single" w:sz="4" w:space="0" w:color="000000"/>
              <w:right w:val="single" w:sz="4" w:space="0" w:color="000000"/>
            </w:tcBorders>
          </w:tcPr>
          <w:p>
            <w:pPr/>
          </w:p>
        </w:tc>
      </w:tr>
      <w:tr>
        <w:trPr>
          <w:trHeight w:val="341"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left="43" w:right="0"/>
              <w:jc w:val="center"/>
              <w:rPr>
                <w:rFonts w:ascii="Times New Roman" w:hAnsi="Times New Roman" w:cs="Times New Roman" w:eastAsia="Times New Roman" w:hint="default"/>
                <w:sz w:val="18"/>
                <w:szCs w:val="18"/>
              </w:rPr>
            </w:pPr>
            <w:r>
              <w:rPr>
                <w:rFonts w:ascii="Times New Roman"/>
                <w:sz w:val="18"/>
              </w:rPr>
              <w:t>6,39</w:t>
            </w:r>
          </w:p>
        </w:tc>
        <w:tc>
          <w:tcPr>
            <w:tcW w:w="577" w:type="dxa"/>
            <w:vMerge/>
            <w:tcBorders>
              <w:left w:val="single" w:sz="4" w:space="0" w:color="000000"/>
              <w:bottom w:val="single" w:sz="4" w:space="0" w:color="000000"/>
              <w:right w:val="single" w:sz="4" w:space="0" w:color="000000"/>
            </w:tcBorders>
          </w:tcPr>
          <w:p>
            <w:pPr/>
          </w:p>
        </w:tc>
        <w:tc>
          <w:tcPr>
            <w:tcW w:w="5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86,3</w:t>
            </w:r>
          </w:p>
        </w:tc>
        <w:tc>
          <w:tcPr>
            <w:tcW w:w="56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67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0.95</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4"/>
                <w:sz w:val="18"/>
                <w:szCs w:val="18"/>
              </w:rPr>
              <w:t>（或股东）的</w:t>
            </w:r>
            <w:r>
              <w:rPr>
                <w:rFonts w:ascii="宋体" w:hAnsi="宋体" w:cs="宋体" w:eastAsia="宋体" w:hint="default"/>
                <w:sz w:val="18"/>
                <w:szCs w:val="18"/>
              </w:rPr>
              <w:t>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7,625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7,625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（四）所有者</w:t>
            </w:r>
            <w:r>
              <w:rPr>
                <w:rFonts w:ascii="宋体" w:hAnsi="宋体" w:cs="宋体" w:eastAsia="宋体" w:hint="default"/>
                <w:sz w:val="18"/>
                <w:szCs w:val="18"/>
              </w:rPr>
              <w:t> 权益内部结 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4"/>
                <w:sz w:val="18"/>
                <w:szCs w:val="18"/>
              </w:rPr>
              <w:t>转增资本（或</w:t>
            </w:r>
            <w:r>
              <w:rPr>
                <w:rFonts w:ascii="宋体" w:hAnsi="宋体" w:cs="宋体" w:eastAsia="宋体" w:hint="default"/>
                <w:sz w:val="18"/>
                <w:szCs w:val="18"/>
              </w:rPr>
              <w:t> 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4"/>
                <w:sz w:val="18"/>
                <w:szCs w:val="18"/>
              </w:rPr>
              <w:t>（五）专项储</w:t>
            </w:r>
            <w:r>
              <w:rPr>
                <w:rFonts w:ascii="宋体" w:hAnsi="宋体" w:cs="宋体" w:eastAsia="宋体" w:hint="default"/>
                <w:sz w:val="18"/>
                <w:szCs w:val="18"/>
              </w:rPr>
              <w:t>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13,6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373"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13,6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478,8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11.67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14,10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8,856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.67</w:t>
            </w:r>
          </w:p>
        </w:tc>
      </w:tr>
      <w:tr>
        <w:trPr>
          <w:trHeight w:val="1650"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1" w:right="102"/>
              <w:jc w:val="left"/>
              <w:rPr>
                <w:rFonts w:ascii="宋体" w:hAnsi="宋体" w:cs="宋体" w:eastAsia="宋体" w:hint="default"/>
                <w:sz w:val="18"/>
                <w:szCs w:val="18"/>
              </w:rPr>
            </w:pPr>
            <w:r>
              <w:rPr>
                <w:rFonts w:ascii="宋体" w:hAnsi="宋体" w:cs="宋体" w:eastAsia="宋体" w:hint="default"/>
                <w:spacing w:val="-14"/>
                <w:sz w:val="18"/>
                <w:szCs w:val="18"/>
              </w:rPr>
              <w:t>四、本期期末</w:t>
            </w:r>
            <w:r>
              <w:rPr>
                <w:rFonts w:ascii="宋体" w:hAnsi="宋体" w:cs="宋体" w:eastAsia="宋体" w:hint="default"/>
                <w:sz w:val="18"/>
                <w:szCs w:val="18"/>
              </w:rPr>
              <w:t>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412</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198"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4,33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9,58</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8.87</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50,1</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34,5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897.</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5,35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3,48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81,06</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9,465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2,096</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,422,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Times New Roman" w:hAnsi="Times New Roman" w:cs="Times New Roman" w:eastAsia="Times New Roman" w:hint="default"/>
          <w:sz w:val="22"/>
          <w:szCs w:val="22"/>
        </w:rPr>
      </w:pPr>
    </w:p>
    <w:p>
      <w:pPr>
        <w:pStyle w:val="Heading5"/>
        <w:spacing w:line="240" w:lineRule="auto" w:before="34"/>
        <w:ind w:right="2127"/>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8" w:right="17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6" w:right="10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77" w:right="17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8" w:right="17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8" w:right="17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22" w:right="12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shd w:val="clear" w:color="auto" w:fill="D2D2D2"/>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7" w:right="115"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6" w:right="114"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12"/>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412,1</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35,46</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9.00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0.14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,707.2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581,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79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1,812,38</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0,479.22</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12"/>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412,1</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35,46</w:t>
            </w:r>
          </w:p>
          <w:p>
            <w:pPr>
              <w:pStyle w:val="TableParagraph"/>
              <w:spacing w:line="240" w:lineRule="auto" w:before="105"/>
              <w:ind w:left="200" w:right="0"/>
              <w:jc w:val="left"/>
              <w:rPr>
                <w:rFonts w:ascii="Times New Roman" w:hAnsi="Times New Roman" w:cs="Times New Roman" w:eastAsia="Times New Roman" w:hint="default"/>
                <w:sz w:val="18"/>
                <w:szCs w:val="18"/>
              </w:rPr>
            </w:pPr>
            <w:r>
              <w:rPr>
                <w:rFonts w:ascii="Times New Roman"/>
                <w:sz w:val="18"/>
              </w:rPr>
              <w:t>9.00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0.14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,707.2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581,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79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1,812,38</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0,479.22</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-63,0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11,949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,086.6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,349.0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148,473,</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593.90</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12"/>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951,</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259.</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75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148,951,</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259.75</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-63,0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-248,8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-311,850</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-63,0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-248,8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50.00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-311,850</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具持有者投入 资本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1016" w:header="919" w:top="1120" w:bottom="1200" w:left="1020" w:right="0"/>
          <w:pgNumType w:start="1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12"/>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,349.0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-27,2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68,1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01.5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-12,363,</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752.52</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,349.0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12"/>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-12,363,</w:t>
            </w:r>
          </w:p>
          <w:p>
            <w:pPr>
              <w:pStyle w:val="TableParagraph"/>
              <w:spacing w:line="240" w:lineRule="auto" w:before="105"/>
              <w:ind w:left="150" w:right="0"/>
              <w:jc w:val="center"/>
              <w:rPr>
                <w:rFonts w:ascii="Times New Roman" w:hAnsi="Times New Roman" w:cs="Times New Roman" w:eastAsia="Times New Roman" w:hint="default"/>
                <w:sz w:val="18"/>
                <w:szCs w:val="18"/>
              </w:rPr>
            </w:pPr>
            <w:r>
              <w:rPr>
                <w:rFonts w:ascii="Times New Roman"/>
                <w:sz w:val="18"/>
              </w:rPr>
              <w:t>752.52</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2"/>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2"/>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12,197,9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36.67</w:t>
            </w:r>
          </w:p>
        </w:tc>
      </w:tr>
      <w:tr>
        <w:trPr>
          <w:trHeight w:val="4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四、本期期末</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1" w:right="0"/>
              <w:jc w:val="left"/>
              <w:rPr>
                <w:rFonts w:ascii="Times New Roman" w:hAnsi="Times New Roman" w:cs="Times New Roman" w:eastAsia="Times New Roman" w:hint="default"/>
                <w:sz w:val="18"/>
                <w:szCs w:val="18"/>
              </w:rPr>
            </w:pPr>
            <w:r>
              <w:rPr>
                <w:rFonts w:ascii="Times New Roman"/>
                <w:sz w:val="18"/>
              </w:rPr>
              <w:t>412,0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3" w:right="0"/>
              <w:jc w:val="left"/>
              <w:rPr>
                <w:rFonts w:ascii="Times New Roman" w:hAnsi="Times New Roman" w:cs="Times New Roman" w:eastAsia="Times New Roman" w:hint="default"/>
                <w:sz w:val="18"/>
                <w:szCs w:val="18"/>
              </w:rPr>
            </w:pPr>
            <w:r>
              <w:rPr>
                <w:rFonts w:ascii="Times New Roman"/>
                <w:sz w:val="18"/>
              </w:rPr>
              <w:t>1,045,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8" w:right="0"/>
              <w:jc w:val="left"/>
              <w:rPr>
                <w:rFonts w:ascii="Times New Roman" w:hAnsi="Times New Roman" w:cs="Times New Roman" w:eastAsia="Times New Roman" w:hint="default"/>
                <w:sz w:val="18"/>
                <w:szCs w:val="18"/>
              </w:rPr>
            </w:pPr>
            <w:r>
              <w:rPr>
                <w:rFonts w:ascii="Times New Roman"/>
                <w:sz w:val="18"/>
              </w:rPr>
              <w:t>64,605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7" w:right="0"/>
              <w:jc w:val="left"/>
              <w:rPr>
                <w:rFonts w:ascii="Times New Roman" w:hAnsi="Times New Roman" w:cs="Times New Roman" w:eastAsia="Times New Roman" w:hint="default"/>
                <w:sz w:val="18"/>
                <w:szCs w:val="18"/>
              </w:rPr>
            </w:pPr>
            <w:r>
              <w:rPr>
                <w:rFonts w:ascii="Times New Roman"/>
                <w:sz w:val="18"/>
              </w:rPr>
              <w:t>438,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9" w:right="0"/>
              <w:jc w:val="left"/>
              <w:rPr>
                <w:rFonts w:ascii="Times New Roman" w:hAnsi="Times New Roman" w:cs="Times New Roman" w:eastAsia="Times New Roman" w:hint="default"/>
                <w:sz w:val="18"/>
                <w:szCs w:val="18"/>
              </w:rPr>
            </w:pPr>
            <w:r>
              <w:rPr>
                <w:rFonts w:ascii="Times New Roman"/>
                <w:sz w:val="18"/>
              </w:rPr>
              <w:t>1,960,85</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325" w:hRule="exact"/>
        </w:trPr>
        <w:tc>
          <w:tcPr>
            <w:tcW w:w="130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72,46</w:t>
            </w: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912,23</w:t>
            </w: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,056.3</w:t>
            </w:r>
          </w:p>
        </w:tc>
        <w:tc>
          <w:tcPr>
            <w:tcW w:w="6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264,</w:t>
            </w:r>
          </w:p>
        </w:tc>
        <w:tc>
          <w:tcPr>
            <w:tcW w:w="710" w:type="dxa"/>
            <w:vMerge w:val="restart"/>
            <w:tcBorders>
              <w:top w:val="single" w:sz="4" w:space="0" w:color="000000"/>
              <w:left w:val="single" w:sz="4" w:space="0" w:color="000000"/>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9" w:right="0"/>
              <w:jc w:val="left"/>
              <w:rPr>
                <w:rFonts w:ascii="Times New Roman" w:hAnsi="Times New Roman" w:cs="Times New Roman" w:eastAsia="Times New Roman" w:hint="default"/>
                <w:sz w:val="18"/>
                <w:szCs w:val="18"/>
              </w:rPr>
            </w:pPr>
            <w:r>
              <w:rPr>
                <w:rFonts w:ascii="Times New Roman"/>
                <w:sz w:val="18"/>
              </w:rPr>
              <w:t>4,073.12</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D2D2D2"/>
          </w:tcPr>
          <w:p>
            <w:pPr/>
          </w:p>
        </w:tc>
        <w:tc>
          <w:tcPr>
            <w:tcW w:w="62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9.00</w:t>
            </w: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6.81</w:t>
            </w: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5</w:t>
            </w:r>
          </w:p>
        </w:tc>
        <w:tc>
          <w:tcPr>
            <w:tcW w:w="61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310.</w:t>
            </w:r>
          </w:p>
        </w:tc>
        <w:tc>
          <w:tcPr>
            <w:tcW w:w="710" w:type="dxa"/>
            <w:vMerge/>
            <w:tcBorders>
              <w:left w:val="single" w:sz="4" w:space="0" w:color="000000"/>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r>
      <w:tr>
        <w:trPr>
          <w:trHeight w:val="349" w:hRule="exact"/>
        </w:trPr>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8" w:type="dxa"/>
            <w:tcBorders>
              <w:top w:val="nil" w:sz="6" w:space="0" w:color="auto"/>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96</w:t>
            </w:r>
          </w:p>
        </w:tc>
        <w:tc>
          <w:tcPr>
            <w:tcW w:w="710" w:type="dxa"/>
            <w:vMerge/>
            <w:tcBorders>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402" w:hRule="exact"/>
        </w:trPr>
        <w:tc>
          <w:tcPr>
            <w:tcW w:w="1231" w:type="dxa"/>
            <w:vMerge/>
            <w:tcBorders>
              <w:left w:val="single" w:sz="4" w:space="0" w:color="000000"/>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56" w:right="157"/>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57"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96"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13" w:right="12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90" w:right="18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2" w:right="18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1" w:right="18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90" w:right="189"/>
              <w:jc w:val="center"/>
              <w:rPr>
                <w:rFonts w:ascii="宋体" w:hAnsi="宋体" w:cs="宋体" w:eastAsia="宋体" w:hint="default"/>
                <w:sz w:val="18"/>
                <w:szCs w:val="18"/>
              </w:rPr>
            </w:pPr>
            <w:r>
              <w:rPr>
                <w:rFonts w:ascii="宋体" w:hAnsi="宋体" w:cs="宋体" w:eastAsia="宋体" w:hint="default"/>
                <w:sz w:val="18"/>
                <w:szCs w:val="18"/>
              </w:rPr>
              <w:t>其 他</w:t>
            </w:r>
          </w:p>
        </w:tc>
        <w:tc>
          <w:tcPr>
            <w:tcW w:w="68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055.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543,7</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67,46</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9.75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4,316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3,634.2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1,202,51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2,475.33</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1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055.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543,7</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67,46</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9.75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4,316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3,634.2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1,202,51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2,475.33</w:t>
            </w: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1"/>
                <w:sz w:val="18"/>
                <w:szCs w:val="18"/>
              </w:rPr>
              <w:t>少以“－”号</w:t>
            </w:r>
            <w:r>
              <w:rPr>
                <w:rFonts w:ascii="宋体" w:hAnsi="宋体" w:cs="宋体" w:eastAsia="宋体" w:hint="default"/>
                <w:sz w:val="18"/>
                <w:szCs w:val="18"/>
              </w:rPr>
              <w:t> 填列）</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61,8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08,4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95,68</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0.39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5,786</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52,077,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518.55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609,868,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003.89</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57,863,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909.50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57,863,9</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09.50</w:t>
            </w: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 w:right="0"/>
              <w:jc w:val="left"/>
              <w:rPr>
                <w:rFonts w:ascii="Times New Roman" w:hAnsi="Times New Roman" w:cs="Times New Roman" w:eastAsia="Times New Roman" w:hint="default"/>
                <w:sz w:val="18"/>
                <w:szCs w:val="18"/>
              </w:rPr>
            </w:pPr>
            <w:r>
              <w:rPr>
                <w:rFonts w:ascii="Times New Roman"/>
                <w:sz w:val="18"/>
              </w:rPr>
              <w:t>61,8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08,4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476,0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86,82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3.72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537,895,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237.72</w:t>
            </w: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7"/>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61,8</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08,4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476,0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86,82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3.72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537,895,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237.72</w:t>
            </w:r>
          </w:p>
        </w:tc>
      </w:tr>
      <w:tr>
        <w:trPr>
          <w:trHeight w:val="67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36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5,786</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-5,786,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390.95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5,786</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-5,786,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390.95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1" w:right="102"/>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8" w:right="0"/>
              <w:jc w:val="left"/>
              <w:rPr>
                <w:rFonts w:ascii="Times New Roman" w:hAnsi="Times New Roman" w:cs="Times New Roman" w:eastAsia="Times New Roman" w:hint="default"/>
                <w:sz w:val="18"/>
                <w:szCs w:val="18"/>
              </w:rPr>
            </w:pPr>
            <w:r>
              <w:rPr>
                <w:rFonts w:ascii="Times New Roman"/>
                <w:sz w:val="18"/>
              </w:rPr>
              <w:t>14,10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7" w:right="0"/>
              <w:jc w:val="left"/>
              <w:rPr>
                <w:rFonts w:ascii="Times New Roman" w:hAnsi="Times New Roman" w:cs="Times New Roman" w:eastAsia="Times New Roman" w:hint="default"/>
                <w:sz w:val="18"/>
                <w:szCs w:val="18"/>
              </w:rPr>
            </w:pPr>
            <w:r>
              <w:rPr>
                <w:rFonts w:ascii="Times New Roman"/>
                <w:sz w:val="18"/>
              </w:rPr>
              <w:t>14,108,8</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67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Times New Roman"/>
                <w:sz w:val="18"/>
              </w:rPr>
              <w:t>8,856.</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1" w:right="0"/>
              <w:jc w:val="left"/>
              <w:rPr>
                <w:rFonts w:ascii="Times New Roman" w:hAnsi="Times New Roman" w:cs="Times New Roman" w:eastAsia="Times New Roman" w:hint="default"/>
                <w:sz w:val="18"/>
                <w:szCs w:val="18"/>
              </w:rPr>
            </w:pPr>
            <w:r>
              <w:rPr>
                <w:rFonts w:ascii="Times New Roman"/>
                <w:sz w:val="18"/>
              </w:rPr>
              <w:t>56.67</w:t>
            </w:r>
          </w:p>
        </w:tc>
      </w:tr>
      <w:tr>
        <w:trPr>
          <w:trHeight w:val="133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2"/>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center"/>
              <w:rPr>
                <w:rFonts w:ascii="Times New Roman" w:hAnsi="Times New Roman" w:cs="Times New Roman" w:eastAsia="Times New Roman" w:hint="default"/>
                <w:sz w:val="18"/>
                <w:szCs w:val="18"/>
              </w:rPr>
            </w:pPr>
            <w:r>
              <w:rPr>
                <w:rFonts w:ascii="Times New Roman"/>
                <w:sz w:val="18"/>
              </w:rPr>
              <w:t>412,</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135,</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469.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963,1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50.14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49,70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0,707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316,58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1,152.7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1,812,38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0,479.22</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2127"/>
        <w:jc w:val="left"/>
        <w:rPr>
          <w:b w:val="0"/>
          <w:bCs w:val="0"/>
        </w:rPr>
      </w:pPr>
      <w:bookmarkStart w:name="三、公司基本情况" w:id="169"/>
      <w:bookmarkEnd w:id="169"/>
      <w:r>
        <w:rPr>
          <w:b w:val="0"/>
          <w:bCs w:val="0"/>
        </w:rPr>
      </w:r>
      <w:r>
        <w:rPr/>
        <w:t>三、公司基本情况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r>
        <w:rPr/>
        <w:t>（一）公司注册地、组织形式和总部地址</w:t>
      </w:r>
      <w:r>
        <w:rPr>
          <w:b w:val="0"/>
          <w:bCs w:val="0"/>
        </w:rPr>
      </w:r>
    </w:p>
    <w:p>
      <w:pPr>
        <w:pStyle w:val="BodyText"/>
        <w:spacing w:line="266" w:lineRule="auto" w:before="37"/>
        <w:ind w:right="1129" w:firstLine="420"/>
        <w:jc w:val="both"/>
      </w:pPr>
      <w:r>
        <w:rPr>
          <w:w w:val="95"/>
        </w:rPr>
        <w:t>安徽皖通科技股份有限公司（以下简称</w:t>
      </w:r>
      <w:r>
        <w:rPr>
          <w:rFonts w:ascii="Times New Roman" w:hAnsi="Times New Roman" w:cs="Times New Roman" w:eastAsia="Times New Roman" w:hint="default"/>
          <w:w w:val="95"/>
        </w:rPr>
        <w:t>“</w:t>
      </w:r>
      <w:r>
        <w:rPr>
          <w:w w:val="95"/>
        </w:rPr>
        <w:t>公司</w:t>
      </w:r>
      <w:r>
        <w:rPr>
          <w:rFonts w:ascii="Times New Roman" w:hAnsi="Times New Roman" w:cs="Times New Roman" w:eastAsia="Times New Roman" w:hint="default"/>
          <w:w w:val="95"/>
        </w:rPr>
        <w:t>”</w:t>
      </w:r>
      <w:r>
        <w:rPr>
          <w:w w:val="95"/>
        </w:rPr>
        <w:t>或</w:t>
      </w:r>
      <w:r>
        <w:rPr>
          <w:rFonts w:ascii="Times New Roman" w:hAnsi="Times New Roman" w:cs="Times New Roman" w:eastAsia="Times New Roman" w:hint="default"/>
          <w:w w:val="95"/>
        </w:rPr>
        <w:t>“</w:t>
      </w:r>
      <w:r>
        <w:rPr>
          <w:w w:val="95"/>
        </w:rPr>
        <w:t>本公司</w:t>
      </w:r>
      <w:r>
        <w:rPr>
          <w:rFonts w:ascii="Times New Roman" w:hAnsi="Times New Roman" w:cs="Times New Roman" w:eastAsia="Times New Roman" w:hint="default"/>
          <w:w w:val="95"/>
        </w:rPr>
        <w:t>”</w:t>
      </w:r>
      <w:r>
        <w:rPr>
          <w:w w:val="95"/>
        </w:rPr>
        <w:t>）</w:t>
      </w:r>
      <w:r>
        <w:rPr>
          <w:spacing w:val="60"/>
          <w:w w:val="95"/>
        </w:rPr>
        <w:t> </w:t>
      </w:r>
      <w:r>
        <w:rPr>
          <w:w w:val="95"/>
        </w:rPr>
        <w:t>前身为安徽皖通科技发展有限公司</w:t>
      </w:r>
      <w:r>
        <w:rPr>
          <w:rFonts w:ascii="Times New Roman" w:hAnsi="Times New Roman" w:cs="Times New Roman" w:eastAsia="Times New Roman" w:hint="default"/>
          <w:w w:val="95"/>
        </w:rPr>
        <w:t>,</w:t>
      </w:r>
      <w:r>
        <w:rPr>
          <w:w w:val="95"/>
        </w:rPr>
        <w:t>于1999</w:t>
      </w:r>
      <w:r>
        <w:rPr>
          <w:w w:val="99"/>
        </w:rPr>
        <w:t> </w:t>
      </w:r>
      <w:r>
        <w:rPr>
          <w:spacing w:val="2"/>
        </w:rPr>
        <w:t>年5月经合肥市高新技术产业开发区管委会合高管（1999)19 </w:t>
      </w:r>
      <w:r>
        <w:rPr/>
        <w:t>号文批准成立，2007 年 5</w:t>
      </w:r>
      <w:r>
        <w:rPr>
          <w:spacing w:val="-11"/>
        </w:rPr>
        <w:t> </w:t>
      </w:r>
      <w:r>
        <w:rPr>
          <w:spacing w:val="2"/>
        </w:rPr>
        <w:t>月，经安徽皖通</w:t>
      </w:r>
      <w:r>
        <w:rPr>
          <w:w w:val="99"/>
        </w:rPr>
        <w:t> </w:t>
      </w:r>
      <w:r>
        <w:rPr>
          <w:w w:val="95"/>
        </w:rPr>
        <w:t>科技发展有限公司股东会决议决定，整体变更为股份有限公司。公司于2010年1月6日在深圳证券交易所上</w:t>
      </w:r>
      <w:r>
        <w:rPr>
          <w:spacing w:val="37"/>
          <w:w w:val="95"/>
        </w:rPr>
        <w:t> </w:t>
      </w:r>
      <w:r>
        <w:rPr>
          <w:spacing w:val="37"/>
          <w:w w:val="95"/>
        </w:rPr>
      </w:r>
      <w:r>
        <w:rPr/>
        <w:t>市，现持有统一社会信用代码为91340100711761244Q(1-5)的营业执照。</w:t>
      </w:r>
    </w:p>
    <w:p>
      <w:pPr>
        <w:pStyle w:val="BodyText"/>
        <w:spacing w:line="264" w:lineRule="auto" w:before="14"/>
        <w:ind w:right="1132" w:firstLine="420"/>
        <w:jc w:val="both"/>
      </w:pPr>
      <w:r>
        <w:rPr>
          <w:w w:val="95"/>
        </w:rPr>
        <w:t>经过历年的派送红股、配售新股、转增股本及增发新股，截止2019年12月31日，本公司累计发行股本</w:t>
      </w:r>
      <w:r>
        <w:rPr>
          <w:w w:val="99"/>
        </w:rPr>
        <w:t> </w:t>
      </w:r>
      <w:r>
        <w:rPr/>
        <w:t>总数41</w:t>
      </w:r>
      <w:r>
        <w:rPr>
          <w:rFonts w:ascii="Times New Roman" w:hAnsi="Times New Roman" w:cs="Times New Roman" w:eastAsia="Times New Roman" w:hint="default"/>
        </w:rPr>
        <w:t>,</w:t>
      </w:r>
      <w:r>
        <w:rPr/>
        <w:t>207</w:t>
      </w:r>
      <w:r>
        <w:rPr>
          <w:rFonts w:ascii="Times New Roman" w:hAnsi="Times New Roman" w:cs="Times New Roman" w:eastAsia="Times New Roman" w:hint="default"/>
        </w:rPr>
        <w:t>.</w:t>
      </w:r>
      <w:r>
        <w:rPr/>
        <w:t>25万股，注册资本为41</w:t>
      </w:r>
      <w:r>
        <w:rPr>
          <w:rFonts w:ascii="Times New Roman" w:hAnsi="Times New Roman" w:cs="Times New Roman" w:eastAsia="Times New Roman" w:hint="default"/>
        </w:rPr>
        <w:t>,</w:t>
      </w:r>
      <w:r>
        <w:rPr/>
        <w:t>207</w:t>
      </w:r>
      <w:r>
        <w:rPr>
          <w:rFonts w:ascii="Times New Roman" w:hAnsi="Times New Roman" w:cs="Times New Roman" w:eastAsia="Times New Roman" w:hint="default"/>
        </w:rPr>
        <w:t>.</w:t>
      </w:r>
      <w:r>
        <w:rPr/>
        <w:t>25万元，注册地址：合肥市高新区皖水路589号，总部地址：合肥</w:t>
      </w:r>
      <w:r>
        <w:rPr>
          <w:spacing w:val="-39"/>
        </w:rPr>
        <w:t> </w:t>
      </w:r>
      <w:r>
        <w:rPr>
          <w:spacing w:val="-39"/>
        </w:rPr>
      </w:r>
      <w:r>
        <w:rPr/>
        <w:t>市高新区皖水路589号，集团最终母公司为南方银谷科技有限公司。</w:t>
      </w:r>
    </w:p>
    <w:p>
      <w:pPr>
        <w:spacing w:line="273" w:lineRule="auto" w:before="136"/>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（二）公司业务性质和主要经营活动</w:t>
      </w:r>
      <w:r>
        <w:rPr>
          <w:rFonts w:ascii="宋体" w:hAnsi="宋体" w:cs="宋体" w:eastAsia="宋体" w:hint="default"/>
          <w:b/>
          <w:bCs/>
          <w:w w:val="99"/>
          <w:sz w:val="21"/>
          <w:szCs w:val="21"/>
        </w:rPr>
        <w:t> </w:t>
      </w:r>
      <w:r>
        <w:rPr>
          <w:rFonts w:ascii="宋体" w:hAnsi="宋体" w:cs="宋体" w:eastAsia="宋体" w:hint="default"/>
          <w:w w:val="95"/>
          <w:sz w:val="21"/>
          <w:szCs w:val="21"/>
        </w:rPr>
        <w:t>公司业务主要分为：1.系统集成：高速公路机电工程系统集成及其他信息系统集成项目，即为新建或</w:t>
      </w:r>
      <w:r>
        <w:rPr>
          <w:rFonts w:ascii="宋体" w:hAnsi="宋体" w:cs="宋体" w:eastAsia="宋体" w:hint="default"/>
          <w:sz w:val="21"/>
          <w:szCs w:val="21"/>
        </w:rPr>
      </w:r>
    </w:p>
    <w:p>
      <w:pPr>
        <w:pStyle w:val="BodyText"/>
        <w:spacing w:line="273" w:lineRule="auto"/>
        <w:ind w:right="1129"/>
        <w:jc w:val="both"/>
      </w:pPr>
      <w:r>
        <w:rPr>
          <w:w w:val="95"/>
        </w:rPr>
        <w:t>改扩建高速公路、港口等机电等各类信息系统项目提供工程建设、安装及相关软件的开发、安装服务。2.</w:t>
      </w:r>
      <w:r>
        <w:rPr>
          <w:spacing w:val="43"/>
          <w:w w:val="95"/>
        </w:rPr>
        <w:t> </w:t>
      </w:r>
      <w:r>
        <w:rPr>
          <w:spacing w:val="43"/>
          <w:w w:val="95"/>
        </w:rPr>
      </w:r>
      <w:r>
        <w:rPr>
          <w:w w:val="95"/>
        </w:rPr>
        <w:t>技术服务：为各类系统集成项目提供后续的维护、改造及支持服务。3.技术转让：公司自主或联合研发的</w:t>
      </w:r>
      <w:r>
        <w:rPr>
          <w:spacing w:val="44"/>
          <w:w w:val="95"/>
        </w:rPr>
        <w:t> </w:t>
      </w:r>
      <w:r>
        <w:rPr>
          <w:spacing w:val="44"/>
          <w:w w:val="95"/>
        </w:rPr>
      </w:r>
      <w:r>
        <w:rPr/>
        <w:t>系统软件转让项目。4、商品销售：公司生产的微波组件、器件和雷达整机等。</w:t>
      </w:r>
    </w:p>
    <w:p>
      <w:pPr>
        <w:pStyle w:val="BodyText"/>
        <w:spacing w:line="240" w:lineRule="auto"/>
        <w:ind w:left="532" w:right="0"/>
        <w:jc w:val="left"/>
      </w:pPr>
      <w:r>
        <w:rPr/>
        <w:t>本公司属软件和信息技术服务行业，主要产品和服务为系统集成、技术服务、技术转让、商品销售。</w:t>
      </w:r>
    </w:p>
    <w:p>
      <w:pPr>
        <w:spacing w:line="273" w:lineRule="auto" w:before="157"/>
        <w:ind w:left="532" w:right="4994" w:hanging="420"/>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w w:val="99"/>
          <w:sz w:val="21"/>
          <w:szCs w:val="21"/>
        </w:rPr>
        <w:t> </w:t>
      </w:r>
      <w:r>
        <w:rPr>
          <w:rFonts w:ascii="宋体" w:hAnsi="宋体" w:cs="宋体" w:eastAsia="宋体" w:hint="default"/>
          <w:sz w:val="21"/>
          <w:szCs w:val="21"/>
        </w:rPr>
        <w:t>本财务报表业经公司董事会于2020年4月27日批准报出。</w:t>
      </w:r>
    </w:p>
    <w:p>
      <w:pPr>
        <w:spacing w:line="240" w:lineRule="auto" w:before="6"/>
        <w:rPr>
          <w:rFonts w:ascii="宋体" w:hAnsi="宋体" w:cs="宋体" w:eastAsia="宋体" w:hint="default"/>
          <w:sz w:val="24"/>
          <w:szCs w:val="24"/>
        </w:rPr>
      </w:pPr>
    </w:p>
    <w:p>
      <w:pPr>
        <w:pStyle w:val="BodyText"/>
        <w:spacing w:line="240" w:lineRule="auto" w:before="0"/>
        <w:ind w:left="532" w:right="2127"/>
        <w:jc w:val="left"/>
      </w:pPr>
      <w:r>
        <w:rPr/>
        <w:t>本期纳入合并财务报表范围的子公司共17户，具体包括：</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510"/>
        <w:gridCol w:w="1401"/>
        <w:gridCol w:w="725"/>
        <w:gridCol w:w="1276"/>
        <w:gridCol w:w="1560"/>
      </w:tblGrid>
      <w:tr>
        <w:trPr>
          <w:trHeight w:val="354"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1．天津市金飞博光通讯技术有限公司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b/>
                <w:sz w:val="18"/>
              </w:rPr>
              <w:t>100.00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b/>
                <w:sz w:val="18"/>
              </w:rPr>
              <w:t>100.00</w:t>
            </w:r>
            <w:r>
              <w:rPr>
                <w:rFonts w:ascii="宋体"/>
                <w:sz w:val="18"/>
              </w:rPr>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2．天津市天安怡和信息技术有限公司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b/>
                <w:sz w:val="18"/>
              </w:rPr>
              <w:t>100.00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b/>
                <w:sz w:val="18"/>
              </w:rPr>
              <w:t>100.00</w:t>
            </w:r>
            <w:r>
              <w:rPr>
                <w:rFonts w:ascii="宋体"/>
                <w:sz w:val="18"/>
              </w:rPr>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83" w:right="0"/>
              <w:jc w:val="left"/>
              <w:rPr>
                <w:rFonts w:ascii="宋体" w:hAnsi="宋体" w:cs="宋体" w:eastAsia="宋体" w:hint="default"/>
                <w:sz w:val="18"/>
                <w:szCs w:val="18"/>
              </w:rPr>
            </w:pPr>
            <w:r>
              <w:rPr>
                <w:rFonts w:ascii="宋体" w:hAnsi="宋体" w:cs="宋体" w:eastAsia="宋体" w:hint="default"/>
                <w:sz w:val="18"/>
                <w:szCs w:val="18"/>
              </w:rPr>
              <w:t>1）天津信息港甲子科技有限公司*1</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sz w:val="18"/>
              </w:rPr>
              <w:t>100.00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3．烟台华东电子软件技术有限公司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b/>
                <w:sz w:val="18"/>
              </w:rPr>
              <w:t>100.00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b/>
                <w:sz w:val="18"/>
              </w:rPr>
              <w:t>100.00</w:t>
            </w:r>
            <w:r>
              <w:rPr>
                <w:rFonts w:ascii="宋体"/>
                <w:sz w:val="18"/>
              </w:rPr>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1）宁波拖柜宝物流科技有限责任公司*1</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sz w:val="18"/>
              </w:rPr>
              <w:t>100.00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2）烟台华东数据科技有限公司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100.00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3）烟台华东电子科技有限公司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100.00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4）上海舶云供应链管理有限公司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控股重孙公司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四级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52.50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sz w:val="18"/>
              </w:rPr>
              <w:t>52.50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83" w:right="0"/>
              <w:jc w:val="left"/>
              <w:rPr>
                <w:rFonts w:ascii="宋体" w:hAnsi="宋体" w:cs="宋体" w:eastAsia="宋体" w:hint="default"/>
                <w:sz w:val="18"/>
                <w:szCs w:val="18"/>
              </w:rPr>
            </w:pPr>
            <w:r>
              <w:rPr>
                <w:rFonts w:ascii="宋体" w:hAnsi="宋体" w:cs="宋体" w:eastAsia="宋体" w:hint="default"/>
                <w:sz w:val="18"/>
                <w:szCs w:val="18"/>
              </w:rPr>
              <w:t>5）浙江自贸区舶云智慧物流有限公司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控股玄孙公司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75" w:right="0"/>
              <w:jc w:val="left"/>
              <w:rPr>
                <w:rFonts w:ascii="宋体" w:hAnsi="宋体" w:cs="宋体" w:eastAsia="宋体" w:hint="default"/>
                <w:sz w:val="18"/>
                <w:szCs w:val="18"/>
              </w:rPr>
            </w:pPr>
            <w:r>
              <w:rPr>
                <w:rFonts w:ascii="宋体" w:hAnsi="宋体" w:cs="宋体" w:eastAsia="宋体" w:hint="default"/>
                <w:sz w:val="18"/>
                <w:szCs w:val="18"/>
              </w:rPr>
              <w:t>五级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sz w:val="18"/>
              </w:rPr>
              <w:t>100.00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4．安徽汉高信息科技有限公司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b/>
                <w:sz w:val="18"/>
              </w:rPr>
              <w:t>51.00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b/>
                <w:sz w:val="18"/>
              </w:rPr>
              <w:t>51.00</w:t>
            </w:r>
            <w:r>
              <w:rPr>
                <w:rFonts w:ascii="宋体"/>
                <w:sz w:val="18"/>
              </w:rPr>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5．安徽皖通城市智能交通科技有限公司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b/>
                <w:sz w:val="18"/>
              </w:rPr>
              <w:t>51.00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b/>
                <w:sz w:val="18"/>
              </w:rPr>
              <w:t>51.00</w:t>
            </w:r>
            <w:r>
              <w:rPr>
                <w:rFonts w:ascii="宋体"/>
                <w:sz w:val="18"/>
              </w:rPr>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6．重庆皖通科技有限责任公司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b/>
                <w:sz w:val="18"/>
              </w:rPr>
              <w:t>85.00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b/>
                <w:sz w:val="18"/>
              </w:rPr>
              <w:t>85.00</w:t>
            </w:r>
            <w:r>
              <w:rPr>
                <w:rFonts w:ascii="宋体"/>
                <w:sz w:val="18"/>
              </w:rPr>
            </w:r>
          </w:p>
        </w:tc>
      </w:tr>
      <w:tr>
        <w:trPr>
          <w:trHeight w:val="360"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7．安徽行云天下科技有限公司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b/>
                <w:sz w:val="18"/>
              </w:rPr>
              <w:t>50.90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b/>
                <w:sz w:val="18"/>
              </w:rPr>
              <w:t>50.90</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510"/>
        <w:gridCol w:w="1401"/>
        <w:gridCol w:w="725"/>
        <w:gridCol w:w="1276"/>
        <w:gridCol w:w="1560"/>
      </w:tblGrid>
      <w:tr>
        <w:trPr>
          <w:trHeight w:val="369" w:hRule="exact"/>
        </w:trPr>
        <w:tc>
          <w:tcPr>
            <w:tcW w:w="3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83" w:right="0"/>
              <w:jc w:val="left"/>
              <w:rPr>
                <w:rFonts w:ascii="宋体" w:hAnsi="宋体" w:cs="宋体" w:eastAsia="宋体" w:hint="default"/>
                <w:sz w:val="18"/>
                <w:szCs w:val="18"/>
              </w:rPr>
            </w:pPr>
            <w:r>
              <w:rPr>
                <w:rFonts w:ascii="宋体" w:hAnsi="宋体" w:cs="宋体" w:eastAsia="宋体" w:hint="default"/>
                <w:sz w:val="18"/>
                <w:szCs w:val="18"/>
              </w:rPr>
              <w:t>1）安徽光大保险代理有限责任公司</w:t>
            </w:r>
          </w:p>
        </w:tc>
        <w:tc>
          <w:tcPr>
            <w:tcW w:w="14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7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60" w:right="0"/>
              <w:jc w:val="left"/>
              <w:rPr>
                <w:rFonts w:ascii="宋体" w:hAnsi="宋体" w:cs="宋体" w:eastAsia="宋体" w:hint="default"/>
                <w:sz w:val="18"/>
                <w:szCs w:val="18"/>
              </w:rPr>
            </w:pPr>
            <w:r>
              <w:rPr>
                <w:rFonts w:ascii="宋体"/>
                <w:sz w:val="18"/>
              </w:rPr>
              <w:t>100.00</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506"/>
              <w:jc w:val="right"/>
              <w:rPr>
                <w:rFonts w:ascii="宋体" w:hAnsi="宋体" w:cs="宋体" w:eastAsia="宋体" w:hint="default"/>
                <w:sz w:val="18"/>
                <w:szCs w:val="18"/>
              </w:rPr>
            </w:pPr>
            <w:r>
              <w:rPr>
                <w:rFonts w:ascii="宋体"/>
                <w:spacing w:val="-1"/>
                <w:sz w:val="18"/>
              </w:rPr>
              <w:t>100.00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2）上海亲益保网络科技有限公司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sz w:val="18"/>
              </w:rPr>
              <w:t>100.00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06"/>
              <w:jc w:val="right"/>
              <w:rPr>
                <w:rFonts w:ascii="宋体" w:hAnsi="宋体" w:cs="宋体" w:eastAsia="宋体" w:hint="default"/>
                <w:sz w:val="18"/>
                <w:szCs w:val="18"/>
              </w:rPr>
            </w:pPr>
            <w:r>
              <w:rPr>
                <w:rFonts w:ascii="宋体"/>
                <w:spacing w:val="-1"/>
                <w:sz w:val="18"/>
              </w:rPr>
              <w:t>100.00</w:t>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8．成都赛英科技有限公司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60" w:right="0"/>
              <w:jc w:val="left"/>
              <w:rPr>
                <w:rFonts w:ascii="宋体" w:hAnsi="宋体" w:cs="宋体" w:eastAsia="宋体" w:hint="default"/>
                <w:sz w:val="18"/>
                <w:szCs w:val="18"/>
              </w:rPr>
            </w:pPr>
            <w:r>
              <w:rPr>
                <w:rFonts w:ascii="宋体"/>
                <w:b/>
                <w:sz w:val="18"/>
              </w:rPr>
              <w:t>100.00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02"/>
              <w:jc w:val="right"/>
              <w:rPr>
                <w:rFonts w:ascii="宋体" w:hAnsi="宋体" w:cs="宋体" w:eastAsia="宋体" w:hint="default"/>
                <w:sz w:val="18"/>
                <w:szCs w:val="18"/>
              </w:rPr>
            </w:pPr>
            <w:r>
              <w:rPr>
                <w:rFonts w:ascii="宋体"/>
                <w:b/>
                <w:sz w:val="18"/>
              </w:rPr>
              <w:t>100.00</w:t>
            </w:r>
            <w:r>
              <w:rPr>
                <w:rFonts w:ascii="宋体"/>
                <w:sz w:val="18"/>
              </w:rPr>
            </w:r>
          </w:p>
        </w:tc>
      </w:tr>
      <w:tr>
        <w:trPr>
          <w:trHeight w:val="36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9．陕西皖通科技有限责任公司</w:t>
            </w:r>
            <w:r>
              <w:rPr>
                <w:rFonts w:ascii="宋体" w:hAnsi="宋体" w:cs="宋体" w:eastAsia="宋体" w:hint="default"/>
                <w:sz w:val="18"/>
                <w:szCs w:val="18"/>
              </w:rPr>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05" w:right="0"/>
              <w:jc w:val="left"/>
              <w:rPr>
                <w:rFonts w:ascii="宋体" w:hAnsi="宋体" w:cs="宋体" w:eastAsia="宋体" w:hint="default"/>
                <w:sz w:val="18"/>
                <w:szCs w:val="18"/>
              </w:rPr>
            </w:pPr>
            <w:r>
              <w:rPr>
                <w:rFonts w:ascii="宋体"/>
                <w:b/>
                <w:sz w:val="18"/>
              </w:rPr>
              <w:t>70.00</w:t>
            </w:r>
            <w:r>
              <w:rPr>
                <w:rFonts w:ascii="宋体"/>
                <w:sz w:val="18"/>
              </w:rPr>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47"/>
              <w:jc w:val="right"/>
              <w:rPr>
                <w:rFonts w:ascii="宋体" w:hAnsi="宋体" w:cs="宋体" w:eastAsia="宋体" w:hint="default"/>
                <w:sz w:val="18"/>
                <w:szCs w:val="18"/>
              </w:rPr>
            </w:pPr>
            <w:r>
              <w:rPr>
                <w:rFonts w:ascii="宋体"/>
                <w:b/>
                <w:sz w:val="18"/>
              </w:rPr>
              <w:t>70.00</w:t>
            </w:r>
            <w:r>
              <w:rPr>
                <w:rFonts w:ascii="宋体"/>
                <w:sz w:val="18"/>
              </w:rPr>
            </w:r>
          </w:p>
        </w:tc>
      </w:tr>
    </w:tbl>
    <w:p>
      <w:pPr>
        <w:spacing w:line="240" w:lineRule="auto" w:before="4"/>
        <w:rPr>
          <w:rFonts w:ascii="宋体" w:hAnsi="宋体" w:cs="宋体" w:eastAsia="宋体" w:hint="default"/>
          <w:sz w:val="20"/>
          <w:szCs w:val="20"/>
        </w:rPr>
      </w:pPr>
    </w:p>
    <w:p>
      <w:pPr>
        <w:spacing w:line="273" w:lineRule="auto" w:before="34"/>
        <w:ind w:left="53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18"/>
          <w:szCs w:val="18"/>
        </w:rPr>
        <w:t>天津信息港甲子科技有限公司和宁波拖柜宝物流科技有限责任公司本期注销。</w:t>
      </w:r>
      <w:r>
        <w:rPr>
          <w:rFonts w:ascii="宋体" w:hAnsi="宋体" w:cs="宋体" w:eastAsia="宋体" w:hint="default"/>
          <w:sz w:val="18"/>
          <w:szCs w:val="18"/>
        </w:rPr>
        <w:t> </w:t>
      </w:r>
      <w:r>
        <w:rPr>
          <w:rFonts w:ascii="宋体" w:hAnsi="宋体" w:cs="宋体" w:eastAsia="宋体" w:hint="default"/>
          <w:w w:val="95"/>
          <w:sz w:val="21"/>
          <w:szCs w:val="21"/>
        </w:rPr>
        <w:t>子公司的持股比例不同于表决权比例的原因、以及持有半数或以下表决权但仍控制被投资单位的依据</w:t>
      </w:r>
      <w:r>
        <w:rPr>
          <w:rFonts w:ascii="宋体" w:hAnsi="宋体" w:cs="宋体" w:eastAsia="宋体" w:hint="default"/>
          <w:sz w:val="21"/>
          <w:szCs w:val="21"/>
        </w:rPr>
      </w:r>
    </w:p>
    <w:p>
      <w:pPr>
        <w:pStyle w:val="BodyText"/>
        <w:spacing w:line="273" w:lineRule="auto"/>
        <w:ind w:left="532" w:right="2127" w:hanging="420"/>
        <w:jc w:val="left"/>
      </w:pPr>
      <w:r>
        <w:rPr>
          <w:spacing w:val="-3"/>
          <w:w w:val="99"/>
        </w:rPr>
        <w:t>说明详见“附注九、在其他主体中的权益（一）在子公司中权益”。</w:t>
      </w:r>
      <w:r>
        <w:rPr>
          <w:w w:val="99"/>
        </w:rPr>
        <w:t> </w:t>
      </w:r>
      <w:r>
        <w:rPr>
          <w:w w:val="95"/>
        </w:rPr>
        <w:t>本期纳入合并财务报表范围的主体较上期相比，增加1户，减少0户，其中：</w:t>
      </w:r>
      <w:r>
        <w:rPr/>
      </w:r>
    </w:p>
    <w:p>
      <w:pPr>
        <w:pStyle w:val="BodyText"/>
        <w:spacing w:line="240" w:lineRule="auto"/>
        <w:ind w:right="0"/>
        <w:jc w:val="left"/>
      </w:pPr>
      <w:r>
        <w:rPr/>
        <w:t>本期新纳入合并范围的子公司、特殊目的主体、通过受托经营或承租等方式形成控制权的经营实体</w:t>
      </w:r>
    </w:p>
    <w:p>
      <w:pPr>
        <w:spacing w:line="240" w:lineRule="auto" w:before="1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陕西皖通科技有限责任公司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4"/>
        <w:spacing w:line="240" w:lineRule="auto" w:before="26"/>
        <w:ind w:right="2127"/>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right="1130" w:firstLine="420"/>
        <w:jc w:val="both"/>
      </w:pPr>
      <w:r>
        <w:rPr>
          <w:w w:val="95"/>
        </w:rPr>
        <w:t>本公司根据实际发生的交易和事项，按照财政部颁布的《企业会计准则——基本准则》和具体企业会</w:t>
      </w:r>
      <w:r>
        <w:rPr>
          <w:spacing w:val="-97"/>
          <w:w w:val="95"/>
        </w:rPr>
        <w:t> </w:t>
      </w:r>
      <w:r>
        <w:rPr>
          <w:spacing w:val="-97"/>
          <w:w w:val="95"/>
        </w:rPr>
      </w:r>
      <w:r>
        <w:rPr/>
        <w:t>计准则、企业会计准则应用指南、企业会计准则解释及其他相关规定（以下合称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w:t>
      </w:r>
      <w:r>
        <w:rPr>
          <w:w w:val="99"/>
        </w:rPr>
        <w:t> </w:t>
      </w:r>
      <w:r>
        <w:rPr>
          <w:w w:val="95"/>
        </w:rPr>
        <w:t>认和计量，在此基础上，结合中国证券监督管理委员会《公开发行证券的公司信息披露编报规则第</w:t>
      </w:r>
      <w:r>
        <w:rPr>
          <w:rFonts w:ascii="Times New Roman" w:hAnsi="Times New Roman" w:cs="Times New Roman" w:eastAsia="Times New Roman" w:hint="default"/>
          <w:w w:val="95"/>
        </w:rPr>
        <w:t>15</w:t>
      </w:r>
      <w:r>
        <w:rPr>
          <w:w w:val="95"/>
        </w:rPr>
        <w:t>号—</w:t>
      </w:r>
      <w:r>
        <w:rPr/>
      </w:r>
    </w:p>
    <w:p>
      <w:pPr>
        <w:pStyle w:val="BodyText"/>
        <w:spacing w:line="289" w:lineRule="exact" w:before="0"/>
        <w:ind w:right="2127"/>
        <w:jc w:val="left"/>
      </w:pPr>
      <w:r>
        <w:rPr>
          <w:spacing w:val="2"/>
          <w:w w:val="99"/>
        </w:rPr>
        <w:t>—</w:t>
      </w:r>
      <w:r>
        <w:rPr>
          <w:spacing w:val="-1"/>
          <w:w w:val="99"/>
        </w:rPr>
        <w:t>财</w:t>
      </w:r>
      <w:r>
        <w:rPr>
          <w:spacing w:val="2"/>
          <w:w w:val="99"/>
        </w:rPr>
        <w:t>务</w:t>
      </w:r>
      <w:r>
        <w:rPr>
          <w:spacing w:val="-1"/>
          <w:w w:val="99"/>
        </w:rPr>
        <w:t>报</w:t>
      </w:r>
      <w:r>
        <w:rPr>
          <w:spacing w:val="2"/>
          <w:w w:val="99"/>
        </w:rPr>
        <w:t>告</w:t>
      </w:r>
      <w:r>
        <w:rPr>
          <w:spacing w:val="-1"/>
          <w:w w:val="99"/>
        </w:rPr>
        <w:t>的</w:t>
      </w:r>
      <w:r>
        <w:rPr>
          <w:spacing w:val="2"/>
          <w:w w:val="99"/>
        </w:rPr>
        <w:t>一</w:t>
      </w:r>
      <w:r>
        <w:rPr>
          <w:spacing w:val="-1"/>
          <w:w w:val="99"/>
        </w:rPr>
        <w:t>般</w:t>
      </w:r>
      <w:r>
        <w:rPr>
          <w:spacing w:val="2"/>
          <w:w w:val="99"/>
        </w:rPr>
        <w:t>规</w:t>
      </w:r>
      <w:r>
        <w:rPr>
          <w:spacing w:val="-1"/>
          <w:w w:val="99"/>
        </w:rPr>
        <w:t>定</w:t>
      </w:r>
      <w:r>
        <w:rPr>
          <w:spacing w:val="-104"/>
          <w:w w:val="99"/>
        </w:rPr>
        <w:t>》</w:t>
      </w:r>
      <w:r>
        <w:rPr>
          <w:spacing w:val="2"/>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4</w:t>
      </w:r>
      <w:r>
        <w:rPr>
          <w:spacing w:val="-1"/>
          <w:w w:val="99"/>
        </w:rPr>
        <w:t>年</w:t>
      </w:r>
      <w:r>
        <w:rPr>
          <w:spacing w:val="2"/>
          <w:w w:val="99"/>
        </w:rPr>
        <w:t>修</w:t>
      </w:r>
      <w:r>
        <w:rPr>
          <w:spacing w:val="-1"/>
          <w:w w:val="99"/>
        </w:rPr>
        <w:t>订</w:t>
      </w:r>
      <w:r>
        <w:rPr>
          <w:spacing w:val="2"/>
          <w:w w:val="99"/>
        </w:rPr>
        <w:t>）</w:t>
      </w:r>
      <w:r>
        <w:rPr>
          <w:spacing w:val="-1"/>
          <w:w w:val="99"/>
        </w:rPr>
        <w:t>的</w:t>
      </w:r>
      <w:r>
        <w:rPr>
          <w:spacing w:val="2"/>
          <w:w w:val="99"/>
        </w:rPr>
        <w:t>规</w:t>
      </w:r>
      <w:r>
        <w:rPr>
          <w:spacing w:val="-1"/>
          <w:w w:val="99"/>
        </w:rPr>
        <w:t>定</w:t>
      </w:r>
      <w:r>
        <w:rPr>
          <w:spacing w:val="2"/>
          <w:w w:val="99"/>
        </w:rPr>
        <w:t>，</w:t>
      </w:r>
      <w:r>
        <w:rPr>
          <w:spacing w:val="-1"/>
          <w:w w:val="99"/>
        </w:rPr>
        <w:t>编</w:t>
      </w:r>
      <w:r>
        <w:rPr>
          <w:spacing w:val="2"/>
          <w:w w:val="99"/>
        </w:rPr>
        <w:t>制</w:t>
      </w:r>
      <w:r>
        <w:rPr>
          <w:spacing w:val="-1"/>
          <w:w w:val="99"/>
        </w:rPr>
        <w:t>财</w:t>
      </w:r>
      <w:r>
        <w:rPr>
          <w:spacing w:val="2"/>
          <w:w w:val="99"/>
        </w:rPr>
        <w:t>务</w:t>
      </w:r>
      <w:r>
        <w:rPr>
          <w:spacing w:val="-1"/>
          <w:w w:val="99"/>
        </w:rPr>
        <w:t>报</w:t>
      </w:r>
      <w:r>
        <w:rPr>
          <w:spacing w:val="2"/>
          <w:w w:val="99"/>
        </w:rPr>
        <w:t>表</w:t>
      </w:r>
      <w:r>
        <w:rPr>
          <w:w w:val="99"/>
        </w:rPr>
        <w:t>。</w:t>
      </w:r>
      <w:r>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5"/>
        <w:spacing w:line="240" w:lineRule="auto"/>
        <w:ind w:right="2127"/>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0"/>
        <w:jc w:val="both"/>
      </w:pPr>
      <w:r>
        <w:rPr>
          <w:w w:val="95"/>
        </w:rPr>
        <w:t>本公司对报告期末起12个月的持续经营能力进行了评价，未发现对持续经营能力产生重大怀疑的事项</w:t>
      </w:r>
      <w:r>
        <w:rPr>
          <w:w w:val="99"/>
        </w:rPr>
        <w:t> </w:t>
      </w:r>
      <w:r>
        <w:rPr/>
        <w:t>或情况。因此，本财务报表系在持续经营假设的基础上编制。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2127"/>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733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公司是否需要遵守特殊行业的披露要求：是 软件与信息技术服务业</w:t>
      </w:r>
    </w:p>
    <w:p>
      <w:pPr>
        <w:spacing w:line="612" w:lineRule="exact" w:before="35"/>
        <w:ind w:left="532" w:right="0" w:hanging="420"/>
        <w:jc w:val="left"/>
        <w:rPr>
          <w:rFonts w:ascii="宋体" w:hAnsi="宋体" w:cs="宋体" w:eastAsia="宋体" w:hint="default"/>
          <w:sz w:val="21"/>
          <w:szCs w:val="21"/>
        </w:rPr>
      </w:pPr>
      <w:bookmarkStart w:name="1、遵循企业会计准则的声明" w:id="174"/>
      <w:bookmarkEnd w:id="17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本公司所编制的财务报表符合企业会计准则的要求，真实、完整地反映了报告期公司的财务状况、经</w:t>
      </w:r>
      <w:r>
        <w:rPr>
          <w:rFonts w:ascii="宋体" w:hAnsi="宋体" w:cs="宋体" w:eastAsia="宋体" w:hint="default"/>
          <w:sz w:val="21"/>
          <w:szCs w:val="21"/>
        </w:rPr>
      </w:r>
    </w:p>
    <w:p>
      <w:pPr>
        <w:pStyle w:val="BodyText"/>
        <w:spacing w:line="219" w:lineRule="exact" w:before="0"/>
        <w:ind w:right="2127"/>
        <w:jc w:val="left"/>
      </w:pPr>
      <w:r>
        <w:rPr/>
        <w:t>营成果、现金流量等有关信息。</w:t>
      </w:r>
    </w:p>
    <w:p>
      <w:pPr>
        <w:spacing w:after="0" w:line="219" w:lineRule="exact"/>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0"/>
        <w:jc w:val="both"/>
        <w:rPr>
          <w:b w:val="0"/>
          <w:bCs w:val="0"/>
        </w:rPr>
      </w:pPr>
      <w:bookmarkStart w:name="2、会计期间" w:id="175"/>
      <w:bookmarkEnd w:id="17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2127"/>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5"/>
        <w:spacing w:line="240" w:lineRule="auto"/>
        <w:ind w:right="0"/>
        <w:jc w:val="both"/>
        <w:rPr>
          <w:b w:val="0"/>
          <w:bCs w:val="0"/>
        </w:rPr>
      </w:pPr>
      <w:bookmarkStart w:name="3、营业周期" w:id="176"/>
      <w:bookmarkEnd w:id="17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2127"/>
        <w:jc w:val="left"/>
      </w:pPr>
      <w:r>
        <w:rPr/>
        <w:t>12个月</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both"/>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32" w:right="2127"/>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both"/>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73" w:lineRule="auto"/>
        <w:ind w:right="0" w:firstLine="316"/>
        <w:jc w:val="left"/>
        <w:rPr>
          <w:b w:val="0"/>
          <w:bCs w:val="0"/>
        </w:rPr>
      </w:pPr>
      <w:r>
        <w:rPr>
          <w:w w:val="95"/>
        </w:rPr>
        <w:t>（1）分步实现企业合并过程中的各项交易的条款、条件以及经济影响符合以下一种或多种情况，将多</w:t>
      </w:r>
      <w:r>
        <w:rPr>
          <w:spacing w:val="16"/>
          <w:w w:val="95"/>
        </w:rPr>
        <w:t> </w:t>
      </w:r>
      <w:r>
        <w:rPr>
          <w:spacing w:val="16"/>
          <w:w w:val="95"/>
        </w:rPr>
      </w:r>
      <w:r>
        <w:rPr/>
        <w:t>次交易事项作为一揽子交易进行会计处理</w:t>
      </w:r>
      <w:r>
        <w:rPr>
          <w:b w:val="0"/>
          <w:bCs w:val="0"/>
        </w:rPr>
      </w:r>
    </w:p>
    <w:p>
      <w:pPr>
        <w:pStyle w:val="BodyText"/>
        <w:spacing w:line="240" w:lineRule="auto"/>
        <w:ind w:left="532" w:right="2127"/>
        <w:jc w:val="left"/>
      </w:pPr>
      <w:r>
        <w:rPr/>
        <w:t>1）这些交易是同时或者在考虑了彼此影响的情况下订立的；</w:t>
      </w:r>
    </w:p>
    <w:p>
      <w:pPr>
        <w:pStyle w:val="BodyText"/>
        <w:spacing w:line="240" w:lineRule="auto" w:before="37"/>
        <w:ind w:left="532" w:right="2127"/>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32" w:right="2127"/>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21"/>
        <w:ind w:left="532" w:right="2127"/>
        <w:jc w:val="left"/>
      </w:pPr>
      <w:r>
        <w:rPr>
          <w:rFonts w:ascii="Times New Roman" w:hAnsi="Times New Roman" w:cs="Times New Roman" w:eastAsia="Times New Roman" w:hint="default"/>
        </w:rPr>
        <w:t>4</w:t>
      </w:r>
      <w:r>
        <w:rPr/>
        <w:t>）一项交易单独看是不经济的，但是和其他交易一并考虑时是经济的。</w:t>
      </w:r>
    </w:p>
    <w:p>
      <w:pPr>
        <w:spacing w:line="273" w:lineRule="auto" w:before="21"/>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（2）同一控制下的企业合并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本公司在企业合并中取得的资产和负债，按照合并日在被合并方资产、负债（包括最终控制方收购被</w:t>
      </w:r>
      <w:r>
        <w:rPr>
          <w:rFonts w:ascii="宋体" w:hAnsi="宋体" w:cs="宋体" w:eastAsia="宋体" w:hint="default"/>
          <w:sz w:val="21"/>
          <w:szCs w:val="21"/>
        </w:rPr>
      </w:r>
    </w:p>
    <w:p>
      <w:pPr>
        <w:pStyle w:val="BodyText"/>
        <w:spacing w:line="273" w:lineRule="auto"/>
        <w:ind w:right="1132"/>
        <w:jc w:val="both"/>
      </w:pPr>
      <w:r>
        <w:rPr>
          <w:w w:val="95"/>
        </w:rPr>
        <w:t>合并方而形成的商誉）在最终控制方合并财务报表中的账面价值计量。在合并中取得的净资产账面价值与</w:t>
      </w:r>
      <w:r>
        <w:rPr>
          <w:spacing w:val="40"/>
          <w:w w:val="95"/>
        </w:rPr>
        <w:t> </w:t>
      </w:r>
      <w:r>
        <w:rPr>
          <w:spacing w:val="40"/>
          <w:w w:val="95"/>
        </w:rPr>
      </w:r>
      <w:r>
        <w:rPr>
          <w:w w:val="95"/>
        </w:rPr>
        <w:t>支付的合并对价账面价值（或发行股份面值总额）的差额，调整资本公积中的股本溢价，资本公积中的股</w:t>
      </w:r>
      <w:r>
        <w:rPr>
          <w:spacing w:val="41"/>
          <w:w w:val="95"/>
        </w:rPr>
        <w:t> </w:t>
      </w:r>
      <w:r>
        <w:rPr>
          <w:spacing w:val="41"/>
          <w:w w:val="95"/>
        </w:rPr>
      </w:r>
      <w:r>
        <w:rPr/>
        <w:t>本溢价不足冲减的，调整留存收益。</w:t>
      </w:r>
    </w:p>
    <w:p>
      <w:pPr>
        <w:pStyle w:val="BodyText"/>
        <w:spacing w:line="273" w:lineRule="auto"/>
        <w:ind w:right="0" w:firstLine="420"/>
        <w:jc w:val="left"/>
      </w:pPr>
      <w:r>
        <w:rPr>
          <w:w w:val="95"/>
        </w:rPr>
        <w:t>如果存在或有对价并需要确认预计负债或资产，该预计负债或资产金额与后续或有对价结算金额的差</w:t>
      </w:r>
      <w:r>
        <w:rPr>
          <w:w w:val="99"/>
        </w:rPr>
        <w:t> </w:t>
      </w:r>
      <w:r>
        <w:rPr>
          <w:spacing w:val="-3"/>
          <w:w w:val="99"/>
        </w:rPr>
        <w:t>额，调整资本公积（资本溢价或股本溢价），资本公积不足的，调整留存收益。</w:t>
      </w:r>
      <w:r>
        <w:rPr>
          <w:spacing w:val="-3"/>
        </w:rPr>
      </w:r>
    </w:p>
    <w:p>
      <w:pPr>
        <w:pStyle w:val="BodyText"/>
        <w:spacing w:line="273" w:lineRule="auto"/>
        <w:ind w:right="1112" w:firstLine="420"/>
        <w:jc w:val="both"/>
      </w:pPr>
      <w:r>
        <w:rPr>
          <w:w w:val="95"/>
        </w:rPr>
        <w:t>对于通过多次交易最终实现企业合并的，属于一揽子交易的，将各项交易作为一项取得控制权的交易</w:t>
      </w:r>
      <w:r>
        <w:rPr>
          <w:w w:val="99"/>
        </w:rPr>
        <w:t> </w:t>
      </w:r>
      <w:r>
        <w:rPr>
          <w:w w:val="95"/>
        </w:rPr>
        <w:t>进行会计处理；不属于一揽子交易的，在取得控制权日，长期股权投资初始投资成本，与达到合并前的长</w:t>
      </w:r>
      <w:r>
        <w:rPr>
          <w:spacing w:val="45"/>
          <w:w w:val="95"/>
        </w:rPr>
        <w:t> </w:t>
      </w:r>
      <w:r>
        <w:rPr>
          <w:spacing w:val="45"/>
          <w:w w:val="95"/>
        </w:rPr>
      </w:r>
      <w:r>
        <w:rPr>
          <w:w w:val="95"/>
        </w:rPr>
        <w:t>期股权投资账面价值加上合并日进一步取得股份新支付对价的账面价值之和的差额，调整资本公积；资本</w:t>
      </w:r>
      <w:r>
        <w:rPr>
          <w:spacing w:val="37"/>
          <w:w w:val="95"/>
        </w:rPr>
        <w:t> </w:t>
      </w:r>
      <w:r>
        <w:rPr>
          <w:spacing w:val="37"/>
          <w:w w:val="95"/>
        </w:rPr>
      </w:r>
      <w:r>
        <w:rPr>
          <w:w w:val="95"/>
        </w:rPr>
        <w:t>公积不足冲减的，调整留存收益。对于合并日之前持有的股权投资，因采用权益法核算或金融工具确认和</w:t>
      </w:r>
      <w:r>
        <w:rPr>
          <w:spacing w:val="43"/>
          <w:w w:val="95"/>
        </w:rPr>
        <w:t> </w:t>
      </w:r>
      <w:r>
        <w:rPr>
          <w:spacing w:val="43"/>
          <w:w w:val="95"/>
        </w:rPr>
      </w:r>
      <w:r>
        <w:rPr>
          <w:w w:val="95"/>
        </w:rPr>
        <w:t>计量准则核算而确认的其他综合收益，暂不进行会计处理，直至处置该项投资时采用与被投资单位直接处</w:t>
      </w:r>
      <w:r>
        <w:rPr>
          <w:spacing w:val="37"/>
          <w:w w:val="95"/>
        </w:rPr>
        <w:t> </w:t>
      </w:r>
      <w:r>
        <w:rPr>
          <w:spacing w:val="37"/>
          <w:w w:val="95"/>
        </w:rPr>
      </w:r>
      <w:r>
        <w:rPr>
          <w:w w:val="95"/>
        </w:rPr>
        <w:t>置相关资产或负债相同的基础进行会计处理；因采用权益法核算而确认的被投资单位净资产中除净损益、</w:t>
      </w:r>
      <w:r>
        <w:rPr>
          <w:spacing w:val="61"/>
          <w:w w:val="95"/>
        </w:rPr>
        <w:t> </w:t>
      </w:r>
      <w:r>
        <w:rPr>
          <w:spacing w:val="61"/>
          <w:w w:val="95"/>
        </w:rPr>
      </w:r>
      <w:r>
        <w:rPr>
          <w:w w:val="95"/>
        </w:rPr>
        <w:t>其他综合收益和利润分配以外的所有者权益其他变动，暂不进行会计处理，直至处置该项投资时转入当期  </w:t>
      </w:r>
      <w:r>
        <w:rPr>
          <w:spacing w:val="40"/>
          <w:w w:val="95"/>
        </w:rPr>
        <w:t> </w:t>
      </w:r>
      <w:r>
        <w:rPr>
          <w:spacing w:val="40"/>
          <w:w w:val="95"/>
        </w:rPr>
      </w:r>
      <w:r>
        <w:rPr/>
        <w:t>损益。</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（3）非同一控制下的企业合并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购买日是指本公司实际取得对被购买方控制权的日期，即被购买方的净资产或生产经营决策的控制权</w:t>
      </w:r>
      <w:r>
        <w:rPr>
          <w:rFonts w:ascii="宋体" w:hAnsi="宋体" w:cs="宋体" w:eastAsia="宋体" w:hint="default"/>
          <w:sz w:val="21"/>
          <w:szCs w:val="21"/>
        </w:rPr>
      </w:r>
    </w:p>
    <w:p>
      <w:pPr>
        <w:pStyle w:val="BodyText"/>
        <w:spacing w:line="273" w:lineRule="auto"/>
        <w:ind w:left="532" w:right="2127" w:hanging="420"/>
        <w:jc w:val="left"/>
      </w:pPr>
      <w:r>
        <w:rPr>
          <w:w w:val="95"/>
        </w:rPr>
        <w:t>转移给本公司的日期。同时满足下列条件时，本公司一般认为实现了控制权的转移：</w:t>
      </w:r>
      <w:r>
        <w:rPr>
          <w:spacing w:val="70"/>
          <w:w w:val="95"/>
        </w:rPr>
        <w:t> </w:t>
      </w:r>
      <w:r>
        <w:rPr>
          <w:spacing w:val="70"/>
          <w:w w:val="95"/>
        </w:rPr>
      </w:r>
      <w:r>
        <w:rPr/>
        <w:t>1）企业合并合同或协议已获本公司内部权力机构通过。</w:t>
      </w:r>
    </w:p>
    <w:p>
      <w:pPr>
        <w:pStyle w:val="BodyText"/>
        <w:spacing w:line="240" w:lineRule="auto"/>
        <w:ind w:left="532" w:right="2127"/>
        <w:jc w:val="left"/>
      </w:pPr>
      <w:r>
        <w:rPr/>
        <w:t>2）企业合并事项需要经过国家有关主管部门审批的，已获得批准。</w:t>
      </w:r>
    </w:p>
    <w:p>
      <w:pPr>
        <w:pStyle w:val="BodyText"/>
        <w:spacing w:line="240" w:lineRule="auto" w:before="37"/>
        <w:ind w:left="532" w:right="2127"/>
        <w:jc w:val="left"/>
      </w:pPr>
      <w:r>
        <w:rPr/>
        <w:t>3）已办理了必要的财产权转移手续。</w:t>
      </w:r>
    </w:p>
    <w:p>
      <w:pPr>
        <w:pStyle w:val="BodyText"/>
        <w:spacing w:line="240" w:lineRule="auto" w:before="37"/>
        <w:ind w:left="532" w:right="2127"/>
        <w:jc w:val="left"/>
      </w:pPr>
      <w:r>
        <w:rPr/>
        <w:t>4）本公司已支付了合并价款的大部分，并且有能力、有计划支付剩余款项。</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left="532" w:right="0"/>
        <w:jc w:val="left"/>
      </w:pPr>
      <w:r>
        <w:rPr/>
        <w:t>5）本公司实际上已经控制了被购买方的财务和经营政策，并享有相应的利益、承担相应的风险。</w:t>
      </w:r>
      <w:r>
        <w:rPr>
          <w:w w:val="99"/>
        </w:rPr>
        <w:t> </w:t>
      </w:r>
      <w:r>
        <w:rPr>
          <w:w w:val="95"/>
        </w:rPr>
        <w:t>本公司在购买日对作为企业合并对价付出的资产、发生或承担的负债按照公允价值计量，公允价值与</w:t>
      </w:r>
      <w:r>
        <w:rPr/>
      </w:r>
    </w:p>
    <w:p>
      <w:pPr>
        <w:pStyle w:val="BodyText"/>
        <w:spacing w:line="273" w:lineRule="auto"/>
        <w:ind w:left="532" w:right="0" w:hanging="420"/>
        <w:jc w:val="left"/>
      </w:pPr>
      <w:r>
        <w:rPr/>
        <w:t>其账面价值的差额，计入当期损益。</w:t>
      </w:r>
      <w:r>
        <w:rPr>
          <w:w w:val="99"/>
        </w:rPr>
        <w:t> </w:t>
      </w:r>
      <w:r>
        <w:rPr>
          <w:w w:val="95"/>
        </w:rPr>
        <w:t>本公司对合并成本大于合并中取得的被购买方可辨认净资产公允价值份额的差额，确认为商誉；合并</w:t>
      </w:r>
      <w:r>
        <w:rPr/>
      </w:r>
    </w:p>
    <w:p>
      <w:pPr>
        <w:pStyle w:val="BodyText"/>
        <w:spacing w:line="273" w:lineRule="auto"/>
        <w:ind w:left="532" w:right="0" w:hanging="420"/>
        <w:jc w:val="left"/>
      </w:pPr>
      <w:r>
        <w:rPr/>
        <w:t>成本小于合并中取得的被购买方可辨认净资产公允价值份额的差额，经复核后，计入当期损益。</w:t>
      </w:r>
      <w:r>
        <w:rPr>
          <w:w w:val="99"/>
        </w:rPr>
        <w:t> </w:t>
      </w:r>
      <w:r>
        <w:rPr>
          <w:w w:val="95"/>
        </w:rPr>
        <w:t>通过多次交换交易分步实现的非同一控制下企业合并，属于一揽子交易的，将各项交易作为一项取得</w:t>
      </w:r>
      <w:r>
        <w:rPr/>
      </w:r>
    </w:p>
    <w:p>
      <w:pPr>
        <w:pStyle w:val="BodyText"/>
        <w:spacing w:line="273" w:lineRule="auto"/>
        <w:ind w:right="1130"/>
        <w:jc w:val="both"/>
      </w:pPr>
      <w:r>
        <w:rPr>
          <w:w w:val="95"/>
        </w:rPr>
        <w:t>控制权的交易进行会计处理；不属于一揽子交易的，合并日之前持有的股权投资采用权益法核算的，以购</w:t>
      </w:r>
      <w:r>
        <w:rPr>
          <w:spacing w:val="43"/>
          <w:w w:val="95"/>
        </w:rPr>
        <w:t> </w:t>
      </w:r>
      <w:r>
        <w:rPr>
          <w:spacing w:val="43"/>
          <w:w w:val="95"/>
        </w:rPr>
      </w:r>
      <w:r>
        <w:rPr>
          <w:spacing w:val="4"/>
        </w:rPr>
        <w:t>买日之前所持被购买方的股权投资的账面价值与购买日新增投资成本之和，作为该项投资的初始投资成</w:t>
      </w:r>
      <w:r>
        <w:rPr>
          <w:w w:val="99"/>
        </w:rPr>
        <w:t> </w:t>
      </w:r>
      <w:r>
        <w:rPr>
          <w:w w:val="95"/>
        </w:rPr>
        <w:t>本；购买日之前持有的股权投资因采用权益法核算而确认的其他综合收益，在处置该项投资时采用与被投</w:t>
      </w:r>
      <w:r>
        <w:rPr>
          <w:spacing w:val="40"/>
          <w:w w:val="95"/>
        </w:rPr>
        <w:t> </w:t>
      </w:r>
      <w:r>
        <w:rPr>
          <w:spacing w:val="40"/>
          <w:w w:val="95"/>
        </w:rPr>
      </w:r>
      <w:r>
        <w:rPr>
          <w:w w:val="95"/>
        </w:rPr>
        <w:t>资单位直接处置相关资产或负债相同的基础进行会计处理。合并日之前持有的股权投资采用金融工具确认</w:t>
      </w:r>
      <w:r>
        <w:rPr>
          <w:spacing w:val="37"/>
          <w:w w:val="95"/>
        </w:rPr>
        <w:t> </w:t>
      </w:r>
      <w:r>
        <w:rPr>
          <w:spacing w:val="37"/>
          <w:w w:val="95"/>
        </w:rPr>
      </w:r>
      <w:r>
        <w:rPr>
          <w:w w:val="95"/>
        </w:rPr>
        <w:t>和计量准则核算的，以该股权投资在合并日的公允价值加上新增投资成本之和，作为合并日的初始投资成</w:t>
      </w:r>
      <w:r>
        <w:rPr>
          <w:spacing w:val="40"/>
          <w:w w:val="95"/>
        </w:rPr>
        <w:t> </w:t>
      </w:r>
      <w:r>
        <w:rPr>
          <w:spacing w:val="40"/>
          <w:w w:val="95"/>
        </w:rPr>
      </w:r>
      <w:r>
        <w:rPr>
          <w:w w:val="95"/>
        </w:rPr>
        <w:t>本。原持有股权的公允价值与账面价值之间的差额以及原计入其他综合收益的累计公允价值变动应全部转</w:t>
      </w:r>
      <w:r>
        <w:rPr>
          <w:spacing w:val="37"/>
          <w:w w:val="95"/>
        </w:rPr>
        <w:t> </w:t>
      </w:r>
      <w:r>
        <w:rPr>
          <w:spacing w:val="37"/>
          <w:w w:val="95"/>
        </w:rPr>
      </w:r>
      <w:r>
        <w:rPr/>
        <w:t>入合并日当期的投资收益。</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（4）为合并发生的相关费用</w:t>
      </w:r>
      <w:r>
        <w:rPr>
          <w:rFonts w:ascii="宋体" w:hAnsi="宋体" w:cs="宋体" w:eastAsia="宋体" w:hint="default"/>
          <w:b/>
          <w:bCs/>
          <w:w w:val="99"/>
          <w:sz w:val="21"/>
          <w:szCs w:val="21"/>
        </w:rPr>
        <w:t> </w:t>
      </w:r>
      <w:r>
        <w:rPr>
          <w:rFonts w:ascii="宋体" w:hAnsi="宋体" w:cs="宋体" w:eastAsia="宋体" w:hint="default"/>
          <w:w w:val="95"/>
          <w:sz w:val="21"/>
          <w:szCs w:val="21"/>
        </w:rPr>
        <w:t>为企业合并发生的审计、法律服务、评估咨询等中介费用以及其他直接相关费用，于发生时计入当期</w:t>
      </w:r>
      <w:r>
        <w:rPr>
          <w:rFonts w:ascii="宋体" w:hAnsi="宋体" w:cs="宋体" w:eastAsia="宋体" w:hint="default"/>
          <w:sz w:val="21"/>
          <w:szCs w:val="21"/>
        </w:rPr>
      </w:r>
    </w:p>
    <w:p>
      <w:pPr>
        <w:pStyle w:val="BodyText"/>
        <w:spacing w:line="240" w:lineRule="auto"/>
        <w:ind w:right="0"/>
        <w:jc w:val="left"/>
      </w:pPr>
      <w:r>
        <w:rPr/>
        <w:t>损益；为企业合并而发行权益性证券的交易费用，可直接归属于权益性交易的从权益中扣减。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2127"/>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120" w:hanging="104"/>
        <w:jc w:val="left"/>
      </w:pPr>
      <w:r>
        <w:rPr>
          <w:rFonts w:ascii="宋体" w:hAnsi="宋体" w:cs="宋体" w:eastAsia="宋体" w:hint="default"/>
          <w:b/>
          <w:bCs/>
        </w:rPr>
        <w:t>（1）合并范围</w:t>
      </w:r>
      <w:r>
        <w:rPr>
          <w:rFonts w:ascii="宋体" w:hAnsi="宋体" w:cs="宋体" w:eastAsia="宋体" w:hint="default"/>
          <w:b/>
          <w:bCs/>
          <w:w w:val="99"/>
        </w:rPr>
        <w:t> </w:t>
      </w:r>
      <w:r>
        <w:rPr>
          <w:w w:val="95"/>
        </w:rPr>
        <w:t>本公司合并财务报表的合并范围以控制为基础确定，所有子公司（包括本公司所控制的单独主体）均</w:t>
      </w:r>
      <w:r>
        <w:rPr/>
      </w:r>
    </w:p>
    <w:p>
      <w:pPr>
        <w:pStyle w:val="BodyText"/>
        <w:spacing w:line="240" w:lineRule="auto"/>
        <w:ind w:right="2127"/>
        <w:jc w:val="left"/>
      </w:pPr>
      <w:r>
        <w:rPr/>
        <w:t>纳入合并财务报表。</w:t>
      </w:r>
    </w:p>
    <w:p>
      <w:pPr>
        <w:pStyle w:val="BodyText"/>
        <w:spacing w:line="273" w:lineRule="auto" w:before="37"/>
        <w:ind w:left="532" w:right="1120" w:hanging="104"/>
        <w:jc w:val="left"/>
      </w:pPr>
      <w:r>
        <w:rPr>
          <w:rFonts w:ascii="宋体" w:hAnsi="宋体" w:cs="宋体" w:eastAsia="宋体" w:hint="default"/>
          <w:b/>
          <w:bCs/>
        </w:rPr>
        <w:t>（2）合并程序</w:t>
      </w:r>
      <w:r>
        <w:rPr>
          <w:rFonts w:ascii="宋体" w:hAnsi="宋体" w:cs="宋体" w:eastAsia="宋体" w:hint="default"/>
          <w:b/>
          <w:bCs/>
          <w:w w:val="99"/>
        </w:rPr>
        <w:t> </w:t>
      </w:r>
      <w:r>
        <w:rPr>
          <w:w w:val="95"/>
        </w:rPr>
        <w:t>本公司以自身和各子公司的财务报表为基础，根据其他有关资料，编制合并财务报表。本公司编制合</w:t>
      </w:r>
      <w:r>
        <w:rPr/>
      </w:r>
    </w:p>
    <w:p>
      <w:pPr>
        <w:pStyle w:val="BodyText"/>
        <w:spacing w:line="273" w:lineRule="auto"/>
        <w:ind w:right="0"/>
        <w:jc w:val="left"/>
      </w:pPr>
      <w:r>
        <w:rPr>
          <w:w w:val="95"/>
        </w:rPr>
        <w:t>并财务报表，将整个企业集团视为一个会计主体，依据相关企业会计准则的确认、计量和列报要求，按照</w:t>
      </w:r>
      <w:r>
        <w:rPr>
          <w:spacing w:val="44"/>
          <w:w w:val="95"/>
        </w:rPr>
        <w:t> </w:t>
      </w:r>
      <w:r>
        <w:rPr>
          <w:spacing w:val="44"/>
          <w:w w:val="95"/>
        </w:rPr>
      </w:r>
      <w:r>
        <w:rPr/>
        <w:t>统一的会计政策，反映本企业集团整体财务状况、经营成果和现金流量。</w:t>
      </w:r>
    </w:p>
    <w:p>
      <w:pPr>
        <w:pStyle w:val="BodyText"/>
        <w:spacing w:line="273" w:lineRule="auto"/>
        <w:ind w:right="1130" w:firstLine="420"/>
        <w:jc w:val="both"/>
      </w:pPr>
      <w:r>
        <w:rPr>
          <w:w w:val="95"/>
        </w:rPr>
        <w:t>所有纳入合并财务报表合并范围的子公司所采用的会计政策、会计期间与本公司一致，如子公司采用</w:t>
      </w:r>
      <w:r>
        <w:rPr>
          <w:w w:val="99"/>
        </w:rPr>
        <w:t> </w:t>
      </w:r>
      <w:r>
        <w:rPr>
          <w:w w:val="95"/>
        </w:rPr>
        <w:t>的会计政策、会计期间与本公司不一致的，在编制合并财务报表时，按本公司的会计政策、会计期间进行</w:t>
      </w:r>
      <w:r>
        <w:rPr>
          <w:spacing w:val="44"/>
          <w:w w:val="95"/>
        </w:rPr>
        <w:t> </w:t>
      </w:r>
      <w:r>
        <w:rPr>
          <w:spacing w:val="44"/>
          <w:w w:val="95"/>
        </w:rPr>
      </w:r>
      <w:r>
        <w:rPr/>
        <w:t>必要的调整。</w:t>
      </w:r>
    </w:p>
    <w:p>
      <w:pPr>
        <w:pStyle w:val="BodyText"/>
        <w:spacing w:line="273" w:lineRule="auto" w:before="8"/>
        <w:ind w:right="1132" w:firstLine="420"/>
        <w:jc w:val="both"/>
      </w:pPr>
      <w:r>
        <w:rPr>
          <w:w w:val="95"/>
        </w:rPr>
        <w:t>合并财务报表时抵销本公司与各子公司、各子公司相互之间发生的内部交易对合并资产负债表、合并</w:t>
      </w:r>
      <w:r>
        <w:rPr>
          <w:w w:val="99"/>
        </w:rPr>
        <w:t> </w:t>
      </w:r>
      <w:r>
        <w:rPr>
          <w:w w:val="95"/>
        </w:rPr>
        <w:t>利润表、合并现金流量表、合并股东权益变动表的影响。如果站在企业集团合并财务报表角度与以本公司</w:t>
      </w:r>
      <w:r>
        <w:rPr>
          <w:spacing w:val="40"/>
          <w:w w:val="95"/>
        </w:rPr>
        <w:t> </w:t>
      </w:r>
      <w:r>
        <w:rPr>
          <w:spacing w:val="40"/>
          <w:w w:val="95"/>
        </w:rPr>
      </w:r>
      <w:r>
        <w:rPr/>
        <w:t>或子公司为会计主体对同一交易的认定不同时，从企业集团的角度对该交易予以调整。</w:t>
      </w:r>
    </w:p>
    <w:p>
      <w:pPr>
        <w:pStyle w:val="BodyText"/>
        <w:spacing w:line="273" w:lineRule="auto"/>
        <w:ind w:right="1132" w:firstLine="420"/>
        <w:jc w:val="both"/>
      </w:pPr>
      <w:r>
        <w:rPr>
          <w:w w:val="95"/>
        </w:rPr>
        <w:t>子公司所有者权益、当期净损益和当期综合收益中属于少数股东的份额分别在合并资产负债表中所有</w:t>
      </w:r>
      <w:r>
        <w:rPr>
          <w:w w:val="99"/>
        </w:rPr>
        <w:t> </w:t>
      </w:r>
      <w:r>
        <w:rPr>
          <w:w w:val="95"/>
        </w:rPr>
        <w:t>者权益项目下、合并利润表中净利润项目下和综合收益总额项目下单独列示。子公司少数股东分担的当期</w:t>
      </w:r>
      <w:r>
        <w:rPr>
          <w:spacing w:val="37"/>
          <w:w w:val="95"/>
        </w:rPr>
        <w:t> </w:t>
      </w:r>
      <w:r>
        <w:rPr>
          <w:spacing w:val="37"/>
          <w:w w:val="95"/>
        </w:rPr>
      </w:r>
      <w:r>
        <w:rPr/>
        <w:t>亏损超过了少数股东在该子公司期初所有者权益中所享有份额而形成的余额，冲减少数股东权益。</w:t>
      </w:r>
    </w:p>
    <w:p>
      <w:pPr>
        <w:pStyle w:val="BodyText"/>
        <w:spacing w:line="273" w:lineRule="auto"/>
        <w:ind w:right="1130" w:firstLine="420"/>
        <w:jc w:val="both"/>
      </w:pPr>
      <w:r>
        <w:rPr>
          <w:w w:val="95"/>
        </w:rPr>
        <w:t>对于同一控制下企业合并取得的子公司，以其资产、负债（包括最终控制方收购该子公司而形成的商</w:t>
      </w:r>
      <w:r>
        <w:rPr>
          <w:spacing w:val="-97"/>
          <w:w w:val="95"/>
        </w:rPr>
        <w:t> </w:t>
      </w:r>
      <w:r>
        <w:rPr>
          <w:spacing w:val="-97"/>
          <w:w w:val="95"/>
        </w:rPr>
      </w:r>
      <w:r>
        <w:rPr/>
        <w:t>誉）在最终控制方财务报表中的账面价值为基础对其财务报表进行调整。</w:t>
      </w:r>
    </w:p>
    <w:p>
      <w:pPr>
        <w:pStyle w:val="BodyText"/>
        <w:spacing w:line="240" w:lineRule="auto"/>
        <w:ind w:left="532" w:right="0"/>
        <w:jc w:val="left"/>
      </w:pPr>
      <w:r>
        <w:rPr/>
        <w:t>对于非同一控制下企业合并取得的子公司，以购买日可辨认净资产公允价值为基础对其财务报表进行</w:t>
      </w:r>
    </w:p>
    <w:p>
      <w:pPr>
        <w:pStyle w:val="BodyText"/>
        <w:spacing w:line="240" w:lineRule="auto" w:before="37"/>
        <w:ind w:right="2127"/>
        <w:jc w:val="left"/>
      </w:pPr>
      <w:r>
        <w:rPr/>
        <w:t>调整</w:t>
      </w:r>
    </w:p>
    <w:p>
      <w:pPr>
        <w:pStyle w:val="BodyText"/>
        <w:spacing w:line="273" w:lineRule="auto" w:before="37"/>
        <w:ind w:left="532" w:right="0" w:firstLine="136"/>
        <w:jc w:val="left"/>
      </w:pPr>
      <w:r>
        <w:rPr/>
        <w:t>1）增加子公司或业务</w:t>
      </w:r>
      <w:r>
        <w:rPr>
          <w:w w:val="99"/>
        </w:rPr>
        <w:t> </w:t>
      </w:r>
      <w:r>
        <w:rPr>
          <w:w w:val="95"/>
        </w:rPr>
        <w:t>在报告期内，若因同一控制下企业合并增加子公司或业务的，则调整合并资产负债表的期初数；将子</w:t>
      </w:r>
      <w:r>
        <w:rPr/>
      </w:r>
    </w:p>
    <w:p>
      <w:pPr>
        <w:pStyle w:val="BodyText"/>
        <w:spacing w:line="273" w:lineRule="auto"/>
        <w:ind w:right="0"/>
        <w:jc w:val="left"/>
      </w:pPr>
      <w:r>
        <w:rPr>
          <w:w w:val="95"/>
        </w:rPr>
        <w:t>公司或业务合并当期期初至报告期末的收入、费用、利润纳入合并利润表；将子公司或业务合并当期期初</w:t>
      </w:r>
      <w:r>
        <w:rPr>
          <w:spacing w:val="40"/>
          <w:w w:val="95"/>
        </w:rPr>
        <w:t> </w:t>
      </w:r>
      <w:r>
        <w:rPr>
          <w:spacing w:val="40"/>
          <w:w w:val="95"/>
        </w:rPr>
      </w:r>
      <w:r>
        <w:rPr>
          <w:w w:val="95"/>
        </w:rPr>
        <w:t>至报告期末的现金流量纳入合并现金流量表，同时对比较报表的相关项目进行调整，视同合并后的报告主</w:t>
      </w:r>
      <w:r>
        <w:rPr/>
      </w:r>
    </w:p>
    <w:p>
      <w:pPr>
        <w:spacing w:after="0" w:line="273"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left="532" w:right="0" w:hanging="420"/>
        <w:jc w:val="left"/>
      </w:pPr>
      <w:r>
        <w:rPr/>
        <w:t>体自最终控制方开始控制时点起一直存在。</w:t>
      </w:r>
      <w:r>
        <w:rPr>
          <w:w w:val="99"/>
        </w:rPr>
        <w:t> </w:t>
      </w:r>
      <w:r>
        <w:rPr>
          <w:w w:val="95"/>
        </w:rPr>
        <w:t>因追加投资等原因能够对同一控制下的被投资方实施控制的，视同参与合并的各方在最终控制方开始</w:t>
      </w:r>
      <w:r>
        <w:rPr/>
      </w:r>
    </w:p>
    <w:p>
      <w:pPr>
        <w:pStyle w:val="BodyText"/>
        <w:spacing w:line="273" w:lineRule="auto"/>
        <w:ind w:right="1132"/>
        <w:jc w:val="both"/>
      </w:pPr>
      <w:r>
        <w:rPr>
          <w:w w:val="95"/>
        </w:rPr>
        <w:t>控制时即以目前的状态存在进行调整。在取得被合并方控制权之前持有的股权投资，在取得原股权之日与</w:t>
      </w:r>
      <w:r>
        <w:rPr>
          <w:spacing w:val="40"/>
          <w:w w:val="95"/>
        </w:rPr>
        <w:t> </w:t>
      </w:r>
      <w:r>
        <w:rPr>
          <w:spacing w:val="40"/>
          <w:w w:val="95"/>
        </w:rPr>
      </w:r>
      <w:r>
        <w:rPr>
          <w:w w:val="95"/>
        </w:rPr>
        <w:t>合并方和被合并方同处于同一控制之日孰晚日起至合并日之间已确认有关损益、其他综合收益以及其他净</w:t>
      </w:r>
      <w:r>
        <w:rPr>
          <w:spacing w:val="39"/>
          <w:w w:val="95"/>
        </w:rPr>
        <w:t> </w:t>
      </w:r>
      <w:r>
        <w:rPr>
          <w:spacing w:val="39"/>
          <w:w w:val="95"/>
        </w:rPr>
      </w:r>
      <w:r>
        <w:rPr/>
        <w:t>资产变动，分别冲减比较报表期间的期初留存收益或当期损益。</w:t>
      </w:r>
    </w:p>
    <w:p>
      <w:pPr>
        <w:pStyle w:val="BodyText"/>
        <w:spacing w:line="273" w:lineRule="auto"/>
        <w:ind w:right="1130" w:firstLine="420"/>
        <w:jc w:val="both"/>
      </w:pPr>
      <w:r>
        <w:rPr>
          <w:w w:val="95"/>
        </w:rPr>
        <w:t>在报告期内，若因非同一控制下企业合并增加子公司或业务的，则不调整合并资产负债表期初数；将</w:t>
      </w:r>
      <w:r>
        <w:rPr>
          <w:spacing w:val="-97"/>
          <w:w w:val="95"/>
        </w:rPr>
        <w:t> </w:t>
      </w:r>
      <w:r>
        <w:rPr>
          <w:spacing w:val="-97"/>
          <w:w w:val="95"/>
        </w:rPr>
      </w:r>
      <w:r>
        <w:rPr>
          <w:w w:val="95"/>
        </w:rPr>
        <w:t>该子公司或业务自购买日至报告期末的收入、费用、利润纳入合并利润表；该子公司或业务自购买日至报</w:t>
      </w:r>
      <w:r>
        <w:rPr>
          <w:spacing w:val="40"/>
          <w:w w:val="95"/>
        </w:rPr>
        <w:t> </w:t>
      </w:r>
      <w:r>
        <w:rPr>
          <w:spacing w:val="40"/>
          <w:w w:val="95"/>
        </w:rPr>
      </w:r>
      <w:r>
        <w:rPr/>
        <w:t>告期末的现金流量纳入合并现金流量表。</w:t>
      </w:r>
    </w:p>
    <w:p>
      <w:pPr>
        <w:pStyle w:val="BodyText"/>
        <w:spacing w:line="273" w:lineRule="auto"/>
        <w:ind w:right="1132" w:firstLine="420"/>
        <w:jc w:val="both"/>
      </w:pPr>
      <w:r>
        <w:rPr>
          <w:w w:val="95"/>
        </w:rPr>
        <w:t>因追加投资等原因能够对非同一控制下的被投资方实施控制的，对于购买日之前持有的被购买方的股</w:t>
      </w:r>
      <w:r>
        <w:rPr>
          <w:w w:val="99"/>
        </w:rPr>
        <w:t> </w:t>
      </w:r>
      <w:r>
        <w:rPr>
          <w:w w:val="95"/>
        </w:rPr>
        <w:t>权，本公司按照该股权在购买日的公允价值进行重新计量，公允价值与其账面价值的差额计入当期投资收</w:t>
      </w:r>
      <w:r>
        <w:rPr>
          <w:spacing w:val="38"/>
          <w:w w:val="95"/>
        </w:rPr>
        <w:t> </w:t>
      </w:r>
      <w:r>
        <w:rPr>
          <w:spacing w:val="38"/>
          <w:w w:val="95"/>
        </w:rPr>
      </w:r>
      <w:r>
        <w:rPr>
          <w:w w:val="95"/>
        </w:rPr>
        <w:t>益。购买日之前持有的被购买方的股权涉及权益法核算下的其他综合收益以及除净损益、其他综合收益和</w:t>
      </w:r>
      <w:r>
        <w:rPr>
          <w:spacing w:val="40"/>
          <w:w w:val="95"/>
        </w:rPr>
        <w:t> </w:t>
      </w:r>
      <w:r>
        <w:rPr>
          <w:spacing w:val="40"/>
          <w:w w:val="95"/>
        </w:rPr>
      </w:r>
      <w:r>
        <w:rPr>
          <w:w w:val="95"/>
        </w:rPr>
        <w:t>利润分配之外的其他所有者权益变动的，与其相关的其他综合收益、其他所有者权益变动转为购买日所属</w:t>
      </w:r>
      <w:r>
        <w:rPr>
          <w:spacing w:val="37"/>
          <w:w w:val="95"/>
        </w:rPr>
        <w:t> </w:t>
      </w:r>
      <w:r>
        <w:rPr>
          <w:spacing w:val="37"/>
          <w:w w:val="95"/>
        </w:rPr>
      </w:r>
      <w:r>
        <w:rPr/>
        <w:t>当期投资收益，由于被投资方重新计量设定受益计划净负债或净资产变动而产生的其他综合收益除外。</w:t>
      </w:r>
    </w:p>
    <w:p>
      <w:pPr>
        <w:pStyle w:val="BodyText"/>
        <w:spacing w:line="240" w:lineRule="auto"/>
        <w:ind w:left="669" w:right="2127"/>
        <w:jc w:val="left"/>
      </w:pPr>
      <w:r>
        <w:rPr/>
        <w:t>2）处置子公司或业务</w:t>
      </w:r>
    </w:p>
    <w:p>
      <w:pPr>
        <w:pStyle w:val="BodyText"/>
        <w:spacing w:line="273" w:lineRule="auto" w:before="37"/>
        <w:ind w:left="532" w:right="1120"/>
        <w:jc w:val="left"/>
      </w:pPr>
      <w:r>
        <w:rPr/>
        <w:t>①一般处理方法</w:t>
      </w:r>
      <w:r>
        <w:rPr>
          <w:w w:val="99"/>
        </w:rPr>
        <w:t> </w:t>
      </w:r>
      <w:r>
        <w:rPr>
          <w:w w:val="95"/>
        </w:rPr>
        <w:t>在报告期内，本公司处置子公司或业务，则该子公司或业务期初至处置日的收入、费用、利润纳入合</w:t>
      </w:r>
      <w:r>
        <w:rPr/>
      </w:r>
    </w:p>
    <w:p>
      <w:pPr>
        <w:pStyle w:val="BodyText"/>
        <w:spacing w:line="273" w:lineRule="auto"/>
        <w:ind w:left="532" w:right="0" w:hanging="420"/>
        <w:jc w:val="left"/>
      </w:pPr>
      <w:r>
        <w:rPr/>
        <w:t>并利润表；该子公司或业务期初至处置日的现金流量纳入合并现金流量表。</w:t>
      </w:r>
      <w:r>
        <w:rPr>
          <w:w w:val="99"/>
        </w:rPr>
        <w:t> </w:t>
      </w:r>
      <w:r>
        <w:rPr>
          <w:w w:val="95"/>
        </w:rPr>
        <w:t>因处置部分股权投资或其他原因丧失了对被投资方控制权时，对于处置后的剩余股权投资，本公司按</w:t>
      </w:r>
      <w:r>
        <w:rPr/>
      </w:r>
    </w:p>
    <w:p>
      <w:pPr>
        <w:pStyle w:val="BodyText"/>
        <w:spacing w:line="273" w:lineRule="auto"/>
        <w:ind w:right="1135"/>
        <w:jc w:val="both"/>
      </w:pPr>
      <w:r>
        <w:rPr>
          <w:w w:val="95"/>
        </w:rPr>
        <w:t>照其在丧失控制权日的公允价值进行重新计量。处置股权取得的对价与剩余股权公允价值之和，减去按原</w:t>
      </w:r>
      <w:r>
        <w:rPr>
          <w:spacing w:val="37"/>
          <w:w w:val="95"/>
        </w:rPr>
        <w:t> </w:t>
      </w:r>
      <w:r>
        <w:rPr>
          <w:spacing w:val="37"/>
          <w:w w:val="95"/>
        </w:rPr>
      </w:r>
      <w:r>
        <w:rPr>
          <w:w w:val="95"/>
        </w:rPr>
        <w:t>持股比例计算应享有原有子公司自购买日或合并日开始持续计算的净资产的份额与商誉之和的差额，计入</w:t>
      </w:r>
      <w:r>
        <w:rPr>
          <w:spacing w:val="37"/>
          <w:w w:val="95"/>
        </w:rPr>
        <w:t> </w:t>
      </w:r>
      <w:r>
        <w:rPr>
          <w:spacing w:val="37"/>
          <w:w w:val="95"/>
        </w:rPr>
      </w:r>
      <w:r>
        <w:rPr>
          <w:w w:val="95"/>
        </w:rPr>
        <w:t>丧失控制权当期的投资收益。与原有子公司股权投资相关的其他综合收益或除净损益、其他综合收益及利</w:t>
      </w:r>
      <w:r>
        <w:rPr>
          <w:spacing w:val="37"/>
          <w:w w:val="95"/>
        </w:rPr>
        <w:t> </w:t>
      </w:r>
      <w:r>
        <w:rPr>
          <w:spacing w:val="37"/>
          <w:w w:val="95"/>
        </w:rPr>
      </w:r>
      <w:r>
        <w:rPr>
          <w:w w:val="95"/>
        </w:rPr>
        <w:t>润分配之外的其他所有者权益变动，在丧失控制权时转为当期投资收益，由于被投资方重新计量设定受益</w:t>
      </w:r>
      <w:r>
        <w:rPr>
          <w:spacing w:val="37"/>
          <w:w w:val="95"/>
        </w:rPr>
        <w:t> </w:t>
      </w:r>
      <w:r>
        <w:rPr>
          <w:spacing w:val="37"/>
          <w:w w:val="95"/>
        </w:rPr>
      </w:r>
      <w:r>
        <w:rPr/>
        <w:t>计划净负债或净资产变动而产生的其他综合收益除外。</w:t>
      </w:r>
    </w:p>
    <w:p>
      <w:pPr>
        <w:pStyle w:val="BodyText"/>
        <w:spacing w:line="273" w:lineRule="auto"/>
        <w:ind w:left="532" w:right="0"/>
        <w:jc w:val="left"/>
      </w:pPr>
      <w:r>
        <w:rPr/>
        <w:t>②分步处置子公司</w:t>
      </w:r>
      <w:r>
        <w:rPr>
          <w:w w:val="99"/>
        </w:rPr>
        <w:t> </w:t>
      </w:r>
      <w:r>
        <w:rPr>
          <w:w w:val="95"/>
        </w:rPr>
        <w:t>通过多次交易分步处置对子公司股权投资直至丧失控制权的，处置对子公司股权投资的各项交易的条</w:t>
      </w:r>
      <w:r>
        <w:rPr/>
      </w:r>
    </w:p>
    <w:p>
      <w:pPr>
        <w:pStyle w:val="BodyText"/>
        <w:spacing w:line="273" w:lineRule="auto"/>
        <w:ind w:right="1135"/>
        <w:jc w:val="both"/>
      </w:pPr>
      <w:r>
        <w:rPr>
          <w:w w:val="95"/>
        </w:rPr>
        <w:t>款、条件以及经济影响符合以下一种或多种情况，通常表明应将多次交易事项作为一揽子交易进行会计处   </w:t>
      </w:r>
      <w:r>
        <w:rPr>
          <w:spacing w:val="37"/>
          <w:w w:val="95"/>
        </w:rPr>
        <w:t> </w:t>
      </w:r>
      <w:r>
        <w:rPr>
          <w:spacing w:val="37"/>
          <w:w w:val="95"/>
        </w:rPr>
      </w:r>
      <w:r>
        <w:rPr/>
        <w:t>理：</w:t>
      </w:r>
    </w:p>
    <w:p>
      <w:pPr>
        <w:pStyle w:val="BodyText"/>
        <w:spacing w:line="273" w:lineRule="auto" w:before="8"/>
        <w:ind w:left="532" w:right="1135"/>
        <w:jc w:val="left"/>
      </w:pPr>
      <w:r>
        <w:rPr/>
        <w:t>a.这些交易是同时或者在考虑了彼此影响的情况下订立的；</w:t>
      </w:r>
      <w:r>
        <w:rPr>
          <w:w w:val="99"/>
        </w:rPr>
        <w:t> </w:t>
      </w:r>
      <w:r>
        <w:rPr/>
        <w:t>b.这些交易整体才能达成一项完整的商业结果；</w:t>
      </w:r>
      <w:r>
        <w:rPr>
          <w:w w:val="99"/>
        </w:rPr>
        <w:t> </w:t>
      </w:r>
      <w:r>
        <w:rPr/>
        <w:t>c.一项交易的发生取决于其他至少一项交易的发生；</w:t>
      </w:r>
      <w:r>
        <w:rPr>
          <w:w w:val="99"/>
        </w:rPr>
        <w:t> </w:t>
      </w:r>
      <w:r>
        <w:rPr/>
        <w:t>d.一项交易单独看是不经济的，但是和其他交易一并考虑时是经济的。</w:t>
      </w:r>
      <w:r>
        <w:rPr>
          <w:w w:val="99"/>
        </w:rPr>
        <w:t> </w:t>
      </w:r>
      <w:r>
        <w:rPr>
          <w:w w:val="95"/>
        </w:rPr>
        <w:t>处置对子公司股权投资直至丧失控制权的各项交易属于一揽子交易的，本公司将各项交易作为一项处</w:t>
      </w:r>
      <w:r>
        <w:rPr/>
      </w:r>
    </w:p>
    <w:p>
      <w:pPr>
        <w:pStyle w:val="BodyText"/>
        <w:spacing w:line="273" w:lineRule="auto"/>
        <w:ind w:right="1132"/>
        <w:jc w:val="both"/>
      </w:pPr>
      <w:r>
        <w:rPr>
          <w:w w:val="95"/>
        </w:rPr>
        <w:t>置子公司并丧失控制权的交易进行会计处理；但是，在丧失控制权之前每一次处置价款与处置投资对应的</w:t>
      </w:r>
      <w:r>
        <w:rPr>
          <w:spacing w:val="40"/>
          <w:w w:val="95"/>
        </w:rPr>
        <w:t> </w:t>
      </w:r>
      <w:r>
        <w:rPr>
          <w:spacing w:val="40"/>
          <w:w w:val="95"/>
        </w:rPr>
      </w:r>
      <w:r>
        <w:rPr>
          <w:w w:val="95"/>
        </w:rPr>
        <w:t>享有该子公司净资产份额的差额，在合并财务报表中确认为其他综合收益，在丧失控制权时一并转入丧失</w:t>
      </w:r>
      <w:r>
        <w:rPr>
          <w:spacing w:val="40"/>
          <w:w w:val="95"/>
        </w:rPr>
        <w:t> </w:t>
      </w:r>
      <w:r>
        <w:rPr>
          <w:spacing w:val="40"/>
          <w:w w:val="95"/>
        </w:rPr>
      </w:r>
      <w:r>
        <w:rPr/>
        <w:t>控制权当期的损益。</w:t>
      </w:r>
    </w:p>
    <w:p>
      <w:pPr>
        <w:pStyle w:val="BodyText"/>
        <w:spacing w:line="273" w:lineRule="auto"/>
        <w:ind w:right="1132" w:firstLine="420"/>
        <w:jc w:val="both"/>
      </w:pPr>
      <w:r>
        <w:rPr>
          <w:w w:val="95"/>
        </w:rPr>
        <w:t>处置对子公司股权投资直至丧失控制权的各项交易不属于一揽子交易的，在丧失控制权之前，按不丧</w:t>
      </w:r>
      <w:r>
        <w:rPr>
          <w:w w:val="99"/>
        </w:rPr>
        <w:t> </w:t>
      </w:r>
      <w:r>
        <w:rPr>
          <w:w w:val="95"/>
        </w:rPr>
        <w:t>失控制权的情况下部分处置对子公司的股权投资的相关政策进行会计处理；在丧失控制权时，按处置子公</w:t>
      </w:r>
      <w:r>
        <w:rPr>
          <w:spacing w:val="40"/>
          <w:w w:val="95"/>
        </w:rPr>
        <w:t> </w:t>
      </w:r>
      <w:r>
        <w:rPr>
          <w:spacing w:val="40"/>
          <w:w w:val="95"/>
        </w:rPr>
      </w:r>
      <w:r>
        <w:rPr/>
        <w:t>司一般处理方法进行会计处理。</w:t>
      </w:r>
    </w:p>
    <w:p>
      <w:pPr>
        <w:pStyle w:val="BodyText"/>
        <w:spacing w:line="273" w:lineRule="auto" w:before="8"/>
        <w:ind w:left="532" w:right="0" w:firstLine="136"/>
        <w:jc w:val="left"/>
      </w:pPr>
      <w:r>
        <w:rPr/>
        <w:t>3）购买子公司少数股权</w:t>
      </w:r>
      <w:r>
        <w:rPr>
          <w:w w:val="99"/>
        </w:rPr>
        <w:t> </w:t>
      </w:r>
      <w:r>
        <w:rPr>
          <w:w w:val="95"/>
        </w:rPr>
        <w:t>本公司因购买少数股权新取得的长期股权投资与按照新增持股比例计算应享有子公司自购买日（或合</w:t>
      </w:r>
      <w:r>
        <w:rPr/>
      </w:r>
    </w:p>
    <w:p>
      <w:pPr>
        <w:pStyle w:val="BodyText"/>
        <w:spacing w:line="273" w:lineRule="auto"/>
        <w:ind w:right="1132"/>
        <w:jc w:val="both"/>
      </w:pPr>
      <w:r>
        <w:rPr>
          <w:w w:val="95"/>
        </w:rPr>
        <w:t>并日）开始持续计算的净资产份额之间的差额，调整合并资产负债表中的资本公积中的股本溢价，资本公</w:t>
      </w:r>
      <w:r>
        <w:rPr>
          <w:spacing w:val="40"/>
          <w:w w:val="95"/>
        </w:rPr>
        <w:t> </w:t>
      </w:r>
      <w:r>
        <w:rPr>
          <w:spacing w:val="40"/>
          <w:w w:val="95"/>
        </w:rPr>
      </w:r>
      <w:r>
        <w:rPr/>
        <w:t>积中的股本溢价不足冲减的，调整留存收益。</w:t>
      </w:r>
    </w:p>
    <w:p>
      <w:pPr>
        <w:pStyle w:val="BodyText"/>
        <w:spacing w:line="273" w:lineRule="auto"/>
        <w:ind w:left="532" w:right="1132" w:firstLine="105"/>
        <w:jc w:val="left"/>
      </w:pPr>
      <w:r>
        <w:rPr/>
        <w:t>4）不丧失控制权的情况下部分处置对子公司的股权投资</w:t>
      </w:r>
      <w:r>
        <w:rPr>
          <w:w w:val="99"/>
        </w:rPr>
        <w:t> </w:t>
      </w:r>
      <w:r>
        <w:rPr>
          <w:spacing w:val="4"/>
        </w:rPr>
        <w:t>在不丧失控制权的情况下因部分处置对子公司的长期股权投资而取得的处置价款与处置长期股权投</w:t>
      </w:r>
    </w:p>
    <w:p>
      <w:pPr>
        <w:spacing w:after="0" w:line="273"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0"/>
        <w:jc w:val="left"/>
      </w:pPr>
      <w:r>
        <w:rPr>
          <w:w w:val="95"/>
        </w:rPr>
        <w:t>资相对应享有子公司自购买日或合并日开始持续计算的净资产份额之间的差额，调整合并资产负债表中的</w:t>
      </w:r>
      <w:r>
        <w:rPr>
          <w:spacing w:val="39"/>
          <w:w w:val="95"/>
        </w:rPr>
        <w:t> </w:t>
      </w:r>
      <w:r>
        <w:rPr>
          <w:spacing w:val="39"/>
          <w:w w:val="95"/>
        </w:rPr>
      </w:r>
      <w:r>
        <w:rPr/>
        <w:t>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27"/>
        <w:jc w:val="left"/>
        <w:rPr>
          <w:b w:val="0"/>
          <w:bCs w:val="0"/>
        </w:rPr>
      </w:pPr>
      <w:bookmarkStart w:name="7、合营安排分类及共同经营会计处理方法" w:id="180"/>
      <w:bookmarkEnd w:id="18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0" w:hanging="104"/>
        <w:jc w:val="left"/>
      </w:pPr>
      <w:r>
        <w:rPr>
          <w:rFonts w:ascii="宋体" w:hAnsi="宋体" w:cs="宋体" w:eastAsia="宋体" w:hint="default"/>
          <w:b/>
          <w:bCs/>
        </w:rPr>
        <w:t>（1）合营安排的分类</w:t>
      </w:r>
      <w:r>
        <w:rPr>
          <w:rFonts w:ascii="宋体" w:hAnsi="宋体" w:cs="宋体" w:eastAsia="宋体" w:hint="default"/>
          <w:b/>
          <w:bCs/>
          <w:w w:val="99"/>
        </w:rPr>
        <w:t> </w:t>
      </w:r>
      <w:r>
        <w:rPr>
          <w:w w:val="95"/>
        </w:rPr>
        <w:t>本公司根据合营安排的结构、法律形式以及合营安排中约定的条款、其他相关事实和情况等因素，将</w:t>
      </w:r>
      <w:r>
        <w:rPr/>
      </w:r>
    </w:p>
    <w:p>
      <w:pPr>
        <w:pStyle w:val="BodyText"/>
        <w:spacing w:line="273" w:lineRule="auto"/>
        <w:ind w:left="532" w:right="0" w:hanging="420"/>
        <w:jc w:val="left"/>
      </w:pPr>
      <w:r>
        <w:rPr/>
        <w:t>合营安排分为共同经营和合营企业。</w:t>
      </w:r>
      <w:r>
        <w:rPr>
          <w:w w:val="99"/>
        </w:rPr>
        <w:t> </w:t>
      </w:r>
      <w:r>
        <w:rPr>
          <w:w w:val="95"/>
        </w:rPr>
        <w:t>未通过单独主体达成的合营安排，划分为共同经营；通过单独主体达成的合营安排，通常划分为合营</w:t>
      </w:r>
      <w:r>
        <w:rPr/>
      </w:r>
    </w:p>
    <w:p>
      <w:pPr>
        <w:pStyle w:val="BodyText"/>
        <w:spacing w:line="273" w:lineRule="auto"/>
        <w:ind w:left="172" w:right="0" w:hanging="60"/>
        <w:jc w:val="left"/>
      </w:pPr>
      <w:r>
        <w:rPr>
          <w:w w:val="95"/>
        </w:rPr>
        <w:t>企业；但有确凿证据表明满足下列任一条件并且符合相关法律法规规定的合营安排划分为共同经营：</w:t>
      </w:r>
      <w:r>
        <w:rPr>
          <w:spacing w:val="38"/>
          <w:w w:val="95"/>
        </w:rPr>
        <w:t> </w:t>
      </w:r>
      <w:r>
        <w:rPr>
          <w:spacing w:val="38"/>
          <w:w w:val="95"/>
        </w:rPr>
      </w:r>
      <w:r>
        <w:rPr/>
        <w:t>1）合营安排的法律形式表明，合营方对该安排中的相关资产和负债分别享有权利和承担义务。</w:t>
      </w:r>
    </w:p>
    <w:p>
      <w:pPr>
        <w:pStyle w:val="BodyText"/>
        <w:spacing w:line="240" w:lineRule="auto"/>
        <w:ind w:left="172" w:right="0"/>
        <w:jc w:val="left"/>
      </w:pPr>
      <w:r>
        <w:rPr/>
        <w:t>2）合营安排的合同条款约定，合营方对该安排中的相关资产和负债分别享有权利和承担义务。</w:t>
      </w:r>
    </w:p>
    <w:p>
      <w:pPr>
        <w:pStyle w:val="BodyText"/>
        <w:spacing w:line="273" w:lineRule="auto" w:before="37"/>
        <w:ind w:right="0" w:firstLine="60"/>
        <w:jc w:val="left"/>
      </w:pPr>
      <w:r>
        <w:rPr/>
        <w:t>3）其他相关事实和情况表明，合营方对该安排中的相关资产和负债分别享有权利和承担义务，如合营方</w:t>
      </w:r>
      <w:r>
        <w:rPr>
          <w:w w:val="99"/>
        </w:rPr>
        <w:t> </w:t>
      </w:r>
      <w:r>
        <w:rPr/>
        <w:t>享有与合营安排相关的几乎所有产出，并且该安排中负债的清偿持续依赖于合营方的支持。</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（2）共同经营会计处理方法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本公司确认共同经营中利益份额中与本公司相关的下列项目，并按照相关企业会计准则的规定进行会</w:t>
      </w:r>
      <w:r>
        <w:rPr>
          <w:rFonts w:ascii="宋体" w:hAnsi="宋体" w:cs="宋体" w:eastAsia="宋体" w:hint="default"/>
          <w:sz w:val="21"/>
          <w:szCs w:val="21"/>
        </w:rPr>
      </w:r>
    </w:p>
    <w:p>
      <w:pPr>
        <w:pStyle w:val="BodyText"/>
        <w:spacing w:line="273" w:lineRule="auto"/>
        <w:ind w:left="172" w:right="4454" w:hanging="60"/>
        <w:jc w:val="left"/>
      </w:pPr>
      <w:r>
        <w:rPr/>
        <w:t>计处理：</w:t>
      </w:r>
      <w:r>
        <w:rPr>
          <w:w w:val="99"/>
        </w:rPr>
        <w:t> </w:t>
      </w:r>
      <w:r>
        <w:rPr>
          <w:w w:val="95"/>
        </w:rPr>
        <w:t>1）确认单独所持有的资产，以及按其份额确认共同持有的资产；</w:t>
      </w:r>
      <w:r>
        <w:rPr/>
      </w:r>
    </w:p>
    <w:p>
      <w:pPr>
        <w:pStyle w:val="BodyText"/>
        <w:spacing w:line="240" w:lineRule="auto" w:before="8"/>
        <w:ind w:left="172" w:right="2127"/>
        <w:jc w:val="left"/>
      </w:pPr>
      <w:r>
        <w:rPr/>
        <w:t>2）确认单独所承担的负债，以及按其份额确认共同承担的负债；</w:t>
      </w:r>
    </w:p>
    <w:p>
      <w:pPr>
        <w:pStyle w:val="BodyText"/>
        <w:spacing w:line="240" w:lineRule="auto" w:before="37"/>
        <w:ind w:left="172" w:right="2127"/>
        <w:jc w:val="left"/>
      </w:pPr>
      <w:r>
        <w:rPr/>
        <w:t>3）确认出售其享有的共同经营产出份额所产生的收入；</w:t>
      </w:r>
    </w:p>
    <w:p>
      <w:pPr>
        <w:pStyle w:val="BodyText"/>
        <w:spacing w:line="240" w:lineRule="auto" w:before="37"/>
        <w:ind w:left="172" w:right="2127"/>
        <w:jc w:val="left"/>
      </w:pPr>
      <w:r>
        <w:rPr/>
        <w:t>4）按其份额确认共同经营因出售产出所产生的收入；</w:t>
      </w:r>
    </w:p>
    <w:p>
      <w:pPr>
        <w:pStyle w:val="BodyText"/>
        <w:spacing w:line="273" w:lineRule="auto" w:before="37"/>
        <w:ind w:left="532" w:right="0" w:hanging="360"/>
        <w:jc w:val="left"/>
      </w:pPr>
      <w:r>
        <w:rPr/>
        <w:t>5）确认单独所发生的费用，以及按其份额确认共同经营发生的费用。</w:t>
      </w:r>
      <w:r>
        <w:rPr>
          <w:w w:val="99"/>
        </w:rPr>
        <w:t> 本公司向共同经营投出或出售资产等（该资产构成业务的除外），在该资产等由共同经营出售给第三</w:t>
      </w:r>
      <w:r>
        <w:rPr/>
      </w:r>
    </w:p>
    <w:p>
      <w:pPr>
        <w:pStyle w:val="BodyText"/>
        <w:spacing w:line="273" w:lineRule="auto" w:before="8"/>
        <w:ind w:right="1119"/>
        <w:jc w:val="left"/>
      </w:pPr>
      <w:r>
        <w:rPr>
          <w:spacing w:val="-5"/>
        </w:rPr>
        <w:t>方之前，仅确认因该交易产生的损益中归属于共同经营其他参与方的部分。投出或出售的资产发生符合《企</w:t>
      </w:r>
      <w:r>
        <w:rPr>
          <w:w w:val="99"/>
        </w:rPr>
        <w:t> </w:t>
      </w:r>
      <w:r>
        <w:rPr/>
        <w:t>业会计准则第</w:t>
      </w:r>
      <w:r>
        <w:rPr>
          <w:rFonts w:ascii="Times New Roman" w:hAnsi="Times New Roman" w:cs="Times New Roman" w:eastAsia="Times New Roman" w:hint="default"/>
        </w:rPr>
        <w:t>8</w:t>
      </w:r>
      <w:r>
        <w:rPr/>
        <w:t>号——资产减值》等规定的资产减值损失的，本公司全额确认该损失。</w:t>
      </w:r>
    </w:p>
    <w:p>
      <w:pPr>
        <w:pStyle w:val="BodyText"/>
        <w:spacing w:line="273" w:lineRule="auto" w:before="0"/>
        <w:ind w:right="0" w:firstLine="420"/>
        <w:jc w:val="left"/>
      </w:pPr>
      <w:r>
        <w:rPr>
          <w:w w:val="99"/>
        </w:rPr>
        <w:t>本公司自共同经营购买资产等（该资产构成业务的除外），在将该资产等出售给第三方之前，仅确认 </w:t>
      </w:r>
      <w:r>
        <w:rPr>
          <w:spacing w:val="2"/>
          <w:w w:val="95"/>
        </w:rPr>
        <w:t>因该交易产生的损益中归属于共同经营其他参与方的部分。购入的资产发生符合《企业会计准则第</w:t>
      </w:r>
      <w:r>
        <w:rPr>
          <w:rFonts w:ascii="Times New Roman" w:hAnsi="Times New Roman" w:cs="Times New Roman" w:eastAsia="Times New Roman" w:hint="default"/>
          <w:spacing w:val="2"/>
          <w:w w:val="95"/>
        </w:rPr>
        <w:t>8</w:t>
      </w:r>
      <w:r>
        <w:rPr>
          <w:spacing w:val="2"/>
          <w:w w:val="95"/>
        </w:rPr>
        <w:t>号—</w:t>
      </w:r>
      <w:r>
        <w:rPr>
          <w:spacing w:val="2"/>
        </w:rPr>
      </w:r>
    </w:p>
    <w:p>
      <w:pPr>
        <w:pStyle w:val="BodyText"/>
        <w:spacing w:line="273" w:lineRule="auto" w:before="0"/>
        <w:ind w:left="532" w:right="0" w:hanging="420"/>
        <w:jc w:val="left"/>
      </w:pPr>
      <w:r>
        <w:rPr/>
        <w:t>—资产减值》等规定的资产减值损失的，本公司按承担的份额确认该部分损失。</w:t>
      </w:r>
      <w:r>
        <w:rPr>
          <w:w w:val="99"/>
        </w:rPr>
        <w:t> </w:t>
      </w:r>
      <w:r>
        <w:rPr>
          <w:w w:val="95"/>
        </w:rPr>
        <w:t>本公司对共同经营不享有共同控制，如果本公司享有该共同经营相关资产且承担该共同经营相关负债</w:t>
      </w:r>
      <w:r>
        <w:rPr/>
      </w:r>
    </w:p>
    <w:p>
      <w:pPr>
        <w:pStyle w:val="BodyText"/>
        <w:spacing w:line="240" w:lineRule="auto" w:before="8"/>
        <w:ind w:right="2127"/>
        <w:jc w:val="left"/>
      </w:pPr>
      <w:r>
        <w:rPr/>
        <w:t>的，仍按上述原则进行会计处理，否则，应当按照相关企业会计准则的规定进行会计处理。</w:t>
      </w:r>
    </w:p>
    <w:p>
      <w:pPr>
        <w:spacing w:line="240" w:lineRule="auto" w:before="12"/>
        <w:rPr>
          <w:rFonts w:ascii="宋体" w:hAnsi="宋体" w:cs="宋体" w:eastAsia="宋体" w:hint="default"/>
          <w:sz w:val="26"/>
          <w:szCs w:val="26"/>
        </w:rPr>
      </w:pPr>
    </w:p>
    <w:p>
      <w:pPr>
        <w:spacing w:line="590" w:lineRule="atLeast" w:before="0"/>
        <w:ind w:left="532" w:right="0" w:hanging="420"/>
        <w:jc w:val="left"/>
        <w:rPr>
          <w:rFonts w:ascii="宋体" w:hAnsi="宋体" w:cs="宋体" w:eastAsia="宋体" w:hint="default"/>
          <w:sz w:val="21"/>
          <w:szCs w:val="21"/>
        </w:rPr>
      </w:pPr>
      <w:bookmarkStart w:name="8、现金及现金等价物的确定标准" w:id="181"/>
      <w:bookmarkEnd w:id="1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在编制现金流量表时，将本公司库存现金以及可以随时用于支付的存款确认为现金。将同时具备期限</w:t>
      </w:r>
      <w:r>
        <w:rPr>
          <w:rFonts w:ascii="宋体" w:hAnsi="宋体" w:cs="宋体" w:eastAsia="宋体" w:hint="default"/>
          <w:sz w:val="21"/>
          <w:szCs w:val="21"/>
        </w:rPr>
      </w:r>
    </w:p>
    <w:p>
      <w:pPr>
        <w:pStyle w:val="BodyText"/>
        <w:spacing w:line="273" w:lineRule="auto" w:before="37"/>
        <w:ind w:right="0"/>
        <w:jc w:val="left"/>
      </w:pPr>
      <w:r>
        <w:rPr>
          <w:w w:val="99"/>
        </w:rPr>
        <w:t>短（一般从购买日起三个月内到期）、流动性强、易于转换为已知金额的现金、价值变动风险很小四个条</w:t>
      </w:r>
      <w:r>
        <w:rPr>
          <w:spacing w:val="-94"/>
          <w:w w:val="99"/>
        </w:rPr>
        <w:t> </w:t>
      </w:r>
      <w:r>
        <w:rPr>
          <w:spacing w:val="-94"/>
          <w:w w:val="99"/>
        </w:rPr>
      </w:r>
      <w:r>
        <w:rPr/>
        <w:t>件的投资，确定为现金等价物。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27"/>
        <w:jc w:val="left"/>
        <w:rPr>
          <w:b w:val="0"/>
          <w:bCs w:val="0"/>
        </w:rPr>
      </w:pPr>
      <w:bookmarkStart w:name="9、外币业务和外币报表折算" w:id="182"/>
      <w:bookmarkEnd w:id="18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0"/>
        <w:jc w:val="left"/>
      </w:pPr>
      <w:r>
        <w:rPr/>
        <w:t>外币业务交易在初始确认时，采用交易发生日的即期汇率作为折算汇率折合成人民币记账。</w:t>
      </w:r>
      <w:r>
        <w:rPr>
          <w:w w:val="99"/>
        </w:rPr>
        <w:t> </w:t>
      </w:r>
      <w:r>
        <w:rPr>
          <w:w w:val="95"/>
        </w:rPr>
        <w:t>资产负债表日，外币货币性项目按资产负债表日即期汇率折算，由此产生的汇兑差额，除属于与购建</w:t>
      </w:r>
      <w:r>
        <w:rPr/>
      </w:r>
    </w:p>
    <w:p>
      <w:pPr>
        <w:pStyle w:val="BodyText"/>
        <w:spacing w:line="240" w:lineRule="auto"/>
        <w:ind w:right="0"/>
        <w:jc w:val="left"/>
      </w:pPr>
      <w:r>
        <w:rPr/>
        <w:t>符合资本化条件的资产相关的外币专门借款产生的汇兑差额按照借款费用资本化的原则处理外，均计入当</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1120"/>
        <w:jc w:val="left"/>
      </w:pPr>
      <w:r>
        <w:rPr>
          <w:w w:val="95"/>
        </w:rPr>
        <w:t>期损益。以历史成本计量的外币非货币性项目，仍采用交易发生日的即期汇率折算，不改变其记账本位币  </w:t>
      </w:r>
      <w:r>
        <w:rPr>
          <w:spacing w:val="40"/>
          <w:w w:val="95"/>
        </w:rPr>
        <w:t> </w:t>
      </w:r>
      <w:r>
        <w:rPr>
          <w:spacing w:val="40"/>
          <w:w w:val="95"/>
        </w:rPr>
      </w:r>
      <w:r>
        <w:rPr/>
        <w:t>金额。</w:t>
      </w:r>
    </w:p>
    <w:p>
      <w:pPr>
        <w:pStyle w:val="BodyText"/>
        <w:spacing w:line="273" w:lineRule="auto"/>
        <w:ind w:right="1132" w:firstLine="420"/>
        <w:jc w:val="both"/>
      </w:pPr>
      <w:r>
        <w:rPr>
          <w:w w:val="95"/>
        </w:rPr>
        <w:t>以公允价值计量的外币非货币性项目，采用公允价值确定日的即期汇率折算，由此产生的汇兑差额作</w:t>
      </w:r>
      <w:r>
        <w:rPr>
          <w:w w:val="99"/>
        </w:rPr>
        <w:t> </w:t>
      </w:r>
      <w:r>
        <w:rPr>
          <w:w w:val="95"/>
        </w:rPr>
        <w:t>为公允价值变动损益计入当期损益。如属于可供出售外币非货币性项目的，形成的汇兑差额计入其他综合  </w:t>
      </w:r>
      <w:r>
        <w:rPr>
          <w:spacing w:val="40"/>
          <w:w w:val="95"/>
        </w:rPr>
        <w:t> </w:t>
      </w:r>
      <w:r>
        <w:rPr>
          <w:spacing w:val="40"/>
          <w:w w:val="95"/>
        </w:rPr>
      </w:r>
      <w:r>
        <w:rPr/>
        <w:t>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27"/>
        <w:jc w:val="left"/>
        <w:rPr>
          <w:b w:val="0"/>
          <w:bCs w:val="0"/>
        </w:rPr>
      </w:pPr>
      <w:bookmarkStart w:name="10、金融工具" w:id="183"/>
      <w:bookmarkEnd w:id="18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132"/>
        <w:jc w:val="left"/>
      </w:pPr>
      <w:r>
        <w:rPr/>
        <w:t>在本公司成为金融工具合同的一方时确认一项金融资产或金融负债。</w:t>
      </w:r>
      <w:r>
        <w:rPr>
          <w:w w:val="99"/>
        </w:rPr>
        <w:t> </w:t>
      </w:r>
      <w:r>
        <w:rPr>
          <w:spacing w:val="4"/>
        </w:rPr>
        <w:t>实际利率法是指计算金融资产或金融负债的摊余成本以及将利息收入或利息费用分摊计入各会计期</w:t>
      </w:r>
    </w:p>
    <w:p>
      <w:pPr>
        <w:pStyle w:val="BodyText"/>
        <w:spacing w:line="240" w:lineRule="auto"/>
        <w:ind w:right="2127"/>
        <w:jc w:val="left"/>
      </w:pPr>
      <w:r>
        <w:rPr/>
        <w:t>间的方法。</w:t>
      </w:r>
    </w:p>
    <w:p>
      <w:pPr>
        <w:pStyle w:val="BodyText"/>
        <w:spacing w:line="264" w:lineRule="auto" w:before="37"/>
        <w:ind w:right="1132" w:firstLine="420"/>
        <w:jc w:val="both"/>
      </w:pPr>
      <w:r>
        <w:rPr>
          <w:w w:val="95"/>
        </w:rPr>
        <w:t>实际利率，是指将金融资产或金融负债在预计存续期的估计未来现金流量，折现为该金融资产账面余</w:t>
      </w:r>
      <w:r>
        <w:rPr>
          <w:w w:val="99"/>
        </w:rPr>
        <w:t> </w:t>
      </w:r>
      <w:r>
        <w:rPr>
          <w:spacing w:val="-2"/>
        </w:rPr>
        <w:t>额或该金融负债摊余成本所使用的利率。在确定实际利率时，在考虑金融资产或金融负债所有合同条款</w:t>
      </w:r>
      <w:r>
        <w:rPr>
          <w:rFonts w:ascii="Times New Roman" w:hAnsi="Times New Roman" w:cs="Times New Roman" w:eastAsia="Times New Roman" w:hint="default"/>
          <w:spacing w:val="-2"/>
        </w:rPr>
        <w:t>(</w:t>
      </w:r>
      <w:r>
        <w:rPr>
          <w:spacing w:val="-2"/>
        </w:rPr>
        <w:t>如</w:t>
      </w:r>
      <w:r>
        <w:rPr>
          <w:w w:val="99"/>
        </w:rPr>
        <w:t> </w:t>
      </w:r>
      <w:r>
        <w:rPr/>
        <w:t>提前还款、展期、看涨期权或其他类似期权等</w:t>
      </w:r>
      <w:r>
        <w:rPr>
          <w:rFonts w:ascii="Times New Roman" w:hAnsi="Times New Roman" w:cs="Times New Roman" w:eastAsia="Times New Roman" w:hint="default"/>
        </w:rPr>
        <w:t>)</w:t>
      </w:r>
      <w:r>
        <w:rPr/>
        <w:t>的基础上估计预期现金流量，但不考虑预期信用损失。</w:t>
      </w:r>
    </w:p>
    <w:p>
      <w:pPr>
        <w:pStyle w:val="BodyText"/>
        <w:spacing w:line="273" w:lineRule="auto" w:before="0"/>
        <w:ind w:right="1135" w:firstLine="420"/>
        <w:jc w:val="both"/>
      </w:pPr>
      <w:r>
        <w:rPr>
          <w:w w:val="95"/>
        </w:rPr>
        <w:t>金融资产或金融负债的摊余成本是以该金融资产或金融负债的初始确认金额扣除已偿还的本金，加上</w:t>
      </w:r>
      <w:r>
        <w:rPr>
          <w:w w:val="99"/>
        </w:rPr>
        <w:t> </w:t>
      </w:r>
      <w:r>
        <w:rPr>
          <w:w w:val="95"/>
        </w:rPr>
        <w:t>或减去采用实际利率法将该初始确认金额与到期日金额之间的差额进行摊销形成的累计摊销额，再扣除累</w:t>
      </w:r>
      <w:r>
        <w:rPr>
          <w:spacing w:val="37"/>
          <w:w w:val="95"/>
        </w:rPr>
        <w:t> </w:t>
      </w:r>
      <w:r>
        <w:rPr>
          <w:spacing w:val="37"/>
          <w:w w:val="95"/>
        </w:rPr>
      </w:r>
      <w:r>
        <w:rPr/>
        <w:t>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spacing w:line="273" w:lineRule="auto" w:before="0"/>
        <w:ind w:left="532" w:right="1132" w:firstLine="2"/>
        <w:jc w:val="left"/>
        <w:rPr>
          <w:rFonts w:ascii="宋体" w:hAnsi="宋体" w:cs="宋体" w:eastAsia="宋体" w:hint="default"/>
          <w:sz w:val="21"/>
          <w:szCs w:val="21"/>
        </w:rPr>
      </w:pPr>
      <w:r>
        <w:rPr>
          <w:rFonts w:ascii="宋体" w:hAnsi="宋体" w:cs="宋体" w:eastAsia="宋体" w:hint="default"/>
          <w:b/>
          <w:bCs/>
          <w:sz w:val="21"/>
          <w:szCs w:val="21"/>
        </w:rPr>
        <w:t>（1）金融资产分类和计量</w:t>
      </w:r>
      <w:r>
        <w:rPr>
          <w:rFonts w:ascii="宋体" w:hAnsi="宋体" w:cs="宋体" w:eastAsia="宋体" w:hint="default"/>
          <w:b/>
          <w:bCs/>
          <w:w w:val="99"/>
          <w:sz w:val="21"/>
          <w:szCs w:val="21"/>
        </w:rPr>
        <w:t> </w:t>
      </w:r>
      <w:r>
        <w:rPr>
          <w:rFonts w:ascii="宋体" w:hAnsi="宋体" w:cs="宋体" w:eastAsia="宋体" w:hint="default"/>
          <w:spacing w:val="4"/>
          <w:sz w:val="21"/>
          <w:szCs w:val="21"/>
        </w:rPr>
        <w:t>本公司根据所管理金融资产的业务模式和金融资产的合同现金流量特征，将金融资产划分为以下三</w:t>
      </w:r>
    </w:p>
    <w:p>
      <w:pPr>
        <w:pStyle w:val="BodyText"/>
        <w:spacing w:line="240" w:lineRule="auto"/>
        <w:ind w:right="2127"/>
        <w:jc w:val="left"/>
      </w:pPr>
      <w:r>
        <w:rPr/>
        <w:t>类：</w:t>
      </w:r>
    </w:p>
    <w:p>
      <w:pPr>
        <w:pStyle w:val="BodyText"/>
        <w:spacing w:line="240" w:lineRule="auto" w:before="37"/>
        <w:ind w:left="278" w:right="2127"/>
        <w:jc w:val="left"/>
      </w:pPr>
      <w:r>
        <w:rPr/>
        <w:t>1）以摊余成本计量的金融资产。</w:t>
      </w:r>
    </w:p>
    <w:p>
      <w:pPr>
        <w:pStyle w:val="BodyText"/>
        <w:spacing w:line="240" w:lineRule="auto" w:before="37"/>
        <w:ind w:left="278" w:right="2127"/>
        <w:jc w:val="left"/>
      </w:pPr>
      <w:r>
        <w:rPr/>
        <w:t>2）以公允价值计量且其变动计入其他综合收益的金融资产。</w:t>
      </w:r>
    </w:p>
    <w:p>
      <w:pPr>
        <w:pStyle w:val="BodyText"/>
        <w:spacing w:line="273" w:lineRule="auto" w:before="37"/>
        <w:ind w:left="532" w:right="0" w:hanging="255"/>
        <w:jc w:val="left"/>
      </w:pPr>
      <w:r>
        <w:rPr/>
        <w:t>3）以公允价值计量且其变动计入当期损益的金融资产。</w:t>
      </w:r>
      <w:r>
        <w:rPr>
          <w:w w:val="99"/>
        </w:rPr>
        <w:t> </w:t>
      </w:r>
      <w:r>
        <w:rPr>
          <w:w w:val="95"/>
        </w:rPr>
        <w:t>金融资产在初始确认时以公允价值计量，但是因销售商品或提供服务等产生的应收账款或应收票据未</w:t>
      </w:r>
      <w:r>
        <w:rPr/>
      </w:r>
    </w:p>
    <w:p>
      <w:pPr>
        <w:pStyle w:val="BodyText"/>
        <w:spacing w:line="273" w:lineRule="auto"/>
        <w:ind w:left="532" w:right="0" w:hanging="420"/>
        <w:jc w:val="left"/>
      </w:pPr>
      <w:r>
        <w:rPr/>
        <w:t>包含重大融资成分或不考虑不超过一年的融资成分的，按照交易价格进行初始计量。</w:t>
      </w:r>
      <w:r>
        <w:rPr>
          <w:w w:val="99"/>
        </w:rPr>
        <w:t> </w:t>
      </w:r>
      <w:r>
        <w:rPr>
          <w:w w:val="95"/>
        </w:rPr>
        <w:t>对于以公允价值计量且其变动计入当期损益的金融资产，相关交易费用直接计入当期损益，其他类别</w:t>
      </w:r>
      <w:r>
        <w:rPr/>
      </w:r>
    </w:p>
    <w:p>
      <w:pPr>
        <w:pStyle w:val="BodyText"/>
        <w:spacing w:line="273" w:lineRule="auto"/>
        <w:ind w:left="532" w:right="0" w:hanging="420"/>
        <w:jc w:val="left"/>
      </w:pPr>
      <w:r>
        <w:rPr/>
        <w:t>的金融资产相关交易费用计入其初始确认金额。</w:t>
      </w:r>
      <w:r>
        <w:rPr>
          <w:w w:val="99"/>
        </w:rPr>
        <w:t> </w:t>
      </w:r>
      <w:r>
        <w:rPr>
          <w:w w:val="95"/>
        </w:rPr>
        <w:t>金融资产的后续计量取决于其分类，当且仅当本公司改变管理金融资产的业务模式时，才对所有受影</w:t>
      </w:r>
      <w:r>
        <w:rPr/>
      </w:r>
    </w:p>
    <w:p>
      <w:pPr>
        <w:pStyle w:val="BodyText"/>
        <w:spacing w:line="273" w:lineRule="auto"/>
        <w:ind w:left="638" w:right="6763" w:hanging="526"/>
        <w:jc w:val="left"/>
      </w:pPr>
      <w:r>
        <w:rPr/>
        <w:t>响的相关金融资产进行重分类。</w:t>
      </w:r>
      <w:r>
        <w:rPr>
          <w:w w:val="99"/>
        </w:rPr>
        <w:t> </w:t>
      </w:r>
      <w:r>
        <w:rPr/>
        <w:t>1）分类为以摊余成本计量的金融资产</w:t>
      </w:r>
    </w:p>
    <w:p>
      <w:pPr>
        <w:pStyle w:val="BodyText"/>
        <w:spacing w:line="273" w:lineRule="auto"/>
        <w:ind w:right="1132" w:firstLine="420"/>
        <w:jc w:val="both"/>
      </w:pPr>
      <w:r>
        <w:rPr>
          <w:spacing w:val="4"/>
        </w:rPr>
        <w:t>金融资产的合同条款规定在特定日期产生的现金流量仅为对本金和以未偿付本金金额为基础的利息</w:t>
      </w:r>
      <w:r>
        <w:rPr>
          <w:w w:val="99"/>
        </w:rPr>
        <w:t> </w:t>
      </w:r>
      <w:r>
        <w:rPr>
          <w:w w:val="95"/>
        </w:rPr>
        <w:t>的支付，且管理该金融资产的业务模式是以收取合同现金流量为目标，则本公司将该金融资产分类为以摊</w:t>
      </w:r>
      <w:r>
        <w:rPr>
          <w:spacing w:val="40"/>
          <w:w w:val="95"/>
        </w:rPr>
        <w:t> </w:t>
      </w:r>
      <w:r>
        <w:rPr>
          <w:spacing w:val="40"/>
          <w:w w:val="95"/>
        </w:rPr>
      </w:r>
      <w:r>
        <w:rPr>
          <w:w w:val="95"/>
        </w:rPr>
        <w:t>余成本计量的金融资产。本公司分类为以摊余成本计量的金融资产包括货币资金、部分以摊余成本计量的</w:t>
      </w:r>
      <w:r>
        <w:rPr>
          <w:spacing w:val="37"/>
          <w:w w:val="95"/>
        </w:rPr>
        <w:t> </w:t>
      </w:r>
      <w:r>
        <w:rPr>
          <w:spacing w:val="37"/>
          <w:w w:val="95"/>
        </w:rPr>
      </w:r>
      <w:r>
        <w:rPr/>
        <w:t>应收票据及应收账款、其他应收款、长期应收款等。</w:t>
      </w:r>
    </w:p>
    <w:p>
      <w:pPr>
        <w:pStyle w:val="BodyText"/>
        <w:spacing w:line="273" w:lineRule="auto" w:before="8"/>
        <w:ind w:right="1132" w:firstLine="420"/>
        <w:jc w:val="both"/>
      </w:pPr>
      <w:r>
        <w:rPr>
          <w:w w:val="95"/>
        </w:rPr>
        <w:t>本公司对此类金融资产采用实际利率法确认利息收入，按摊余成本进行后续计量，其发生减值时或终</w:t>
      </w:r>
      <w:r>
        <w:rPr>
          <w:w w:val="99"/>
        </w:rPr>
        <w:t> </w:t>
      </w:r>
      <w:r>
        <w:rPr>
          <w:w w:val="95"/>
        </w:rPr>
        <w:t>止确认、修改产生的利得或损失，计入当期损益。除下列情况外，本公司根据金融资产账面余额乘以实际</w:t>
      </w:r>
      <w:r>
        <w:rPr>
          <w:spacing w:val="41"/>
          <w:w w:val="95"/>
        </w:rPr>
        <w:t> </w:t>
      </w:r>
      <w:r>
        <w:rPr>
          <w:spacing w:val="41"/>
          <w:w w:val="95"/>
        </w:rPr>
      </w:r>
      <w:r>
        <w:rPr/>
        <w:t>利率计算确定利息收入：</w:t>
      </w:r>
    </w:p>
    <w:p>
      <w:pPr>
        <w:pStyle w:val="BodyText"/>
        <w:spacing w:line="273" w:lineRule="auto"/>
        <w:ind w:right="1135" w:firstLine="420"/>
        <w:jc w:val="both"/>
      </w:pPr>
      <w:r>
        <w:rPr>
          <w:w w:val="95"/>
        </w:rPr>
        <w:t>①对于购入或源生的已发生信用减值的金融资产，本公司自初始确认起，按照该金融资产的摊余成本</w:t>
      </w:r>
      <w:r>
        <w:rPr>
          <w:w w:val="99"/>
        </w:rPr>
        <w:t> </w:t>
      </w:r>
      <w:r>
        <w:rPr/>
        <w:t>和经信用调整的实际利率计算确定其利息收入。</w:t>
      </w:r>
    </w:p>
    <w:p>
      <w:pPr>
        <w:pStyle w:val="BodyText"/>
        <w:spacing w:line="273" w:lineRule="auto" w:before="8"/>
        <w:ind w:right="1135" w:firstLine="420"/>
        <w:jc w:val="both"/>
      </w:pPr>
      <w:r>
        <w:rPr>
          <w:w w:val="95"/>
        </w:rPr>
        <w:t>②对于购入或源生的未发生信用减值、但在后续期间成为已发生信用减值的金融资产，本公司在后续</w:t>
      </w:r>
      <w:r>
        <w:rPr>
          <w:w w:val="99"/>
        </w:rPr>
        <w:t> </w:t>
      </w:r>
      <w:r>
        <w:rPr>
          <w:w w:val="95"/>
        </w:rPr>
        <w:t>期间，按照该金融资产的摊余成本和实际利率计算确定其利息收入。若该金融工具在后续期间因其信用风</w:t>
      </w:r>
      <w:r>
        <w:rPr>
          <w:spacing w:val="37"/>
          <w:w w:val="95"/>
        </w:rPr>
        <w:t> </w:t>
      </w:r>
      <w:r>
        <w:rPr>
          <w:spacing w:val="37"/>
          <w:w w:val="95"/>
        </w:rPr>
      </w:r>
      <w:r>
        <w:rPr/>
        <w:t>险有所改善而不再存在信用减值，本公司转按实际利率乘以该金融资产账面余额来计算确定利息收入。</w:t>
      </w:r>
    </w:p>
    <w:p>
      <w:pPr>
        <w:pStyle w:val="BodyText"/>
        <w:spacing w:line="240" w:lineRule="auto"/>
        <w:ind w:left="638" w:right="2127"/>
        <w:jc w:val="left"/>
      </w:pPr>
      <w:r>
        <w:rPr/>
        <w:t>2）分类为以公允价值计量且其变动计入其他综合收益的金融资产</w:t>
      </w:r>
    </w:p>
    <w:p>
      <w:pPr>
        <w:spacing w:after="0" w:line="240" w:lineRule="auto"/>
        <w:jc w:val="left"/>
        <w:sectPr>
          <w:footerReference w:type="default" r:id="rId28"/>
          <w:pgSz w:w="11910" w:h="16840"/>
          <w:pgMar w:footer="1016" w:header="919" w:top="1120" w:bottom="1200" w:left="1020" w:right="0"/>
          <w:pgNumType w:start="130"/>
        </w:sectPr>
      </w:pPr>
    </w:p>
    <w:p>
      <w:pPr>
        <w:spacing w:line="240" w:lineRule="auto" w:before="10"/>
        <w:rPr>
          <w:rFonts w:ascii="宋体" w:hAnsi="宋体" w:cs="宋体" w:eastAsia="宋体" w:hint="default"/>
          <w:sz w:val="19"/>
          <w:szCs w:val="19"/>
        </w:rPr>
      </w:pPr>
    </w:p>
    <w:p>
      <w:pPr>
        <w:pStyle w:val="BodyText"/>
        <w:spacing w:line="273" w:lineRule="auto" w:before="34"/>
        <w:ind w:right="1132" w:firstLine="420"/>
        <w:jc w:val="both"/>
      </w:pPr>
      <w:r>
        <w:rPr>
          <w:spacing w:val="4"/>
        </w:rPr>
        <w:t>金融资产的合同条款规定在特定日期产生的现金流量仅为对本金和以未偿付本金金额为基础的利息</w:t>
      </w:r>
      <w:r>
        <w:rPr>
          <w:w w:val="99"/>
        </w:rPr>
        <w:t> </w:t>
      </w:r>
      <w:r>
        <w:rPr>
          <w:w w:val="95"/>
        </w:rPr>
        <w:t>的支付，且管理该金融资产的业务模式既以收取合同现金流量为目标又以出售该金融资产为目标，则本公</w:t>
      </w:r>
      <w:r>
        <w:rPr>
          <w:spacing w:val="40"/>
          <w:w w:val="95"/>
        </w:rPr>
        <w:t> </w:t>
      </w:r>
      <w:r>
        <w:rPr>
          <w:spacing w:val="40"/>
          <w:w w:val="95"/>
        </w:rPr>
      </w:r>
      <w:r>
        <w:rPr/>
        <w:t>司将该金融资产分类为以公允价值计量且其变动计入其他综合收益的金融资产。</w:t>
      </w:r>
    </w:p>
    <w:p>
      <w:pPr>
        <w:pStyle w:val="BodyText"/>
        <w:spacing w:line="273" w:lineRule="auto"/>
        <w:ind w:right="1132" w:firstLine="420"/>
        <w:jc w:val="both"/>
      </w:pPr>
      <w:r>
        <w:rPr>
          <w:w w:val="95"/>
        </w:rPr>
        <w:t>本公司对此类金融资产采用实际利率法确认利息收入。除利息收入、减值损失及汇兑差额确认为当期</w:t>
      </w:r>
      <w:r>
        <w:rPr>
          <w:w w:val="99"/>
        </w:rPr>
        <w:t> </w:t>
      </w:r>
      <w:r>
        <w:rPr>
          <w:w w:val="95"/>
        </w:rPr>
        <w:t>损益外，其余公允价值变动计入其他综合收益。当该金融资产终止确认时，之前计入其他综合收益的累计</w:t>
      </w:r>
      <w:r>
        <w:rPr>
          <w:spacing w:val="40"/>
          <w:w w:val="95"/>
        </w:rPr>
        <w:t> </w:t>
      </w:r>
      <w:r>
        <w:rPr>
          <w:spacing w:val="40"/>
          <w:w w:val="95"/>
        </w:rPr>
      </w:r>
      <w:r>
        <w:rPr/>
        <w:t>利得或损失从其他综合收益中转出，计入当期损益。</w:t>
      </w:r>
    </w:p>
    <w:p>
      <w:pPr>
        <w:pStyle w:val="BodyText"/>
        <w:spacing w:line="273" w:lineRule="auto"/>
        <w:ind w:right="1132" w:firstLine="420"/>
        <w:jc w:val="both"/>
      </w:pPr>
      <w:r>
        <w:rPr>
          <w:w w:val="95"/>
        </w:rPr>
        <w:t>以公允价值计量且变动计入其他综合收益的应收票据及应收账款列报为应收款项融资，其他此类金融</w:t>
      </w:r>
      <w:r>
        <w:rPr>
          <w:w w:val="99"/>
        </w:rPr>
        <w:t> </w:t>
      </w:r>
      <w:r>
        <w:rPr>
          <w:w w:val="95"/>
        </w:rPr>
        <w:t>资产列报为其他债权投资，其中：自资产负债表日起一年内到期的其他债权投资列报为一年内到期的非流</w:t>
      </w:r>
      <w:r>
        <w:rPr>
          <w:spacing w:val="40"/>
          <w:w w:val="95"/>
        </w:rPr>
        <w:t> </w:t>
      </w:r>
      <w:r>
        <w:rPr>
          <w:spacing w:val="40"/>
          <w:w w:val="95"/>
        </w:rPr>
      </w:r>
      <w:r>
        <w:rPr/>
        <w:t>动资产，原到期日在一年以内的其他债权投资列报为其他流动资产。</w:t>
      </w:r>
    </w:p>
    <w:p>
      <w:pPr>
        <w:pStyle w:val="BodyText"/>
        <w:spacing w:line="273" w:lineRule="auto"/>
        <w:ind w:left="532" w:right="0" w:firstLine="105"/>
        <w:jc w:val="left"/>
      </w:pPr>
      <w:r>
        <w:rPr/>
        <w:t>3）指定为以公允价值计量且其变动计入其他综合收益的金融资产</w:t>
      </w:r>
      <w:r>
        <w:rPr>
          <w:w w:val="99"/>
        </w:rPr>
        <w:t> </w:t>
      </w:r>
      <w:r>
        <w:rPr>
          <w:w w:val="95"/>
        </w:rPr>
        <w:t>在初始确认时，本公司可以单项金融资产为基础不可撤销地将非交易性权益工具投资指定为以公允价</w:t>
      </w:r>
      <w:r>
        <w:rPr/>
      </w:r>
    </w:p>
    <w:p>
      <w:pPr>
        <w:pStyle w:val="BodyText"/>
        <w:spacing w:line="273" w:lineRule="auto"/>
        <w:ind w:left="532" w:right="0" w:hanging="420"/>
        <w:jc w:val="left"/>
      </w:pPr>
      <w:r>
        <w:rPr/>
        <w:t>值计量且其变动计入其他综合收益的金融资产。</w:t>
      </w:r>
      <w:r>
        <w:rPr>
          <w:w w:val="99"/>
        </w:rPr>
        <w:t> </w:t>
      </w:r>
      <w:r>
        <w:rPr>
          <w:w w:val="95"/>
        </w:rPr>
        <w:t>此类金融资产的公允价值变动计入其他综合收益，不需计提减值准备。该金融资产终止确认时，之前</w:t>
      </w:r>
      <w:r>
        <w:rPr/>
      </w:r>
    </w:p>
    <w:p>
      <w:pPr>
        <w:pStyle w:val="BodyText"/>
        <w:spacing w:line="273" w:lineRule="auto"/>
        <w:ind w:right="1130"/>
        <w:jc w:val="both"/>
      </w:pPr>
      <w:r>
        <w:rPr>
          <w:w w:val="95"/>
        </w:rPr>
        <w:t>计入其他综合收益的累计利得或损失从其他综合收益中转出，计入留存收益。本公司持有该权益工具投资</w:t>
      </w:r>
      <w:r>
        <w:rPr>
          <w:spacing w:val="37"/>
          <w:w w:val="95"/>
        </w:rPr>
        <w:t> </w:t>
      </w:r>
      <w:r>
        <w:rPr>
          <w:spacing w:val="37"/>
          <w:w w:val="95"/>
        </w:rPr>
      </w:r>
      <w:r>
        <w:rPr>
          <w:w w:val="95"/>
        </w:rPr>
        <w:t>期间，在本公司收取股利的权利已经确立，与股利相关的经济利益很可能流入本公司，且股利的金额能够</w:t>
      </w:r>
      <w:r>
        <w:rPr>
          <w:spacing w:val="43"/>
          <w:w w:val="95"/>
        </w:rPr>
        <w:t> </w:t>
      </w:r>
      <w:r>
        <w:rPr>
          <w:spacing w:val="43"/>
          <w:w w:val="95"/>
        </w:rPr>
      </w:r>
      <w:r>
        <w:rPr/>
        <w:t>可靠计量时，确认股利收入并计入当期损益。本公司对此类金融资产在其他权益工具投资项目下列报。</w:t>
      </w:r>
    </w:p>
    <w:p>
      <w:pPr>
        <w:pStyle w:val="BodyText"/>
        <w:spacing w:line="273" w:lineRule="auto"/>
        <w:ind w:right="1132" w:firstLine="420"/>
        <w:jc w:val="both"/>
      </w:pPr>
      <w:r>
        <w:rPr>
          <w:w w:val="95"/>
        </w:rPr>
        <w:t>权益工具投资满足下列条件之一的，属于以公允价值计量且其变动计入当期损益的金融资产：取得该</w:t>
      </w:r>
      <w:r>
        <w:rPr>
          <w:w w:val="99"/>
        </w:rPr>
        <w:t> </w:t>
      </w:r>
      <w:r>
        <w:rPr>
          <w:w w:val="95"/>
        </w:rPr>
        <w:t>金融资产的目的主要是为了近期出售；初始确认时属于集中管理的可辨认金融资产工具组合的一部分，且</w:t>
      </w:r>
      <w:r>
        <w:rPr>
          <w:spacing w:val="40"/>
          <w:w w:val="95"/>
        </w:rPr>
        <w:t> </w:t>
      </w:r>
      <w:r>
        <w:rPr>
          <w:spacing w:val="40"/>
          <w:w w:val="95"/>
        </w:rPr>
      </w:r>
      <w:r>
        <w:rPr>
          <w:w w:val="95"/>
        </w:rPr>
        <w:t>有客观证据表明近期实际存在短期获利模式；属于衍生工具（符合财务担保合同定义的以及被指定为有效</w:t>
      </w:r>
      <w:r>
        <w:rPr>
          <w:spacing w:val="40"/>
          <w:w w:val="95"/>
        </w:rPr>
        <w:t> </w:t>
      </w:r>
      <w:r>
        <w:rPr>
          <w:spacing w:val="40"/>
          <w:w w:val="95"/>
        </w:rPr>
      </w:r>
      <w:r>
        <w:rPr>
          <w:spacing w:val="-8"/>
          <w:w w:val="99"/>
        </w:rPr>
        <w:t>套期工具的衍生工具除外）。</w:t>
      </w:r>
      <w:r>
        <w:rPr>
          <w:spacing w:val="-8"/>
        </w:rPr>
      </w:r>
    </w:p>
    <w:p>
      <w:pPr>
        <w:pStyle w:val="BodyText"/>
        <w:spacing w:line="273" w:lineRule="auto"/>
        <w:ind w:left="532" w:right="0" w:firstLine="105"/>
        <w:jc w:val="left"/>
      </w:pPr>
      <w:r>
        <w:rPr/>
        <w:t>4）分类为以公允价值计量且其变动计入当期损益的金融资产</w:t>
      </w:r>
      <w:r>
        <w:rPr>
          <w:w w:val="99"/>
        </w:rPr>
        <w:t> </w:t>
      </w:r>
      <w:r>
        <w:rPr>
          <w:w w:val="95"/>
        </w:rPr>
        <w:t>不符合分类为以摊余成本计量或以公允价值计量且其变动计入其他综合收益的金融资产条件、亦不指</w:t>
      </w:r>
      <w:r>
        <w:rPr/>
      </w:r>
    </w:p>
    <w:p>
      <w:pPr>
        <w:pStyle w:val="BodyText"/>
        <w:spacing w:line="273" w:lineRule="auto" w:before="8"/>
        <w:ind w:right="1135"/>
        <w:jc w:val="both"/>
      </w:pPr>
      <w:r>
        <w:rPr>
          <w:spacing w:val="4"/>
        </w:rPr>
        <w:t>定为以公允价值计量且其变动计入其他综合收益的金融资产均分类为以公允价值计量且其变动计入当期</w:t>
      </w:r>
      <w:r>
        <w:rPr>
          <w:w w:val="99"/>
        </w:rPr>
        <w:t> </w:t>
      </w:r>
      <w:r>
        <w:rPr/>
        <w:t>损益的金融资产。</w:t>
      </w:r>
    </w:p>
    <w:p>
      <w:pPr>
        <w:pStyle w:val="BodyText"/>
        <w:spacing w:line="273" w:lineRule="auto"/>
        <w:ind w:right="1132" w:firstLine="420"/>
        <w:jc w:val="both"/>
      </w:pPr>
      <w:r>
        <w:rPr>
          <w:w w:val="95"/>
        </w:rPr>
        <w:t>本公司对此类金融资产采用公允价值进行后续计量，将公允价值变动形成的利得或损失以及与此类金</w:t>
      </w:r>
      <w:r>
        <w:rPr>
          <w:w w:val="99"/>
        </w:rPr>
        <w:t> </w:t>
      </w:r>
      <w:r>
        <w:rPr/>
        <w:t>融资产相关的股利和利息收入计入当期损益。</w:t>
      </w:r>
    </w:p>
    <w:p>
      <w:pPr>
        <w:pStyle w:val="BodyText"/>
        <w:spacing w:line="273" w:lineRule="auto"/>
        <w:ind w:left="532" w:right="0"/>
        <w:jc w:val="left"/>
      </w:pPr>
      <w:r>
        <w:rPr/>
        <w:t>本公司对此类金融资产根据其流动性在交易性金融资产、其他非流动金融资产项目列报。</w:t>
      </w:r>
      <w:r>
        <w:rPr>
          <w:w w:val="99"/>
        </w:rPr>
        <w:t> </w:t>
      </w:r>
      <w:r>
        <w:rPr/>
        <w:t>5）指定为以公允价值计量且其变动计入当期损益的金融资产</w:t>
      </w:r>
      <w:r>
        <w:rPr>
          <w:w w:val="99"/>
        </w:rPr>
        <w:t> </w:t>
      </w:r>
      <w:r>
        <w:rPr>
          <w:w w:val="95"/>
        </w:rPr>
        <w:t>在初始确认时，本公司为了消除或显著减少会计错配，可以单项金融资产为基础不可撤销地将金融资</w:t>
      </w:r>
      <w:r>
        <w:rPr/>
      </w:r>
    </w:p>
    <w:p>
      <w:pPr>
        <w:pStyle w:val="BodyText"/>
        <w:spacing w:line="273" w:lineRule="auto"/>
        <w:ind w:left="532" w:right="0" w:hanging="420"/>
        <w:jc w:val="left"/>
      </w:pPr>
      <w:r>
        <w:rPr/>
        <w:t>产指定为以公允价值计量且其变动计入当期损益的金融资产。</w:t>
      </w:r>
      <w:r>
        <w:rPr>
          <w:w w:val="99"/>
        </w:rPr>
        <w:t> </w:t>
      </w:r>
      <w:r>
        <w:rPr>
          <w:w w:val="95"/>
        </w:rPr>
        <w:t>混合合同包含一项或多项嵌入衍生工具，且其主合同不属于以上金融资产的，本公司可以将其整体指</w:t>
      </w:r>
      <w:r>
        <w:rPr/>
      </w:r>
    </w:p>
    <w:p>
      <w:pPr>
        <w:pStyle w:val="BodyText"/>
        <w:spacing w:line="240" w:lineRule="auto"/>
        <w:ind w:right="2127"/>
        <w:jc w:val="left"/>
      </w:pPr>
      <w:r>
        <w:rPr/>
        <w:t>定为以公允价值计量且其变动计入当期损益的金融工具。但下列情况除外：</w:t>
      </w:r>
    </w:p>
    <w:p>
      <w:pPr>
        <w:pStyle w:val="BodyText"/>
        <w:spacing w:line="240" w:lineRule="auto" w:before="37"/>
        <w:ind w:left="532" w:right="2127"/>
        <w:jc w:val="left"/>
      </w:pPr>
      <w:r>
        <w:rPr/>
        <w:t>①嵌入衍生工具不会对混合合同的现金流量产生重大改变。</w:t>
      </w:r>
    </w:p>
    <w:p>
      <w:pPr>
        <w:pStyle w:val="BodyText"/>
        <w:spacing w:line="273" w:lineRule="auto" w:before="37"/>
        <w:ind w:right="1130" w:firstLine="420"/>
        <w:jc w:val="both"/>
      </w:pPr>
      <w:r>
        <w:rPr>
          <w:w w:val="95"/>
        </w:rPr>
        <w:t>②在初次确定类似的混合合同是否需要分拆时，几乎不需分析就能明确其包含的嵌入衍生工具不应分</w:t>
      </w:r>
      <w:r>
        <w:rPr>
          <w:w w:val="99"/>
        </w:rPr>
        <w:t> </w:t>
      </w:r>
      <w:r>
        <w:rPr>
          <w:w w:val="95"/>
        </w:rPr>
        <w:t>拆。如嵌入贷款的提前还款权，允许持有人以接近摊余成本的金额提前偿还贷款，该提前还款权不需要分   </w:t>
      </w:r>
      <w:r>
        <w:rPr>
          <w:spacing w:val="43"/>
          <w:w w:val="95"/>
        </w:rPr>
        <w:t> </w:t>
      </w:r>
      <w:r>
        <w:rPr>
          <w:spacing w:val="43"/>
          <w:w w:val="95"/>
        </w:rPr>
      </w:r>
      <w:r>
        <w:rPr/>
        <w:t>拆。</w:t>
      </w:r>
    </w:p>
    <w:p>
      <w:pPr>
        <w:pStyle w:val="BodyText"/>
        <w:spacing w:line="273" w:lineRule="auto"/>
        <w:ind w:right="0" w:firstLine="420"/>
        <w:jc w:val="left"/>
      </w:pPr>
      <w:r>
        <w:rPr>
          <w:w w:val="95"/>
        </w:rPr>
        <w:t>本公司对此类金融资产采用公允价值进行后续计量，将公允价值变动形成的利得或损失以及与此类金</w:t>
      </w:r>
      <w:r>
        <w:rPr>
          <w:w w:val="99"/>
        </w:rPr>
        <w:t> </w:t>
      </w:r>
      <w:r>
        <w:rPr/>
        <w:t>融资产相关的股利和利息收入计入当期损益。</w:t>
      </w:r>
    </w:p>
    <w:p>
      <w:pPr>
        <w:pStyle w:val="BodyText"/>
        <w:spacing w:line="240" w:lineRule="auto" w:before="8"/>
        <w:ind w:left="532" w:right="0"/>
        <w:jc w:val="left"/>
      </w:pPr>
      <w:r>
        <w:rPr/>
        <w:t>本公司对此类金融资产根据其流动性在交易性金融资产、其他非流动金融资产项目列报。</w:t>
      </w:r>
    </w:p>
    <w:p>
      <w:pPr>
        <w:spacing w:line="273" w:lineRule="auto" w:before="15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（2）金融负债分类和计量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本公司根据所发行金融工具的合同条款及其所反映的经济实质而非仅以法律形式，结合金融负债和权</w:t>
      </w:r>
      <w:r>
        <w:rPr>
          <w:rFonts w:ascii="宋体" w:hAnsi="宋体" w:cs="宋体" w:eastAsia="宋体" w:hint="default"/>
          <w:sz w:val="21"/>
          <w:szCs w:val="21"/>
        </w:rPr>
      </w:r>
    </w:p>
    <w:p>
      <w:pPr>
        <w:pStyle w:val="BodyText"/>
        <w:spacing w:line="273" w:lineRule="auto"/>
        <w:ind w:right="1130"/>
        <w:jc w:val="both"/>
      </w:pPr>
      <w:r>
        <w:rPr>
          <w:w w:val="95"/>
        </w:rPr>
        <w:t>益工具的定义，在初始确认时将该金融工具或其组成部分分类为金融负债或权益工具。金融负债在初始确</w:t>
      </w:r>
      <w:r>
        <w:rPr>
          <w:spacing w:val="37"/>
          <w:w w:val="95"/>
        </w:rPr>
        <w:t> </w:t>
      </w:r>
      <w:r>
        <w:rPr>
          <w:spacing w:val="37"/>
          <w:w w:val="95"/>
        </w:rPr>
      </w:r>
      <w:r>
        <w:rPr>
          <w:w w:val="95"/>
        </w:rPr>
        <w:t>认时分类为：以公允价值计量且其变动计入当期损益的金融负债、其他金融负债、被指定为有效套期工具</w:t>
      </w:r>
      <w:r>
        <w:rPr>
          <w:spacing w:val="43"/>
          <w:w w:val="95"/>
        </w:rPr>
        <w:t> </w:t>
      </w:r>
      <w:r>
        <w:rPr>
          <w:spacing w:val="43"/>
          <w:w w:val="95"/>
        </w:rPr>
      </w:r>
      <w:r>
        <w:rPr/>
        <w:t>的衍生工具。</w:t>
      </w:r>
    </w:p>
    <w:p>
      <w:pPr>
        <w:spacing w:after="0" w:line="273"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1132" w:firstLine="420"/>
        <w:jc w:val="both"/>
      </w:pPr>
      <w:r>
        <w:rPr>
          <w:w w:val="95"/>
        </w:rPr>
        <w:t>金融负债在初始确认时以公允价值计量。对于以公允价值计量且其变动计入当期损益的金融负债，相</w:t>
      </w:r>
      <w:r>
        <w:rPr>
          <w:w w:val="99"/>
        </w:rPr>
        <w:t> </w:t>
      </w:r>
      <w:r>
        <w:rPr/>
        <w:t>关的交易费用直接计入当期损益；对于其他类别的金融负债，相关交易费用计入初始确认金额。</w:t>
      </w:r>
    </w:p>
    <w:p>
      <w:pPr>
        <w:pStyle w:val="BodyText"/>
        <w:spacing w:line="273" w:lineRule="auto"/>
        <w:ind w:left="638" w:right="5293" w:hanging="106"/>
        <w:jc w:val="left"/>
      </w:pPr>
      <w:r>
        <w:rPr/>
        <w:t>金融负债的后续计量取决于其分类：</w:t>
      </w:r>
      <w:r>
        <w:rPr>
          <w:w w:val="99"/>
        </w:rPr>
        <w:t> </w:t>
      </w:r>
      <w:r>
        <w:rPr/>
        <w:t>1）以公允价值计量且其变动计入当期损益的金融负债</w:t>
      </w:r>
    </w:p>
    <w:p>
      <w:pPr>
        <w:pStyle w:val="BodyText"/>
        <w:spacing w:line="273" w:lineRule="auto"/>
        <w:ind w:right="1132" w:firstLine="420"/>
        <w:jc w:val="both"/>
      </w:pPr>
      <w:r>
        <w:rPr>
          <w:w w:val="95"/>
        </w:rPr>
        <w:t>此类金融负债包括交易性金融负债（含属于金融负债的衍生工具）和初始确认时指定为以公允价值计</w:t>
      </w:r>
      <w:r>
        <w:rPr>
          <w:w w:val="99"/>
        </w:rPr>
        <w:t> </w:t>
      </w:r>
      <w:r>
        <w:rPr/>
        <w:t>量且其变动计入当期损益的金融负债。</w:t>
      </w:r>
    </w:p>
    <w:p>
      <w:pPr>
        <w:pStyle w:val="BodyText"/>
        <w:spacing w:line="273" w:lineRule="auto"/>
        <w:ind w:right="1112" w:firstLine="420"/>
        <w:jc w:val="both"/>
      </w:pPr>
      <w:r>
        <w:rPr>
          <w:w w:val="95"/>
        </w:rPr>
        <w:t>满足下列条件之一的，属于交易性金融负债：承担相关金融负债的目的主要是为了在近期内出售或回</w:t>
      </w:r>
      <w:r>
        <w:rPr>
          <w:w w:val="99"/>
        </w:rPr>
        <w:t> </w:t>
      </w:r>
      <w:r>
        <w:rPr>
          <w:w w:val="95"/>
        </w:rPr>
        <w:t>购；属于集中管理的可辨认金融工具组合的一部分，且有客观证据表明企业近期采用短期获利方式模式；</w:t>
      </w:r>
      <w:r>
        <w:rPr>
          <w:spacing w:val="61"/>
          <w:w w:val="95"/>
        </w:rPr>
        <w:t> </w:t>
      </w:r>
      <w:r>
        <w:rPr>
          <w:spacing w:val="61"/>
          <w:w w:val="95"/>
        </w:rPr>
      </w:r>
      <w:r>
        <w:rPr>
          <w:w w:val="95"/>
        </w:rPr>
        <w:t>属于衍生工具，但是，被指定且为有效套期工具的衍生工具、符合财务担保合同的衍生工具除外。交易性</w:t>
      </w:r>
      <w:r>
        <w:rPr>
          <w:spacing w:val="41"/>
          <w:w w:val="95"/>
        </w:rPr>
        <w:t> </w:t>
      </w:r>
      <w:r>
        <w:rPr>
          <w:spacing w:val="41"/>
          <w:w w:val="95"/>
        </w:rPr>
      </w:r>
      <w:r>
        <w:rPr>
          <w:w w:val="99"/>
        </w:rPr>
        <w:t>金融负债（含属于金融负债的衍生工具），按照公允价值进行后续计量，除与套期会计有关外，所有公允</w:t>
      </w:r>
      <w:r>
        <w:rPr>
          <w:spacing w:val="-97"/>
          <w:w w:val="99"/>
        </w:rPr>
        <w:t> </w:t>
      </w:r>
      <w:r>
        <w:rPr>
          <w:spacing w:val="-97"/>
          <w:w w:val="99"/>
        </w:rPr>
      </w:r>
      <w:r>
        <w:rPr/>
        <w:t>价值变动均计入当期损益。</w:t>
      </w:r>
    </w:p>
    <w:p>
      <w:pPr>
        <w:pStyle w:val="BodyText"/>
        <w:spacing w:line="273" w:lineRule="auto"/>
        <w:ind w:right="1135" w:firstLine="420"/>
        <w:jc w:val="both"/>
      </w:pPr>
      <w:r>
        <w:rPr>
          <w:w w:val="95"/>
        </w:rPr>
        <w:t>在初始确认时，为了提供更相关的会计信息，本公司将满足下列条件之一的金融负债不可撤销地指定</w:t>
      </w:r>
      <w:r>
        <w:rPr>
          <w:w w:val="99"/>
        </w:rPr>
        <w:t> </w:t>
      </w:r>
      <w:r>
        <w:rPr/>
        <w:t>为以公允价值计量且其变动计入当期损益的金融负债：</w:t>
      </w:r>
    </w:p>
    <w:p>
      <w:pPr>
        <w:pStyle w:val="BodyText"/>
        <w:spacing w:line="240" w:lineRule="auto"/>
        <w:ind w:left="532" w:right="2127"/>
        <w:jc w:val="left"/>
      </w:pPr>
      <w:r>
        <w:rPr/>
        <w:t>①能够消除或显著减少会计错配。</w:t>
      </w:r>
    </w:p>
    <w:p>
      <w:pPr>
        <w:pStyle w:val="BodyText"/>
        <w:spacing w:line="273" w:lineRule="auto" w:before="37"/>
        <w:ind w:right="1135" w:firstLine="420"/>
        <w:jc w:val="both"/>
      </w:pPr>
      <w:r>
        <w:rPr>
          <w:w w:val="95"/>
        </w:rPr>
        <w:t>②根据正式书面文件载明的企业风险管理或投资策略，以公允价值为基础对金融负债组合或金融资产</w:t>
      </w:r>
      <w:r>
        <w:rPr>
          <w:w w:val="99"/>
        </w:rPr>
        <w:t> </w:t>
      </w:r>
      <w:r>
        <w:rPr/>
        <w:t>和金融负债组合进行管理和业绩评价，并在企业内部以此为基础向关键管理人员报告。</w:t>
      </w:r>
    </w:p>
    <w:p>
      <w:pPr>
        <w:pStyle w:val="BodyText"/>
        <w:spacing w:line="273" w:lineRule="auto"/>
        <w:ind w:right="1132" w:firstLine="420"/>
        <w:jc w:val="both"/>
      </w:pPr>
      <w:r>
        <w:rPr>
          <w:w w:val="95"/>
        </w:rPr>
        <w:t>本公司对此类金融负债采用公允价值进行后续计量，除由本公司自身信用风险变动引起的公允价值变</w:t>
      </w:r>
      <w:r>
        <w:rPr>
          <w:w w:val="99"/>
        </w:rPr>
        <w:t> </w:t>
      </w:r>
      <w:r>
        <w:rPr>
          <w:w w:val="95"/>
        </w:rPr>
        <w:t>动计入其他综合收益之外，其他公允价值变动计入当期损益。除非由本公司自身信用风险变动引起的公允</w:t>
      </w:r>
      <w:r>
        <w:rPr>
          <w:spacing w:val="40"/>
          <w:w w:val="95"/>
        </w:rPr>
        <w:t> </w:t>
      </w:r>
      <w:r>
        <w:rPr>
          <w:spacing w:val="40"/>
          <w:w w:val="95"/>
        </w:rPr>
      </w:r>
      <w:r>
        <w:rPr>
          <w:w w:val="95"/>
        </w:rPr>
        <w:t>价值变动计入其他综合收益会造成或扩大损益中的会计错配，本公司将所有公允价值变动（包括自身信用</w:t>
      </w:r>
      <w:r>
        <w:rPr>
          <w:spacing w:val="36"/>
          <w:w w:val="95"/>
        </w:rPr>
        <w:t> </w:t>
      </w:r>
      <w:r>
        <w:rPr>
          <w:spacing w:val="36"/>
          <w:w w:val="95"/>
        </w:rPr>
      </w:r>
      <w:r>
        <w:rPr/>
        <w:t>风险变动的影响金额）计入当期损益。</w:t>
      </w:r>
    </w:p>
    <w:p>
      <w:pPr>
        <w:pStyle w:val="BodyText"/>
        <w:spacing w:line="273" w:lineRule="auto"/>
        <w:ind w:left="532" w:right="1019" w:firstLine="105"/>
        <w:jc w:val="left"/>
      </w:pPr>
      <w:r>
        <w:rPr/>
        <w:t>2）其他金融负债</w:t>
      </w:r>
      <w:r>
        <w:rPr>
          <w:w w:val="99"/>
        </w:rPr>
        <w:t> </w:t>
      </w:r>
      <w:r>
        <w:rPr>
          <w:spacing w:val="-3"/>
        </w:rPr>
        <w:t>除下列各项外，公司将金融负债分类为以摊余成本计量的金融负债，对此类金融负债采用实际利率法，</w:t>
      </w:r>
    </w:p>
    <w:p>
      <w:pPr>
        <w:pStyle w:val="BodyText"/>
        <w:spacing w:line="240" w:lineRule="auto" w:before="8"/>
        <w:ind w:right="0"/>
        <w:jc w:val="both"/>
      </w:pPr>
      <w:r>
        <w:rPr/>
        <w:t>按照摊余成本进行后续计量，终止确认或摊销产生的利得或损失计入当期损益：</w:t>
      </w:r>
    </w:p>
    <w:p>
      <w:pPr>
        <w:pStyle w:val="BodyText"/>
        <w:spacing w:line="240" w:lineRule="auto" w:before="37"/>
        <w:ind w:left="532" w:right="2127"/>
        <w:jc w:val="left"/>
      </w:pPr>
      <w:r>
        <w:rPr/>
        <w:t>①以公允价值计量且其变动计入当期损益的金融负债。</w:t>
      </w:r>
    </w:p>
    <w:p>
      <w:pPr>
        <w:pStyle w:val="BodyText"/>
        <w:spacing w:line="240" w:lineRule="auto" w:before="37"/>
        <w:ind w:left="532" w:right="2127"/>
        <w:jc w:val="left"/>
      </w:pPr>
      <w:r>
        <w:rPr/>
        <w:t>②金融资产转移不符合终止确认条件或继续涉入被转移金融资产所形成的金融负债。</w:t>
      </w:r>
    </w:p>
    <w:p>
      <w:pPr>
        <w:pStyle w:val="BodyText"/>
        <w:spacing w:line="256" w:lineRule="auto" w:before="37"/>
        <w:ind w:right="1132" w:firstLine="420"/>
        <w:jc w:val="both"/>
      </w:pPr>
      <w:r>
        <w:rPr>
          <w:spacing w:val="2"/>
          <w:w w:val="95"/>
        </w:rPr>
        <w:t>③不属于本条前两类情形的财务担保合同，以及不属于本条第</w:t>
      </w:r>
      <w:r>
        <w:rPr>
          <w:rFonts w:ascii="Times New Roman" w:hAnsi="Times New Roman" w:cs="Times New Roman" w:eastAsia="Times New Roman" w:hint="default"/>
          <w:spacing w:val="2"/>
          <w:w w:val="95"/>
        </w:rPr>
        <w:t>1</w:t>
      </w:r>
      <w:r>
        <w:rPr>
          <w:spacing w:val="2"/>
          <w:w w:val="95"/>
        </w:rPr>
        <w:t>）类情形的以低于市场利率贷款的贷</w:t>
      </w:r>
      <w:r>
        <w:rPr>
          <w:spacing w:val="-82"/>
          <w:w w:val="95"/>
        </w:rPr>
        <w:t> </w:t>
      </w:r>
      <w:r>
        <w:rPr>
          <w:spacing w:val="-82"/>
          <w:w w:val="95"/>
        </w:rPr>
      </w:r>
      <w:r>
        <w:rPr/>
        <w:t>款承诺。</w:t>
      </w:r>
    </w:p>
    <w:p>
      <w:pPr>
        <w:pStyle w:val="BodyText"/>
        <w:spacing w:line="273" w:lineRule="auto" w:before="22"/>
        <w:ind w:right="1132" w:firstLine="420"/>
        <w:jc w:val="both"/>
      </w:pPr>
      <w:r>
        <w:rPr>
          <w:w w:val="95"/>
        </w:rPr>
        <w:t>财务担保合同是指当特定债务人到期不能按照最初或修改后的债务工具条款偿付债务时，要求发行方</w:t>
      </w:r>
      <w:r>
        <w:rPr>
          <w:w w:val="99"/>
        </w:rPr>
        <w:t> </w:t>
      </w:r>
      <w:r>
        <w:rPr>
          <w:w w:val="95"/>
        </w:rPr>
        <w:t>向蒙受损失的合同持有人赔付特定金额的合同。不属于指定为以公允价值计量且其变动计入当期损益的金</w:t>
      </w:r>
      <w:r>
        <w:rPr>
          <w:spacing w:val="39"/>
          <w:w w:val="95"/>
        </w:rPr>
        <w:t> </w:t>
      </w:r>
      <w:r>
        <w:rPr>
          <w:spacing w:val="39"/>
          <w:w w:val="95"/>
        </w:rPr>
      </w:r>
      <w:r>
        <w:rPr>
          <w:w w:val="95"/>
        </w:rPr>
        <w:t>融负债的财务担保合同，在初始确认后按照损失准备金额以及初始确认金额扣除担保期内的累计摊销额后</w:t>
      </w:r>
      <w:r>
        <w:rPr>
          <w:spacing w:val="39"/>
          <w:w w:val="95"/>
        </w:rPr>
        <w:t> </w:t>
      </w:r>
      <w:r>
        <w:rPr>
          <w:spacing w:val="39"/>
          <w:w w:val="95"/>
        </w:rPr>
      </w:r>
      <w:r>
        <w:rPr/>
        <w:t>的余额孰高进行计量。</w:t>
      </w:r>
    </w:p>
    <w:p>
      <w:pPr>
        <w:spacing w:line="273" w:lineRule="auto" w:before="127"/>
        <w:ind w:left="638" w:right="0" w:hanging="104"/>
        <w:jc w:val="left"/>
        <w:rPr>
          <w:rFonts w:ascii="宋体" w:hAnsi="宋体" w:cs="宋体" w:eastAsia="宋体" w:hint="default"/>
          <w:sz w:val="21"/>
          <w:szCs w:val="21"/>
        </w:rPr>
      </w:pPr>
      <w:r>
        <w:rPr>
          <w:rFonts w:ascii="宋体" w:hAnsi="宋体" w:cs="宋体" w:eastAsia="宋体" w:hint="default"/>
          <w:b/>
          <w:bCs/>
          <w:sz w:val="21"/>
          <w:szCs w:val="21"/>
        </w:rPr>
        <w:t>（3）金融资产和金融负债的终止确认</w:t>
      </w:r>
      <w:r>
        <w:rPr>
          <w:rFonts w:ascii="宋体" w:hAnsi="宋体" w:cs="宋体" w:eastAsia="宋体" w:hint="default"/>
          <w:b/>
          <w:bCs/>
          <w:w w:val="99"/>
          <w:sz w:val="21"/>
          <w:szCs w:val="21"/>
        </w:rPr>
        <w:t> </w:t>
      </w:r>
      <w:r>
        <w:rPr>
          <w:rFonts w:ascii="宋体" w:hAnsi="宋体" w:cs="宋体" w:eastAsia="宋体" w:hint="default"/>
          <w:w w:val="95"/>
          <w:sz w:val="21"/>
          <w:szCs w:val="21"/>
        </w:rPr>
        <w:t>1）金融资产满足下列条件之一的，终止确认金融资产，即从其账户和资产负债表内予以转销：</w:t>
      </w:r>
      <w:r>
        <w:rPr>
          <w:rFonts w:ascii="宋体" w:hAnsi="宋体" w:cs="宋体" w:eastAsia="宋体" w:hint="default"/>
          <w:sz w:val="21"/>
          <w:szCs w:val="21"/>
        </w:rPr>
      </w:r>
    </w:p>
    <w:p>
      <w:pPr>
        <w:pStyle w:val="BodyText"/>
        <w:spacing w:line="240" w:lineRule="auto" w:before="8"/>
        <w:ind w:left="532" w:right="2127"/>
        <w:jc w:val="left"/>
      </w:pPr>
      <w:r>
        <w:rPr/>
        <w:t>①收取该金融资产现金流量的合同权利终止。</w:t>
      </w:r>
    </w:p>
    <w:p>
      <w:pPr>
        <w:pStyle w:val="BodyText"/>
        <w:spacing w:line="273" w:lineRule="auto" w:before="37"/>
        <w:ind w:left="638" w:right="4454" w:hanging="106"/>
        <w:jc w:val="left"/>
      </w:pPr>
      <w:r>
        <w:rPr/>
        <w:t>②该金融资产已转移，且该转移满足金融资产终止确认的规定。</w:t>
      </w:r>
      <w:r>
        <w:rPr>
          <w:w w:val="99"/>
        </w:rPr>
        <w:t> </w:t>
      </w:r>
      <w:r>
        <w:rPr/>
        <w:t>2）金融负债终止确认条件</w:t>
      </w:r>
    </w:p>
    <w:p>
      <w:pPr>
        <w:pStyle w:val="BodyText"/>
        <w:spacing w:line="273" w:lineRule="auto"/>
        <w:ind w:left="532" w:right="0"/>
        <w:jc w:val="left"/>
      </w:pPr>
      <w:r>
        <w:rPr>
          <w:spacing w:val="-2"/>
          <w:w w:val="99"/>
        </w:rPr>
        <w:t>金融负债（或其一部分）的现时义务已经解除的，则终止确认该金融负债（或该部分金融负债）。</w:t>
      </w:r>
      <w:r>
        <w:rPr>
          <w:spacing w:val="-101"/>
          <w:w w:val="99"/>
        </w:rPr>
        <w:t> </w:t>
      </w:r>
      <w:r>
        <w:rPr>
          <w:spacing w:val="-101"/>
          <w:w w:val="99"/>
        </w:rPr>
      </w:r>
      <w:r>
        <w:rPr>
          <w:w w:val="95"/>
        </w:rPr>
        <w:t>本公司与借出方之间签订协议，以承担新金融负债方式替换原金融负债，且新金融负债与原金融负债</w:t>
      </w:r>
      <w:r>
        <w:rPr/>
      </w:r>
    </w:p>
    <w:p>
      <w:pPr>
        <w:pStyle w:val="BodyText"/>
        <w:spacing w:line="273" w:lineRule="auto" w:before="8"/>
        <w:ind w:right="1130"/>
        <w:jc w:val="both"/>
      </w:pPr>
      <w:r>
        <w:rPr>
          <w:w w:val="95"/>
        </w:rPr>
        <w:t>的合同条款实质上不同的，或对原金融负债（或其一部分）的合同条款做出实质性修改的，则终止确认原</w:t>
      </w:r>
      <w:r>
        <w:rPr>
          <w:spacing w:val="44"/>
          <w:w w:val="95"/>
        </w:rPr>
        <w:t> </w:t>
      </w:r>
      <w:r>
        <w:rPr>
          <w:spacing w:val="44"/>
          <w:w w:val="95"/>
        </w:rPr>
      </w:r>
      <w:r>
        <w:rPr>
          <w:w w:val="95"/>
        </w:rPr>
        <w:t>金融负债，同时确认一项新金融负债，账面价值与支付的对价（包括转出的非现金资产或承担的负债）之</w:t>
      </w:r>
      <w:r>
        <w:rPr>
          <w:spacing w:val="43"/>
          <w:w w:val="95"/>
        </w:rPr>
        <w:t> </w:t>
      </w:r>
      <w:r>
        <w:rPr>
          <w:spacing w:val="43"/>
          <w:w w:val="95"/>
        </w:rPr>
      </w:r>
      <w:r>
        <w:rPr/>
        <w:t>间的差额，计入当期损益。</w:t>
      </w:r>
    </w:p>
    <w:p>
      <w:pPr>
        <w:pStyle w:val="BodyText"/>
        <w:spacing w:line="273" w:lineRule="auto"/>
        <w:ind w:right="1130" w:firstLine="420"/>
        <w:jc w:val="both"/>
      </w:pPr>
      <w:r>
        <w:rPr>
          <w:w w:val="95"/>
        </w:rPr>
        <w:t>本公司回购金融负债一部分的，按照继续确认部分和终止确认部分在回购日各自的公允价值占整体公</w:t>
      </w:r>
      <w:r>
        <w:rPr>
          <w:w w:val="99"/>
        </w:rPr>
        <w:t> </w:t>
      </w:r>
      <w:r>
        <w:rPr>
          <w:spacing w:val="-5"/>
        </w:rPr>
        <w:t>允价值的比例，对该金融负债整体的账面价值进行分配。分配给终止确认部分的账面价值与支付的对价（包</w:t>
      </w:r>
      <w:r>
        <w:rPr>
          <w:w w:val="99"/>
        </w:rPr>
        <w:t> </w:t>
      </w:r>
      <w:r>
        <w:rPr/>
        <w:t>括转出的非现金资产或承担的负债）之间的差额，应当计入当期损益。</w:t>
      </w:r>
    </w:p>
    <w:p>
      <w:pPr>
        <w:spacing w:after="0" w:line="273"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spacing w:line="273" w:lineRule="auto" w:before="34"/>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（4）金融资产转移的确认依据和计量方法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本公司在发生金融资产转移时，评估其保留金融资产所有权上的风险和报酬的程度，并分别下列情形</w:t>
      </w:r>
      <w:r>
        <w:rPr>
          <w:rFonts w:ascii="宋体" w:hAnsi="宋体" w:cs="宋体" w:eastAsia="宋体" w:hint="default"/>
          <w:sz w:val="21"/>
          <w:szCs w:val="21"/>
        </w:rPr>
      </w:r>
    </w:p>
    <w:p>
      <w:pPr>
        <w:pStyle w:val="BodyText"/>
        <w:spacing w:line="273" w:lineRule="auto"/>
        <w:ind w:right="1120"/>
        <w:jc w:val="left"/>
      </w:pPr>
      <w:r>
        <w:rPr/>
        <w:t>处理：</w:t>
      </w:r>
      <w:r>
        <w:rPr>
          <w:w w:val="99"/>
        </w:rPr>
        <w:t> </w:t>
      </w:r>
      <w:r>
        <w:rPr/>
        <w:t>1）转移了金融资产所有权上几乎所有风险和报酬的，则终止确认该金融资产，并将转移中产生或保留的</w:t>
      </w:r>
      <w:r>
        <w:rPr>
          <w:spacing w:val="-101"/>
        </w:rPr>
        <w:t> </w:t>
      </w:r>
      <w:r>
        <w:rPr>
          <w:spacing w:val="-101"/>
        </w:rPr>
      </w:r>
      <w:r>
        <w:rPr/>
        <w:t>权利和义务单独确认为资产或负债。</w:t>
      </w:r>
      <w:r>
        <w:rPr>
          <w:w w:val="99"/>
        </w:rPr>
        <w:t> </w:t>
      </w:r>
      <w:r>
        <w:rPr/>
        <w:t>2）保留了金融资产所有权上几乎所有风险和报酬的，则继续确认该金融资产。</w:t>
      </w:r>
    </w:p>
    <w:p>
      <w:pPr>
        <w:pStyle w:val="BodyText"/>
        <w:spacing w:line="256" w:lineRule="auto"/>
        <w:ind w:right="0" w:firstLine="60"/>
        <w:jc w:val="left"/>
      </w:pPr>
      <w:r>
        <w:rPr>
          <w:spacing w:val="-6"/>
          <w:w w:val="99"/>
        </w:rPr>
        <w:t>3）既没有转移也没有保留金融资产所有权上几乎所有风险和报酬的（即除本条</w:t>
      </w:r>
      <w:r>
        <w:rPr>
          <w:rFonts w:ascii="Times New Roman" w:hAnsi="Times New Roman" w:cs="Times New Roman" w:eastAsia="Times New Roman" w:hint="default"/>
          <w:spacing w:val="-6"/>
          <w:w w:val="99"/>
        </w:rPr>
        <w:t>1</w:t>
      </w:r>
      <w:r>
        <w:rPr>
          <w:spacing w:val="-6"/>
          <w:w w:val="99"/>
        </w:rPr>
        <w:t>）、</w:t>
      </w:r>
      <w:r>
        <w:rPr>
          <w:rFonts w:ascii="Times New Roman" w:hAnsi="Times New Roman" w:cs="Times New Roman" w:eastAsia="Times New Roman" w:hint="default"/>
          <w:spacing w:val="-6"/>
          <w:w w:val="99"/>
        </w:rPr>
        <w:t>2</w:t>
      </w:r>
      <w:r>
        <w:rPr>
          <w:spacing w:val="-6"/>
          <w:w w:val="99"/>
        </w:rPr>
        <w:t>）之外的其他情形），</w:t>
      </w:r>
      <w:r>
        <w:rPr>
          <w:w w:val="99"/>
        </w:rPr>
        <w:t> </w:t>
      </w:r>
      <w:r>
        <w:rPr/>
        <w:t>则根据其是否保留了对金融资产的控制，分别下列情形处理：</w:t>
      </w:r>
    </w:p>
    <w:p>
      <w:pPr>
        <w:pStyle w:val="BodyText"/>
        <w:spacing w:line="273" w:lineRule="auto" w:before="22"/>
        <w:ind w:right="0" w:firstLine="420"/>
        <w:jc w:val="left"/>
      </w:pPr>
      <w:r>
        <w:rPr>
          <w:w w:val="95"/>
        </w:rPr>
        <w:t>①未保留对该金融资产控制的，则终止确认该金融资产，并将转移中产生或保留的权利和义务单独确</w:t>
      </w:r>
      <w:r>
        <w:rPr>
          <w:w w:val="99"/>
        </w:rPr>
        <w:t> </w:t>
      </w:r>
      <w:r>
        <w:rPr/>
        <w:t>认为资产或负债。</w:t>
      </w:r>
    </w:p>
    <w:p>
      <w:pPr>
        <w:pStyle w:val="BodyText"/>
        <w:spacing w:line="273" w:lineRule="auto"/>
        <w:ind w:right="1132" w:firstLine="420"/>
        <w:jc w:val="both"/>
      </w:pPr>
      <w:r>
        <w:rPr>
          <w:w w:val="95"/>
        </w:rPr>
        <w:t>②保留了对该金融资产控制的，则按照其继续涉入被转移金融资产的程度继续确认有关金融资产，并</w:t>
      </w:r>
      <w:r>
        <w:rPr>
          <w:w w:val="99"/>
        </w:rPr>
        <w:t> </w:t>
      </w:r>
      <w:r>
        <w:rPr>
          <w:w w:val="95"/>
        </w:rPr>
        <w:t>相应确认相关负债。继续涉入被转移金融资产的程度，是指本公司承担的被转移金融资产价值变动风险或</w:t>
      </w:r>
      <w:r>
        <w:rPr>
          <w:spacing w:val="37"/>
          <w:w w:val="95"/>
        </w:rPr>
        <w:t> </w:t>
      </w:r>
      <w:r>
        <w:rPr>
          <w:spacing w:val="37"/>
          <w:w w:val="95"/>
        </w:rPr>
      </w:r>
      <w:r>
        <w:rPr/>
        <w:t>报酬的程度。</w:t>
      </w:r>
    </w:p>
    <w:p>
      <w:pPr>
        <w:pStyle w:val="BodyText"/>
        <w:spacing w:line="273" w:lineRule="auto"/>
        <w:ind w:right="0" w:firstLine="420"/>
        <w:jc w:val="left"/>
      </w:pPr>
      <w:r>
        <w:rPr>
          <w:w w:val="95"/>
        </w:rPr>
        <w:t>在判断金融资产转移是否满足上述金融资产终止确认条件时，采用实质重于形式的原则。公司将金融</w:t>
      </w:r>
      <w:r>
        <w:rPr>
          <w:w w:val="99"/>
        </w:rPr>
        <w:t> </w:t>
      </w:r>
      <w:r>
        <w:rPr/>
        <w:t>资产转移区分为金融资产整体转移和部分转移。</w:t>
      </w:r>
    </w:p>
    <w:p>
      <w:pPr>
        <w:pStyle w:val="BodyText"/>
        <w:spacing w:line="240" w:lineRule="auto"/>
        <w:ind w:left="532" w:right="2127"/>
        <w:jc w:val="left"/>
      </w:pPr>
      <w:r>
        <w:rPr/>
        <w:t>1）金融资产整体转移满足终止确认条件的，将下列两项金额的差额计入当期损益：</w:t>
      </w:r>
    </w:p>
    <w:p>
      <w:pPr>
        <w:pStyle w:val="BodyText"/>
        <w:spacing w:line="240" w:lineRule="auto" w:before="37"/>
        <w:ind w:left="532" w:right="2127"/>
        <w:jc w:val="left"/>
      </w:pPr>
      <w:r>
        <w:rPr/>
        <w:t>①被转移金融资产在终止确认日的账面价值。</w:t>
      </w:r>
    </w:p>
    <w:p>
      <w:pPr>
        <w:pStyle w:val="BodyText"/>
        <w:spacing w:line="273" w:lineRule="auto" w:before="37"/>
        <w:ind w:right="0" w:firstLine="420"/>
        <w:jc w:val="left"/>
      </w:pPr>
      <w:r>
        <w:rPr>
          <w:w w:val="95"/>
        </w:rPr>
        <w:t>②因转移金融资产而收到的对价，与原直接计入其他综合收益的公允价值变动累计额中对应终止确认</w:t>
      </w:r>
      <w:r>
        <w:rPr>
          <w:w w:val="99"/>
        </w:rPr>
        <w:t> </w:t>
      </w:r>
      <w:r>
        <w:rPr/>
        <w:t>部分的金额（涉及转移的金融资产为以公允价值计量且其变动计入其他综合收益的金融资产）之和。</w:t>
      </w:r>
    </w:p>
    <w:p>
      <w:pPr>
        <w:pStyle w:val="BodyText"/>
        <w:spacing w:line="273" w:lineRule="auto"/>
        <w:ind w:right="1028" w:firstLine="420"/>
        <w:jc w:val="both"/>
      </w:pPr>
      <w:r>
        <w:rPr>
          <w:w w:val="95"/>
        </w:rPr>
        <w:t>2）金融资产部分转移且该被转移部分整体满足终止确认条件的，将转移前金融资产整体的账面价值，</w:t>
      </w:r>
      <w:r>
        <w:rPr>
          <w:spacing w:val="-95"/>
          <w:w w:val="95"/>
        </w:rPr>
        <w:t> </w:t>
      </w:r>
      <w:r>
        <w:rPr>
          <w:spacing w:val="-95"/>
          <w:w w:val="95"/>
        </w:rPr>
      </w:r>
      <w:r>
        <w:rPr>
          <w:spacing w:val="-3"/>
        </w:rPr>
        <w:t>在终止确认部分和继续确认部分（在此种情形下，所保留的服务资产应当视同继续确认金融资产的一部分）</w:t>
      </w:r>
      <w:r>
        <w:rPr>
          <w:w w:val="99"/>
        </w:rPr>
        <w:t> </w:t>
      </w:r>
      <w:r>
        <w:rPr/>
        <w:t>之间，按照转移日各自的相对公允价值进行分摊，并将下列两项金额的差额计入当期损益：</w:t>
      </w:r>
    </w:p>
    <w:p>
      <w:pPr>
        <w:pStyle w:val="BodyText"/>
        <w:spacing w:line="240" w:lineRule="auto" w:before="8"/>
        <w:ind w:left="532" w:right="2127"/>
        <w:jc w:val="left"/>
      </w:pPr>
      <w:r>
        <w:rPr/>
        <w:t>①终止确认部分在终止确认日的账面价值。</w:t>
      </w:r>
    </w:p>
    <w:p>
      <w:pPr>
        <w:pStyle w:val="BodyText"/>
        <w:spacing w:line="273" w:lineRule="auto" w:before="37"/>
        <w:ind w:right="0" w:firstLine="420"/>
        <w:jc w:val="left"/>
      </w:pPr>
      <w:r>
        <w:rPr>
          <w:w w:val="95"/>
        </w:rPr>
        <w:t>②终止确认部分收到的对价，与原计入其他综合收益的公允价值变动累计额中对应终止确认部分的金</w:t>
      </w:r>
      <w:r>
        <w:rPr>
          <w:w w:val="99"/>
        </w:rPr>
        <w:t> </w:t>
      </w:r>
      <w:r>
        <w:rPr/>
        <w:t>额（涉及转移的金融资产为以公允价值计量且其变动计入其他综合收益的金融资产）之和。</w:t>
      </w:r>
    </w:p>
    <w:p>
      <w:pPr>
        <w:pStyle w:val="BodyText"/>
        <w:spacing w:line="240" w:lineRule="auto"/>
        <w:ind w:left="532" w:right="0"/>
        <w:jc w:val="left"/>
      </w:pPr>
      <w:r>
        <w:rPr/>
        <w:t>金融资产转移不满足终止确认条件的，继续确认该金融资产，所收到的对价确认为一项金融负债。</w:t>
      </w:r>
    </w:p>
    <w:p>
      <w:pPr>
        <w:spacing w:line="273" w:lineRule="auto" w:before="3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（5）金融资产和金融负债公允价值的确定方法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存在活跃市场的金融资产或金融负债，以活跃市场的报价确定其公允价值，除非该项金融资产存在针</w:t>
      </w:r>
      <w:r>
        <w:rPr>
          <w:rFonts w:ascii="宋体" w:hAnsi="宋体" w:cs="宋体" w:eastAsia="宋体" w:hint="default"/>
          <w:sz w:val="21"/>
          <w:szCs w:val="21"/>
        </w:rPr>
      </w:r>
    </w:p>
    <w:p>
      <w:pPr>
        <w:pStyle w:val="BodyText"/>
        <w:spacing w:line="273" w:lineRule="auto"/>
        <w:ind w:right="1025"/>
        <w:jc w:val="left"/>
      </w:pPr>
      <w:r>
        <w:rPr/>
        <w:t>对资产本身的限售期。对于针对资产本身的限售的金融资产，按照活跃市场的报价扣除市场参与者因承担</w:t>
      </w:r>
      <w:r>
        <w:rPr>
          <w:w w:val="99"/>
        </w:rPr>
        <w:t> </w:t>
      </w:r>
      <w:r>
        <w:rPr/>
        <w:t>指定期间内无法在公开市场上出售该金融资产的风险而要求获得的补偿金额后确定。活跃市场的报价包括</w:t>
      </w:r>
      <w:r>
        <w:rPr>
          <w:w w:val="99"/>
        </w:rPr>
        <w:t> </w:t>
      </w:r>
      <w:r>
        <w:rPr>
          <w:spacing w:val="-3"/>
        </w:rPr>
        <w:t>易于且可定期从交易所、交易商、经纪人、行业集团、定价机构或监管机构等获得相关资产或负债的报价，</w:t>
      </w:r>
      <w:r>
        <w:rPr>
          <w:w w:val="99"/>
        </w:rPr>
        <w:t> </w:t>
      </w:r>
      <w:r>
        <w:rPr/>
        <w:t>且能代表在公平交易基础上实际并经常发生的市场交易。</w:t>
      </w:r>
    </w:p>
    <w:p>
      <w:pPr>
        <w:pStyle w:val="BodyText"/>
        <w:spacing w:line="273" w:lineRule="auto"/>
        <w:ind w:left="532" w:right="0"/>
        <w:jc w:val="left"/>
      </w:pPr>
      <w:r>
        <w:rPr/>
        <w:t>初始取得或衍生的金融资产或承担的金融负债，以市场交易价格作为确定其公允价值的基础。</w:t>
      </w:r>
      <w:r>
        <w:rPr>
          <w:w w:val="99"/>
        </w:rPr>
        <w:t> </w:t>
      </w:r>
      <w:r>
        <w:rPr>
          <w:w w:val="95"/>
        </w:rPr>
        <w:t>不存在活跃市场的金融资产或金融负债，采用估值技术确定其公允价值。在估值时，本公司采用在当</w:t>
      </w:r>
      <w:r>
        <w:rPr/>
      </w:r>
    </w:p>
    <w:p>
      <w:pPr>
        <w:pStyle w:val="BodyText"/>
        <w:spacing w:line="273" w:lineRule="auto"/>
        <w:ind w:right="1132"/>
        <w:jc w:val="both"/>
      </w:pPr>
      <w:r>
        <w:rPr>
          <w:w w:val="95"/>
        </w:rPr>
        <w:t>前情况下适用并且有足够可利用数据和其他信息支持的估值技术，选择与市场参与者在相关资产或负债的</w:t>
      </w:r>
      <w:r>
        <w:rPr>
          <w:spacing w:val="39"/>
          <w:w w:val="95"/>
        </w:rPr>
        <w:t> </w:t>
      </w:r>
      <w:r>
        <w:rPr>
          <w:spacing w:val="39"/>
          <w:w w:val="95"/>
        </w:rPr>
      </w:r>
      <w:r>
        <w:rPr>
          <w:w w:val="95"/>
        </w:rPr>
        <w:t>交易中所考虑的资产或负债特征相一致的输入值，并尽可能优先使用相关可观察输入值。在相关可观察输</w:t>
      </w:r>
      <w:r>
        <w:rPr>
          <w:spacing w:val="40"/>
          <w:w w:val="95"/>
        </w:rPr>
        <w:t> </w:t>
      </w:r>
      <w:r>
        <w:rPr>
          <w:spacing w:val="40"/>
          <w:w w:val="95"/>
        </w:rPr>
      </w:r>
      <w:r>
        <w:rPr/>
        <w:t>入值无法取得或取得不切实可行的情况下，使用不可观察输入值。</w:t>
      </w:r>
    </w:p>
    <w:p>
      <w:pPr>
        <w:pStyle w:val="BodyText"/>
        <w:spacing w:line="273" w:lineRule="auto"/>
        <w:ind w:left="532" w:right="0" w:firstLine="2"/>
        <w:jc w:val="left"/>
      </w:pPr>
      <w:r>
        <w:rPr>
          <w:rFonts w:ascii="宋体" w:hAnsi="宋体" w:cs="宋体" w:eastAsia="宋体" w:hint="default"/>
          <w:b/>
          <w:bCs/>
        </w:rPr>
        <w:t>（6）金融工具减值</w:t>
      </w:r>
      <w:r>
        <w:rPr>
          <w:rFonts w:ascii="宋体" w:hAnsi="宋体" w:cs="宋体" w:eastAsia="宋体" w:hint="default"/>
          <w:b/>
          <w:bCs/>
          <w:w w:val="99"/>
        </w:rPr>
        <w:t> </w:t>
      </w:r>
      <w:r>
        <w:rPr>
          <w:w w:val="95"/>
        </w:rPr>
        <w:t>本公司以预期信用损失为基础，对分类为以摊余成本计量的金融资产、分类为以公允价值计量且其变</w:t>
      </w:r>
      <w:r>
        <w:rPr/>
      </w:r>
    </w:p>
    <w:p>
      <w:pPr>
        <w:pStyle w:val="BodyText"/>
        <w:spacing w:line="273" w:lineRule="auto"/>
        <w:ind w:left="532" w:right="0" w:hanging="420"/>
        <w:jc w:val="left"/>
      </w:pPr>
      <w:r>
        <w:rPr/>
        <w:t>动计入其他综合收益的金融资产以及财务担保合同，进行减值会计处理并确认损失准备。</w:t>
      </w:r>
      <w:r>
        <w:rPr>
          <w:w w:val="99"/>
        </w:rPr>
        <w:t> </w:t>
      </w:r>
      <w:r>
        <w:rPr>
          <w:w w:val="95"/>
        </w:rPr>
        <w:t>预期信用损失，是指以发生违约的风险为权重的金融工具信用损失的加权平均值。信用损失，是指本</w:t>
      </w:r>
      <w:r>
        <w:rPr/>
      </w:r>
    </w:p>
    <w:p>
      <w:pPr>
        <w:pStyle w:val="BodyText"/>
        <w:spacing w:line="273" w:lineRule="auto"/>
        <w:ind w:right="1112"/>
        <w:jc w:val="both"/>
      </w:pPr>
      <w:r>
        <w:rPr>
          <w:w w:val="95"/>
        </w:rPr>
        <w:t>公司按照原实际利率折现的、根据合同应收的所有合同现金流量与预期收取的所有现金流量之间的差额，</w:t>
      </w:r>
      <w:r>
        <w:rPr>
          <w:spacing w:val="61"/>
          <w:w w:val="95"/>
        </w:rPr>
        <w:t> </w:t>
      </w:r>
      <w:r>
        <w:rPr>
          <w:spacing w:val="61"/>
          <w:w w:val="95"/>
        </w:rPr>
      </w:r>
      <w:r>
        <w:rPr>
          <w:w w:val="95"/>
        </w:rPr>
        <w:t>即全部现金短缺的现值。其中，对于本公司购买或源生的已发生信用减值的金融资产，应按照该金融资产</w:t>
      </w:r>
      <w:r>
        <w:rPr>
          <w:spacing w:val="43"/>
          <w:w w:val="95"/>
        </w:rPr>
        <w:t> </w:t>
      </w:r>
      <w:r>
        <w:rPr>
          <w:spacing w:val="43"/>
          <w:w w:val="95"/>
        </w:rPr>
      </w:r>
      <w:r>
        <w:rPr/>
        <w:t>经信用调整的实际利率折现。</w:t>
      </w:r>
    </w:p>
    <w:p>
      <w:pPr>
        <w:spacing w:after="0" w:line="273"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1132" w:firstLine="420"/>
        <w:jc w:val="both"/>
      </w:pPr>
      <w:r>
        <w:rPr>
          <w:w w:val="95"/>
        </w:rPr>
        <w:t>对由收入准则规范的交易形成的应收款项，本公司运用简化计量方法，按照相当于整个存续期内预期</w:t>
      </w:r>
      <w:r>
        <w:rPr>
          <w:w w:val="99"/>
        </w:rPr>
        <w:t> </w:t>
      </w:r>
      <w:r>
        <w:rPr/>
        <w:t>信用损失的金额计量损失准备。</w:t>
      </w:r>
    </w:p>
    <w:p>
      <w:pPr>
        <w:pStyle w:val="BodyText"/>
        <w:spacing w:line="273" w:lineRule="auto"/>
        <w:ind w:right="1132" w:firstLine="420"/>
        <w:jc w:val="both"/>
      </w:pPr>
      <w:r>
        <w:rPr>
          <w:w w:val="95"/>
        </w:rPr>
        <w:t>对于购买或源生的已发生信用减值的金融资产，在资产负债表日仅将自初始确认后整个存续期内预期</w:t>
      </w:r>
      <w:r>
        <w:rPr>
          <w:w w:val="99"/>
        </w:rPr>
        <w:t> </w:t>
      </w:r>
      <w:r>
        <w:rPr>
          <w:w w:val="95"/>
        </w:rPr>
        <w:t>信用损失的累计变动确认为损失准备。在每个资产负债表日，将整个存续期内预期信用损失的变动金额作</w:t>
      </w:r>
      <w:r>
        <w:rPr>
          <w:spacing w:val="40"/>
          <w:w w:val="95"/>
        </w:rPr>
        <w:t> </w:t>
      </w:r>
      <w:r>
        <w:rPr>
          <w:spacing w:val="40"/>
          <w:w w:val="95"/>
        </w:rPr>
      </w:r>
      <w:r>
        <w:rPr>
          <w:w w:val="95"/>
        </w:rPr>
        <w:t>为减值损失或利得计入当期损益。即使该资产负债表日确定的整个存续期内预期信用损失小于初始确认时</w:t>
      </w:r>
      <w:r>
        <w:rPr>
          <w:spacing w:val="39"/>
          <w:w w:val="95"/>
        </w:rPr>
        <w:t> </w:t>
      </w:r>
      <w:r>
        <w:rPr>
          <w:spacing w:val="39"/>
          <w:w w:val="95"/>
        </w:rPr>
      </w:r>
      <w:r>
        <w:rPr/>
        <w:t>估计现金流量所反映的预期信用损失的金额，也将预期信用损失的有利变动确认为减值利得。</w:t>
      </w:r>
    </w:p>
    <w:p>
      <w:pPr>
        <w:pStyle w:val="BodyText"/>
        <w:spacing w:line="271" w:lineRule="auto"/>
        <w:ind w:right="1124" w:firstLine="420"/>
        <w:jc w:val="left"/>
      </w:pPr>
      <w:r>
        <w:rPr>
          <w:w w:val="95"/>
        </w:rPr>
        <w:t>除上述采用简化计量方法和购买或源生的已发生信用减值以外的其他金融资产，本公司在每个资产负</w:t>
      </w:r>
      <w:r>
        <w:rPr>
          <w:w w:val="99"/>
        </w:rPr>
        <w:t> </w:t>
      </w:r>
      <w:r>
        <w:rPr>
          <w:spacing w:val="4"/>
        </w:rPr>
        <w:t>债表日评估相关金融工具的信用风险自初始确认后是否已显著增加，并按照下列情形分别计量其损失准</w:t>
      </w:r>
      <w:r>
        <w:rPr>
          <w:w w:val="99"/>
        </w:rPr>
        <w:t> </w:t>
      </w:r>
      <w:r>
        <w:rPr/>
        <w:t>备、确认预期信用损失及其变动：</w:t>
      </w:r>
      <w:r>
        <w:rPr>
          <w:w w:val="99"/>
        </w:rPr>
        <w:t> </w:t>
      </w:r>
      <w:r>
        <w:rPr/>
        <w:t>1）如果该金融工具的信用风险自初始确认后并未显著增加，处于第一阶段，则按照相当于该金融工具未</w:t>
      </w:r>
      <w:r>
        <w:rPr>
          <w:spacing w:val="-101"/>
        </w:rPr>
        <w:t> </w:t>
      </w:r>
      <w:r>
        <w:rPr>
          <w:spacing w:val="-101"/>
        </w:rPr>
      </w:r>
      <w:r>
        <w:rPr/>
        <w:t>来</w:t>
      </w:r>
      <w:r>
        <w:rPr>
          <w:rFonts w:ascii="Times New Roman" w:hAnsi="Times New Roman" w:cs="Times New Roman" w:eastAsia="Times New Roman" w:hint="default"/>
        </w:rPr>
        <w:t>12</w:t>
      </w:r>
      <w:r>
        <w:rPr/>
        <w:t>个月内预期信用损失的金额计量其损失准备，并按照账面余额和实际利率计算利息收入。</w:t>
      </w:r>
      <w:r>
        <w:rPr>
          <w:w w:val="99"/>
        </w:rPr>
        <w:t> </w:t>
      </w:r>
      <w:r>
        <w:rPr/>
        <w:t>2）如果该金融工具的信用风险自初始确认后已显著增加但尚未发生信用减值的，处于第二阶段，则按照</w:t>
      </w:r>
      <w:r>
        <w:rPr>
          <w:spacing w:val="-101"/>
        </w:rPr>
        <w:t> </w:t>
      </w:r>
      <w:r>
        <w:rPr>
          <w:spacing w:val="-101"/>
        </w:rPr>
      </w:r>
      <w:r>
        <w:rPr>
          <w:w w:val="95"/>
        </w:rPr>
        <w:t>相当于该金融工具整个存续期内预期信用损失的金额计量其损失准备，并按照账面余额和实际利率计算利</w:t>
      </w:r>
      <w:r>
        <w:rPr>
          <w:spacing w:val="39"/>
          <w:w w:val="95"/>
        </w:rPr>
        <w:t> </w:t>
      </w:r>
      <w:r>
        <w:rPr>
          <w:spacing w:val="39"/>
          <w:w w:val="95"/>
        </w:rPr>
      </w:r>
      <w:r>
        <w:rPr/>
        <w:t>息收入。</w:t>
      </w:r>
      <w:r>
        <w:rPr>
          <w:w w:val="99"/>
        </w:rPr>
        <w:t> </w:t>
      </w:r>
      <w:r>
        <w:rPr/>
        <w:t>3）如果该金融工具自初始确认后已经发生信用减值的，处于第三阶段，本公司按照相当于该金融工具整</w:t>
      </w:r>
      <w:r>
        <w:rPr>
          <w:spacing w:val="-101"/>
        </w:rPr>
        <w:t> </w:t>
      </w:r>
      <w:r>
        <w:rPr>
          <w:spacing w:val="-101"/>
        </w:rPr>
      </w:r>
      <w:r>
        <w:rPr/>
        <w:t>个存续期内预期信用损失的金额计量其损失准备，并按照摊余成本和实际利率计算利息收入。</w:t>
      </w:r>
    </w:p>
    <w:p>
      <w:pPr>
        <w:pStyle w:val="BodyText"/>
        <w:spacing w:line="273" w:lineRule="auto" w:before="10"/>
        <w:ind w:right="1132" w:firstLine="420"/>
        <w:jc w:val="both"/>
      </w:pPr>
      <w:r>
        <w:rPr>
          <w:w w:val="95"/>
        </w:rPr>
        <w:t>金融工具信用损失准备的增加或转回金额，作为减值损失或利得计入当期损益。除分类为以公允价值</w:t>
      </w:r>
      <w:r>
        <w:rPr>
          <w:w w:val="99"/>
        </w:rPr>
        <w:t> </w:t>
      </w:r>
      <w:r>
        <w:rPr>
          <w:w w:val="95"/>
        </w:rPr>
        <w:t>计量且其变动计入其他综合收益的金融资产外，信用损失准备抵减金融资产的账面余额。对于分类为以公</w:t>
      </w:r>
      <w:r>
        <w:rPr>
          <w:spacing w:val="40"/>
          <w:w w:val="95"/>
        </w:rPr>
        <w:t> </w:t>
      </w:r>
      <w:r>
        <w:rPr>
          <w:spacing w:val="40"/>
          <w:w w:val="95"/>
        </w:rPr>
      </w:r>
      <w:r>
        <w:rPr>
          <w:w w:val="95"/>
        </w:rPr>
        <w:t>允价值计量且其变动计入其他综合收益的金融资产，本公司在其他综合收益中确认其信用损失准备，不减</w:t>
      </w:r>
      <w:r>
        <w:rPr>
          <w:spacing w:val="37"/>
          <w:w w:val="95"/>
        </w:rPr>
        <w:t> </w:t>
      </w:r>
      <w:r>
        <w:rPr>
          <w:spacing w:val="37"/>
          <w:w w:val="95"/>
        </w:rPr>
      </w:r>
      <w:r>
        <w:rPr/>
        <w:t>少该金融资产在资产负债表中列示的账面价值。</w:t>
      </w:r>
    </w:p>
    <w:p>
      <w:pPr>
        <w:pStyle w:val="BodyText"/>
        <w:spacing w:line="266" w:lineRule="auto"/>
        <w:ind w:right="1112" w:firstLine="420"/>
        <w:jc w:val="both"/>
      </w:pPr>
      <w:r>
        <w:rPr>
          <w:w w:val="95"/>
        </w:rPr>
        <w:t>本公司在前一会计期间已经按照相当于金融工具整个存续期内预期信用损失的金额计量了损失准备，</w:t>
      </w:r>
      <w:r>
        <w:rPr>
          <w:spacing w:val="-79"/>
          <w:w w:val="95"/>
        </w:rPr>
        <w:t> </w:t>
      </w:r>
      <w:r>
        <w:rPr>
          <w:spacing w:val="-79"/>
          <w:w w:val="95"/>
        </w:rPr>
      </w:r>
      <w:r>
        <w:rPr>
          <w:w w:val="95"/>
        </w:rPr>
        <w:t>但在当期资产负债表日，该金融工具已不再属于自初始确认后信用风险显著增加的情形的，本公司在当期</w:t>
      </w:r>
      <w:r>
        <w:rPr>
          <w:spacing w:val="37"/>
          <w:w w:val="95"/>
        </w:rPr>
        <w:t> </w:t>
      </w:r>
      <w:r>
        <w:rPr>
          <w:spacing w:val="37"/>
          <w:w w:val="95"/>
        </w:rPr>
      </w:r>
      <w:r>
        <w:rPr>
          <w:w w:val="95"/>
        </w:rPr>
        <w:t>资产负债表日按照相当于未来</w:t>
      </w:r>
      <w:r>
        <w:rPr>
          <w:rFonts w:ascii="Times New Roman" w:hAnsi="Times New Roman" w:cs="Times New Roman" w:eastAsia="Times New Roman" w:hint="default"/>
          <w:w w:val="95"/>
        </w:rPr>
        <w:t>12</w:t>
      </w:r>
      <w:r>
        <w:rPr>
          <w:w w:val="95"/>
        </w:rPr>
        <w:t>个月内预期信用损失的金额计量该金融工具的损失准备，由此形成的损失</w:t>
      </w:r>
      <w:r>
        <w:rPr>
          <w:spacing w:val="39"/>
          <w:w w:val="95"/>
        </w:rPr>
        <w:t> </w:t>
      </w:r>
      <w:r>
        <w:rPr>
          <w:spacing w:val="39"/>
          <w:w w:val="95"/>
        </w:rPr>
      </w:r>
      <w:r>
        <w:rPr/>
        <w:t>准备的转回金额作为减值利得计入当期损益。</w:t>
      </w:r>
    </w:p>
    <w:p>
      <w:pPr>
        <w:pStyle w:val="BodyText"/>
        <w:spacing w:line="273" w:lineRule="auto" w:before="14"/>
        <w:ind w:left="532" w:right="0"/>
        <w:jc w:val="left"/>
      </w:pPr>
      <w:r>
        <w:rPr/>
        <w:t>1）信用风险显著增加</w:t>
      </w:r>
      <w:r>
        <w:rPr>
          <w:w w:val="99"/>
        </w:rPr>
        <w:t> </w:t>
      </w:r>
      <w:r>
        <w:rPr>
          <w:w w:val="95"/>
        </w:rPr>
        <w:t>本公司利用可获得的合理且有依据的前瞻性信息，通过比较金融工具在资产负债表日发生违约的风险</w:t>
      </w:r>
      <w:r>
        <w:rPr/>
      </w:r>
    </w:p>
    <w:p>
      <w:pPr>
        <w:pStyle w:val="BodyText"/>
        <w:spacing w:line="273" w:lineRule="auto"/>
        <w:ind w:right="1025"/>
        <w:jc w:val="left"/>
      </w:pPr>
      <w:r>
        <w:rPr/>
        <w:t>与在初始确认日发生违约的风险，以确定金融工具的信用风险自初始确认后是否已显著增加。对于财务担</w:t>
      </w:r>
      <w:r>
        <w:rPr>
          <w:w w:val="99"/>
        </w:rPr>
        <w:t> </w:t>
      </w:r>
      <w:r>
        <w:rPr>
          <w:spacing w:val="-3"/>
        </w:rPr>
        <w:t>保合同，本公司在应用金融工具减值规定时，将本公司成为做出不可撤销承诺的一方之日作为初始确认日。</w:t>
      </w:r>
    </w:p>
    <w:p>
      <w:pPr>
        <w:pStyle w:val="BodyText"/>
        <w:spacing w:line="240" w:lineRule="auto"/>
        <w:ind w:left="532" w:right="2127"/>
        <w:jc w:val="left"/>
      </w:pPr>
      <w:r>
        <w:rPr/>
        <w:t>本公司在评估信用风险是否显著增加时会考虑如下因素：</w:t>
      </w:r>
    </w:p>
    <w:p>
      <w:pPr>
        <w:pStyle w:val="BodyText"/>
        <w:spacing w:line="240" w:lineRule="auto" w:before="37"/>
        <w:ind w:left="532" w:right="2127"/>
        <w:jc w:val="left"/>
      </w:pPr>
      <w:r>
        <w:rPr/>
        <w:t>①债务人经营成果实际或预期是否发生显著变化；</w:t>
      </w:r>
    </w:p>
    <w:p>
      <w:pPr>
        <w:pStyle w:val="BodyText"/>
        <w:spacing w:line="240" w:lineRule="auto" w:before="37"/>
        <w:ind w:left="532" w:right="2127"/>
        <w:jc w:val="left"/>
      </w:pPr>
      <w:r>
        <w:rPr/>
        <w:t>②债务人所处的监管、经济或技术环境是否发生显著不利变化；</w:t>
      </w:r>
    </w:p>
    <w:p>
      <w:pPr>
        <w:pStyle w:val="BodyText"/>
        <w:spacing w:line="273" w:lineRule="auto" w:before="37"/>
        <w:ind w:right="1135" w:firstLine="420"/>
        <w:jc w:val="both"/>
      </w:pPr>
      <w:r>
        <w:rPr>
          <w:w w:val="95"/>
        </w:rPr>
        <w:t>③作为债务抵押的担保物价值或第三方提供的担保或信用增级质量是否发生显著变化，这些变化预期</w:t>
      </w:r>
      <w:r>
        <w:rPr>
          <w:w w:val="99"/>
        </w:rPr>
        <w:t> </w:t>
      </w:r>
      <w:r>
        <w:rPr/>
        <w:t>将降低债务人按合同规定期限还款的经济动机或者影响违约概率；</w:t>
      </w:r>
    </w:p>
    <w:p>
      <w:pPr>
        <w:pStyle w:val="BodyText"/>
        <w:spacing w:line="240" w:lineRule="auto" w:before="8"/>
        <w:ind w:left="532" w:right="2127"/>
        <w:jc w:val="left"/>
      </w:pPr>
      <w:r>
        <w:rPr/>
        <w:t>④债务人预期表现和还款行为是否发生显著变化；</w:t>
      </w:r>
    </w:p>
    <w:p>
      <w:pPr>
        <w:pStyle w:val="BodyText"/>
        <w:spacing w:line="273" w:lineRule="auto" w:before="37"/>
        <w:ind w:left="532" w:right="0"/>
        <w:jc w:val="left"/>
      </w:pPr>
      <w:r>
        <w:rPr/>
        <w:t>⑤本公司对金融工具信用管理方法是否发生变化等。</w:t>
      </w:r>
      <w:r>
        <w:rPr>
          <w:w w:val="99"/>
        </w:rPr>
        <w:t> </w:t>
      </w:r>
      <w:r>
        <w:rPr>
          <w:w w:val="95"/>
        </w:rPr>
        <w:t>于资产负债表日，若本公司判断金融工具只具有较低的信用风险，则本公司假定该金融工具的信用风</w:t>
      </w:r>
      <w:r>
        <w:rPr/>
      </w:r>
    </w:p>
    <w:p>
      <w:pPr>
        <w:pStyle w:val="BodyText"/>
        <w:spacing w:line="273" w:lineRule="auto"/>
        <w:ind w:right="1132"/>
        <w:jc w:val="both"/>
      </w:pPr>
      <w:r>
        <w:rPr>
          <w:w w:val="95"/>
        </w:rPr>
        <w:t>险自初始确认后并未显著增加。如果金融工具的违约风险较低，借款人在短期内履行其合同现金流量义务</w:t>
      </w:r>
      <w:r>
        <w:rPr>
          <w:spacing w:val="37"/>
          <w:w w:val="95"/>
        </w:rPr>
        <w:t> </w:t>
      </w:r>
      <w:r>
        <w:rPr>
          <w:spacing w:val="37"/>
          <w:w w:val="95"/>
        </w:rPr>
      </w:r>
      <w:r>
        <w:rPr>
          <w:w w:val="95"/>
        </w:rPr>
        <w:t>的能力很强，并且即使较长时期内经济形势和经营环境存在不利变化，但未必一定降低借款人履行其合同</w:t>
      </w:r>
      <w:r>
        <w:rPr>
          <w:spacing w:val="40"/>
          <w:w w:val="95"/>
        </w:rPr>
        <w:t> </w:t>
      </w:r>
      <w:r>
        <w:rPr>
          <w:spacing w:val="40"/>
          <w:w w:val="95"/>
        </w:rPr>
      </w:r>
      <w:r>
        <w:rPr/>
        <w:t>现金流量义务的能力，则该金融工具被视为具有较低的信用风险。</w:t>
      </w:r>
    </w:p>
    <w:p>
      <w:pPr>
        <w:pStyle w:val="BodyText"/>
        <w:spacing w:line="273" w:lineRule="auto"/>
        <w:ind w:left="532" w:right="0"/>
        <w:jc w:val="left"/>
      </w:pPr>
      <w:r>
        <w:rPr/>
        <w:t>2）已发生信用减值的金融资产</w:t>
      </w:r>
      <w:r>
        <w:rPr>
          <w:w w:val="99"/>
        </w:rPr>
        <w:t> </w:t>
      </w:r>
      <w:r>
        <w:rPr>
          <w:w w:val="95"/>
        </w:rPr>
        <w:t>当对金融资产预期未来现金流量具有不利影响的一项或多项事件发生时，该金融资产成为已发生信用</w:t>
      </w:r>
      <w:r>
        <w:rPr/>
      </w:r>
    </w:p>
    <w:p>
      <w:pPr>
        <w:pStyle w:val="BodyText"/>
        <w:spacing w:line="240" w:lineRule="auto"/>
        <w:ind w:right="0"/>
        <w:jc w:val="both"/>
      </w:pPr>
      <w:r>
        <w:rPr/>
        <w:t>减值的金融资产。金融资产已发生信用减值的证据包括下列可观察信息：</w:t>
      </w:r>
    </w:p>
    <w:p>
      <w:pPr>
        <w:pStyle w:val="BodyText"/>
        <w:spacing w:line="240" w:lineRule="auto" w:before="37"/>
        <w:ind w:left="172" w:right="0"/>
        <w:jc w:val="both"/>
      </w:pPr>
      <w:r>
        <w:rPr/>
        <w:t>①发行方或债务人发生重大财务困难；</w:t>
      </w:r>
    </w:p>
    <w:p>
      <w:pPr>
        <w:pStyle w:val="BodyText"/>
        <w:spacing w:line="240" w:lineRule="auto" w:before="37"/>
        <w:ind w:left="172" w:right="0"/>
        <w:jc w:val="both"/>
      </w:pPr>
      <w:r>
        <w:rPr/>
        <w:t>②债务人违反合同，如偿付利息或本金违约或逾期等；</w:t>
      </w:r>
    </w:p>
    <w:p>
      <w:pPr>
        <w:spacing w:after="0" w:line="240"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1181" w:firstLine="60"/>
        <w:jc w:val="left"/>
      </w:pPr>
      <w:r>
        <w:rPr>
          <w:spacing w:val="3"/>
          <w:w w:val="95"/>
        </w:rPr>
        <w:t>③债权人出于与债务人财务困难有关的经济或合同考虑，给予债务人在任何其他情况下都不会做出的让  </w:t>
      </w:r>
      <w:r>
        <w:rPr>
          <w:spacing w:val="78"/>
          <w:w w:val="95"/>
        </w:rPr>
        <w:t> </w:t>
      </w:r>
      <w:r>
        <w:rPr>
          <w:spacing w:val="78"/>
          <w:w w:val="95"/>
        </w:rPr>
      </w:r>
      <w:r>
        <w:rPr/>
        <w:t>步；</w:t>
      </w:r>
    </w:p>
    <w:p>
      <w:pPr>
        <w:pStyle w:val="BodyText"/>
        <w:spacing w:line="240" w:lineRule="auto"/>
        <w:ind w:left="172" w:right="2127"/>
        <w:jc w:val="left"/>
      </w:pPr>
      <w:r>
        <w:rPr/>
        <w:t>④债务人很可能破产或进行其他财务重组；</w:t>
      </w:r>
    </w:p>
    <w:p>
      <w:pPr>
        <w:pStyle w:val="BodyText"/>
        <w:spacing w:line="240" w:lineRule="auto" w:before="37"/>
        <w:ind w:left="172" w:right="2127"/>
        <w:jc w:val="left"/>
      </w:pPr>
      <w:r>
        <w:rPr/>
        <w:t>⑤发行方或债务人财务困难导致该金融资产的活跃市场消失；</w:t>
      </w:r>
    </w:p>
    <w:p>
      <w:pPr>
        <w:pStyle w:val="BodyText"/>
        <w:spacing w:line="273" w:lineRule="auto" w:before="37"/>
        <w:ind w:left="532" w:right="2127" w:hanging="360"/>
        <w:jc w:val="left"/>
      </w:pPr>
      <w:r>
        <w:rPr/>
        <w:t>⑥以大幅折扣购买或源生一项金融资产，该折扣反映了发生信用损失的事实。</w:t>
      </w:r>
      <w:r>
        <w:rPr>
          <w:w w:val="99"/>
        </w:rPr>
        <w:t> </w:t>
      </w:r>
      <w:r>
        <w:rPr>
          <w:w w:val="95"/>
        </w:rPr>
        <w:t>金融资产发生信用减值，有可能是多个事件的共同作用所致，未必是可单独识别的事件所致。</w:t>
      </w:r>
      <w:r>
        <w:rPr/>
      </w:r>
    </w:p>
    <w:p>
      <w:pPr>
        <w:pStyle w:val="BodyText"/>
        <w:spacing w:line="273" w:lineRule="auto" w:before="127"/>
        <w:ind w:left="532" w:right="0"/>
        <w:jc w:val="left"/>
      </w:pPr>
      <w:r>
        <w:rPr/>
        <w:t>3）预期信用损失的确定</w:t>
      </w:r>
      <w:r>
        <w:rPr>
          <w:w w:val="99"/>
        </w:rPr>
        <w:t> </w:t>
      </w:r>
      <w:r>
        <w:rPr>
          <w:w w:val="95"/>
        </w:rPr>
        <w:t>本公司基于单项和组合评估金融工具的预期信用损失，在评估预期信用损失时，考虑有关过去事项、</w:t>
      </w:r>
      <w:r>
        <w:rPr/>
      </w:r>
    </w:p>
    <w:p>
      <w:pPr>
        <w:pStyle w:val="BodyText"/>
        <w:spacing w:line="273" w:lineRule="auto"/>
        <w:ind w:left="532" w:right="1019" w:hanging="420"/>
        <w:jc w:val="left"/>
      </w:pPr>
      <w:r>
        <w:rPr/>
        <w:t>当前状况以及未来经济状况预测的合理且有依据的信息。</w:t>
      </w:r>
      <w:r>
        <w:rPr>
          <w:w w:val="99"/>
        </w:rPr>
        <w:t> </w:t>
      </w:r>
      <w:r>
        <w:rPr>
          <w:spacing w:val="-3"/>
        </w:rPr>
        <w:t>本公司以共同信用风险特征为依据，将金融工具分为不同组合。本公司采用的共同信用风险特征包括：</w:t>
      </w:r>
    </w:p>
    <w:p>
      <w:pPr>
        <w:pStyle w:val="BodyText"/>
        <w:spacing w:line="273" w:lineRule="auto"/>
        <w:ind w:right="0"/>
        <w:jc w:val="left"/>
      </w:pPr>
      <w:r>
        <w:rPr>
          <w:w w:val="95"/>
        </w:rPr>
        <w:t>金融工具类型、信用风险评级、账龄组合等。相关金融工具的单项评估标准和组合信用风险特征详见相关</w:t>
      </w:r>
      <w:r>
        <w:rPr>
          <w:spacing w:val="40"/>
          <w:w w:val="95"/>
        </w:rPr>
        <w:t> </w:t>
      </w:r>
      <w:r>
        <w:rPr>
          <w:spacing w:val="40"/>
          <w:w w:val="95"/>
        </w:rPr>
      </w:r>
      <w:r>
        <w:rPr/>
        <w:t>金融工具的会计政策。</w:t>
      </w:r>
    </w:p>
    <w:p>
      <w:pPr>
        <w:pStyle w:val="BodyText"/>
        <w:spacing w:line="240" w:lineRule="auto" w:before="8"/>
        <w:ind w:left="532" w:right="2127"/>
        <w:jc w:val="left"/>
      </w:pPr>
      <w:r>
        <w:rPr/>
        <w:t>本公司按照下列方法确定相关金融工具的预期信用损失：</w:t>
      </w:r>
    </w:p>
    <w:p>
      <w:pPr>
        <w:pStyle w:val="BodyText"/>
        <w:spacing w:line="240" w:lineRule="auto" w:before="37"/>
        <w:ind w:left="532" w:right="0"/>
        <w:jc w:val="left"/>
      </w:pPr>
      <w:r>
        <w:rPr/>
        <w:t>①对于金融资产，信用损失为本公司应收取的合同现金流量与预期收取的现金流量之间差额的现值。</w:t>
      </w:r>
    </w:p>
    <w:p>
      <w:pPr>
        <w:pStyle w:val="BodyText"/>
        <w:spacing w:line="273" w:lineRule="auto" w:before="37"/>
        <w:ind w:right="1132" w:firstLine="420"/>
        <w:jc w:val="both"/>
      </w:pPr>
      <w:r>
        <w:rPr>
          <w:spacing w:val="5"/>
          <w:w w:val="95"/>
        </w:rPr>
        <w:t>②对于财务担保合同，信用损失为本公司就该合同持有人发生的信用损失向其做出赔付的预计付款</w:t>
      </w:r>
      <w:r>
        <w:rPr>
          <w:w w:val="99"/>
        </w:rPr>
        <w:t> </w:t>
      </w:r>
      <w:r>
        <w:rPr/>
        <w:t>额，减去本公司预期向该合同持有人、债务人或任何其他方收取的金额之间差额的现值。</w:t>
      </w:r>
    </w:p>
    <w:p>
      <w:pPr>
        <w:pStyle w:val="BodyText"/>
        <w:spacing w:line="273" w:lineRule="auto"/>
        <w:ind w:right="1132" w:firstLine="420"/>
        <w:jc w:val="both"/>
      </w:pPr>
      <w:r>
        <w:rPr>
          <w:w w:val="95"/>
        </w:rPr>
        <w:t>③对于资产负债表日已发生信用减值但并非购买或源生已发生信用减值的金融资产，信用损失为该金</w:t>
      </w:r>
      <w:r>
        <w:rPr>
          <w:w w:val="99"/>
        </w:rPr>
        <w:t> </w:t>
      </w:r>
      <w:r>
        <w:rPr/>
        <w:t>融资产账面余额与按原实际利率折现的估计未来现金流量的现值之间的差额。</w:t>
      </w:r>
    </w:p>
    <w:p>
      <w:pPr>
        <w:pStyle w:val="BodyText"/>
        <w:spacing w:line="273" w:lineRule="auto"/>
        <w:ind w:right="1135" w:firstLine="420"/>
        <w:jc w:val="both"/>
      </w:pPr>
      <w:r>
        <w:rPr>
          <w:w w:val="95"/>
        </w:rPr>
        <w:t>本公司计量金融工具预期信用损失的方法反映的因素包括：通过评价一系列可能的结果而确定的无偏</w:t>
      </w:r>
      <w:r>
        <w:rPr>
          <w:w w:val="99"/>
        </w:rPr>
        <w:t> </w:t>
      </w:r>
      <w:r>
        <w:rPr>
          <w:w w:val="95"/>
        </w:rPr>
        <w:t>概率加权平均金额；货币时间价值；在资产负债表日无须付出不必要的额外成本或努力即可获得的有关过</w:t>
      </w:r>
      <w:r>
        <w:rPr>
          <w:spacing w:val="37"/>
          <w:w w:val="95"/>
        </w:rPr>
        <w:t> </w:t>
      </w:r>
      <w:r>
        <w:rPr>
          <w:spacing w:val="37"/>
          <w:w w:val="95"/>
        </w:rPr>
      </w:r>
      <w:r>
        <w:rPr/>
        <w:t>去事项、当前状况以及未来经济状况预测的合理且有依据的信息。</w:t>
      </w:r>
    </w:p>
    <w:p>
      <w:pPr>
        <w:pStyle w:val="BodyText"/>
        <w:spacing w:line="273" w:lineRule="auto" w:before="127"/>
        <w:ind w:left="532" w:right="1120"/>
        <w:jc w:val="left"/>
      </w:pPr>
      <w:r>
        <w:rPr/>
        <w:t>4）减记金融资产</w:t>
      </w:r>
      <w:r>
        <w:rPr>
          <w:w w:val="99"/>
        </w:rPr>
        <w:t> </w:t>
      </w:r>
      <w:r>
        <w:rPr>
          <w:w w:val="95"/>
        </w:rPr>
        <w:t>当本公司不再合理预期金融资产合同现金流量能够全部或部分收回的，直接减记该金融资产的账面余</w:t>
      </w:r>
      <w:r>
        <w:rPr/>
      </w:r>
    </w:p>
    <w:p>
      <w:pPr>
        <w:pStyle w:val="BodyText"/>
        <w:spacing w:line="240" w:lineRule="auto"/>
        <w:ind w:right="2127"/>
        <w:jc w:val="left"/>
      </w:pPr>
      <w:r>
        <w:rPr/>
        <w:t>额。这种减记构成相关金融资产的终止确认。</w:t>
      </w:r>
    </w:p>
    <w:p>
      <w:pPr>
        <w:spacing w:line="273" w:lineRule="auto" w:before="3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（7）金融资产及金融负债的抵销</w:t>
      </w:r>
      <w:r>
        <w:rPr>
          <w:rFonts w:ascii="宋体" w:hAnsi="宋体" w:cs="宋体" w:eastAsia="宋体" w:hint="default"/>
          <w:b/>
          <w:bCs/>
          <w:w w:val="99"/>
          <w:sz w:val="21"/>
          <w:szCs w:val="21"/>
        </w:rPr>
        <w:t> </w:t>
      </w:r>
      <w:r>
        <w:rPr>
          <w:rFonts w:ascii="宋体" w:hAnsi="宋体" w:cs="宋体" w:eastAsia="宋体" w:hint="default"/>
          <w:w w:val="95"/>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73" w:lineRule="auto"/>
        <w:ind w:left="532" w:right="2127" w:hanging="420"/>
        <w:jc w:val="left"/>
      </w:pPr>
      <w:r>
        <w:rPr/>
        <w:t>抵销后的净额在资产负债表内列示：</w:t>
      </w:r>
      <w:r>
        <w:rPr>
          <w:w w:val="99"/>
        </w:rPr>
        <w:t> </w:t>
      </w:r>
      <w:r>
        <w:rPr>
          <w:w w:val="95"/>
        </w:rPr>
        <w:t>1）本公司具有抵销已确认金额的法定权利，且该种法定权利是当前可执行的；</w:t>
      </w:r>
      <w:r>
        <w:rPr/>
      </w:r>
    </w:p>
    <w:p>
      <w:pPr>
        <w:pStyle w:val="BodyText"/>
        <w:spacing w:line="240" w:lineRule="auto" w:before="8"/>
        <w:ind w:left="532" w:right="2127"/>
        <w:jc w:val="left"/>
      </w:pPr>
      <w:r>
        <w:rPr/>
        <w:t>2）本公司计划以净额结算，或同时变现该金融资产和清偿该金融负债。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2127"/>
        <w:jc w:val="left"/>
        <w:rPr>
          <w:b w:val="0"/>
          <w:bCs w:val="0"/>
        </w:rPr>
      </w:pPr>
      <w:bookmarkStart w:name="11、应收票据" w:id="184"/>
      <w:bookmarkEnd w:id="184"/>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532" w:right="0"/>
        <w:jc w:val="left"/>
      </w:pPr>
      <w:r>
        <w:rPr>
          <w:spacing w:val="-2"/>
        </w:rPr>
        <w:t>本公司对应收票据的预期信用损失的确定方法及会计处理方法详见本附注五／（十）</w:t>
      </w:r>
      <w:r>
        <w:rPr>
          <w:rFonts w:ascii="Times New Roman" w:hAnsi="Times New Roman" w:cs="Times New Roman" w:eastAsia="Times New Roman" w:hint="default"/>
          <w:spacing w:val="-2"/>
        </w:rPr>
        <w:t>6.</w:t>
      </w:r>
      <w:r>
        <w:rPr>
          <w:spacing w:val="-2"/>
        </w:rPr>
        <w:t>金融工具减值。</w:t>
      </w:r>
      <w:r>
        <w:rPr>
          <w:w w:val="99"/>
        </w:rPr>
        <w:t> </w:t>
      </w:r>
      <w:r>
        <w:rPr/>
        <w:t>本公司对存在客观证据表明将无法按原有条款收回的应收票据单独确定其信用损失。</w:t>
      </w:r>
      <w:r>
        <w:rPr>
          <w:w w:val="99"/>
        </w:rPr>
        <w:t> </w:t>
      </w:r>
      <w:r>
        <w:rPr/>
        <w:t>当在单项工具层面无法以合理成本评估预期信用损失的充分证据时，本公司参考历史信用损失经验，</w:t>
      </w:r>
    </w:p>
    <w:p>
      <w:pPr>
        <w:pStyle w:val="BodyText"/>
        <w:spacing w:line="273" w:lineRule="auto" w:before="16"/>
        <w:ind w:right="0"/>
        <w:jc w:val="left"/>
      </w:pPr>
      <w:r>
        <w:rPr>
          <w:w w:val="95"/>
        </w:rPr>
        <w:t>结合当前状况以及对未来经济状况的判断，依据信用风险特征将应收票据划分为若干组合，在组合基础上</w:t>
      </w:r>
      <w:r>
        <w:rPr>
          <w:spacing w:val="37"/>
          <w:w w:val="95"/>
        </w:rPr>
        <w:t> </w:t>
      </w:r>
      <w:r>
        <w:rPr>
          <w:spacing w:val="37"/>
          <w:w w:val="95"/>
        </w:rPr>
      </w:r>
      <w:r>
        <w:rPr/>
        <w:t>计算预期信用损失。确定组合的依据如下：</w:t>
      </w:r>
    </w:p>
    <w:tbl>
      <w:tblPr>
        <w:tblW w:w="0" w:type="auto"/>
        <w:jc w:val="left"/>
        <w:tblInd w:w="106" w:type="dxa"/>
        <w:tblLayout w:type="fixed"/>
        <w:tblCellMar>
          <w:top w:w="0" w:type="dxa"/>
          <w:left w:w="0" w:type="dxa"/>
          <w:bottom w:w="0" w:type="dxa"/>
          <w:right w:w="0" w:type="dxa"/>
        </w:tblCellMar>
        <w:tblLook w:val="01E0"/>
      </w:tblPr>
      <w:tblGrid>
        <w:gridCol w:w="1347"/>
        <w:gridCol w:w="4470"/>
        <w:gridCol w:w="2711"/>
      </w:tblGrid>
      <w:tr>
        <w:trPr>
          <w:trHeight w:val="354" w:hRule="exact"/>
        </w:trPr>
        <w:tc>
          <w:tcPr>
            <w:tcW w:w="13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5"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c>
          <w:tcPr>
            <w:tcW w:w="27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37" w:hRule="exact"/>
        </w:trPr>
        <w:tc>
          <w:tcPr>
            <w:tcW w:w="134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9"/>
                <w:sz w:val="18"/>
                <w:szCs w:val="18"/>
              </w:rPr>
              <w:t>无风险银行承兑</w:t>
            </w:r>
          </w:p>
        </w:tc>
        <w:tc>
          <w:tcPr>
            <w:tcW w:w="447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出票人具有较高的信用评级，历史上未发生票据违约，信</w:t>
            </w:r>
          </w:p>
        </w:tc>
        <w:tc>
          <w:tcPr>
            <w:tcW w:w="2711" w:type="dxa"/>
            <w:tcBorders>
              <w:top w:val="single" w:sz="12" w:space="0" w:color="000000"/>
              <w:left w:val="single" w:sz="6" w:space="0" w:color="000000"/>
              <w:bottom w:val="nil" w:sz="6" w:space="0" w:color="auto"/>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w:t>
            </w:r>
          </w:p>
        </w:tc>
      </w:tr>
      <w:tr>
        <w:trPr>
          <w:trHeight w:val="312" w:hRule="exact"/>
        </w:trPr>
        <w:tc>
          <w:tcPr>
            <w:tcW w:w="13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票据组合</w:t>
            </w:r>
          </w:p>
        </w:tc>
        <w:tc>
          <w:tcPr>
            <w:tcW w:w="4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用损失风险极低，在短期内履行其支付合同现金流量义务</w:t>
            </w:r>
          </w:p>
        </w:tc>
        <w:tc>
          <w:tcPr>
            <w:tcW w:w="2711"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12"/>
                <w:sz w:val="18"/>
                <w:szCs w:val="18"/>
              </w:rPr>
              <w:t>状况以及对未来经济状况的预期</w:t>
            </w:r>
          </w:p>
        </w:tc>
      </w:tr>
      <w:tr>
        <w:trPr>
          <w:trHeight w:val="337" w:hRule="exact"/>
        </w:trPr>
        <w:tc>
          <w:tcPr>
            <w:tcW w:w="1347" w:type="dxa"/>
            <w:tcBorders>
              <w:top w:val="nil" w:sz="6" w:space="0" w:color="auto"/>
              <w:left w:val="single" w:sz="6" w:space="0" w:color="000000"/>
              <w:bottom w:val="single" w:sz="12" w:space="0" w:color="000000"/>
              <w:right w:val="single" w:sz="6" w:space="0" w:color="000000"/>
            </w:tcBorders>
          </w:tcPr>
          <w:p>
            <w:pPr/>
          </w:p>
        </w:tc>
        <w:tc>
          <w:tcPr>
            <w:tcW w:w="4470"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的能力很强</w:t>
            </w:r>
          </w:p>
        </w:tc>
        <w:tc>
          <w:tcPr>
            <w:tcW w:w="2711"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计量坏账准备</w:t>
            </w:r>
          </w:p>
        </w:tc>
      </w:tr>
      <w:tr>
        <w:trPr>
          <w:trHeight w:val="390" w:hRule="exact"/>
        </w:trPr>
        <w:tc>
          <w:tcPr>
            <w:tcW w:w="13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44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本公司根据以往的历史经验对应收票据计提比例作出最</w:t>
            </w:r>
          </w:p>
        </w:tc>
        <w:tc>
          <w:tcPr>
            <w:tcW w:w="27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1"/>
        <w:rPr>
          <w:rFonts w:ascii="宋体" w:hAnsi="宋体" w:cs="宋体" w:eastAsia="宋体" w:hint="default"/>
          <w:sz w:val="22"/>
          <w:szCs w:val="22"/>
        </w:rPr>
      </w:pPr>
    </w:p>
    <w:p>
      <w:pPr>
        <w:spacing w:line="398"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2pt;height:19.9pt;mso-position-horizontal-relative:char;mso-position-vertical-relative:line" coordorigin="0,0" coordsize="8564,398">
            <v:group style="position:absolute;left:14;top:14;width:8536;height:2" coordorigin="14,14" coordsize="8536,2">
              <v:shape style="position:absolute;left:14;top:14;width:8536;height:2" coordorigin="14,14" coordsize="8536,0" path="m14,14l8550,14e" filled="false" stroked="true" strokeweight=".72pt" strokecolor="#000000">
                <v:path arrowok="t"/>
              </v:shape>
            </v:group>
            <v:group style="position:absolute;left:14;top:384;width:8536;height:2" coordorigin="14,384" coordsize="8536,2">
              <v:shape style="position:absolute;left:14;top:384;width:8536;height:2" coordorigin="14,384" coordsize="8536,0" path="m14,384l8550,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1369;top:7;width:2;height:362" coordorigin="1369,7" coordsize="2,362">
              <v:shape style="position:absolute;left:1369;top:7;width:2;height:362" coordorigin="1369,7" coordsize="0,362" path="m1369,7l1369,369e" filled="false" stroked="true" strokeweight=".72pt" strokecolor="#000000">
                <v:path arrowok="t"/>
              </v:shape>
            </v:group>
            <v:group style="position:absolute;left:5839;top:7;width:2;height:362" coordorigin="5839,7" coordsize="2,362">
              <v:shape style="position:absolute;left:5839;top:7;width:2;height:362" coordorigin="5839,7" coordsize="0,362" path="m5839,7l5839,369e" filled="false" stroked="true" strokeweight=".72pt" strokecolor="#000000">
                <v:path arrowok="t"/>
              </v:shape>
              <v:shape style="position:absolute;left:1369;top:14;width:4470;height:370" type="#_x0000_t202" filled="false" stroked="false">
                <v:textbox inset="0,0,0,0">
                  <w:txbxContent>
                    <w:p>
                      <w:pPr>
                        <w:spacing w:before="42"/>
                        <w:ind w:left="10" w:right="0" w:firstLine="0"/>
                        <w:jc w:val="left"/>
                        <w:rPr>
                          <w:rFonts w:ascii="宋体" w:hAnsi="宋体" w:cs="宋体" w:eastAsia="宋体" w:hint="default"/>
                          <w:sz w:val="18"/>
                          <w:szCs w:val="18"/>
                        </w:rPr>
                      </w:pPr>
                      <w:r>
                        <w:rPr>
                          <w:rFonts w:ascii="宋体" w:hAnsi="宋体" w:cs="宋体" w:eastAsia="宋体" w:hint="default"/>
                          <w:sz w:val="18"/>
                          <w:szCs w:val="18"/>
                        </w:rPr>
                        <w:t>佳估计，参考应收票据的账龄进行信用风险组合分类</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5"/>
        <w:spacing w:line="240" w:lineRule="auto" w:before="34"/>
        <w:ind w:left="132" w:right="556"/>
        <w:jc w:val="left"/>
        <w:rPr>
          <w:b w:val="0"/>
          <w:bCs w:val="0"/>
        </w:rPr>
      </w:pPr>
      <w:bookmarkStart w:name="12、应收账款" w:id="185"/>
      <w:bookmarkEnd w:id="185"/>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552" w:right="556"/>
        <w:jc w:val="left"/>
      </w:pPr>
      <w:r>
        <w:rPr>
          <w:spacing w:val="-2"/>
        </w:rPr>
        <w:t>本公司对应收账款的预期信用损失的确定方法及会计处理方法详见本附注五／（十）</w:t>
      </w:r>
      <w:r>
        <w:rPr>
          <w:rFonts w:ascii="Times New Roman" w:hAnsi="Times New Roman" w:cs="Times New Roman" w:eastAsia="Times New Roman" w:hint="default"/>
          <w:spacing w:val="-2"/>
        </w:rPr>
        <w:t>6.</w:t>
      </w:r>
      <w:r>
        <w:rPr>
          <w:spacing w:val="-2"/>
        </w:rPr>
        <w:t>金融工具减值。</w:t>
      </w:r>
      <w:r>
        <w:rPr>
          <w:w w:val="99"/>
        </w:rPr>
        <w:t> </w:t>
      </w:r>
      <w:r>
        <w:rPr/>
        <w:t>本公司对存在客观证据表明将无法按原有条款收回的应收账款单独确定其信用损失。</w:t>
      </w:r>
      <w:r>
        <w:rPr>
          <w:w w:val="99"/>
        </w:rPr>
        <w:t> </w:t>
      </w:r>
      <w:r>
        <w:rPr/>
        <w:t>当在单项工具层面无法以合理成本评估预期信用损失的充分证据时，本公司参考历史信用损失经验，</w:t>
      </w:r>
    </w:p>
    <w:p>
      <w:pPr>
        <w:pStyle w:val="BodyText"/>
        <w:spacing w:line="273" w:lineRule="auto" w:before="16"/>
        <w:ind w:left="132" w:right="556"/>
        <w:jc w:val="left"/>
      </w:pPr>
      <w:r>
        <w:rPr>
          <w:w w:val="95"/>
        </w:rPr>
        <w:t>结合当前状况以及对未来经济状况的判断，依据信用风险特征将应收账款划分为若干组合，在组合基础上</w:t>
      </w:r>
      <w:r>
        <w:rPr>
          <w:spacing w:val="37"/>
          <w:w w:val="95"/>
        </w:rPr>
        <w:t> </w:t>
      </w:r>
      <w:r>
        <w:rPr>
          <w:spacing w:val="37"/>
          <w:w w:val="95"/>
        </w:rPr>
      </w:r>
      <w:r>
        <w:rPr/>
        <w:t>计算预期信用损失。确定组合的依据如下：</w:t>
      </w:r>
    </w:p>
    <w:tbl>
      <w:tblPr>
        <w:tblW w:w="0" w:type="auto"/>
        <w:jc w:val="left"/>
        <w:tblInd w:w="126" w:type="dxa"/>
        <w:tblLayout w:type="fixed"/>
        <w:tblCellMar>
          <w:top w:w="0" w:type="dxa"/>
          <w:left w:w="0" w:type="dxa"/>
          <w:bottom w:w="0" w:type="dxa"/>
          <w:right w:w="0" w:type="dxa"/>
        </w:tblCellMar>
        <w:tblLook w:val="01E0"/>
      </w:tblPr>
      <w:tblGrid>
        <w:gridCol w:w="1526"/>
        <w:gridCol w:w="2551"/>
        <w:gridCol w:w="4451"/>
      </w:tblGrid>
      <w:tr>
        <w:trPr>
          <w:trHeight w:val="354" w:hRule="exact"/>
        </w:trPr>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9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3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4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74"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1"/>
              <w:jc w:val="left"/>
              <w:rPr>
                <w:rFonts w:ascii="宋体" w:hAnsi="宋体" w:cs="宋体" w:eastAsia="宋体" w:hint="default"/>
                <w:sz w:val="18"/>
                <w:szCs w:val="18"/>
              </w:rPr>
            </w:pPr>
            <w:r>
              <w:rPr>
                <w:rFonts w:ascii="宋体" w:hAnsi="宋体" w:cs="宋体" w:eastAsia="宋体" w:hint="default"/>
                <w:spacing w:val="7"/>
                <w:sz w:val="18"/>
                <w:szCs w:val="18"/>
              </w:rPr>
              <w:t>合并范围内关联方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组合</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1" w:right="1"/>
              <w:jc w:val="left"/>
              <w:rPr>
                <w:rFonts w:ascii="宋体" w:hAnsi="宋体" w:cs="宋体" w:eastAsia="宋体" w:hint="default"/>
                <w:sz w:val="18"/>
                <w:szCs w:val="18"/>
              </w:rPr>
            </w:pPr>
            <w:r>
              <w:rPr>
                <w:rFonts w:ascii="宋体" w:hAnsi="宋体" w:cs="宋体" w:eastAsia="宋体" w:hint="default"/>
                <w:sz w:val="18"/>
                <w:szCs w:val="18"/>
              </w:rPr>
              <w:t>合并范围内的关联方之间的应收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款项回收风险较低</w:t>
            </w:r>
          </w:p>
        </w:tc>
        <w:tc>
          <w:tcPr>
            <w:tcW w:w="4451"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22"/>
              <w:ind w:left="1" w:right="7"/>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参考历史信用损失经验，结合当前状况以及对未来经济状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况的预期计量坏账准备</w:t>
            </w:r>
          </w:p>
        </w:tc>
      </w:tr>
      <w:tr>
        <w:trPr>
          <w:trHeight w:val="362"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以账龄作为信用风险特征</w:t>
            </w:r>
          </w:p>
        </w:tc>
        <w:tc>
          <w:tcPr>
            <w:tcW w:w="44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按账龄与整个存续期预期信用损失率对照表计提</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5"/>
        <w:spacing w:line="240" w:lineRule="auto" w:before="34"/>
        <w:ind w:left="132" w:right="556"/>
        <w:jc w:val="left"/>
        <w:rPr>
          <w:b w:val="0"/>
          <w:bCs w:val="0"/>
        </w:rPr>
      </w:pPr>
      <w:bookmarkStart w:name="13、应收款项融资" w:id="186"/>
      <w:bookmarkEnd w:id="186"/>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32" w:right="556" w:firstLine="420"/>
        <w:jc w:val="left"/>
      </w:pPr>
      <w:r>
        <w:rPr/>
        <w:t>本公司对应收款项融资的预期信用损失的确定方法及会计处理方法详见本附注五／（十）</w:t>
      </w:r>
      <w:r>
        <w:rPr>
          <w:rFonts w:ascii="Times New Roman" w:hAnsi="Times New Roman" w:cs="Times New Roman" w:eastAsia="Times New Roman" w:hint="default"/>
        </w:rPr>
        <w:t>6.</w:t>
      </w:r>
      <w:r>
        <w:rPr/>
        <w:t>金融工具</w:t>
      </w:r>
      <w:r>
        <w:rPr>
          <w:w w:val="99"/>
        </w:rPr>
        <w:t> </w:t>
      </w:r>
      <w:r>
        <w:rPr/>
        <w:t>减值。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left="132" w:right="556"/>
        <w:jc w:val="left"/>
        <w:rPr>
          <w:b w:val="0"/>
          <w:bCs w:val="0"/>
        </w:rPr>
      </w:pPr>
      <w:bookmarkStart w:name="14、其他应收款" w:id="187"/>
      <w:bookmarkEnd w:id="187"/>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7"/>
        <w:rPr>
          <w:rFonts w:ascii="宋体" w:hAnsi="宋体" w:cs="宋体" w:eastAsia="宋体" w:hint="default"/>
          <w:b/>
          <w:bCs/>
          <w:sz w:val="26"/>
          <w:szCs w:val="26"/>
        </w:rPr>
      </w:pPr>
    </w:p>
    <w:p>
      <w:pPr>
        <w:spacing w:before="0"/>
        <w:ind w:left="132" w:right="556"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240" w:lineRule="auto" w:before="91"/>
        <w:ind w:left="552" w:right="556"/>
        <w:jc w:val="left"/>
      </w:pPr>
      <w:r>
        <w:rPr/>
        <w:t>本公司对其他应收款的预期信用损失的确定方法及会计处理方法详见本附注五／（十）</w:t>
      </w:r>
      <w:r>
        <w:rPr>
          <w:rFonts w:ascii="Times New Roman" w:hAnsi="Times New Roman" w:cs="Times New Roman" w:eastAsia="Times New Roman" w:hint="default"/>
        </w:rPr>
        <w:t>6.</w:t>
      </w:r>
      <w:r>
        <w:rPr/>
        <w:t>金融工具减</w:t>
      </w:r>
    </w:p>
    <w:p>
      <w:pPr>
        <w:pStyle w:val="BodyText"/>
        <w:spacing w:line="240" w:lineRule="auto" w:before="21"/>
        <w:ind w:left="132" w:right="556"/>
        <w:jc w:val="left"/>
      </w:pPr>
      <w:r>
        <w:rPr/>
        <w:t>值。</w:t>
      </w:r>
    </w:p>
    <w:p>
      <w:pPr>
        <w:pStyle w:val="BodyText"/>
        <w:spacing w:line="240" w:lineRule="auto" w:before="37"/>
        <w:ind w:left="552" w:right="556"/>
        <w:jc w:val="left"/>
      </w:pPr>
      <w:r>
        <w:rPr>
          <w:spacing w:val="4"/>
        </w:rPr>
        <w:t>本公司对存在客观证据表明本公司将无法按应收款项的原有条款收回的其他应收款单独确定其信用</w:t>
      </w:r>
    </w:p>
    <w:p>
      <w:pPr>
        <w:pStyle w:val="BodyText"/>
        <w:spacing w:line="240" w:lineRule="auto" w:before="37"/>
        <w:ind w:left="132" w:right="556"/>
        <w:jc w:val="left"/>
      </w:pPr>
      <w:r>
        <w:rPr/>
        <w:t>损失。</w:t>
      </w:r>
    </w:p>
    <w:p>
      <w:pPr>
        <w:pStyle w:val="BodyText"/>
        <w:spacing w:line="273" w:lineRule="auto" w:before="37"/>
        <w:ind w:left="132" w:right="1112" w:firstLine="420"/>
        <w:jc w:val="both"/>
      </w:pPr>
      <w:r>
        <w:rPr>
          <w:w w:val="95"/>
        </w:rPr>
        <w:t>当在单项工具层面无法以合理成本评估预期信用损失的充分证据时，本公司参考历史信用损失经验，</w:t>
      </w:r>
      <w:r>
        <w:rPr>
          <w:spacing w:val="-79"/>
          <w:w w:val="95"/>
        </w:rPr>
        <w:t> </w:t>
      </w:r>
      <w:r>
        <w:rPr>
          <w:spacing w:val="-79"/>
          <w:w w:val="95"/>
        </w:rPr>
      </w:r>
      <w:r>
        <w:rPr>
          <w:w w:val="95"/>
        </w:rPr>
        <w:t>结合当前状况以及对未来经济状况的判断，依据信用风险特征将其他应收款划分为若干组合，在组合基础</w:t>
      </w:r>
      <w:r>
        <w:rPr>
          <w:spacing w:val="40"/>
          <w:w w:val="95"/>
        </w:rPr>
        <w:t> </w:t>
      </w:r>
      <w:r>
        <w:rPr>
          <w:spacing w:val="40"/>
          <w:w w:val="95"/>
        </w:rPr>
      </w:r>
      <w:r>
        <w:rPr/>
        <w:t>上计算预期信用损失。确定组合的依据如下：</w:t>
      </w:r>
    </w:p>
    <w:tbl>
      <w:tblPr>
        <w:tblW w:w="0" w:type="auto"/>
        <w:jc w:val="left"/>
        <w:tblInd w:w="126" w:type="dxa"/>
        <w:tblLayout w:type="fixed"/>
        <w:tblCellMar>
          <w:top w:w="0" w:type="dxa"/>
          <w:left w:w="0" w:type="dxa"/>
          <w:bottom w:w="0" w:type="dxa"/>
          <w:right w:w="0" w:type="dxa"/>
        </w:tblCellMar>
        <w:tblLook w:val="01E0"/>
      </w:tblPr>
      <w:tblGrid>
        <w:gridCol w:w="1526"/>
        <w:gridCol w:w="2268"/>
        <w:gridCol w:w="4734"/>
      </w:tblGrid>
      <w:tr>
        <w:trPr>
          <w:trHeight w:val="354" w:hRule="exact"/>
        </w:trPr>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95"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7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74"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7"/>
                <w:sz w:val="18"/>
                <w:szCs w:val="18"/>
              </w:rPr>
              <w:t>合并范围内关联方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组合</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1" w:right="1"/>
              <w:jc w:val="left"/>
              <w:rPr>
                <w:rFonts w:ascii="宋体" w:hAnsi="宋体" w:cs="宋体" w:eastAsia="宋体" w:hint="default"/>
                <w:sz w:val="18"/>
                <w:szCs w:val="18"/>
              </w:rPr>
            </w:pPr>
            <w:r>
              <w:rPr>
                <w:rFonts w:ascii="宋体" w:hAnsi="宋体" w:cs="宋体" w:eastAsia="宋体" w:hint="default"/>
                <w:spacing w:val="7"/>
                <w:sz w:val="18"/>
                <w:szCs w:val="18"/>
              </w:rPr>
              <w:t>合并范围内的关联方之间的</w:t>
            </w:r>
            <w:r>
              <w:rPr>
                <w:rFonts w:ascii="宋体" w:hAnsi="宋体" w:cs="宋体" w:eastAsia="宋体" w:hint="default"/>
                <w:sz w:val="18"/>
                <w:szCs w:val="18"/>
              </w:rPr>
              <w:t> 应收款项回收风险较低</w:t>
            </w:r>
          </w:p>
        </w:tc>
        <w:tc>
          <w:tcPr>
            <w:tcW w:w="473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21"/>
              <w:ind w:left="1" w:right="9"/>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的预期计量坏账准备</w:t>
            </w:r>
          </w:p>
        </w:tc>
      </w:tr>
      <w:tr>
        <w:trPr>
          <w:trHeight w:val="362" w:hRule="exact"/>
        </w:trPr>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以账龄作为信用风险特征</w:t>
            </w:r>
          </w:p>
        </w:tc>
        <w:tc>
          <w:tcPr>
            <w:tcW w:w="47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按账龄与整个存续期预期信用损失率对照表计提</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5"/>
        <w:spacing w:line="240" w:lineRule="auto" w:before="34"/>
        <w:ind w:left="132" w:right="556"/>
        <w:jc w:val="left"/>
        <w:rPr>
          <w:b w:val="0"/>
          <w:bCs w:val="0"/>
        </w:rPr>
      </w:pPr>
      <w:bookmarkStart w:name="15、存货" w:id="188"/>
      <w:bookmarkEnd w:id="188"/>
      <w:r>
        <w:rPr>
          <w:b w:val="0"/>
          <w:bCs w:val="0"/>
        </w:rPr>
      </w: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52" w:right="556" w:firstLine="2"/>
        <w:jc w:val="left"/>
      </w:pPr>
      <w:r>
        <w:rPr>
          <w:rFonts w:ascii="宋体" w:hAnsi="宋体" w:cs="宋体" w:eastAsia="宋体" w:hint="default"/>
          <w:b/>
          <w:bCs/>
        </w:rPr>
        <w:t>（1）存货的分类</w:t>
      </w:r>
      <w:r>
        <w:rPr>
          <w:rFonts w:ascii="宋体" w:hAnsi="宋体" w:cs="宋体" w:eastAsia="宋体" w:hint="default"/>
          <w:b/>
          <w:bCs/>
          <w:w w:val="99"/>
        </w:rPr>
        <w:t> </w:t>
      </w:r>
      <w:r>
        <w:rPr>
          <w:w w:val="95"/>
        </w:rPr>
        <w:t>存货是指本公司在日常活动中持有以备出售的产成品或商品、处在生产过程中的在产品、在生产过程</w:t>
      </w:r>
      <w:r>
        <w:rPr/>
      </w:r>
    </w:p>
    <w:p>
      <w:pPr>
        <w:pStyle w:val="BodyText"/>
        <w:spacing w:line="240" w:lineRule="auto"/>
        <w:ind w:left="132" w:right="556"/>
        <w:jc w:val="left"/>
      </w:pPr>
      <w:r>
        <w:rPr/>
        <w:t>或提供劳务过程中耗用的材料和物料等。主要包括原材料、周转材料、委托加工材料、在产品、自制半成</w:t>
      </w:r>
    </w:p>
    <w:p>
      <w:pPr>
        <w:spacing w:after="0" w:line="240" w:lineRule="auto"/>
        <w:jc w:val="left"/>
        <w:sectPr>
          <w:pgSz w:w="11910" w:h="16840"/>
          <w:pgMar w:header="919" w:footer="1016" w:top="1120" w:bottom="1200" w:left="1000" w:right="0"/>
        </w:sectPr>
      </w:pPr>
    </w:p>
    <w:p>
      <w:pPr>
        <w:spacing w:line="240" w:lineRule="auto" w:before="10"/>
        <w:rPr>
          <w:rFonts w:ascii="宋体" w:hAnsi="宋体" w:cs="宋体" w:eastAsia="宋体" w:hint="default"/>
          <w:sz w:val="19"/>
          <w:szCs w:val="19"/>
        </w:rPr>
      </w:pPr>
    </w:p>
    <w:p>
      <w:pPr>
        <w:pStyle w:val="BodyText"/>
        <w:spacing w:line="240" w:lineRule="auto" w:before="34"/>
        <w:ind w:right="0"/>
        <w:jc w:val="both"/>
      </w:pPr>
      <w:r>
        <w:rPr>
          <w:spacing w:val="-1"/>
          <w:w w:val="99"/>
        </w:rPr>
        <w:t>品</w:t>
      </w:r>
      <w:r>
        <w:rPr>
          <w:spacing w:val="2"/>
          <w:w w:val="99"/>
        </w:rPr>
        <w:t>、</w:t>
      </w:r>
      <w:r>
        <w:rPr>
          <w:spacing w:val="-1"/>
          <w:w w:val="99"/>
        </w:rPr>
        <w:t>产</w:t>
      </w:r>
      <w:r>
        <w:rPr>
          <w:spacing w:val="2"/>
          <w:w w:val="99"/>
        </w:rPr>
        <w:t>成</w:t>
      </w:r>
      <w:r>
        <w:rPr>
          <w:spacing w:val="-1"/>
          <w:w w:val="99"/>
        </w:rPr>
        <w:t>品</w:t>
      </w:r>
      <w:r>
        <w:rPr>
          <w:spacing w:val="2"/>
          <w:w w:val="99"/>
        </w:rPr>
        <w:t>（</w:t>
      </w:r>
      <w:r>
        <w:rPr>
          <w:spacing w:val="-1"/>
          <w:w w:val="99"/>
        </w:rPr>
        <w:t>库</w:t>
      </w:r>
      <w:r>
        <w:rPr>
          <w:spacing w:val="2"/>
          <w:w w:val="99"/>
        </w:rPr>
        <w:t>存</w:t>
      </w:r>
      <w:r>
        <w:rPr>
          <w:spacing w:val="-1"/>
          <w:w w:val="99"/>
        </w:rPr>
        <w:t>商</w:t>
      </w:r>
      <w:r>
        <w:rPr>
          <w:spacing w:val="2"/>
          <w:w w:val="99"/>
        </w:rPr>
        <w:t>品</w:t>
      </w:r>
      <w:r>
        <w:rPr>
          <w:spacing w:val="-104"/>
          <w:w w:val="99"/>
        </w:rPr>
        <w:t>）</w:t>
      </w:r>
      <w:r>
        <w:rPr>
          <w:spacing w:val="-1"/>
          <w:w w:val="99"/>
        </w:rPr>
        <w:t>、</w:t>
      </w:r>
      <w:r>
        <w:rPr>
          <w:spacing w:val="2"/>
          <w:w w:val="99"/>
        </w:rPr>
        <w:t>工</w:t>
      </w:r>
      <w:r>
        <w:rPr>
          <w:spacing w:val="-1"/>
          <w:w w:val="99"/>
        </w:rPr>
        <w:t>程</w:t>
      </w:r>
      <w:r>
        <w:rPr>
          <w:spacing w:val="2"/>
          <w:w w:val="99"/>
        </w:rPr>
        <w:t>成</w:t>
      </w:r>
      <w:r>
        <w:rPr>
          <w:spacing w:val="-1"/>
          <w:w w:val="99"/>
        </w:rPr>
        <w:t>本</w:t>
      </w:r>
      <w:r>
        <w:rPr>
          <w:spacing w:val="2"/>
          <w:w w:val="99"/>
        </w:rPr>
        <w:t>等</w:t>
      </w:r>
      <w:r>
        <w:rPr>
          <w:w w:val="99"/>
        </w:rPr>
        <w:t>。</w:t>
      </w:r>
      <w:r>
        <w:rPr/>
      </w:r>
    </w:p>
    <w:p>
      <w:pPr>
        <w:pStyle w:val="BodyText"/>
        <w:spacing w:line="273" w:lineRule="auto" w:before="37"/>
        <w:ind w:left="532" w:right="0" w:firstLine="2"/>
        <w:jc w:val="left"/>
      </w:pPr>
      <w:r>
        <w:rPr>
          <w:rFonts w:ascii="宋体" w:hAnsi="宋体" w:cs="宋体" w:eastAsia="宋体" w:hint="default"/>
          <w:b/>
          <w:bCs/>
        </w:rPr>
        <w:t>（2）存货的计价方法</w:t>
      </w:r>
      <w:r>
        <w:rPr>
          <w:rFonts w:ascii="宋体" w:hAnsi="宋体" w:cs="宋体" w:eastAsia="宋体" w:hint="default"/>
          <w:b/>
          <w:bCs/>
          <w:w w:val="99"/>
        </w:rPr>
        <w:t> </w:t>
      </w:r>
      <w:r>
        <w:rPr>
          <w:w w:val="95"/>
        </w:rPr>
        <w:t>存货在取得时，按成本进行初始计量，包括采购成本、加工成本和其他成本。能直接对应工程成本项</w:t>
      </w:r>
      <w:r>
        <w:rPr/>
      </w:r>
    </w:p>
    <w:p>
      <w:pPr>
        <w:pStyle w:val="BodyText"/>
        <w:spacing w:line="273" w:lineRule="auto"/>
        <w:ind w:right="0"/>
        <w:jc w:val="left"/>
      </w:pPr>
      <w:r>
        <w:rPr>
          <w:w w:val="95"/>
        </w:rPr>
        <w:t>目的原材料、库存商品按个别计价法，其余按加权平均法；低值易耗品领用时采用一次摊销法；工程成本</w:t>
      </w:r>
      <w:r>
        <w:rPr>
          <w:spacing w:val="45"/>
          <w:w w:val="95"/>
        </w:rPr>
        <w:t> </w:t>
      </w:r>
      <w:r>
        <w:rPr>
          <w:spacing w:val="45"/>
          <w:w w:val="95"/>
        </w:rPr>
      </w:r>
      <w:r>
        <w:rPr/>
        <w:t>按工程结算进度相应结转成本。</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（3）存货可变现净值的确定依据及存货跌价准备的计提方法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w w:val="95"/>
          <w:sz w:val="21"/>
          <w:szCs w:val="21"/>
        </w:rPr>
        <w:t>期末对存货进行全面清查后，按存货的成本与可变现净值孰低提取或调整存货跌价准备。产成品、库</w:t>
      </w:r>
      <w:r>
        <w:rPr>
          <w:rFonts w:ascii="宋体" w:hAnsi="宋体" w:cs="宋体" w:eastAsia="宋体" w:hint="default"/>
          <w:sz w:val="21"/>
          <w:szCs w:val="21"/>
        </w:rPr>
      </w:r>
    </w:p>
    <w:p>
      <w:pPr>
        <w:pStyle w:val="BodyText"/>
        <w:spacing w:line="273" w:lineRule="auto"/>
        <w:ind w:right="1130"/>
        <w:jc w:val="both"/>
      </w:pPr>
      <w:r>
        <w:rPr>
          <w:w w:val="95"/>
        </w:rPr>
        <w:t>存商品和用于出售的材料等直接用于出售的商品存货，在正常生产经营过程中，以该存货的估计售价减去</w:t>
      </w:r>
      <w:r>
        <w:rPr>
          <w:spacing w:val="40"/>
          <w:w w:val="95"/>
        </w:rPr>
        <w:t> </w:t>
      </w:r>
      <w:r>
        <w:rPr>
          <w:spacing w:val="40"/>
          <w:w w:val="95"/>
        </w:rPr>
      </w:r>
      <w:r>
        <w:rPr>
          <w:w w:val="95"/>
        </w:rPr>
        <w:t>估计的销售费用和相关税费后的金额，确定其可变现净值；需要经过加工的材料存货，在正常生产经营过</w:t>
      </w:r>
      <w:r>
        <w:rPr>
          <w:spacing w:val="43"/>
          <w:w w:val="95"/>
        </w:rPr>
        <w:t> </w:t>
      </w:r>
      <w:r>
        <w:rPr>
          <w:spacing w:val="43"/>
          <w:w w:val="95"/>
        </w:rPr>
      </w:r>
      <w:r>
        <w:rPr>
          <w:w w:val="95"/>
        </w:rPr>
        <w:t>程中，以所生产的产成品的估计售价减去至完工时估计将要发生的成本、估计的销售费用和相关税费后的</w:t>
      </w:r>
      <w:r>
        <w:rPr>
          <w:spacing w:val="37"/>
          <w:w w:val="95"/>
        </w:rPr>
        <w:t> </w:t>
      </w:r>
      <w:r>
        <w:rPr>
          <w:spacing w:val="37"/>
          <w:w w:val="95"/>
        </w:rPr>
      </w:r>
      <w:r>
        <w:rPr>
          <w:w w:val="95"/>
        </w:rPr>
        <w:t>金额，确定其可变现净值；为执行销售合同或者劳务合同而持有的存货，其可变现净值以合同价格为基础</w:t>
      </w:r>
      <w:r>
        <w:rPr>
          <w:spacing w:val="43"/>
          <w:w w:val="95"/>
        </w:rPr>
        <w:t> </w:t>
      </w:r>
      <w:r>
        <w:rPr>
          <w:spacing w:val="43"/>
          <w:w w:val="95"/>
        </w:rPr>
      </w:r>
      <w:r>
        <w:rPr>
          <w:w w:val="95"/>
        </w:rPr>
        <w:t>计算，若持有存货的数量多于销售合同订购数量的，超出部分的存货的可变现净值以一般销售价格为基础  </w:t>
      </w:r>
      <w:r>
        <w:rPr>
          <w:spacing w:val="40"/>
          <w:w w:val="95"/>
        </w:rPr>
        <w:t> </w:t>
      </w:r>
      <w:r>
        <w:rPr>
          <w:spacing w:val="40"/>
          <w:w w:val="95"/>
        </w:rPr>
      </w:r>
      <w:r>
        <w:rPr/>
        <w:t>计算。</w:t>
      </w:r>
    </w:p>
    <w:p>
      <w:pPr>
        <w:pStyle w:val="BodyText"/>
        <w:spacing w:line="273" w:lineRule="auto"/>
        <w:ind w:right="1130" w:firstLine="420"/>
        <w:jc w:val="both"/>
      </w:pPr>
      <w:r>
        <w:rPr>
          <w:w w:val="95"/>
        </w:rPr>
        <w:t>期末按照单个存货项目计提存货跌价准备；但对于数量繁多、单价较低的存货，按照存货类别计提存</w:t>
      </w:r>
      <w:r>
        <w:rPr>
          <w:w w:val="99"/>
        </w:rPr>
        <w:t> </w:t>
      </w:r>
      <w:r>
        <w:rPr>
          <w:w w:val="95"/>
        </w:rPr>
        <w:t>货跌价准备；与在同一地区生产和销售的产品系列相关、具有相同或类似最终用途或目的，且难以与其他</w:t>
      </w:r>
      <w:r>
        <w:rPr>
          <w:spacing w:val="43"/>
          <w:w w:val="95"/>
        </w:rPr>
        <w:t> </w:t>
      </w:r>
      <w:r>
        <w:rPr>
          <w:spacing w:val="43"/>
          <w:w w:val="95"/>
        </w:rPr>
      </w:r>
      <w:r>
        <w:rPr/>
        <w:t>项目分开计量的存货，则合并计提存货跌价准备。</w:t>
      </w:r>
    </w:p>
    <w:p>
      <w:pPr>
        <w:pStyle w:val="BodyText"/>
        <w:spacing w:line="273" w:lineRule="auto"/>
        <w:ind w:right="1132" w:firstLine="420"/>
        <w:jc w:val="both"/>
      </w:pPr>
      <w:r>
        <w:rPr>
          <w:w w:val="95"/>
        </w:rPr>
        <w:t>以前减记存货价值的影响因素已经消失的，减记的金额予以恢复，并在原已计提的存货跌价准备金额</w:t>
      </w:r>
      <w:r>
        <w:rPr>
          <w:w w:val="99"/>
        </w:rPr>
        <w:t> </w:t>
      </w:r>
      <w:r>
        <w:rPr/>
        <w:t>内转回，转回的金额计入当期损益。</w:t>
      </w:r>
    </w:p>
    <w:p>
      <w:pPr>
        <w:spacing w:line="273" w:lineRule="auto" w:before="7"/>
        <w:ind w:left="532" w:right="8328" w:firstLine="2"/>
        <w:jc w:val="left"/>
        <w:rPr>
          <w:rFonts w:ascii="宋体" w:hAnsi="宋体" w:cs="宋体" w:eastAsia="宋体" w:hint="default"/>
          <w:sz w:val="21"/>
          <w:szCs w:val="21"/>
        </w:rPr>
      </w:pPr>
      <w:r>
        <w:rPr>
          <w:rFonts w:ascii="宋体" w:hAnsi="宋体" w:cs="宋体" w:eastAsia="宋体" w:hint="default"/>
          <w:b/>
          <w:bCs/>
          <w:sz w:val="21"/>
          <w:szCs w:val="21"/>
        </w:rPr>
        <w:t>（4）存货的盘存制度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73" w:lineRule="auto" w:before="7"/>
        <w:ind w:left="532" w:right="6853" w:firstLine="2"/>
        <w:jc w:val="left"/>
        <w:rPr>
          <w:rFonts w:ascii="宋体" w:hAnsi="宋体" w:cs="宋体" w:eastAsia="宋体" w:hint="default"/>
          <w:sz w:val="21"/>
          <w:szCs w:val="21"/>
        </w:rPr>
      </w:pPr>
      <w:r>
        <w:rPr>
          <w:rFonts w:ascii="宋体" w:hAnsi="宋体" w:cs="宋体" w:eastAsia="宋体" w:hint="default"/>
          <w:b/>
          <w:bCs/>
          <w:sz w:val="21"/>
          <w:szCs w:val="21"/>
        </w:rPr>
        <w:t>（5）低值易耗品和包装物的摊销方法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1）低值易耗品采用一次转销法；</w:t>
      </w:r>
    </w:p>
    <w:p>
      <w:pPr>
        <w:pStyle w:val="BodyText"/>
        <w:spacing w:line="240" w:lineRule="auto" w:before="8"/>
        <w:ind w:left="532" w:right="2127"/>
        <w:jc w:val="left"/>
      </w:pPr>
      <w:r>
        <w:rPr/>
        <w:t>2）包装物采用一次转销法。</w:t>
      </w:r>
    </w:p>
    <w:p>
      <w:pPr>
        <w:pStyle w:val="BodyText"/>
        <w:spacing w:line="240" w:lineRule="auto" w:before="37"/>
        <w:ind w:left="532" w:right="2127"/>
        <w:jc w:val="left"/>
      </w:pPr>
      <w:r>
        <w:rPr/>
        <w:t>3）其他周转材料采用一次转销法摊销。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both"/>
        <w:rPr>
          <w:b w:val="0"/>
          <w:bCs w:val="0"/>
        </w:rPr>
      </w:pPr>
      <w:bookmarkStart w:name="16、合同资产" w:id="189"/>
      <w:bookmarkEnd w:id="189"/>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bookmarkStart w:name="17、合同成本" w:id="190"/>
      <w:bookmarkEnd w:id="190"/>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bookmarkStart w:name="18、持有待售资产" w:id="191"/>
      <w:bookmarkEnd w:id="191"/>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2127" w:firstLine="2"/>
        <w:jc w:val="left"/>
      </w:pPr>
      <w:r>
        <w:rPr>
          <w:rFonts w:ascii="宋体" w:hAnsi="宋体" w:cs="宋体" w:eastAsia="宋体" w:hint="default"/>
          <w:b/>
          <w:bCs/>
        </w:rPr>
        <w:t>（1）划分为持有待售确认标准</w:t>
      </w:r>
      <w:r>
        <w:rPr>
          <w:rFonts w:ascii="宋体" w:hAnsi="宋体" w:cs="宋体" w:eastAsia="宋体" w:hint="default"/>
          <w:b/>
          <w:bCs/>
          <w:w w:val="99"/>
        </w:rPr>
        <w:t> </w:t>
      </w:r>
      <w:r>
        <w:rPr/>
        <w:t>本公司将同时满足下列条件的非流动资产或处置组确认为持有待售组成部分：</w:t>
      </w:r>
      <w:r>
        <w:rPr>
          <w:w w:val="99"/>
        </w:rPr>
        <w:t> </w:t>
      </w:r>
      <w:r>
        <w:rPr>
          <w:rFonts w:ascii="Times New Roman" w:hAnsi="Times New Roman" w:cs="Times New Roman" w:eastAsia="Times New Roman" w:hint="default"/>
          <w:w w:val="95"/>
        </w:rPr>
        <w:t>1</w:t>
      </w:r>
      <w:r>
        <w:rPr>
          <w:w w:val="95"/>
        </w:rPr>
        <w:t>）根据类似交易中出售此类资产或处置组的惯例，在当前状况下即可立即出售；</w:t>
      </w:r>
      <w:r>
        <w:rPr/>
      </w:r>
    </w:p>
    <w:p>
      <w:pPr>
        <w:pStyle w:val="BodyText"/>
        <w:spacing w:line="256" w:lineRule="auto" w:before="0"/>
        <w:ind w:right="1133" w:firstLine="420"/>
        <w:jc w:val="both"/>
      </w:pPr>
      <w:r>
        <w:rPr>
          <w:rFonts w:ascii="Times New Roman" w:hAnsi="Times New Roman" w:cs="Times New Roman" w:eastAsia="Times New Roman" w:hint="default"/>
          <w:spacing w:val="2"/>
          <w:w w:val="95"/>
        </w:rPr>
        <w:t>2</w:t>
      </w:r>
      <w:r>
        <w:rPr>
          <w:spacing w:val="2"/>
          <w:w w:val="95"/>
        </w:rPr>
        <w:t>）出售极可能发生，即本公司已经就一项出售计划作出决议，且获得确定的购买承诺，预计出售将</w:t>
      </w:r>
      <w:r>
        <w:rPr>
          <w:spacing w:val="-82"/>
          <w:w w:val="95"/>
        </w:rPr>
        <w:t> </w:t>
      </w:r>
      <w:r>
        <w:rPr>
          <w:spacing w:val="-82"/>
          <w:w w:val="95"/>
        </w:rPr>
      </w:r>
      <w:r>
        <w:rPr/>
        <w:t>在一年内完成。</w:t>
      </w:r>
    </w:p>
    <w:p>
      <w:pPr>
        <w:pStyle w:val="BodyText"/>
        <w:spacing w:line="273" w:lineRule="auto" w:before="22"/>
        <w:ind w:right="1130" w:firstLine="420"/>
        <w:jc w:val="both"/>
      </w:pPr>
      <w:r>
        <w:rPr>
          <w:w w:val="95"/>
        </w:rPr>
        <w:t>确定的购买承诺，是指本公司与其他方签订的具有法律约束力的购买协议，该协议包含交易价格、时</w:t>
      </w:r>
      <w:r>
        <w:rPr>
          <w:spacing w:val="-97"/>
          <w:w w:val="95"/>
        </w:rPr>
        <w:t> </w:t>
      </w:r>
      <w:r>
        <w:rPr>
          <w:spacing w:val="-97"/>
          <w:w w:val="95"/>
        </w:rPr>
      </w:r>
      <w:r>
        <w:rPr/>
        <w:t>间和足够严厉的违约惩罚等重要条款，使协议出现重大调整或者撤销的可能性极小。</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（2）持有待售核算方法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本公司对于持有待售的非流动资产或处置组不计提折旧或摊销，其账面价值高于公允价值减去出售费</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1025"/>
        <w:jc w:val="left"/>
      </w:pPr>
      <w:r>
        <w:rPr>
          <w:spacing w:val="-3"/>
        </w:rPr>
        <w:t>用后的净额的，应当将账面价值减记至公允价值减去出售费用后的净额，减记的金额确认为资产减值损失，</w:t>
      </w:r>
      <w:r>
        <w:rPr>
          <w:w w:val="99"/>
        </w:rPr>
        <w:t> </w:t>
      </w:r>
      <w:r>
        <w:rPr/>
        <w:t>计入当期损益，同时计提持有待售资产减值准备。</w:t>
      </w:r>
    </w:p>
    <w:p>
      <w:pPr>
        <w:pStyle w:val="BodyText"/>
        <w:spacing w:line="273" w:lineRule="auto"/>
        <w:ind w:right="1132" w:firstLine="420"/>
        <w:jc w:val="both"/>
      </w:pPr>
      <w:r>
        <w:rPr>
          <w:w w:val="95"/>
        </w:rPr>
        <w:t>对于取得日划分为持有待售类别的非流动资产或处置组，在初始计量时比较假定其不划分为持有待售</w:t>
      </w:r>
      <w:r>
        <w:rPr>
          <w:w w:val="99"/>
        </w:rPr>
        <w:t> </w:t>
      </w:r>
      <w:r>
        <w:rPr/>
        <w:t>类别情况下的初始计量金额和公允价值减去出售费用后的净额，以两者孰低计量。</w:t>
      </w:r>
    </w:p>
    <w:p>
      <w:pPr>
        <w:pStyle w:val="BodyText"/>
        <w:spacing w:line="273" w:lineRule="auto"/>
        <w:ind w:right="1132" w:firstLine="420"/>
        <w:jc w:val="both"/>
      </w:pPr>
      <w:r>
        <w:rPr>
          <w:w w:val="95"/>
        </w:rPr>
        <w:t>上述原则适用于所有非流动资产，但不包括采用公允价值模式进行后续计量的投资性房地产、采用公</w:t>
      </w:r>
      <w:r>
        <w:rPr>
          <w:w w:val="99"/>
        </w:rPr>
        <w:t> </w:t>
      </w:r>
      <w:r>
        <w:rPr>
          <w:w w:val="95"/>
        </w:rPr>
        <w:t>允价值减去出售费用后的净额计量的生物资产、职工薪酬形成的资产、递延所得税资产、由金融工具相关</w:t>
      </w:r>
      <w:r>
        <w:rPr>
          <w:spacing w:val="40"/>
          <w:w w:val="95"/>
        </w:rPr>
        <w:t> </w:t>
      </w:r>
      <w:r>
        <w:rPr>
          <w:spacing w:val="40"/>
          <w:w w:val="95"/>
        </w:rPr>
      </w:r>
      <w:r>
        <w:rPr/>
        <w:t>会计准则规范的金融资产、由保险合同相关会计准则规范的保险合同所产生的权利。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27"/>
        <w:jc w:val="left"/>
        <w:rPr>
          <w:b w:val="0"/>
          <w:bCs w:val="0"/>
        </w:rPr>
      </w:pPr>
      <w:bookmarkStart w:name="19、债权投资" w:id="192"/>
      <w:bookmarkEnd w:id="192"/>
      <w:r>
        <w:rPr>
          <w:b w:val="0"/>
          <w:bCs w:val="0"/>
        </w:rPr>
      </w:r>
      <w:r>
        <w:rPr>
          <w:rFonts w:ascii="Times New Roman" w:hAnsi="Times New Roman" w:cs="Times New Roman" w:eastAsia="Times New Roman" w:hint="default"/>
        </w:rPr>
        <w:t>19</w:t>
      </w:r>
      <w:r>
        <w:rPr/>
        <w:t>、债权投资</w:t>
      </w:r>
      <w:r>
        <w:rPr>
          <w:b w:val="0"/>
          <w:bCs w:val="0"/>
        </w:rPr>
      </w:r>
    </w:p>
    <w:p>
      <w:pPr>
        <w:pStyle w:val="BodyText"/>
        <w:spacing w:line="610" w:lineRule="atLeast" w:before="4"/>
        <w:ind w:left="532" w:right="0" w:hanging="420"/>
        <w:jc w:val="left"/>
      </w:pPr>
      <w:bookmarkStart w:name="20、其他债权投资" w:id="193"/>
      <w:bookmarkEnd w:id="193"/>
      <w:r>
        <w:rPr/>
      </w:r>
      <w:r>
        <w:rPr>
          <w:rFonts w:ascii="Times New Roman" w:hAnsi="Times New Roman" w:cs="Times New Roman" w:eastAsia="Times New Roman" w:hint="default"/>
          <w:b/>
          <w:bCs/>
        </w:rPr>
        <w:t>20</w:t>
      </w:r>
      <w:r>
        <w:rPr>
          <w:rFonts w:ascii="宋体" w:hAnsi="宋体" w:cs="宋体" w:eastAsia="宋体" w:hint="default"/>
          <w:b/>
          <w:bCs/>
        </w:rPr>
        <w:t>、其他债权投资</w:t>
      </w:r>
      <w:r>
        <w:rPr>
          <w:rFonts w:ascii="宋体" w:hAnsi="宋体" w:cs="宋体" w:eastAsia="宋体" w:hint="default"/>
          <w:b/>
          <w:bCs/>
          <w:w w:val="99"/>
        </w:rPr>
        <w:t> </w:t>
      </w:r>
      <w:r>
        <w:rPr/>
        <w:t>本公司对其他债权投资的预期信用损失的确定方法及会计处理方法详见本附注五／（十）</w:t>
      </w:r>
      <w:r>
        <w:rPr>
          <w:rFonts w:ascii="Times New Roman" w:hAnsi="Times New Roman" w:cs="Times New Roman" w:eastAsia="Times New Roman" w:hint="default"/>
        </w:rPr>
        <w:t>6.</w:t>
      </w:r>
      <w:r>
        <w:rPr/>
        <w:t>金融工具</w:t>
      </w:r>
    </w:p>
    <w:p>
      <w:pPr>
        <w:pStyle w:val="BodyText"/>
        <w:spacing w:line="240" w:lineRule="auto" w:before="21"/>
        <w:ind w:right="2127"/>
        <w:jc w:val="left"/>
      </w:pPr>
      <w:r>
        <w:rPr/>
        <w:t>减值。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2127"/>
        <w:jc w:val="left"/>
        <w:rPr>
          <w:b w:val="0"/>
          <w:bCs w:val="0"/>
        </w:rPr>
      </w:pPr>
      <w:bookmarkStart w:name="21、长期应收款" w:id="194"/>
      <w:bookmarkEnd w:id="194"/>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4"/>
        <w:ind w:left="532" w:right="0"/>
        <w:jc w:val="left"/>
      </w:pPr>
      <w:r>
        <w:rPr/>
        <w:t>本公司对长期应收款的预期信用损失的确定方法及会计处理方法详见本附注五／（十）</w:t>
      </w:r>
      <w:r>
        <w:rPr>
          <w:rFonts w:ascii="Times New Roman" w:hAnsi="Times New Roman" w:cs="Times New Roman" w:eastAsia="Times New Roman" w:hint="default"/>
        </w:rPr>
        <w:t>6.</w:t>
      </w:r>
      <w:r>
        <w:rPr/>
        <w:t>金融工具减</w:t>
      </w:r>
    </w:p>
    <w:p>
      <w:pPr>
        <w:pStyle w:val="BodyText"/>
        <w:spacing w:line="240" w:lineRule="auto" w:before="21"/>
        <w:ind w:right="2127"/>
        <w:jc w:val="left"/>
      </w:pPr>
      <w:r>
        <w:rPr/>
        <w:t>值。</w:t>
      </w:r>
    </w:p>
    <w:p>
      <w:pPr>
        <w:pStyle w:val="BodyText"/>
        <w:spacing w:line="273" w:lineRule="auto" w:before="37"/>
        <w:ind w:left="532" w:right="0"/>
        <w:jc w:val="left"/>
      </w:pPr>
      <w:r>
        <w:rPr/>
        <w:t>公司存在客户融资租赁形式购买公司产品情况，本公司对此部分债权采用长期应收款核算。</w:t>
      </w:r>
      <w:r>
        <w:rPr>
          <w:w w:val="99"/>
        </w:rPr>
        <w:t> </w:t>
      </w:r>
      <w:r>
        <w:rPr>
          <w:spacing w:val="-2"/>
          <w:w w:val="95"/>
        </w:rPr>
        <w:t>对于此部分长期应收款，首先以总余额为基准，预期信用损失率为</w:t>
      </w:r>
      <w:r>
        <w:rPr>
          <w:rFonts w:ascii="Times New Roman" w:hAnsi="Times New Roman" w:cs="Times New Roman" w:eastAsia="Times New Roman" w:hint="default"/>
          <w:spacing w:val="-2"/>
          <w:w w:val="95"/>
        </w:rPr>
        <w:t>5%</w:t>
      </w:r>
      <w:r>
        <w:rPr>
          <w:spacing w:val="-2"/>
          <w:w w:val="95"/>
        </w:rPr>
        <w:t>，计提损失准备。对于到期应收</w:t>
      </w:r>
      <w:r>
        <w:rPr>
          <w:spacing w:val="-2"/>
        </w:rPr>
      </w:r>
    </w:p>
    <w:p>
      <w:pPr>
        <w:pStyle w:val="BodyText"/>
        <w:spacing w:line="279" w:lineRule="exact" w:before="0"/>
        <w:ind w:right="2127"/>
        <w:jc w:val="left"/>
      </w:pPr>
      <w:r>
        <w:rPr/>
        <w:t>租赁款超过</w:t>
      </w:r>
      <w:r>
        <w:rPr>
          <w:rFonts w:ascii="Times New Roman" w:hAnsi="Times New Roman" w:cs="Times New Roman" w:eastAsia="Times New Roman" w:hint="default"/>
        </w:rPr>
        <w:t>1</w:t>
      </w:r>
      <w:r>
        <w:rPr/>
        <w:t>年，则认为信用风险显著增加，参照应收账款予以计提损失准备。</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2127"/>
        <w:jc w:val="left"/>
        <w:rPr>
          <w:b w:val="0"/>
          <w:bCs w:val="0"/>
        </w:rPr>
      </w:pPr>
      <w:bookmarkStart w:name="22、长期股权投资" w:id="195"/>
      <w:bookmarkEnd w:id="195"/>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35" w:right="2127"/>
        <w:jc w:val="left"/>
        <w:rPr>
          <w:b w:val="0"/>
          <w:bCs w:val="0"/>
        </w:rPr>
      </w:pPr>
      <w:r>
        <w:rPr/>
        <w:t>（1）初始投资成本的确定</w:t>
      </w:r>
      <w:r>
        <w:rPr>
          <w:b w:val="0"/>
          <w:bCs w:val="0"/>
        </w:rPr>
      </w:r>
    </w:p>
    <w:p>
      <w:pPr>
        <w:pStyle w:val="BodyText"/>
        <w:spacing w:line="256" w:lineRule="auto" w:before="37"/>
        <w:ind w:right="0" w:firstLine="420"/>
        <w:jc w:val="left"/>
      </w:pPr>
      <w:r>
        <w:rPr>
          <w:rFonts w:ascii="Times New Roman" w:hAnsi="Times New Roman" w:cs="Times New Roman" w:eastAsia="Times New Roman" w:hint="default"/>
          <w:spacing w:val="2"/>
          <w:w w:val="95"/>
        </w:rPr>
        <w:t>1</w:t>
      </w:r>
      <w:r>
        <w:rPr>
          <w:spacing w:val="2"/>
          <w:w w:val="95"/>
        </w:rPr>
        <w:t>）企业合并形成的长期股权投资，具体会计政策详见本附注五／（五）同一控制下和非同一控制下</w:t>
      </w:r>
      <w:r>
        <w:rPr>
          <w:spacing w:val="-82"/>
          <w:w w:val="95"/>
        </w:rPr>
        <w:t> </w:t>
      </w:r>
      <w:r>
        <w:rPr>
          <w:spacing w:val="-82"/>
          <w:w w:val="95"/>
        </w:rPr>
      </w:r>
      <w:r>
        <w:rPr/>
        <w:t>企业合并的会计处理方法。</w:t>
      </w:r>
    </w:p>
    <w:p>
      <w:pPr>
        <w:pStyle w:val="BodyText"/>
        <w:spacing w:line="256" w:lineRule="auto" w:before="22"/>
        <w:ind w:left="532" w:right="0"/>
        <w:jc w:val="left"/>
      </w:pPr>
      <w:r>
        <w:rPr>
          <w:rFonts w:ascii="Times New Roman" w:hAnsi="Times New Roman" w:cs="Times New Roman" w:eastAsia="Times New Roman" w:hint="default"/>
        </w:rPr>
        <w:t>2</w:t>
      </w:r>
      <w:r>
        <w:rPr/>
        <w:t>）其他方式取得的长期股权投资</w:t>
      </w:r>
      <w:r>
        <w:rPr>
          <w:w w:val="99"/>
        </w:rPr>
        <w:t> </w:t>
      </w:r>
      <w:r>
        <w:rPr>
          <w:w w:val="95"/>
        </w:rPr>
        <w:t>以支付现金方式取得的长期股权投资，按照实际支付的购买价款作为初始投资成本。初始投资成本包</w:t>
      </w:r>
      <w:r>
        <w:rPr/>
      </w:r>
    </w:p>
    <w:p>
      <w:pPr>
        <w:pStyle w:val="BodyText"/>
        <w:spacing w:line="273" w:lineRule="auto" w:before="22"/>
        <w:ind w:left="532" w:right="0" w:hanging="420"/>
        <w:jc w:val="left"/>
      </w:pPr>
      <w:r>
        <w:rPr/>
        <w:t>括与取得长期股权投资直接相关的费用、税金及其他必要支出。</w:t>
      </w:r>
      <w:r>
        <w:rPr>
          <w:w w:val="99"/>
        </w:rPr>
        <w:t> </w:t>
      </w:r>
      <w:r>
        <w:rPr>
          <w:w w:val="95"/>
        </w:rPr>
        <w:t>以发行权益性证券取得的长期股权投资，按照发行权益性证券的公允价值作为初始投资成本；发行或</w:t>
      </w:r>
      <w:r>
        <w:rPr/>
      </w:r>
    </w:p>
    <w:p>
      <w:pPr>
        <w:pStyle w:val="BodyText"/>
        <w:spacing w:line="273" w:lineRule="auto"/>
        <w:ind w:left="532" w:right="0" w:hanging="420"/>
        <w:jc w:val="left"/>
      </w:pPr>
      <w:r>
        <w:rPr/>
        <w:t>取得自身权益工具时发生的交易费用，可直接归属于权益性交易的从权益中扣减。</w:t>
      </w:r>
      <w:r>
        <w:rPr>
          <w:w w:val="99"/>
        </w:rPr>
        <w:t> </w:t>
      </w:r>
      <w:r>
        <w:rPr>
          <w:w w:val="95"/>
        </w:rPr>
        <w:t>在非货币性资产交换具备商业实质和换入资产或换出资产的公允价值能够可靠计量的前提下，非货币</w:t>
      </w:r>
      <w:r>
        <w:rPr/>
      </w:r>
    </w:p>
    <w:p>
      <w:pPr>
        <w:pStyle w:val="BodyText"/>
        <w:spacing w:line="273" w:lineRule="auto"/>
        <w:ind w:right="1132"/>
        <w:jc w:val="both"/>
      </w:pPr>
      <w:r>
        <w:rPr>
          <w:w w:val="95"/>
        </w:rPr>
        <w:t>性资产交换换入的长期股权投资以换出资产的公允价值为基础确定其初始投资成本，除非有确凿证据表明</w:t>
      </w:r>
      <w:r>
        <w:rPr>
          <w:spacing w:val="39"/>
          <w:w w:val="95"/>
        </w:rPr>
        <w:t> </w:t>
      </w:r>
      <w:r>
        <w:rPr>
          <w:spacing w:val="39"/>
          <w:w w:val="95"/>
        </w:rPr>
      </w:r>
      <w:r>
        <w:rPr>
          <w:w w:val="95"/>
        </w:rPr>
        <w:t>换入资产的公允价值更加可靠；不满足上述前提的非货币性资产交换，以换出资产的账面价值和应支付的</w:t>
      </w:r>
      <w:r>
        <w:rPr>
          <w:spacing w:val="40"/>
          <w:w w:val="95"/>
        </w:rPr>
        <w:t> </w:t>
      </w:r>
      <w:r>
        <w:rPr>
          <w:spacing w:val="40"/>
          <w:w w:val="95"/>
        </w:rPr>
      </w:r>
      <w:r>
        <w:rPr/>
        <w:t>相关税费作为换入长期股权投资的初始投资成本。</w:t>
      </w:r>
    </w:p>
    <w:p>
      <w:pPr>
        <w:pStyle w:val="BodyText"/>
        <w:spacing w:line="240" w:lineRule="auto"/>
        <w:ind w:left="532" w:right="2127"/>
        <w:jc w:val="left"/>
      </w:pPr>
      <w:r>
        <w:rPr/>
        <w:t>通过债务重组取得的长期股权投资，其初始投资成本按照公允价值为基础确定。</w:t>
      </w:r>
    </w:p>
    <w:p>
      <w:pPr>
        <w:pStyle w:val="Heading5"/>
        <w:spacing w:line="240" w:lineRule="auto" w:before="37"/>
        <w:ind w:left="535" w:right="2127"/>
        <w:jc w:val="left"/>
        <w:rPr>
          <w:b w:val="0"/>
          <w:bCs w:val="0"/>
        </w:rPr>
      </w:pPr>
      <w:r>
        <w:rPr/>
        <w:t>（2）后续计量及损益确认</w:t>
      </w:r>
      <w:r>
        <w:rPr>
          <w:b w:val="0"/>
          <w:bCs w:val="0"/>
        </w:rPr>
      </w:r>
    </w:p>
    <w:p>
      <w:pPr>
        <w:pStyle w:val="BodyText"/>
        <w:spacing w:line="256" w:lineRule="auto" w:before="37"/>
        <w:ind w:left="532" w:right="1120"/>
        <w:jc w:val="left"/>
      </w:pPr>
      <w:r>
        <w:rPr>
          <w:rFonts w:ascii="Times New Roman" w:hAnsi="Times New Roman" w:cs="Times New Roman" w:eastAsia="Times New Roman" w:hint="default"/>
        </w:rPr>
        <w:t>1</w:t>
      </w:r>
      <w:r>
        <w:rPr/>
        <w:t>）成本法</w:t>
      </w:r>
      <w:r>
        <w:rPr>
          <w:w w:val="99"/>
        </w:rPr>
        <w:t> </w:t>
      </w:r>
      <w:r>
        <w:rPr>
          <w:w w:val="95"/>
        </w:rPr>
        <w:t>本公司能够对被投资单位实施控制的长期股权投资采用成本法核算，并按照初始投资成本计价，追加</w:t>
      </w:r>
      <w:r>
        <w:rPr/>
      </w:r>
    </w:p>
    <w:p>
      <w:pPr>
        <w:pStyle w:val="BodyText"/>
        <w:spacing w:line="240" w:lineRule="auto" w:before="22"/>
        <w:ind w:right="2127"/>
        <w:jc w:val="left"/>
      </w:pPr>
      <w:r>
        <w:rPr/>
        <w:t>或收回投资调整长期股权投资的成本。</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1135" w:firstLine="420"/>
        <w:jc w:val="both"/>
      </w:pPr>
      <w:r>
        <w:rPr>
          <w:w w:val="95"/>
        </w:rPr>
        <w:t>除取得投资时实际支付的价款或对价中包含的已宣告但尚未发放的现金股利或利润外，本公司按照享</w:t>
      </w:r>
      <w:r>
        <w:rPr>
          <w:w w:val="99"/>
        </w:rPr>
        <w:t> </w:t>
      </w:r>
      <w:r>
        <w:rPr/>
        <w:t>有被投资单位宣告分派的现金股利或利润确认为当期投资收益。</w:t>
      </w:r>
    </w:p>
    <w:p>
      <w:pPr>
        <w:pStyle w:val="BodyText"/>
        <w:spacing w:line="256" w:lineRule="auto"/>
        <w:ind w:left="532" w:right="1120"/>
        <w:jc w:val="left"/>
      </w:pPr>
      <w:r>
        <w:rPr>
          <w:rFonts w:ascii="Times New Roman" w:hAnsi="Times New Roman" w:cs="Times New Roman" w:eastAsia="Times New Roman" w:hint="default"/>
        </w:rPr>
        <w:t>2</w:t>
      </w:r>
      <w:r>
        <w:rPr/>
        <w:t>）权益法</w:t>
      </w:r>
      <w:r>
        <w:rPr>
          <w:w w:val="99"/>
        </w:rPr>
        <w:t> </w:t>
      </w:r>
      <w:r>
        <w:rPr>
          <w:w w:val="95"/>
        </w:rPr>
        <w:t>本公司对联营企业和合营企业的长期股权投资采用权益法核算；对于其中一部分通过风险投资机构、</w:t>
      </w:r>
      <w:r>
        <w:rPr/>
      </w:r>
    </w:p>
    <w:p>
      <w:pPr>
        <w:pStyle w:val="BodyText"/>
        <w:spacing w:line="273" w:lineRule="auto" w:before="22"/>
        <w:ind w:right="1135"/>
        <w:jc w:val="both"/>
      </w:pPr>
      <w:r>
        <w:rPr>
          <w:w w:val="95"/>
        </w:rPr>
        <w:t>共同基金、信托公司或包括投连险基金在内的类似主体间接持有的联营企业的权益性投资，采用公允价值</w:t>
      </w:r>
      <w:r>
        <w:rPr>
          <w:spacing w:val="37"/>
          <w:w w:val="95"/>
        </w:rPr>
        <w:t> </w:t>
      </w:r>
      <w:r>
        <w:rPr>
          <w:spacing w:val="37"/>
          <w:w w:val="95"/>
        </w:rPr>
      </w:r>
      <w:r>
        <w:rPr/>
        <w:t>计量且其变动计入损益。</w:t>
      </w:r>
    </w:p>
    <w:p>
      <w:pPr>
        <w:pStyle w:val="BodyText"/>
        <w:spacing w:line="273" w:lineRule="auto"/>
        <w:ind w:right="1132" w:firstLine="420"/>
        <w:jc w:val="both"/>
      </w:pPr>
      <w:r>
        <w:rPr>
          <w:w w:val="95"/>
        </w:rPr>
        <w:t>长期股权投资的初始投资成本大于投资时应享有被投资单位可辨认净资产公允价值份额的差额，不调</w:t>
      </w:r>
      <w:r>
        <w:rPr>
          <w:w w:val="99"/>
        </w:rPr>
        <w:t> </w:t>
      </w:r>
      <w:r>
        <w:rPr>
          <w:w w:val="95"/>
        </w:rPr>
        <w:t>整长期股权投资的初始投资成本；初始投资成本小于投资时应享有被投资单位可辨认净资产公允价值份额</w:t>
      </w:r>
      <w:r>
        <w:rPr>
          <w:spacing w:val="39"/>
          <w:w w:val="95"/>
        </w:rPr>
        <w:t> </w:t>
      </w:r>
      <w:r>
        <w:rPr>
          <w:spacing w:val="39"/>
          <w:w w:val="95"/>
        </w:rPr>
      </w:r>
      <w:r>
        <w:rPr/>
        <w:t>的差额，计入当期损益。</w:t>
      </w:r>
    </w:p>
    <w:p>
      <w:pPr>
        <w:pStyle w:val="BodyText"/>
        <w:spacing w:line="273" w:lineRule="auto"/>
        <w:ind w:right="1130" w:firstLine="420"/>
        <w:jc w:val="both"/>
      </w:pPr>
      <w:r>
        <w:rPr>
          <w:spacing w:val="4"/>
        </w:rPr>
        <w:t>本公司取得长期股权投资后，按照应享有或应分担的被投资单位实现的净损益和其他综合收益的份</w:t>
      </w:r>
      <w:r>
        <w:rPr>
          <w:w w:val="99"/>
        </w:rPr>
        <w:t> </w:t>
      </w:r>
      <w:r>
        <w:rPr>
          <w:w w:val="95"/>
        </w:rPr>
        <w:t>额，分别确认投资收益和其他综合收益，同时调整长期股权投资的账面价值；并按照被投资单位宣告分派</w:t>
      </w:r>
      <w:r>
        <w:rPr>
          <w:spacing w:val="43"/>
          <w:w w:val="95"/>
        </w:rPr>
        <w:t> </w:t>
      </w:r>
      <w:r>
        <w:rPr>
          <w:spacing w:val="43"/>
          <w:w w:val="95"/>
        </w:rPr>
      </w:r>
      <w:r>
        <w:rPr>
          <w:w w:val="95"/>
        </w:rPr>
        <w:t>的利润或现金股利计算应享有的部分，相应减少长期股权投资的账面价值；对于被投资单位除净损益、其</w:t>
      </w:r>
      <w:r>
        <w:rPr>
          <w:spacing w:val="43"/>
          <w:w w:val="95"/>
        </w:rPr>
        <w:t> </w:t>
      </w:r>
      <w:r>
        <w:rPr>
          <w:spacing w:val="43"/>
          <w:w w:val="95"/>
        </w:rPr>
      </w:r>
      <w:r>
        <w:rPr/>
        <w:t>他综合收益和利润分配以外所有者权益的其他变动，调整长期股权投资的账面价值并计入所有者权益。</w:t>
      </w:r>
    </w:p>
    <w:p>
      <w:pPr>
        <w:pStyle w:val="BodyText"/>
        <w:spacing w:line="273" w:lineRule="auto"/>
        <w:ind w:right="1132" w:firstLine="420"/>
        <w:jc w:val="both"/>
      </w:pPr>
      <w:r>
        <w:rPr>
          <w:w w:val="95"/>
        </w:rPr>
        <w:t>本公司在确认应享有被投资单位净损益的份额时，以取得投资时被投资单位各项可辨认资产等的公允</w:t>
      </w:r>
      <w:r>
        <w:rPr>
          <w:w w:val="99"/>
        </w:rPr>
        <w:t> </w:t>
      </w:r>
      <w:r>
        <w:rPr>
          <w:w w:val="95"/>
        </w:rPr>
        <w:t>价值为基础，对被投资单位的净利润进行调整后确认。本公司与联营企业、合营企业之间发生的未实现内</w:t>
      </w:r>
      <w:r>
        <w:rPr>
          <w:spacing w:val="40"/>
          <w:w w:val="95"/>
        </w:rPr>
        <w:t> </w:t>
      </w:r>
      <w:r>
        <w:rPr>
          <w:spacing w:val="40"/>
          <w:w w:val="95"/>
        </w:rPr>
      </w:r>
      <w:r>
        <w:rPr/>
        <w:t>部交易损益按照应享有的比例计算归属于本公司的部分予以抵销，在此基础上确认投资损益。</w:t>
      </w:r>
    </w:p>
    <w:p>
      <w:pPr>
        <w:pStyle w:val="BodyText"/>
        <w:spacing w:line="273" w:lineRule="auto"/>
        <w:ind w:right="1130" w:firstLine="420"/>
        <w:jc w:val="both"/>
      </w:pPr>
      <w:r>
        <w:rPr>
          <w:w w:val="95"/>
        </w:rPr>
        <w:t>本公司确认应分担被投资单位发生的亏损时，按照以下顺序进行处理：首先，冲减长期股权投资的账</w:t>
      </w:r>
      <w:r>
        <w:rPr>
          <w:spacing w:val="-97"/>
          <w:w w:val="95"/>
        </w:rPr>
        <w:t> </w:t>
      </w:r>
      <w:r>
        <w:rPr>
          <w:spacing w:val="-97"/>
          <w:w w:val="95"/>
        </w:rPr>
      </w:r>
      <w:r>
        <w:rPr>
          <w:w w:val="95"/>
        </w:rPr>
        <w:t>面价值。其次，长期股权投资的账面价值不足以冲减的，以其他实质上构成对被投资单位净投资的长期权</w:t>
      </w:r>
      <w:r>
        <w:rPr>
          <w:spacing w:val="40"/>
          <w:w w:val="95"/>
        </w:rPr>
        <w:t> </w:t>
      </w:r>
      <w:r>
        <w:rPr>
          <w:spacing w:val="40"/>
          <w:w w:val="95"/>
        </w:rPr>
      </w:r>
      <w:r>
        <w:rPr>
          <w:w w:val="95"/>
        </w:rPr>
        <w:t>益账面价值为限继续确认投资损失，冲减长期应收项目等的账面价值。最后，经过上述处理，按照投资合</w:t>
      </w:r>
      <w:r>
        <w:rPr>
          <w:spacing w:val="40"/>
          <w:w w:val="95"/>
        </w:rPr>
        <w:t> </w:t>
      </w:r>
      <w:r>
        <w:rPr>
          <w:spacing w:val="40"/>
          <w:w w:val="95"/>
        </w:rPr>
      </w:r>
      <w:r>
        <w:rPr/>
        <w:t>同或协议约定企业仍承担额外义务的，按预计承担的义务确认预计负债，计入当期投资损失。</w:t>
      </w:r>
    </w:p>
    <w:p>
      <w:pPr>
        <w:pStyle w:val="BodyText"/>
        <w:spacing w:line="273" w:lineRule="auto"/>
        <w:ind w:right="1130" w:firstLine="420"/>
        <w:jc w:val="both"/>
      </w:pPr>
      <w:r>
        <w:rPr>
          <w:w w:val="95"/>
        </w:rPr>
        <w:t>被投资单位以后期间实现盈利的，公司在扣除未确认的亏损分担额后，按与上述相反的顺序处理，减</w:t>
      </w:r>
      <w:r>
        <w:rPr>
          <w:spacing w:val="-97"/>
          <w:w w:val="95"/>
        </w:rPr>
        <w:t> </w:t>
      </w:r>
      <w:r>
        <w:rPr>
          <w:spacing w:val="-97"/>
          <w:w w:val="95"/>
        </w:rPr>
      </w:r>
      <w:r>
        <w:rPr>
          <w:w w:val="95"/>
        </w:rPr>
        <w:t>记已确认预计负债的账面余额、恢复其他实质上构成对被投资单位净投资的长期权益及长期股权投资的账</w:t>
      </w:r>
      <w:r>
        <w:rPr>
          <w:spacing w:val="37"/>
          <w:w w:val="95"/>
        </w:rPr>
        <w:t> </w:t>
      </w:r>
      <w:r>
        <w:rPr>
          <w:spacing w:val="37"/>
          <w:w w:val="95"/>
        </w:rPr>
      </w:r>
      <w:r>
        <w:rPr/>
        <w:t>面价值后，恢复确认投资收益。</w:t>
      </w:r>
    </w:p>
    <w:p>
      <w:pPr>
        <w:pStyle w:val="Heading5"/>
        <w:spacing w:line="240" w:lineRule="auto" w:before="7"/>
        <w:ind w:left="535" w:right="2127"/>
        <w:jc w:val="left"/>
        <w:rPr>
          <w:b w:val="0"/>
          <w:bCs w:val="0"/>
        </w:rPr>
      </w:pPr>
      <w:r>
        <w:rPr/>
        <w:t>（3）长期股权投资核算方法的转换</w:t>
      </w:r>
      <w:r>
        <w:rPr>
          <w:b w:val="0"/>
          <w:bCs w:val="0"/>
        </w:rPr>
      </w:r>
    </w:p>
    <w:p>
      <w:pPr>
        <w:pStyle w:val="BodyText"/>
        <w:spacing w:line="256" w:lineRule="auto" w:before="37"/>
        <w:ind w:left="532" w:right="0"/>
        <w:jc w:val="left"/>
      </w:pPr>
      <w:r>
        <w:rPr>
          <w:rFonts w:ascii="Times New Roman" w:hAnsi="Times New Roman" w:cs="Times New Roman" w:eastAsia="Times New Roman" w:hint="default"/>
        </w:rPr>
        <w:t>1</w:t>
      </w:r>
      <w:r>
        <w:rPr/>
        <w:t>）公允价值计量转权益法核算</w:t>
      </w:r>
      <w:r>
        <w:rPr>
          <w:w w:val="99"/>
        </w:rPr>
        <w:t> </w:t>
      </w:r>
      <w:r>
        <w:rPr>
          <w:w w:val="95"/>
        </w:rPr>
        <w:t>本公司原持有的对被投资单位不具有控制、共同控制或重大影响的按金融工具确认和计量准则进行会</w:t>
      </w:r>
      <w:r>
        <w:rPr/>
      </w:r>
    </w:p>
    <w:p>
      <w:pPr>
        <w:pStyle w:val="BodyText"/>
        <w:spacing w:line="264" w:lineRule="auto" w:before="22"/>
        <w:ind w:right="1130"/>
        <w:jc w:val="both"/>
      </w:pPr>
      <w:r>
        <w:rPr>
          <w:spacing w:val="4"/>
        </w:rPr>
        <w:t>计处理的权益性投资，因追加投资等原因能够对被投资单位施加重大影响或实施共同控制但不构成控制</w:t>
      </w:r>
      <w:r>
        <w:rPr>
          <w:w w:val="99"/>
        </w:rPr>
        <w:t> </w:t>
      </w:r>
      <w:r>
        <w:rPr>
          <w:w w:val="95"/>
        </w:rPr>
        <w:t>的，按照《企业会计准则第</w:t>
      </w:r>
      <w:r>
        <w:rPr>
          <w:rFonts w:ascii="Times New Roman" w:hAnsi="Times New Roman" w:cs="Times New Roman" w:eastAsia="Times New Roman" w:hint="default"/>
          <w:w w:val="95"/>
        </w:rPr>
        <w:t>22</w:t>
      </w:r>
      <w:r>
        <w:rPr>
          <w:w w:val="95"/>
        </w:rPr>
        <w:t>号——金融工具确认和计量》确定的原持有的股权投资的公允价值加上新增</w:t>
      </w:r>
      <w:r>
        <w:rPr>
          <w:spacing w:val="43"/>
          <w:w w:val="95"/>
        </w:rPr>
        <w:t> </w:t>
      </w:r>
      <w:r>
        <w:rPr>
          <w:spacing w:val="43"/>
          <w:w w:val="95"/>
        </w:rPr>
      </w:r>
      <w:r>
        <w:rPr/>
        <w:t>投资成本之和，作为改按权益法核算的初始投资成本。</w:t>
      </w:r>
    </w:p>
    <w:p>
      <w:pPr>
        <w:pStyle w:val="BodyText"/>
        <w:spacing w:line="273" w:lineRule="auto" w:before="16"/>
        <w:ind w:right="1132" w:firstLine="420"/>
        <w:jc w:val="both"/>
      </w:pPr>
      <w:r>
        <w:rPr>
          <w:w w:val="95"/>
        </w:rPr>
        <w:t>原持有的股权投资分类为可供出售金融资产的，其公允价值与账面价值之间的差额，以及原计入其他</w:t>
      </w:r>
      <w:r>
        <w:rPr>
          <w:w w:val="99"/>
        </w:rPr>
        <w:t> </w:t>
      </w:r>
      <w:r>
        <w:rPr/>
        <w:t>综合收益的累计公允价值变动转入改按权益法核算的当期损益。</w:t>
      </w:r>
    </w:p>
    <w:p>
      <w:pPr>
        <w:pStyle w:val="BodyText"/>
        <w:spacing w:line="273" w:lineRule="auto"/>
        <w:ind w:right="1132" w:firstLine="420"/>
        <w:jc w:val="both"/>
      </w:pPr>
      <w:r>
        <w:rPr>
          <w:spacing w:val="4"/>
        </w:rPr>
        <w:t>按权益法核算的初始投资成本小于按照追加投资后全新的持股比例计算确定的应享有被投资单位在</w:t>
      </w:r>
      <w:r>
        <w:rPr>
          <w:w w:val="99"/>
        </w:rPr>
        <w:t> </w:t>
      </w:r>
      <w:r>
        <w:rPr>
          <w:w w:val="95"/>
        </w:rPr>
        <w:t>追加投资日可辨认净资产公允价值份额之间的差额，调整长期股权投资的账面价值，并计入当期营业外收   </w:t>
      </w:r>
      <w:r>
        <w:rPr>
          <w:spacing w:val="40"/>
          <w:w w:val="95"/>
        </w:rPr>
        <w:t> </w:t>
      </w:r>
      <w:r>
        <w:rPr>
          <w:spacing w:val="40"/>
          <w:w w:val="95"/>
        </w:rPr>
      </w:r>
      <w:r>
        <w:rPr/>
        <w:t>入。</w:t>
      </w:r>
    </w:p>
    <w:p>
      <w:pPr>
        <w:pStyle w:val="BodyText"/>
        <w:spacing w:line="273" w:lineRule="auto"/>
        <w:ind w:left="532" w:right="0"/>
        <w:jc w:val="left"/>
      </w:pPr>
      <w:r>
        <w:rPr/>
        <w:t>2）公允价值计量或权益法核算转成本法核算</w:t>
      </w:r>
      <w:r>
        <w:rPr>
          <w:w w:val="99"/>
        </w:rPr>
        <w:t> </w:t>
      </w:r>
      <w:r>
        <w:rPr>
          <w:w w:val="95"/>
        </w:rPr>
        <w:t>本公司原持有的对被投资单位不具有控制、共同控制或重大影响的按金融工具确认和计量准则进行会</w:t>
      </w:r>
      <w:r>
        <w:rPr/>
      </w:r>
    </w:p>
    <w:p>
      <w:pPr>
        <w:pStyle w:val="BodyText"/>
        <w:spacing w:line="273" w:lineRule="auto"/>
        <w:ind w:right="1130"/>
        <w:jc w:val="both"/>
      </w:pPr>
      <w:r>
        <w:rPr>
          <w:w w:val="95"/>
        </w:rPr>
        <w:t>计处理的权益性投资，或原持有对联营企业、合营企业的长期股权投资，因追加投资等原因能够对非同一</w:t>
      </w:r>
      <w:r>
        <w:rPr>
          <w:spacing w:val="43"/>
          <w:w w:val="95"/>
        </w:rPr>
        <w:t> </w:t>
      </w:r>
      <w:r>
        <w:rPr>
          <w:spacing w:val="43"/>
          <w:w w:val="95"/>
        </w:rPr>
      </w:r>
      <w:r>
        <w:rPr>
          <w:w w:val="95"/>
        </w:rPr>
        <w:t>控制下的被投资单位实施控制的，在编制个别财务报表时，按照原持有的股权投资账面价值加上新增投资</w:t>
      </w:r>
      <w:r>
        <w:rPr>
          <w:spacing w:val="37"/>
          <w:w w:val="95"/>
        </w:rPr>
        <w:t> </w:t>
      </w:r>
      <w:r>
        <w:rPr>
          <w:spacing w:val="37"/>
          <w:w w:val="95"/>
        </w:rPr>
      </w:r>
      <w:r>
        <w:rPr/>
        <w:t>成本之和，作为改按成本法核算的初始投资成本。</w:t>
      </w:r>
    </w:p>
    <w:p>
      <w:pPr>
        <w:pStyle w:val="BodyText"/>
        <w:spacing w:line="273" w:lineRule="auto"/>
        <w:ind w:right="0" w:firstLine="420"/>
        <w:jc w:val="left"/>
      </w:pPr>
      <w:r>
        <w:rPr>
          <w:w w:val="95"/>
        </w:rPr>
        <w:t>购买日之前持有的股权投资因采用权益法核算而确认的其他综合收益，在处置该项投资时采用与被投</w:t>
      </w:r>
      <w:r>
        <w:rPr>
          <w:w w:val="99"/>
        </w:rPr>
        <w:t> </w:t>
      </w:r>
      <w:r>
        <w:rPr/>
        <w:t>资单位直接处置相关资产或负债相同的基础进行会计处理。</w:t>
      </w:r>
    </w:p>
    <w:p>
      <w:pPr>
        <w:pStyle w:val="BodyText"/>
        <w:spacing w:line="256" w:lineRule="auto"/>
        <w:ind w:right="0" w:firstLine="420"/>
        <w:jc w:val="left"/>
      </w:pPr>
      <w:r>
        <w:rPr>
          <w:w w:val="95"/>
        </w:rPr>
        <w:t>购买日之前持有的股权投资按照《企业会计准则第</w:t>
      </w:r>
      <w:r>
        <w:rPr>
          <w:rFonts w:ascii="Times New Roman" w:hAnsi="Times New Roman" w:cs="Times New Roman" w:eastAsia="Times New Roman" w:hint="default"/>
          <w:w w:val="95"/>
        </w:rPr>
        <w:t>22</w:t>
      </w:r>
      <w:r>
        <w:rPr>
          <w:w w:val="95"/>
        </w:rPr>
        <w:t>号——金融工具确认和计量》的有关规定进行会</w:t>
      </w:r>
      <w:r>
        <w:rPr>
          <w:w w:val="99"/>
        </w:rPr>
        <w:t> </w:t>
      </w:r>
      <w:r>
        <w:rPr/>
        <w:t>计处理的，原计入其他综合收益的累计公允价值变动在改按成本法核算时转入当期损益。</w:t>
      </w:r>
    </w:p>
    <w:p>
      <w:pPr>
        <w:pStyle w:val="BodyText"/>
        <w:spacing w:line="240" w:lineRule="auto" w:before="22"/>
        <w:ind w:left="532" w:right="2127"/>
        <w:jc w:val="left"/>
      </w:pPr>
      <w:r>
        <w:rPr/>
        <w:t>3）权益法核算转公允价值计量</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64" w:lineRule="auto" w:before="34"/>
        <w:ind w:right="1132" w:firstLine="420"/>
        <w:jc w:val="both"/>
      </w:pPr>
      <w:r>
        <w:rPr>
          <w:w w:val="95"/>
        </w:rPr>
        <w:t>本公司因处置部分股权投资等原因丧失了对被投资单位的共同控制或重大影响的，处置后的剩余股权</w:t>
      </w:r>
      <w:r>
        <w:rPr>
          <w:w w:val="99"/>
        </w:rPr>
        <w:t> </w:t>
      </w:r>
      <w:r>
        <w:rPr>
          <w:w w:val="95"/>
        </w:rPr>
        <w:t>改按《企业会计准则第</w:t>
      </w:r>
      <w:r>
        <w:rPr>
          <w:rFonts w:ascii="Times New Roman" w:hAnsi="Times New Roman" w:cs="Times New Roman" w:eastAsia="Times New Roman" w:hint="default"/>
          <w:w w:val="95"/>
        </w:rPr>
        <w:t>22</w:t>
      </w:r>
      <w:r>
        <w:rPr>
          <w:w w:val="95"/>
        </w:rPr>
        <w:t>号——金融工具确认和计量》核算，其在丧失共同控制或重大影响之日的公允价</w:t>
      </w:r>
      <w:r>
        <w:rPr>
          <w:spacing w:val="40"/>
          <w:w w:val="95"/>
        </w:rPr>
        <w:t> </w:t>
      </w:r>
      <w:r>
        <w:rPr>
          <w:spacing w:val="40"/>
          <w:w w:val="95"/>
        </w:rPr>
      </w:r>
      <w:r>
        <w:rPr/>
        <w:t>值与账面价值之间的差额计入当期损益。</w:t>
      </w:r>
    </w:p>
    <w:p>
      <w:pPr>
        <w:pStyle w:val="BodyText"/>
        <w:spacing w:line="273" w:lineRule="auto" w:before="16"/>
        <w:ind w:right="0" w:firstLine="420"/>
        <w:jc w:val="left"/>
      </w:pPr>
      <w:r>
        <w:rPr>
          <w:w w:val="95"/>
        </w:rPr>
        <w:t>原股权投资因采用权益法核算而确认的其他综合收益，在终止采用权益法核算时采用与被投资单位直</w:t>
      </w:r>
      <w:r>
        <w:rPr>
          <w:w w:val="99"/>
        </w:rPr>
        <w:t> </w:t>
      </w:r>
      <w:r>
        <w:rPr/>
        <w:t>接处置相关资产或负债相同的基础进行会计处理。</w:t>
      </w:r>
    </w:p>
    <w:p>
      <w:pPr>
        <w:pStyle w:val="BodyText"/>
        <w:spacing w:line="273" w:lineRule="auto"/>
        <w:ind w:left="532" w:right="0"/>
        <w:jc w:val="left"/>
      </w:pPr>
      <w:r>
        <w:rPr/>
        <w:t>4）成本法转权益法</w:t>
      </w:r>
      <w:r>
        <w:rPr>
          <w:w w:val="99"/>
        </w:rPr>
        <w:t> </w:t>
      </w:r>
      <w:r>
        <w:rPr>
          <w:w w:val="95"/>
        </w:rPr>
        <w:t>本公司因处置部分权益性投资等原因丧失了对被投资单位的控制的，在编制个别财务报表时，处置后</w:t>
      </w:r>
      <w:r>
        <w:rPr/>
      </w:r>
    </w:p>
    <w:p>
      <w:pPr>
        <w:pStyle w:val="BodyText"/>
        <w:spacing w:line="273" w:lineRule="auto"/>
        <w:ind w:right="1135"/>
        <w:jc w:val="both"/>
      </w:pPr>
      <w:r>
        <w:rPr>
          <w:w w:val="95"/>
        </w:rPr>
        <w:t>的剩余股权能够对被投资单位实施共同控制或施加重大影响的，改按权益法核算，并对该剩余股权视同自</w:t>
      </w:r>
      <w:r>
        <w:rPr>
          <w:spacing w:val="37"/>
          <w:w w:val="95"/>
        </w:rPr>
        <w:t> </w:t>
      </w:r>
      <w:r>
        <w:rPr>
          <w:spacing w:val="37"/>
          <w:w w:val="95"/>
        </w:rPr>
      </w:r>
      <w:r>
        <w:rPr/>
        <w:t>取得时即采用权益法核算进行调整。</w:t>
      </w:r>
    </w:p>
    <w:p>
      <w:pPr>
        <w:pStyle w:val="BodyText"/>
        <w:spacing w:line="273" w:lineRule="auto"/>
        <w:ind w:left="532" w:right="0"/>
        <w:jc w:val="left"/>
      </w:pPr>
      <w:r>
        <w:rPr/>
        <w:t>5）成本法转公允价值计量</w:t>
      </w:r>
      <w:r>
        <w:rPr>
          <w:w w:val="99"/>
        </w:rPr>
        <w:t> </w:t>
      </w:r>
      <w:r>
        <w:rPr>
          <w:w w:val="95"/>
        </w:rPr>
        <w:t>本公司因处置部分权益性投资等原因丧失了对被投资单位的控制的，在编制个别财务报表时，处置后</w:t>
      </w:r>
      <w:r>
        <w:rPr/>
      </w:r>
    </w:p>
    <w:p>
      <w:pPr>
        <w:pStyle w:val="BodyText"/>
        <w:spacing w:line="256" w:lineRule="auto"/>
        <w:ind w:right="1025"/>
        <w:jc w:val="left"/>
      </w:pPr>
      <w:r>
        <w:rPr/>
        <w:t>的剩余股权不能对被投资单位实施共同控制或施加重大影响的，改按《企业会计准则第</w:t>
      </w:r>
      <w:r>
        <w:rPr>
          <w:rFonts w:ascii="Times New Roman" w:hAnsi="Times New Roman" w:cs="Times New Roman" w:eastAsia="Times New Roman" w:hint="default"/>
        </w:rPr>
        <w:t>22</w:t>
      </w:r>
      <w:r>
        <w:rPr/>
        <w:t>号——金融工具</w:t>
      </w:r>
      <w:r>
        <w:rPr>
          <w:w w:val="99"/>
        </w:rPr>
        <w:t> </w:t>
      </w:r>
      <w:r>
        <w:rPr>
          <w:spacing w:val="-3"/>
        </w:rPr>
        <w:t>确认和计量》的有关规定进行会计处理，其在丧失控制之日的公允价值与账面价值间的差额计入当期损益。</w:t>
      </w:r>
    </w:p>
    <w:p>
      <w:pPr>
        <w:spacing w:line="273" w:lineRule="auto" w:before="22"/>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（4）长期股权投资的处置</w:t>
      </w:r>
      <w:r>
        <w:rPr>
          <w:rFonts w:ascii="宋体" w:hAnsi="宋体" w:cs="宋体" w:eastAsia="宋体" w:hint="default"/>
          <w:b/>
          <w:bCs/>
          <w:w w:val="99"/>
          <w:sz w:val="21"/>
          <w:szCs w:val="21"/>
        </w:rPr>
        <w:t> </w:t>
      </w:r>
      <w:r>
        <w:rPr>
          <w:rFonts w:ascii="宋体" w:hAnsi="宋体" w:cs="宋体" w:eastAsia="宋体" w:hint="default"/>
          <w:w w:val="95"/>
          <w:sz w:val="21"/>
          <w:szCs w:val="21"/>
        </w:rPr>
        <w:t>处置长期股权投资，其账面价值与实际取得价款之间的差额，应当计入当期损益。采用权益法核算的</w:t>
      </w:r>
      <w:r>
        <w:rPr>
          <w:rFonts w:ascii="宋体" w:hAnsi="宋体" w:cs="宋体" w:eastAsia="宋体" w:hint="default"/>
          <w:sz w:val="21"/>
          <w:szCs w:val="21"/>
        </w:rPr>
      </w:r>
    </w:p>
    <w:p>
      <w:pPr>
        <w:pStyle w:val="BodyText"/>
        <w:spacing w:line="273" w:lineRule="auto"/>
        <w:ind w:right="1132"/>
        <w:jc w:val="both"/>
      </w:pPr>
      <w:r>
        <w:rPr>
          <w:w w:val="95"/>
        </w:rPr>
        <w:t>长期股权投资，在处置该项投资时，采用与被投资单位直接处置相关资产或负债相同的基础，按相应比例</w:t>
      </w:r>
      <w:r>
        <w:rPr>
          <w:spacing w:val="40"/>
          <w:w w:val="95"/>
        </w:rPr>
        <w:t> </w:t>
      </w:r>
      <w:r>
        <w:rPr>
          <w:spacing w:val="40"/>
          <w:w w:val="95"/>
        </w:rPr>
      </w:r>
      <w:r>
        <w:rPr/>
        <w:t>对原计入其他综合收益的部分进行会计处理。</w:t>
      </w:r>
    </w:p>
    <w:p>
      <w:pPr>
        <w:pStyle w:val="BodyText"/>
        <w:spacing w:line="273" w:lineRule="auto" w:before="8"/>
        <w:ind w:right="0" w:firstLine="420"/>
        <w:jc w:val="left"/>
      </w:pPr>
      <w:r>
        <w:rPr>
          <w:w w:val="95"/>
        </w:rPr>
        <w:t>处置对子公司股权投资的各项交易的条款、条件以及经济影响符合以下一种或多种情况，将多次交易</w:t>
      </w:r>
      <w:r>
        <w:rPr>
          <w:w w:val="99"/>
        </w:rPr>
        <w:t> </w:t>
      </w:r>
      <w:r>
        <w:rPr/>
        <w:t>事项作为一揽子交易进行会计处理：</w:t>
      </w:r>
    </w:p>
    <w:p>
      <w:pPr>
        <w:pStyle w:val="BodyText"/>
        <w:spacing w:line="240" w:lineRule="auto"/>
        <w:ind w:left="532" w:right="2127"/>
        <w:jc w:val="left"/>
      </w:pPr>
      <w:r>
        <w:rPr/>
        <w:t>1）这些交易是同时或者在考虑了彼此影响的情况下订立的；</w:t>
      </w:r>
    </w:p>
    <w:p>
      <w:pPr>
        <w:pStyle w:val="BodyText"/>
        <w:spacing w:line="240" w:lineRule="auto" w:before="37"/>
        <w:ind w:left="532" w:right="2127"/>
        <w:jc w:val="left"/>
      </w:pPr>
      <w:r>
        <w:rPr/>
        <w:t>2）这些交易整体才能达成一项完整的商业结果；</w:t>
      </w:r>
    </w:p>
    <w:p>
      <w:pPr>
        <w:pStyle w:val="BodyText"/>
        <w:spacing w:line="240" w:lineRule="auto" w:before="37"/>
        <w:ind w:left="532" w:right="2127"/>
        <w:jc w:val="left"/>
      </w:pPr>
      <w:r>
        <w:rPr/>
        <w:t>3）一项交易的发生取决于其他至少一项交易的发生；</w:t>
      </w:r>
    </w:p>
    <w:p>
      <w:pPr>
        <w:pStyle w:val="BodyText"/>
        <w:spacing w:line="273" w:lineRule="auto" w:before="37"/>
        <w:ind w:left="532" w:right="0"/>
        <w:jc w:val="left"/>
      </w:pPr>
      <w:r>
        <w:rPr/>
        <w:t>4）一项交易单独看是不经济的，但是和其他交易一并考虑时是经济的。</w:t>
      </w:r>
      <w:r>
        <w:rPr>
          <w:w w:val="99"/>
        </w:rPr>
        <w:t> </w:t>
      </w:r>
      <w:r>
        <w:rPr>
          <w:w w:val="95"/>
        </w:rPr>
        <w:t>因处置部分股权投资或其他原因丧失了对原有子公司控制权的，不属于一揽子交易的，区分个别财务</w:t>
      </w:r>
      <w:r>
        <w:rPr/>
      </w:r>
    </w:p>
    <w:p>
      <w:pPr>
        <w:pStyle w:val="BodyText"/>
        <w:spacing w:line="273" w:lineRule="auto"/>
        <w:ind w:left="532" w:right="0" w:hanging="420"/>
        <w:jc w:val="left"/>
      </w:pPr>
      <w:r>
        <w:rPr/>
        <w:t>报表和合并财务报表进行相关会计处理：</w:t>
      </w:r>
      <w:r>
        <w:rPr>
          <w:w w:val="99"/>
        </w:rPr>
        <w:t> </w:t>
      </w:r>
      <w:r>
        <w:rPr>
          <w:spacing w:val="2"/>
          <w:w w:val="95"/>
        </w:rPr>
        <w:t>1）在个别财务报表中，对于处置的股权，其账面价值与实际取得价款之间的差额计入当期损益。处</w:t>
      </w:r>
      <w:r>
        <w:rPr>
          <w:spacing w:val="2"/>
        </w:rPr>
      </w:r>
    </w:p>
    <w:p>
      <w:pPr>
        <w:pStyle w:val="BodyText"/>
        <w:spacing w:line="273" w:lineRule="auto"/>
        <w:ind w:right="1132"/>
        <w:jc w:val="both"/>
      </w:pPr>
      <w:r>
        <w:rPr>
          <w:w w:val="95"/>
        </w:rPr>
        <w:t>置后的剩余股权能够对被投资单位实施共同控制或施加重大影响的，改按权益法核算，并对该剩余股权视</w:t>
      </w:r>
      <w:r>
        <w:rPr>
          <w:spacing w:val="37"/>
          <w:w w:val="95"/>
        </w:rPr>
        <w:t> </w:t>
      </w:r>
      <w:r>
        <w:rPr>
          <w:spacing w:val="37"/>
          <w:w w:val="95"/>
        </w:rPr>
      </w:r>
      <w:r>
        <w:rPr>
          <w:w w:val="95"/>
        </w:rPr>
        <w:t>同自取得时即采用权益法核算进行调整；处置后的剩余股权不能对被投资单位实施共同控制或施加重大影</w:t>
      </w:r>
      <w:r>
        <w:rPr>
          <w:spacing w:val="37"/>
          <w:w w:val="95"/>
        </w:rPr>
        <w:t> </w:t>
      </w:r>
      <w:r>
        <w:rPr>
          <w:spacing w:val="37"/>
          <w:w w:val="95"/>
        </w:rPr>
      </w:r>
      <w:r>
        <w:rPr>
          <w:w w:val="95"/>
        </w:rPr>
        <w:t>响的，改按《企业会计准则第22号——金融工具确认和计量》的有关规定进行会计处理，其在丧失控制之</w:t>
      </w:r>
      <w:r>
        <w:rPr>
          <w:spacing w:val="42"/>
          <w:w w:val="95"/>
        </w:rPr>
        <w:t> </w:t>
      </w:r>
      <w:r>
        <w:rPr>
          <w:spacing w:val="42"/>
          <w:w w:val="95"/>
        </w:rPr>
      </w:r>
      <w:r>
        <w:rPr/>
        <w:t>日的公允价值与账面价值间的差额计入当期损益。</w:t>
      </w:r>
    </w:p>
    <w:p>
      <w:pPr>
        <w:pStyle w:val="BodyText"/>
        <w:spacing w:line="273" w:lineRule="auto"/>
        <w:ind w:right="0" w:firstLine="420"/>
        <w:jc w:val="left"/>
      </w:pPr>
      <w:r>
        <w:rPr>
          <w:spacing w:val="2"/>
        </w:rPr>
        <w:t>2）在合并财务报表中，对于在丧失对子公司控制权以前的各项交易，处置价款与处置长期股权投资</w:t>
      </w:r>
      <w:r>
        <w:rPr>
          <w:w w:val="99"/>
        </w:rPr>
        <w:t> </w:t>
      </w:r>
      <w:r>
        <w:rPr>
          <w:spacing w:val="-3"/>
          <w:w w:val="99"/>
        </w:rPr>
        <w:t>相应对享有子公司自购买日或合并日开始持续计算的净资产份额之间的差额，调整资本公积（股本溢价），</w:t>
      </w:r>
      <w:r>
        <w:rPr>
          <w:spacing w:val="-65"/>
          <w:w w:val="99"/>
        </w:rPr>
        <w:t> </w:t>
      </w:r>
      <w:r>
        <w:rPr>
          <w:spacing w:val="-65"/>
          <w:w w:val="99"/>
        </w:rPr>
      </w:r>
      <w:r>
        <w:rPr/>
        <w:t>资本公积不足冲减的，调整留存收益；在丧失对子公司控制权时，对于剩余股权，按照其在丧失控制权日</w:t>
      </w:r>
      <w:r>
        <w:rPr>
          <w:w w:val="99"/>
        </w:rPr>
        <w:t> </w:t>
      </w:r>
      <w:r>
        <w:rPr/>
        <w:t>的公允价值进行重新计量。处置股权取得的对价与剩余股权公允价值之和，减去按原持股比例计算应享有</w:t>
      </w:r>
      <w:r>
        <w:rPr>
          <w:w w:val="99"/>
        </w:rPr>
        <w:t> </w:t>
      </w:r>
      <w:r>
        <w:rPr/>
        <w:t>原有子公司自购买日开始持续计算的净资产的份额之间的差额，计入丧失控制权当期的投资收益，同时冲</w:t>
      </w:r>
      <w:r>
        <w:rPr>
          <w:w w:val="99"/>
        </w:rPr>
        <w:t> </w:t>
      </w:r>
      <w:r>
        <w:rPr/>
        <w:t>减商誉。与原有子公司股权投资相关的其他综合收益等，在丧失控制权时转为当期投资收益。</w:t>
      </w:r>
    </w:p>
    <w:p>
      <w:pPr>
        <w:pStyle w:val="BodyText"/>
        <w:spacing w:line="273" w:lineRule="auto"/>
        <w:ind w:right="0" w:firstLine="420"/>
        <w:jc w:val="left"/>
      </w:pPr>
      <w:r>
        <w:rPr>
          <w:w w:val="95"/>
        </w:rPr>
        <w:t>处置对子公司股权投资直至丧失控制权的各项交易属于一揽子交易的，将各项交易作为一项处置子公</w:t>
      </w:r>
      <w:r>
        <w:rPr>
          <w:w w:val="99"/>
        </w:rPr>
        <w:t> </w:t>
      </w:r>
      <w:r>
        <w:rPr/>
        <w:t>司股权投资并丧失控制权的交易进行会计处理，区分个别财务报表和合并财务报表进行相关会计处理：</w:t>
      </w:r>
    </w:p>
    <w:p>
      <w:pPr>
        <w:pStyle w:val="BodyText"/>
        <w:spacing w:line="256" w:lineRule="auto" w:before="8"/>
        <w:ind w:right="0" w:firstLine="420"/>
        <w:jc w:val="left"/>
      </w:pPr>
      <w:r>
        <w:rPr>
          <w:rFonts w:ascii="Times New Roman" w:hAnsi="Times New Roman" w:cs="Times New Roman" w:eastAsia="Times New Roman" w:hint="default"/>
          <w:spacing w:val="2"/>
          <w:w w:val="95"/>
        </w:rPr>
        <w:t>1</w:t>
      </w:r>
      <w:r>
        <w:rPr>
          <w:spacing w:val="2"/>
          <w:w w:val="95"/>
        </w:rPr>
        <w:t>）在个别财务报表中，在丧失控制权之前每一次处置价款与处置的股权对应的长期股权投资账面价</w:t>
      </w:r>
      <w:r>
        <w:rPr>
          <w:spacing w:val="-82"/>
          <w:w w:val="95"/>
        </w:rPr>
        <w:t> </w:t>
      </w:r>
      <w:r>
        <w:rPr>
          <w:spacing w:val="-82"/>
          <w:w w:val="95"/>
        </w:rPr>
      </w:r>
      <w:r>
        <w:rPr/>
        <w:t>值之间的差额，确认为其他综合收益，在丧失控制权时一并转入丧失控制权当期的损益。</w:t>
      </w:r>
    </w:p>
    <w:p>
      <w:pPr>
        <w:pStyle w:val="BodyText"/>
        <w:spacing w:line="256" w:lineRule="auto" w:before="22"/>
        <w:ind w:right="0" w:firstLine="420"/>
        <w:jc w:val="left"/>
      </w:pPr>
      <w:r>
        <w:rPr>
          <w:rFonts w:ascii="Times New Roman" w:hAnsi="Times New Roman" w:cs="Times New Roman" w:eastAsia="Times New Roman" w:hint="default"/>
          <w:spacing w:val="2"/>
          <w:w w:val="95"/>
        </w:rPr>
        <w:t>2</w:t>
      </w:r>
      <w:r>
        <w:rPr>
          <w:spacing w:val="2"/>
          <w:w w:val="95"/>
        </w:rPr>
        <w:t>）在合并财务报表中，在丧失控制权之前每一次处置价款与处置投资对应的享有该子公司净资产份</w:t>
      </w:r>
      <w:r>
        <w:rPr>
          <w:spacing w:val="-82"/>
          <w:w w:val="95"/>
        </w:rPr>
        <w:t> </w:t>
      </w:r>
      <w:r>
        <w:rPr>
          <w:spacing w:val="-82"/>
          <w:w w:val="95"/>
        </w:rPr>
      </w:r>
      <w:r>
        <w:rPr/>
        <w:t>额的差额，确认为其他综合收益，在丧失控制权时一并转入丧失控制权当期的损益。</w:t>
      </w:r>
    </w:p>
    <w:p>
      <w:pPr>
        <w:spacing w:line="273" w:lineRule="auto" w:before="22"/>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（5）共同控制、重大影响的判断标准</w:t>
      </w:r>
      <w:r>
        <w:rPr>
          <w:rFonts w:ascii="宋体" w:hAnsi="宋体" w:cs="宋体" w:eastAsia="宋体" w:hint="default"/>
          <w:b/>
          <w:bCs/>
          <w:w w:val="99"/>
          <w:sz w:val="21"/>
          <w:szCs w:val="21"/>
        </w:rPr>
        <w:t> </w:t>
      </w:r>
      <w:r>
        <w:rPr>
          <w:rFonts w:ascii="宋体" w:hAnsi="宋体" w:cs="宋体" w:eastAsia="宋体" w:hint="default"/>
          <w:w w:val="95"/>
          <w:sz w:val="21"/>
          <w:szCs w:val="21"/>
        </w:rPr>
        <w:t>如果本公司按照相关约定与其他参与方集体控制某项安排，并且对该安排回报具有重大影响的活动决</w:t>
      </w:r>
      <w:r>
        <w:rPr>
          <w:rFonts w:ascii="宋体" w:hAnsi="宋体" w:cs="宋体" w:eastAsia="宋体" w:hint="default"/>
          <w:sz w:val="21"/>
          <w:szCs w:val="21"/>
        </w:rPr>
      </w:r>
    </w:p>
    <w:p>
      <w:pPr>
        <w:spacing w:after="0" w:line="273" w:lineRule="auto"/>
        <w:jc w:val="left"/>
        <w:rPr>
          <w:rFonts w:ascii="宋体" w:hAnsi="宋体" w:cs="宋体" w:eastAsia="宋体" w:hint="default"/>
          <w:sz w:val="21"/>
          <w:szCs w:val="21"/>
        </w:rPr>
        <w:sectPr>
          <w:footerReference w:type="default" r:id="rId29"/>
          <w:pgSz w:w="11910" w:h="16840"/>
          <w:pgMar w:footer="1016" w:header="919" w:top="1120" w:bottom="1200" w:left="1020" w:right="0"/>
          <w:pgNumType w:start="140"/>
        </w:sectPr>
      </w:pPr>
    </w:p>
    <w:p>
      <w:pPr>
        <w:spacing w:line="240" w:lineRule="auto" w:before="10"/>
        <w:rPr>
          <w:rFonts w:ascii="宋体" w:hAnsi="宋体" w:cs="宋体" w:eastAsia="宋体" w:hint="default"/>
          <w:sz w:val="19"/>
          <w:szCs w:val="19"/>
        </w:rPr>
      </w:pPr>
    </w:p>
    <w:p>
      <w:pPr>
        <w:pStyle w:val="BodyText"/>
        <w:spacing w:line="273" w:lineRule="auto" w:before="34"/>
        <w:ind w:right="0"/>
        <w:jc w:val="left"/>
      </w:pPr>
      <w:r>
        <w:rPr>
          <w:w w:val="95"/>
        </w:rPr>
        <w:t>策，需要经过分享控制权的参与方一致同意时才存在，则视为本公司与其他参与方共同控制某项安排，该</w:t>
      </w:r>
      <w:r>
        <w:rPr>
          <w:spacing w:val="43"/>
          <w:w w:val="95"/>
        </w:rPr>
        <w:t> </w:t>
      </w:r>
      <w:r>
        <w:rPr>
          <w:spacing w:val="43"/>
          <w:w w:val="95"/>
        </w:rPr>
      </w:r>
      <w:r>
        <w:rPr/>
        <w:t>安排即属于合营安排。</w:t>
      </w:r>
    </w:p>
    <w:p>
      <w:pPr>
        <w:pStyle w:val="BodyText"/>
        <w:spacing w:line="273" w:lineRule="auto"/>
        <w:ind w:right="1130" w:firstLine="420"/>
        <w:jc w:val="both"/>
      </w:pPr>
      <w:r>
        <w:rPr>
          <w:w w:val="95"/>
        </w:rPr>
        <w:t>合营安排通过单独主体达成的，根据相关约定判断本公司对该单独主体的净资产享有权利时，将该单</w:t>
      </w:r>
      <w:r>
        <w:rPr>
          <w:w w:val="99"/>
        </w:rPr>
        <w:t> </w:t>
      </w:r>
      <w:r>
        <w:rPr>
          <w:w w:val="95"/>
        </w:rPr>
        <w:t>独主体作为合营企业，采用权益法核算。若根据相关约定判断本公司并非对该单独主体的净资产享有权利</w:t>
      </w:r>
      <w:r>
        <w:rPr>
          <w:spacing w:val="37"/>
          <w:w w:val="95"/>
        </w:rPr>
        <w:t> </w:t>
      </w:r>
      <w:r>
        <w:rPr>
          <w:spacing w:val="37"/>
          <w:w w:val="95"/>
        </w:rPr>
      </w:r>
      <w:r>
        <w:rPr>
          <w:w w:val="95"/>
        </w:rPr>
        <w:t>时，该单独主体作为共同经营，本公司确认与共同经营利益份额相关的项目，并按照相关企业会计准则的</w:t>
      </w:r>
      <w:r>
        <w:rPr>
          <w:spacing w:val="43"/>
          <w:w w:val="95"/>
        </w:rPr>
        <w:t> </w:t>
      </w:r>
      <w:r>
        <w:rPr>
          <w:spacing w:val="43"/>
          <w:w w:val="95"/>
        </w:rPr>
      </w:r>
      <w:r>
        <w:rPr/>
        <w:t>规定进行会计处理。</w:t>
      </w:r>
    </w:p>
    <w:p>
      <w:pPr>
        <w:pStyle w:val="BodyText"/>
        <w:spacing w:line="264" w:lineRule="auto"/>
        <w:ind w:right="1130" w:firstLine="420"/>
        <w:jc w:val="both"/>
      </w:pPr>
      <w:r>
        <w:rPr>
          <w:w w:val="95"/>
        </w:rPr>
        <w:t>重大影响，是指投资方对被投资单位的财务和经营政策有参与决策的权力，但并不能够控制或者与其</w:t>
      </w:r>
      <w:r>
        <w:rPr>
          <w:w w:val="99"/>
        </w:rPr>
        <w:t> </w:t>
      </w:r>
      <w:r>
        <w:rPr>
          <w:w w:val="95"/>
        </w:rPr>
        <w:t>他方一起共同控制这些政策的制定。本公司通过以下一种或多种情形，并综合考虑所有事实和情况后，判</w:t>
      </w:r>
      <w:r>
        <w:rPr>
          <w:spacing w:val="43"/>
          <w:w w:val="95"/>
        </w:rPr>
        <w:t> </w:t>
      </w:r>
      <w:r>
        <w:rPr>
          <w:spacing w:val="43"/>
          <w:w w:val="95"/>
        </w:rPr>
      </w:r>
      <w:r>
        <w:rPr>
          <w:w w:val="95"/>
        </w:rPr>
        <w:t>断对被投资单位具有重大影响：</w:t>
      </w:r>
      <w:r>
        <w:rPr>
          <w:rFonts w:ascii="Times New Roman" w:hAnsi="Times New Roman" w:cs="Times New Roman" w:eastAsia="Times New Roman" w:hint="default"/>
          <w:w w:val="95"/>
        </w:rPr>
        <w:t>1</w:t>
      </w:r>
      <w:r>
        <w:rPr>
          <w:w w:val="95"/>
        </w:rPr>
        <w:t>）在被投资单位的董事会或类似权力机构中派有代表；</w:t>
      </w:r>
      <w:r>
        <w:rPr>
          <w:rFonts w:ascii="Times New Roman" w:hAnsi="Times New Roman" w:cs="Times New Roman" w:eastAsia="Times New Roman" w:hint="default"/>
          <w:w w:val="95"/>
        </w:rPr>
        <w:t>2</w:t>
      </w:r>
      <w:r>
        <w:rPr>
          <w:w w:val="95"/>
        </w:rPr>
        <w:t>）参与被投资单</w:t>
      </w:r>
      <w:r>
        <w:rPr>
          <w:spacing w:val="45"/>
          <w:w w:val="95"/>
        </w:rPr>
        <w:t> </w:t>
      </w:r>
      <w:r>
        <w:rPr>
          <w:spacing w:val="45"/>
          <w:w w:val="95"/>
        </w:rPr>
      </w:r>
      <w:r>
        <w:rPr>
          <w:spacing w:val="2"/>
          <w:w w:val="95"/>
        </w:rPr>
        <w:t>位财务和经营政策制定过程；</w:t>
      </w:r>
      <w:r>
        <w:rPr>
          <w:rFonts w:ascii="Times New Roman" w:hAnsi="Times New Roman" w:cs="Times New Roman" w:eastAsia="Times New Roman" w:hint="default"/>
          <w:spacing w:val="2"/>
          <w:w w:val="95"/>
        </w:rPr>
        <w:t>3</w:t>
      </w:r>
      <w:r>
        <w:rPr>
          <w:spacing w:val="2"/>
          <w:w w:val="95"/>
        </w:rPr>
        <w:t>）与被投资单位之间发生重要交易；</w:t>
      </w:r>
      <w:r>
        <w:rPr>
          <w:rFonts w:ascii="Times New Roman" w:hAnsi="Times New Roman" w:cs="Times New Roman" w:eastAsia="Times New Roman" w:hint="default"/>
          <w:spacing w:val="2"/>
          <w:w w:val="95"/>
        </w:rPr>
        <w:t>4</w:t>
      </w:r>
      <w:r>
        <w:rPr>
          <w:spacing w:val="2"/>
          <w:w w:val="95"/>
        </w:rPr>
        <w:t>）向被投资单位派出管理人员；</w:t>
      </w:r>
      <w:r>
        <w:rPr>
          <w:rFonts w:ascii="Times New Roman" w:hAnsi="Times New Roman" w:cs="Times New Roman" w:eastAsia="Times New Roman" w:hint="default"/>
          <w:spacing w:val="2"/>
          <w:w w:val="95"/>
        </w:rPr>
        <w:t>5</w:t>
      </w:r>
      <w:r>
        <w:rPr>
          <w:spacing w:val="2"/>
          <w:w w:val="95"/>
        </w:rPr>
        <w:t>）</w:t>
      </w:r>
      <w:r>
        <w:rPr>
          <w:spacing w:val="47"/>
          <w:w w:val="95"/>
        </w:rPr>
        <w:t> </w:t>
      </w:r>
      <w:r>
        <w:rPr/>
        <w:t>向被投资单位提供关键技术资料。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5"/>
        <w:spacing w:line="240" w:lineRule="auto"/>
        <w:ind w:right="2127"/>
        <w:jc w:val="left"/>
        <w:rPr>
          <w:b w:val="0"/>
          <w:bCs w:val="0"/>
        </w:rPr>
      </w:pPr>
      <w:bookmarkStart w:name="23、投资性房地产" w:id="196"/>
      <w:bookmarkEnd w:id="196"/>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3"/>
        <w:ind w:right="1112" w:firstLine="420"/>
        <w:jc w:val="both"/>
      </w:pPr>
      <w:r>
        <w:rPr>
          <w:w w:val="95"/>
        </w:rPr>
        <w:t>投资性房地产是指为赚取租金或资本增值，或两者兼有而持有的房地产，包括已出租的土地使用权、</w:t>
      </w:r>
      <w:r>
        <w:rPr>
          <w:spacing w:val="-79"/>
          <w:w w:val="95"/>
        </w:rPr>
        <w:t> </w:t>
      </w:r>
      <w:r>
        <w:rPr>
          <w:spacing w:val="-79"/>
          <w:w w:val="95"/>
        </w:rPr>
      </w:r>
      <w:r>
        <w:rPr>
          <w:w w:val="95"/>
        </w:rPr>
        <w:t>持有并准备增值后转让的土地使用权、已出租的建筑物。此外，对于本公司持有以备经营出租的空置建筑</w:t>
      </w:r>
      <w:r>
        <w:rPr>
          <w:spacing w:val="43"/>
          <w:w w:val="95"/>
        </w:rPr>
        <w:t> </w:t>
      </w:r>
      <w:r>
        <w:rPr>
          <w:spacing w:val="43"/>
          <w:w w:val="95"/>
        </w:rPr>
      </w:r>
      <w:r>
        <w:rPr>
          <w:w w:val="95"/>
        </w:rPr>
        <w:t>物，若董事会作出书面决议，明确表示将其用于经营出租且持有意图短期内不再发生变化的，也作为投资</w:t>
      </w:r>
      <w:r>
        <w:rPr>
          <w:spacing w:val="40"/>
          <w:w w:val="95"/>
        </w:rPr>
        <w:t> </w:t>
      </w:r>
      <w:r>
        <w:rPr>
          <w:spacing w:val="40"/>
          <w:w w:val="95"/>
        </w:rPr>
      </w:r>
      <w:r>
        <w:rPr/>
        <w:t>性房地产列报。</w:t>
      </w:r>
    </w:p>
    <w:p>
      <w:pPr>
        <w:pStyle w:val="BodyText"/>
        <w:spacing w:line="273" w:lineRule="auto"/>
        <w:ind w:right="1132" w:firstLine="420"/>
        <w:jc w:val="both"/>
      </w:pPr>
      <w:r>
        <w:rPr>
          <w:w w:val="95"/>
        </w:rPr>
        <w:t>本公司的投资性房地产按其成本作为入账价值，外购投资性房地产的成本包括购买价款、相关税费和</w:t>
      </w:r>
      <w:r>
        <w:rPr>
          <w:w w:val="99"/>
        </w:rPr>
        <w:t> </w:t>
      </w:r>
      <w:r>
        <w:rPr>
          <w:w w:val="95"/>
        </w:rPr>
        <w:t>可直接归属于该资产的其他支出；自行建造投资性房地产的成本，由建造该项资产达到预定可使用状态前</w:t>
      </w:r>
      <w:r>
        <w:rPr>
          <w:spacing w:val="40"/>
          <w:w w:val="95"/>
        </w:rPr>
        <w:t> </w:t>
      </w:r>
      <w:r>
        <w:rPr>
          <w:spacing w:val="40"/>
          <w:w w:val="95"/>
        </w:rPr>
      </w:r>
      <w:r>
        <w:rPr/>
        <w:t>所发生的必要支出构成。</w:t>
      </w:r>
    </w:p>
    <w:p>
      <w:pPr>
        <w:pStyle w:val="BodyText"/>
        <w:spacing w:line="273" w:lineRule="auto"/>
        <w:ind w:right="1132" w:firstLine="420"/>
        <w:jc w:val="both"/>
      </w:pPr>
      <w:r>
        <w:rPr>
          <w:w w:val="95"/>
        </w:rPr>
        <w:t>本公司对投资性房地产采用成本模式进行后续计量，按其预计使用寿命及净残值率对建筑物和土地使</w:t>
      </w:r>
      <w:r>
        <w:rPr>
          <w:w w:val="99"/>
        </w:rPr>
        <w:t> </w:t>
      </w:r>
      <w:r>
        <w:rPr/>
        <w:t>用权计提折旧或摊销。投资性房地产的预计使用寿命、净残值率及年折旧（摊销）率列示如下：</w:t>
      </w:r>
    </w:p>
    <w:tbl>
      <w:tblPr>
        <w:tblW w:w="0" w:type="auto"/>
        <w:jc w:val="left"/>
        <w:tblInd w:w="106" w:type="dxa"/>
        <w:tblLayout w:type="fixed"/>
        <w:tblCellMar>
          <w:top w:w="0" w:type="dxa"/>
          <w:left w:w="0" w:type="dxa"/>
          <w:bottom w:w="0" w:type="dxa"/>
          <w:right w:w="0" w:type="dxa"/>
        </w:tblCellMar>
        <w:tblLook w:val="01E0"/>
      </w:tblPr>
      <w:tblGrid>
        <w:gridCol w:w="2127"/>
        <w:gridCol w:w="1984"/>
        <w:gridCol w:w="2268"/>
        <w:gridCol w:w="2149"/>
      </w:tblGrid>
      <w:tr>
        <w:trPr>
          <w:trHeight w:val="354" w:hRule="exact"/>
        </w:trPr>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1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sz w:val="18"/>
              </w:rPr>
              <w:t>30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21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sz w:val="18"/>
              </w:rPr>
              <w:t>3.17</w:t>
            </w:r>
          </w:p>
        </w:tc>
      </w:tr>
    </w:tbl>
    <w:p>
      <w:pPr>
        <w:spacing w:line="240" w:lineRule="auto" w:before="3"/>
        <w:rPr>
          <w:rFonts w:ascii="宋体" w:hAnsi="宋体" w:cs="宋体" w:eastAsia="宋体" w:hint="default"/>
          <w:sz w:val="7"/>
          <w:szCs w:val="7"/>
        </w:rPr>
      </w:pPr>
    </w:p>
    <w:p>
      <w:pPr>
        <w:pStyle w:val="BodyText"/>
        <w:spacing w:line="273" w:lineRule="auto" w:before="34"/>
        <w:ind w:right="1120" w:firstLine="420"/>
        <w:jc w:val="left"/>
      </w:pPr>
      <w:r>
        <w:rPr>
          <w:w w:val="95"/>
        </w:rPr>
        <w:t>投资性房地产的用途改变为自用时，自改变之日起，本公司将该投资性房地产转换为固定资产或无形</w:t>
      </w:r>
      <w:r>
        <w:rPr>
          <w:w w:val="99"/>
        </w:rPr>
        <w:t> </w:t>
      </w:r>
      <w:r>
        <w:rPr>
          <w:w w:val="95"/>
        </w:rPr>
        <w:t>资产。自用房地产的用途改变为赚取租金或资本增值时，自改变之日起，本公司将固定资产或无形资产转</w:t>
      </w:r>
      <w:r>
        <w:rPr>
          <w:spacing w:val="43"/>
          <w:w w:val="95"/>
        </w:rPr>
        <w:t> </w:t>
      </w:r>
      <w:r>
        <w:rPr>
          <w:spacing w:val="43"/>
          <w:w w:val="95"/>
        </w:rPr>
      </w:r>
      <w:r>
        <w:rPr/>
        <w:t>换为投资性房地产。发生转换时，以转换前的账面价值作为转换后的入账价值。</w:t>
      </w:r>
      <w:r>
        <w:rPr>
          <w:w w:val="99"/>
        </w:rPr>
        <w:t> </w:t>
      </w:r>
      <w:r>
        <w:rPr>
          <w:w w:val="95"/>
        </w:rPr>
        <w:t>当投资性房地产被处置，或者永久退出使用且预计不能从其处置中取得经济利益时，终止确认该项投资性</w:t>
      </w:r>
      <w:r>
        <w:rPr>
          <w:spacing w:val="40"/>
          <w:w w:val="95"/>
        </w:rPr>
        <w:t> </w:t>
      </w:r>
      <w:r>
        <w:rPr>
          <w:spacing w:val="40"/>
          <w:w w:val="95"/>
        </w:rPr>
      </w:r>
      <w:r>
        <w:rPr>
          <w:w w:val="95"/>
        </w:rPr>
        <w:t>房地产。投资性房地产出售、转让、报废或毁损的处置收入扣除其账面价值和相关税费后的金额计入当期  </w:t>
      </w:r>
      <w:r>
        <w:rPr>
          <w:spacing w:val="37"/>
          <w:w w:val="95"/>
        </w:rPr>
        <w:t> </w:t>
      </w:r>
      <w:r>
        <w:rPr>
          <w:spacing w:val="37"/>
          <w:w w:val="95"/>
        </w:rPr>
      </w:r>
      <w:r>
        <w:rPr/>
        <w:t>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2127"/>
        <w:jc w:val="left"/>
        <w:rPr>
          <w:b w:val="0"/>
          <w:bCs w:val="0"/>
        </w:rPr>
      </w:pPr>
      <w:bookmarkStart w:name="24、固定资产" w:id="197"/>
      <w:bookmarkEnd w:id="197"/>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确认条件" w:id="198"/>
      <w:bookmarkEnd w:id="19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0" w:firstLine="36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w:t>
      </w:r>
      <w:r>
        <w:rPr>
          <w:rFonts w:ascii="宋体" w:hAnsi="宋体" w:cs="宋体" w:eastAsia="宋体" w:hint="default"/>
          <w:sz w:val="18"/>
          <w:szCs w:val="18"/>
        </w:rPr>
        <w:t> 同时满足下列条件时予以确认：</w:t>
      </w:r>
    </w:p>
    <w:p>
      <w:pPr>
        <w:spacing w:after="0" w:line="316"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47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p>
    <w:p>
      <w:pPr>
        <w:spacing w:before="101"/>
        <w:ind w:left="47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5"/>
        <w:spacing w:line="240" w:lineRule="auto"/>
        <w:ind w:right="2127"/>
        <w:jc w:val="left"/>
        <w:rPr>
          <w:b w:val="0"/>
          <w:bCs w:val="0"/>
        </w:rPr>
      </w:pPr>
      <w:bookmarkStart w:name="（2）折旧方法" w:id="199"/>
      <w:bookmarkEnd w:id="19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19.00-11.88%</w:t>
            </w:r>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both"/>
        <w:rPr>
          <w:b w:val="0"/>
          <w:bCs w:val="0"/>
        </w:rPr>
      </w:pPr>
      <w:bookmarkStart w:name="（3）融资租入固定资产的认定依据、计价和折旧方法" w:id="200"/>
      <w:bookmarkEnd w:id="20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before="0"/>
        <w:ind w:left="472" w:right="2127" w:firstLine="0"/>
        <w:jc w:val="left"/>
        <w:rPr>
          <w:rFonts w:ascii="宋体" w:hAnsi="宋体" w:cs="宋体" w:eastAsia="宋体" w:hint="default"/>
          <w:sz w:val="18"/>
          <w:szCs w:val="18"/>
        </w:rPr>
      </w:pPr>
      <w:r>
        <w:rPr>
          <w:rFonts w:ascii="宋体" w:hAnsi="宋体" w:cs="宋体" w:eastAsia="宋体" w:hint="default"/>
          <w:sz w:val="18"/>
          <w:szCs w:val="18"/>
        </w:rPr>
        <w:t>当本公司租入的固定资产符合下列一项或数项标准时，确认为融资租入固定资产：</w:t>
      </w:r>
    </w:p>
    <w:p>
      <w:pPr>
        <w:spacing w:before="117"/>
        <w:ind w:left="47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）在租赁期届满时，租赁资产的所有权转移给本公司。</w:t>
      </w:r>
    </w:p>
    <w:p>
      <w:pPr>
        <w:spacing w:line="300" w:lineRule="auto" w:before="101"/>
        <w:ind w:left="11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）本公司有购买租赁资产的选择权，所订立的购买价款预计将远低于行使选择权时租赁资产的公允价值，因而在租赁 开始日就可以合理确定本公司将会行使这种选择权。</w:t>
      </w:r>
    </w:p>
    <w:p>
      <w:pPr>
        <w:spacing w:before="72"/>
        <w:ind w:left="47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）即使资产的所有权不转移，但租赁期占租赁资产使用寿命的大部分。</w:t>
      </w:r>
    </w:p>
    <w:p>
      <w:pPr>
        <w:spacing w:before="103"/>
        <w:ind w:left="47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）本公司在租赁开始日的最低租赁付款额现值，几乎相当于租赁开始日租赁资产公允价值。</w:t>
      </w:r>
    </w:p>
    <w:p>
      <w:pPr>
        <w:spacing w:line="340" w:lineRule="auto" w:before="101"/>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）租赁资产性质特殊，如果不作较大改造，只有本公司才能使用。 </w:t>
      </w:r>
      <w:r>
        <w:rPr>
          <w:rFonts w:ascii="宋体" w:hAnsi="宋体" w:cs="宋体" w:eastAsia="宋体" w:hint="default"/>
          <w:spacing w:val="-2"/>
          <w:sz w:val="18"/>
          <w:szCs w:val="18"/>
        </w:rPr>
        <w:t>融资租赁租入的固定资产，按租赁开始日租赁资产公允价值与最低租赁付款额的现值两者中较低者，作为入账价值。最</w:t>
      </w:r>
    </w:p>
    <w:p>
      <w:pPr>
        <w:spacing w:line="316" w:lineRule="auto" w:before="1"/>
        <w:ind w:left="112" w:right="1132" w:firstLine="0"/>
        <w:jc w:val="both"/>
        <w:rPr>
          <w:rFonts w:ascii="宋体" w:hAnsi="宋体" w:cs="宋体" w:eastAsia="宋体" w:hint="default"/>
          <w:sz w:val="18"/>
          <w:szCs w:val="18"/>
        </w:rPr>
      </w:pPr>
      <w:r>
        <w:rPr>
          <w:rFonts w:ascii="宋体" w:hAnsi="宋体" w:cs="宋体" w:eastAsia="宋体" w:hint="default"/>
          <w:spacing w:val="-2"/>
          <w:sz w:val="18"/>
          <w:szCs w:val="18"/>
        </w:rPr>
        <w:t>低租赁付款额作为长期应付款的入账价值，其差额作为未确认融资费用。在租赁谈判和签订租赁合同过程中发生的，可归属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于租赁项目的手续费、律师费、差旅费、印花税等初始直接费用，计入租入资产价值。未确认融资费用在租赁期内各个期间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采用实际利率法进行分摊。</w:t>
      </w:r>
    </w:p>
    <w:p>
      <w:pPr>
        <w:spacing w:line="316" w:lineRule="auto" w:before="59"/>
        <w:ind w:left="112" w:right="1132" w:firstLine="360"/>
        <w:jc w:val="both"/>
        <w:rPr>
          <w:rFonts w:ascii="宋体" w:hAnsi="宋体" w:cs="宋体" w:eastAsia="宋体" w:hint="default"/>
          <w:sz w:val="18"/>
          <w:szCs w:val="18"/>
        </w:rPr>
      </w:pPr>
      <w:r>
        <w:rPr>
          <w:rFonts w:ascii="宋体" w:hAnsi="宋体" w:cs="宋体" w:eastAsia="宋体" w:hint="default"/>
          <w:spacing w:val="-2"/>
          <w:sz w:val="18"/>
          <w:szCs w:val="18"/>
        </w:rPr>
        <w:t>本公司采用与自有固定资产相一致的折旧政策计提融资租入固定资产折旧。能够合理确定租赁期届满时取得租赁资产所</w:t>
      </w:r>
      <w:r>
        <w:rPr>
          <w:rFonts w:ascii="宋体" w:hAnsi="宋体" w:cs="宋体" w:eastAsia="宋体" w:hint="default"/>
          <w:sz w:val="18"/>
          <w:szCs w:val="18"/>
        </w:rPr>
        <w:t> </w:t>
      </w:r>
      <w:r>
        <w:rPr>
          <w:rFonts w:ascii="宋体" w:hAnsi="宋体" w:cs="宋体" w:eastAsia="宋体" w:hint="default"/>
          <w:spacing w:val="-2"/>
          <w:sz w:val="18"/>
          <w:szCs w:val="18"/>
        </w:rPr>
        <w:t>有权的，在租赁资产使用寿命内计提折旧。无法合理确定租赁期届满时能够取得租赁资产所有权的，在租赁期与租赁资产使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用寿命两者中较短的期间内计提折旧。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5"/>
        <w:spacing w:line="240" w:lineRule="auto"/>
        <w:ind w:right="0"/>
        <w:jc w:val="both"/>
        <w:rPr>
          <w:b w:val="0"/>
          <w:bCs w:val="0"/>
        </w:rPr>
      </w:pPr>
      <w:bookmarkStart w:name="25、在建工程" w:id="201"/>
      <w:bookmarkEnd w:id="201"/>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7"/>
        <w:rPr>
          <w:rFonts w:ascii="宋体" w:hAnsi="宋体" w:cs="宋体" w:eastAsia="宋体" w:hint="default"/>
          <w:b/>
          <w:bCs/>
          <w:sz w:val="24"/>
          <w:szCs w:val="24"/>
        </w:rPr>
      </w:pPr>
    </w:p>
    <w:p>
      <w:pPr>
        <w:spacing w:line="273" w:lineRule="auto" w:before="0"/>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（1）在建工程初始计量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本公司自行建造的在建工程按实际成本计价，实际成本由建造该项资产达到预定可使用状态前所发生</w:t>
      </w:r>
      <w:r>
        <w:rPr>
          <w:rFonts w:ascii="宋体" w:hAnsi="宋体" w:cs="宋体" w:eastAsia="宋体" w:hint="default"/>
          <w:sz w:val="21"/>
          <w:szCs w:val="21"/>
        </w:rPr>
      </w:r>
    </w:p>
    <w:p>
      <w:pPr>
        <w:pStyle w:val="BodyText"/>
        <w:spacing w:line="273" w:lineRule="auto"/>
        <w:ind w:right="1132"/>
        <w:jc w:val="both"/>
      </w:pPr>
      <w:r>
        <w:rPr>
          <w:w w:val="95"/>
        </w:rPr>
        <w:t>的必要支出构成，包括工程用物资成本、人工成本、交纳的相关税费、应予资本化的借款费用以及应分摊</w:t>
      </w:r>
      <w:r>
        <w:rPr>
          <w:spacing w:val="42"/>
          <w:w w:val="95"/>
        </w:rPr>
        <w:t> </w:t>
      </w:r>
      <w:r>
        <w:rPr>
          <w:spacing w:val="42"/>
          <w:w w:val="95"/>
        </w:rPr>
      </w:r>
      <w:r>
        <w:rPr/>
        <w:t>的间接费用等。</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（2）在建工程结转为固定资产的标准和时点</w:t>
      </w:r>
      <w:r>
        <w:rPr>
          <w:rFonts w:ascii="宋体" w:hAnsi="宋体" w:cs="宋体" w:eastAsia="宋体" w:hint="default"/>
          <w:b/>
          <w:bCs/>
          <w:w w:val="99"/>
          <w:sz w:val="21"/>
          <w:szCs w:val="21"/>
        </w:rPr>
        <w:t> </w:t>
      </w:r>
      <w:r>
        <w:rPr>
          <w:rFonts w:ascii="宋体" w:hAnsi="宋体" w:cs="宋体" w:eastAsia="宋体" w:hint="default"/>
          <w:w w:val="95"/>
          <w:sz w:val="21"/>
          <w:szCs w:val="21"/>
        </w:rPr>
        <w:t>在建工程项目按建造该项资产达到预定可使用状态前所发生的全部支出，作为固定资产的入账价值。</w:t>
      </w:r>
      <w:r>
        <w:rPr>
          <w:rFonts w:ascii="宋体" w:hAnsi="宋体" w:cs="宋体" w:eastAsia="宋体" w:hint="default"/>
          <w:sz w:val="21"/>
          <w:szCs w:val="21"/>
        </w:rPr>
      </w:r>
    </w:p>
    <w:p>
      <w:pPr>
        <w:pStyle w:val="BodyText"/>
        <w:spacing w:line="273" w:lineRule="auto"/>
        <w:ind w:right="1130"/>
        <w:jc w:val="both"/>
      </w:pPr>
      <w:r>
        <w:rPr>
          <w:w w:val="95"/>
        </w:rPr>
        <w:t>所建造的在建工程已达到预定可使用状态，但尚未办理竣工决算的，自达到预定可使用状态之日起，根据</w:t>
      </w:r>
      <w:r>
        <w:rPr>
          <w:spacing w:val="43"/>
          <w:w w:val="95"/>
        </w:rPr>
        <w:t> </w:t>
      </w:r>
      <w:r>
        <w:rPr>
          <w:spacing w:val="43"/>
          <w:w w:val="95"/>
        </w:rPr>
      </w:r>
      <w:r>
        <w:rPr>
          <w:w w:val="95"/>
        </w:rPr>
        <w:t>工程预算、造价或者工程实际成本等，按估计的价值转入固定资产，并按本公司固定资产折旧政策计提固</w:t>
      </w:r>
      <w:r>
        <w:rPr/>
      </w:r>
    </w:p>
    <w:p>
      <w:pPr>
        <w:spacing w:after="0" w:line="273"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40" w:lineRule="auto" w:before="34"/>
        <w:ind w:right="0"/>
        <w:jc w:val="left"/>
      </w:pPr>
      <w:r>
        <w:rPr/>
        <w:t>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2127"/>
        <w:jc w:val="left"/>
        <w:rPr>
          <w:b w:val="0"/>
          <w:bCs w:val="0"/>
        </w:rPr>
      </w:pPr>
      <w:bookmarkStart w:name="26、借款费用" w:id="202"/>
      <w:bookmarkEnd w:id="202"/>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7"/>
        <w:rPr>
          <w:rFonts w:ascii="宋体" w:hAnsi="宋体" w:cs="宋体" w:eastAsia="宋体" w:hint="default"/>
          <w:b/>
          <w:bCs/>
          <w:sz w:val="24"/>
          <w:szCs w:val="24"/>
        </w:rPr>
      </w:pPr>
    </w:p>
    <w:p>
      <w:pPr>
        <w:spacing w:line="273" w:lineRule="auto" w:before="0"/>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（1）借款费用资本化的确认原则</w:t>
      </w:r>
      <w:r>
        <w:rPr>
          <w:rFonts w:ascii="宋体" w:hAnsi="宋体" w:cs="宋体" w:eastAsia="宋体" w:hint="default"/>
          <w:b/>
          <w:bCs/>
          <w:w w:val="99"/>
          <w:sz w:val="21"/>
          <w:szCs w:val="21"/>
        </w:rPr>
        <w:t> </w:t>
      </w:r>
      <w:r>
        <w:rPr>
          <w:rFonts w:ascii="宋体" w:hAnsi="宋体" w:cs="宋体" w:eastAsia="宋体" w:hint="default"/>
          <w:w w:val="95"/>
          <w:sz w:val="21"/>
          <w:szCs w:val="21"/>
        </w:rPr>
        <w:t>本公司发生的借款费用，可直接归属于符合资本化条件的资产的购建或者生产的，予以资本化，计入</w:t>
      </w:r>
      <w:r>
        <w:rPr>
          <w:rFonts w:ascii="宋体" w:hAnsi="宋体" w:cs="宋体" w:eastAsia="宋体" w:hint="default"/>
          <w:sz w:val="21"/>
          <w:szCs w:val="21"/>
        </w:rPr>
      </w:r>
    </w:p>
    <w:p>
      <w:pPr>
        <w:pStyle w:val="BodyText"/>
        <w:spacing w:line="273" w:lineRule="auto"/>
        <w:ind w:left="532" w:right="0" w:hanging="420"/>
        <w:jc w:val="left"/>
      </w:pPr>
      <w:r>
        <w:rPr/>
        <w:t>相关资产成本；其他借款费用，在发生时根据其发生额确认为费用，计入当期损益。</w:t>
      </w:r>
      <w:r>
        <w:rPr>
          <w:w w:val="99"/>
        </w:rPr>
        <w:t> </w:t>
      </w:r>
      <w:r>
        <w:rPr>
          <w:w w:val="95"/>
        </w:rPr>
        <w:t>符合资本化条件的资产，是指需要经过相当长时间的购建或者生产活动才能达到预定可使用或者可销</w:t>
      </w:r>
      <w:r>
        <w:rPr/>
      </w:r>
    </w:p>
    <w:p>
      <w:pPr>
        <w:pStyle w:val="BodyText"/>
        <w:spacing w:line="273" w:lineRule="auto"/>
        <w:ind w:left="532" w:right="2654" w:hanging="420"/>
        <w:jc w:val="left"/>
      </w:pPr>
      <w:r>
        <w:rPr>
          <w:w w:val="95"/>
        </w:rPr>
        <w:t>售状态的固定资产、投资性房地产和存货等资产。</w:t>
      </w:r>
      <w:r>
        <w:rPr>
          <w:spacing w:val="18"/>
          <w:w w:val="95"/>
        </w:rPr>
        <w:t> </w:t>
      </w:r>
      <w:r>
        <w:rPr>
          <w:spacing w:val="18"/>
          <w:w w:val="95"/>
        </w:rPr>
      </w:r>
      <w:r>
        <w:rPr/>
        <w:t>借款费用同时满足下列条件时开始资本化：</w:t>
      </w:r>
    </w:p>
    <w:p>
      <w:pPr>
        <w:pStyle w:val="BodyText"/>
        <w:spacing w:line="256" w:lineRule="auto"/>
        <w:ind w:right="0" w:firstLine="420"/>
        <w:jc w:val="left"/>
      </w:pPr>
      <w:r>
        <w:rPr>
          <w:rFonts w:ascii="Times New Roman" w:hAnsi="Times New Roman" w:cs="Times New Roman" w:eastAsia="Times New Roman" w:hint="default"/>
          <w:spacing w:val="2"/>
          <w:w w:val="95"/>
        </w:rPr>
        <w:t>1</w:t>
      </w:r>
      <w:r>
        <w:rPr>
          <w:spacing w:val="2"/>
          <w:w w:val="95"/>
        </w:rPr>
        <w:t>）资产支出已经发生，资产支出包括为购建或者生产符合资本化条件的资产而以支付现金、转移非</w:t>
      </w:r>
      <w:r>
        <w:rPr>
          <w:spacing w:val="-82"/>
          <w:w w:val="95"/>
        </w:rPr>
        <w:t> </w:t>
      </w:r>
      <w:r>
        <w:rPr>
          <w:spacing w:val="-82"/>
          <w:w w:val="95"/>
        </w:rPr>
      </w:r>
      <w:r>
        <w:rPr/>
        <w:t>现金资产或者承担带息债务形式发生的支出；</w:t>
      </w:r>
    </w:p>
    <w:p>
      <w:pPr>
        <w:pStyle w:val="BodyText"/>
        <w:spacing w:line="240" w:lineRule="auto" w:before="22"/>
        <w:ind w:left="532" w:right="2127"/>
        <w:jc w:val="left"/>
      </w:pPr>
      <w:r>
        <w:rPr>
          <w:rFonts w:ascii="Times New Roman" w:hAnsi="Times New Roman" w:cs="Times New Roman" w:eastAsia="Times New Roman" w:hint="default"/>
        </w:rPr>
        <w:t>2</w:t>
      </w:r>
      <w:r>
        <w:rPr/>
        <w:t>）借款费用已经发生；</w:t>
      </w:r>
    </w:p>
    <w:p>
      <w:pPr>
        <w:pStyle w:val="BodyText"/>
        <w:spacing w:line="240" w:lineRule="auto" w:before="21"/>
        <w:ind w:left="532" w:right="2127"/>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73" w:lineRule="auto" w:before="21"/>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（2）借款费用资本化期间</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ind w:right="2127"/>
        <w:jc w:val="left"/>
      </w:pPr>
      <w:r>
        <w:rPr/>
        <w:t>包括在内。</w:t>
      </w:r>
    </w:p>
    <w:p>
      <w:pPr>
        <w:pStyle w:val="BodyText"/>
        <w:spacing w:line="273" w:lineRule="auto" w:before="37"/>
        <w:ind w:left="532" w:right="0"/>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2127"/>
        <w:jc w:val="left"/>
      </w:pPr>
      <w:r>
        <w:rPr/>
        <w:t>止资本化。</w:t>
      </w:r>
    </w:p>
    <w:p>
      <w:pPr>
        <w:pStyle w:val="BodyText"/>
        <w:spacing w:line="273" w:lineRule="auto" w:before="37"/>
        <w:ind w:right="0" w:firstLine="420"/>
        <w:jc w:val="left"/>
      </w:pPr>
      <w:r>
        <w:rPr>
          <w:w w:val="95"/>
        </w:rPr>
        <w:t>购建或者生产的资产的各部分分别完工，但必须等到整体完工后才可使用或可对外销售的，在该资产</w:t>
      </w:r>
      <w:r>
        <w:rPr>
          <w:w w:val="99"/>
        </w:rPr>
        <w:t> </w:t>
      </w:r>
      <w:r>
        <w:rPr/>
        <w:t>整体完工时停止借款费用资本化。</w:t>
      </w:r>
    </w:p>
    <w:p>
      <w:pPr>
        <w:pStyle w:val="BodyText"/>
        <w:spacing w:line="273" w:lineRule="auto"/>
        <w:ind w:left="532" w:right="0" w:firstLine="2"/>
        <w:jc w:val="left"/>
      </w:pPr>
      <w:r>
        <w:rPr>
          <w:rFonts w:ascii="宋体" w:hAnsi="宋体" w:cs="宋体" w:eastAsia="宋体" w:hint="default"/>
          <w:b/>
          <w:bCs/>
        </w:rPr>
        <w:t>（3）暂停资本化期间</w:t>
      </w:r>
      <w:r>
        <w:rPr>
          <w:rFonts w:ascii="宋体" w:hAnsi="宋体" w:cs="宋体" w:eastAsia="宋体" w:hint="default"/>
          <w:b/>
          <w:bCs/>
          <w:w w:val="99"/>
        </w:rPr>
        <w:t> </w:t>
      </w:r>
      <w:r>
        <w:rPr>
          <w:spacing w:val="2"/>
          <w:w w:val="95"/>
        </w:rPr>
        <w:t>符合资本化条件的资产在购建或生产过程中发生的非正常中断、且中断时间连续超过</w:t>
      </w:r>
      <w:r>
        <w:rPr>
          <w:rFonts w:ascii="Times New Roman" w:hAnsi="Times New Roman" w:cs="Times New Roman" w:eastAsia="Times New Roman" w:hint="default"/>
          <w:spacing w:val="2"/>
          <w:w w:val="95"/>
        </w:rPr>
        <w:t>3</w:t>
      </w:r>
      <w:r>
        <w:rPr>
          <w:spacing w:val="2"/>
          <w:w w:val="95"/>
        </w:rPr>
        <w:t>个月的，则借</w:t>
      </w:r>
      <w:r>
        <w:rPr>
          <w:spacing w:val="2"/>
        </w:rPr>
      </w:r>
    </w:p>
    <w:p>
      <w:pPr>
        <w:pStyle w:val="BodyText"/>
        <w:spacing w:line="273" w:lineRule="auto" w:before="0"/>
        <w:ind w:right="1132"/>
        <w:jc w:val="both"/>
      </w:pP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（4）借款费用资本化金额的计算方法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before="8"/>
        <w:ind w:right="2127"/>
        <w:jc w:val="left"/>
      </w:pPr>
      <w:r>
        <w:rPr/>
        <w:t>包括在内。</w:t>
      </w:r>
    </w:p>
    <w:p>
      <w:pPr>
        <w:pStyle w:val="BodyText"/>
        <w:spacing w:line="273" w:lineRule="auto" w:before="37"/>
        <w:ind w:left="532" w:right="0"/>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2127"/>
        <w:jc w:val="left"/>
      </w:pPr>
      <w:r>
        <w:rPr/>
        <w:t>止资本化。</w:t>
      </w:r>
    </w:p>
    <w:p>
      <w:pPr>
        <w:pStyle w:val="BodyText"/>
        <w:spacing w:line="273" w:lineRule="auto" w:before="37"/>
        <w:ind w:right="1132" w:firstLine="420"/>
        <w:jc w:val="both"/>
      </w:pPr>
      <w:r>
        <w:rPr>
          <w:w w:val="95"/>
        </w:rPr>
        <w:t>购建或者生产的资产的各部分分别完工，但必须等到整体完工后才可使用或可对外销售的，在该资产</w:t>
      </w:r>
      <w:r>
        <w:rPr>
          <w:w w:val="99"/>
        </w:rPr>
        <w:t> </w:t>
      </w:r>
      <w:r>
        <w:rPr>
          <w:w w:val="95"/>
        </w:rPr>
        <w:t>整体完工时停止借款费用资本化门借款的利息费用（扣除尚未动用的借款资金存入银行取得的利息收入或</w:t>
      </w:r>
      <w:r>
        <w:rPr>
          <w:spacing w:val="39"/>
          <w:w w:val="95"/>
        </w:rPr>
        <w:t> </w:t>
      </w:r>
      <w:r>
        <w:rPr>
          <w:spacing w:val="39"/>
          <w:w w:val="95"/>
        </w:rPr>
      </w:r>
      <w:r>
        <w:rPr>
          <w:w w:val="95"/>
        </w:rPr>
        <w:t>者进行暂时性投资取得的投资收益）及其辅助费用在所购建或者生产的符合资本化条件的资产达到预定可</w:t>
      </w:r>
      <w:r>
        <w:rPr>
          <w:spacing w:val="37"/>
          <w:w w:val="95"/>
        </w:rPr>
        <w:t> </w:t>
      </w:r>
      <w:r>
        <w:rPr>
          <w:spacing w:val="37"/>
          <w:w w:val="95"/>
        </w:rPr>
      </w:r>
      <w:r>
        <w:rPr/>
        <w:t>使用或者可销售状态前，予以资本化。</w:t>
      </w:r>
    </w:p>
    <w:p>
      <w:pPr>
        <w:pStyle w:val="BodyText"/>
        <w:spacing w:line="266" w:lineRule="auto"/>
        <w:ind w:right="0" w:firstLine="420"/>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r>
        <w:rPr>
          <w:w w:val="99"/>
        </w:rPr>
        <w:t> </w:t>
      </w: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pStyle w:val="BodyText"/>
        <w:spacing w:line="273" w:lineRule="auto" w:before="14"/>
        <w:ind w:right="0" w:firstLine="420"/>
        <w:jc w:val="left"/>
      </w:pPr>
      <w:r>
        <w:rPr>
          <w:w w:val="95"/>
        </w:rPr>
        <w:t>专门借款的利息费用（扣除尚未动用的借款资金存入银行取得的利息收入或者进行暂时性投资取得的</w:t>
      </w:r>
      <w:r>
        <w:rPr>
          <w:w w:val="99"/>
        </w:rPr>
        <w:t> </w:t>
      </w:r>
      <w:r>
        <w:rPr>
          <w:w w:val="95"/>
        </w:rPr>
        <w:t>投资收益）及其辅助费用在所购建或者生产的符合资本化条件的资产达到预定可使用或者可销售状态前，</w:t>
      </w:r>
      <w:r>
        <w:rPr/>
      </w:r>
    </w:p>
    <w:p>
      <w:pPr>
        <w:spacing w:after="0" w:line="273"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40" w:lineRule="auto" w:before="34"/>
        <w:ind w:right="2127"/>
        <w:jc w:val="left"/>
      </w:pPr>
      <w:r>
        <w:rPr/>
        <w:t>予以资本化。</w:t>
      </w:r>
    </w:p>
    <w:p>
      <w:pPr>
        <w:pStyle w:val="BodyText"/>
        <w:spacing w:line="273" w:lineRule="auto" w:before="37"/>
        <w:ind w:right="1132" w:firstLine="420"/>
        <w:jc w:val="both"/>
      </w:pPr>
      <w:r>
        <w:rPr>
          <w:w w:val="95"/>
        </w:rPr>
        <w:t>根据累计资产支出超过专门借款部分的资产支出加权平均数乘以所占用一般借款的资本化率，计算确</w:t>
      </w:r>
      <w:r>
        <w:rPr>
          <w:w w:val="99"/>
        </w:rPr>
        <w:t> </w:t>
      </w:r>
      <w:r>
        <w:rPr/>
        <w:t>定一般借款应予资本化的利息金额。资本化率根据一般借款加权平均利率计算确定。</w:t>
      </w:r>
    </w:p>
    <w:p>
      <w:pPr>
        <w:pStyle w:val="BodyText"/>
        <w:spacing w:line="273" w:lineRule="auto"/>
        <w:ind w:right="1135" w:firstLine="420"/>
        <w:jc w:val="both"/>
      </w:pPr>
      <w:r>
        <w:rPr>
          <w:w w:val="95"/>
        </w:rPr>
        <w:t>借款存在折价或者溢价的，按照实际利率法确定每一会计期间应摊销的折价或者溢价金额，调整每期</w:t>
      </w:r>
      <w:r>
        <w:rPr>
          <w:w w:val="99"/>
        </w:rPr>
        <w:t> </w:t>
      </w:r>
      <w:r>
        <w:rPr/>
        <w:t>利息金额。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6"/>
        <w:ind w:right="2127"/>
        <w:jc w:val="left"/>
        <w:rPr>
          <w:b w:val="0"/>
          <w:bCs w:val="0"/>
        </w:rPr>
      </w:pPr>
      <w:bookmarkStart w:name="27、生物资产" w:id="203"/>
      <w:bookmarkEnd w:id="203"/>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8、油气资产" w:id="204"/>
      <w:bookmarkEnd w:id="204"/>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9、使用权资产" w:id="205"/>
      <w:bookmarkEnd w:id="205"/>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0、无形资产" w:id="206"/>
      <w:bookmarkEnd w:id="206"/>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计价方法、使用寿命、减值测试" w:id="207"/>
      <w:bookmarkEnd w:id="20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spacing w:line="273" w:lineRule="auto" w:before="0"/>
        <w:ind w:left="640" w:right="2127" w:hanging="108"/>
        <w:jc w:val="left"/>
        <w:rPr>
          <w:rFonts w:ascii="宋体" w:hAnsi="宋体" w:cs="宋体" w:eastAsia="宋体" w:hint="default"/>
          <w:sz w:val="21"/>
          <w:szCs w:val="21"/>
        </w:rPr>
      </w:pPr>
      <w:r>
        <w:rPr>
          <w:rFonts w:ascii="宋体" w:hAnsi="宋体" w:cs="宋体" w:eastAsia="宋体" w:hint="default"/>
          <w:w w:val="95"/>
          <w:sz w:val="21"/>
          <w:szCs w:val="21"/>
        </w:rPr>
        <w:t>无形资产是指本公司拥有或者控制的没有实物形态的可辨认非货币性资产。</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b/>
          <w:bCs/>
          <w:sz w:val="21"/>
          <w:szCs w:val="21"/>
        </w:rPr>
        <w:t>1）无形资产的初始计量</w:t>
      </w:r>
      <w:r>
        <w:rPr>
          <w:rFonts w:ascii="宋体" w:hAnsi="宋体" w:cs="宋体" w:eastAsia="宋体" w:hint="default"/>
          <w:sz w:val="21"/>
          <w:szCs w:val="21"/>
        </w:rPr>
      </w:r>
    </w:p>
    <w:p>
      <w:pPr>
        <w:pStyle w:val="BodyText"/>
        <w:spacing w:line="273" w:lineRule="auto"/>
        <w:ind w:right="1132" w:firstLine="420"/>
        <w:jc w:val="both"/>
      </w:pPr>
      <w:r>
        <w:rPr>
          <w:w w:val="95"/>
        </w:rPr>
        <w:t>外购无形资产的成本，包括购买价款、相关税费以及直接归属于使该项资产达到预定用途所发生的其</w:t>
      </w:r>
      <w:r>
        <w:rPr>
          <w:w w:val="99"/>
        </w:rPr>
        <w:t> </w:t>
      </w:r>
      <w:r>
        <w:rPr>
          <w:w w:val="95"/>
        </w:rPr>
        <w:t>他支出。购买无形资产的价款超过正常信用条件延期支付，实质上具有融资性质的，无形资产的成本以购</w:t>
      </w:r>
      <w:r>
        <w:rPr>
          <w:spacing w:val="40"/>
          <w:w w:val="95"/>
        </w:rPr>
        <w:t> </w:t>
      </w:r>
      <w:r>
        <w:rPr>
          <w:spacing w:val="40"/>
          <w:w w:val="95"/>
        </w:rPr>
      </w:r>
      <w:r>
        <w:rPr/>
        <w:t>买价款的现值为基础确定。</w:t>
      </w:r>
    </w:p>
    <w:p>
      <w:pPr>
        <w:pStyle w:val="BodyText"/>
        <w:spacing w:line="273" w:lineRule="auto"/>
        <w:ind w:right="1132" w:firstLine="420"/>
        <w:jc w:val="both"/>
      </w:pPr>
      <w:r>
        <w:rPr>
          <w:w w:val="95"/>
        </w:rPr>
        <w:t>债务重组取得债务人用以抵债的无形资产，以该无形资产的公允价值为基础确定其入账价值，并将重</w:t>
      </w:r>
      <w:r>
        <w:rPr>
          <w:w w:val="99"/>
        </w:rPr>
        <w:t> </w:t>
      </w:r>
      <w:r>
        <w:rPr/>
        <w:t>组债务的账面价值与该用以抵债的无形资产公允价值之间的差额，计入当期损益。</w:t>
      </w:r>
    </w:p>
    <w:p>
      <w:pPr>
        <w:pStyle w:val="BodyText"/>
        <w:spacing w:line="273" w:lineRule="auto"/>
        <w:ind w:right="1132" w:firstLine="420"/>
        <w:jc w:val="both"/>
      </w:pPr>
      <w:r>
        <w:rPr>
          <w:w w:val="95"/>
        </w:rPr>
        <w:t>在非货币性资产交换具备商业实质且换入资产或换出资产的公允价值能够可靠计量的前提下，非货币</w:t>
      </w:r>
      <w:r>
        <w:rPr>
          <w:w w:val="99"/>
        </w:rPr>
        <w:t> </w:t>
      </w:r>
      <w:r>
        <w:rPr>
          <w:w w:val="95"/>
        </w:rPr>
        <w:t>性资产交换换入的无形资产以换出资产的公允价值为基础确定其入账价值，除非有确凿证据表明换入资产</w:t>
      </w:r>
      <w:r>
        <w:rPr>
          <w:spacing w:val="39"/>
          <w:w w:val="95"/>
        </w:rPr>
        <w:t> </w:t>
      </w:r>
      <w:r>
        <w:rPr>
          <w:spacing w:val="39"/>
          <w:w w:val="95"/>
        </w:rPr>
      </w:r>
      <w:r>
        <w:rPr>
          <w:w w:val="95"/>
        </w:rPr>
        <w:t>的公允价值更加可靠；不满足上述前提的非货币性资产交换，以换出资产的账面价值和应支付的相关税费</w:t>
      </w:r>
      <w:r>
        <w:rPr>
          <w:spacing w:val="40"/>
          <w:w w:val="95"/>
        </w:rPr>
        <w:t> </w:t>
      </w:r>
      <w:r>
        <w:rPr>
          <w:spacing w:val="40"/>
          <w:w w:val="95"/>
        </w:rPr>
      </w:r>
      <w:r>
        <w:rPr/>
        <w:t>作为换入无形资产的成本，不确认损益。</w:t>
      </w:r>
    </w:p>
    <w:p>
      <w:pPr>
        <w:pStyle w:val="BodyText"/>
        <w:spacing w:line="273" w:lineRule="auto"/>
        <w:ind w:right="1135" w:firstLine="420"/>
        <w:jc w:val="both"/>
      </w:pPr>
      <w:r>
        <w:rPr>
          <w:w w:val="95"/>
        </w:rPr>
        <w:t>以同一控制下的企业吸收合并方式取得的无形资产按被合并方的账面价值确定其入账价值；以非同一</w:t>
      </w:r>
      <w:r>
        <w:rPr>
          <w:w w:val="99"/>
        </w:rPr>
        <w:t> </w:t>
      </w:r>
      <w:r>
        <w:rPr/>
        <w:t>控制下的企业吸收合并方式取得的无形资产按公允价值确定其入账价值。</w:t>
      </w:r>
    </w:p>
    <w:p>
      <w:pPr>
        <w:pStyle w:val="BodyText"/>
        <w:spacing w:line="273" w:lineRule="auto"/>
        <w:ind w:right="1130" w:firstLine="420"/>
        <w:jc w:val="both"/>
      </w:pPr>
      <w:r>
        <w:rPr>
          <w:w w:val="95"/>
        </w:rPr>
        <w:t>内部自行开发的无形资产，其成本包括：开发该无形资产时耗用的材料、劳务成本、注册费、在开发</w:t>
      </w:r>
      <w:r>
        <w:rPr>
          <w:spacing w:val="-97"/>
          <w:w w:val="95"/>
        </w:rPr>
        <w:t> </w:t>
      </w:r>
      <w:r>
        <w:rPr>
          <w:spacing w:val="-97"/>
          <w:w w:val="95"/>
        </w:rPr>
      </w:r>
      <w:r>
        <w:rPr>
          <w:w w:val="95"/>
        </w:rPr>
        <w:t>过程中使用的其他专利权和特许权的摊销以及满足资本化条件的利息费用，以及为使该无形资产达到预定</w:t>
      </w:r>
      <w:r>
        <w:rPr>
          <w:spacing w:val="39"/>
          <w:w w:val="95"/>
        </w:rPr>
        <w:t> </w:t>
      </w:r>
      <w:r>
        <w:rPr>
          <w:spacing w:val="39"/>
          <w:w w:val="95"/>
        </w:rPr>
      </w:r>
      <w:r>
        <w:rPr/>
        <w:t>用途前所发生的其他直接费用。</w:t>
      </w:r>
    </w:p>
    <w:p>
      <w:pPr>
        <w:spacing w:line="273" w:lineRule="auto" w:before="7"/>
        <w:ind w:left="532" w:right="0" w:firstLine="108"/>
        <w:jc w:val="left"/>
        <w:rPr>
          <w:rFonts w:ascii="宋体" w:hAnsi="宋体" w:cs="宋体" w:eastAsia="宋体" w:hint="default"/>
          <w:sz w:val="21"/>
          <w:szCs w:val="21"/>
        </w:rPr>
      </w:pPr>
      <w:r>
        <w:rPr>
          <w:rFonts w:ascii="宋体" w:hAnsi="宋体" w:cs="宋体" w:eastAsia="宋体" w:hint="default"/>
          <w:b/>
          <w:bCs/>
          <w:sz w:val="21"/>
          <w:szCs w:val="21"/>
        </w:rPr>
        <w:t>2）无形资产的后续计量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本公司在取得无形资产时分析判断其使用寿命，划分为使用寿命有限和使用寿命不确定的无形资产。</w:t>
      </w:r>
      <w:r>
        <w:rPr>
          <w:rFonts w:ascii="宋体" w:hAnsi="宋体" w:cs="宋体" w:eastAsia="宋体" w:hint="default"/>
          <w:sz w:val="21"/>
          <w:szCs w:val="21"/>
        </w:rPr>
      </w:r>
    </w:p>
    <w:p>
      <w:pPr>
        <w:pStyle w:val="BodyText"/>
        <w:spacing w:line="273" w:lineRule="auto"/>
        <w:ind w:left="532" w:right="0"/>
        <w:jc w:val="left"/>
      </w:pPr>
      <w:r>
        <w:rPr/>
        <w:t>①使用寿命有限的无形资产</w:t>
      </w:r>
      <w:r>
        <w:rPr>
          <w:w w:val="99"/>
        </w:rPr>
        <w:t> </w:t>
      </w:r>
      <w:r>
        <w:rPr>
          <w:w w:val="95"/>
        </w:rPr>
        <w:t>对于使用寿命有限的无形资产，在为企业带来经济利益的期限内按直线法摊销。使用寿命有限的无形</w:t>
      </w:r>
      <w:r>
        <w:rPr/>
      </w:r>
    </w:p>
    <w:p>
      <w:pPr>
        <w:pStyle w:val="BodyText"/>
        <w:spacing w:line="240" w:lineRule="auto"/>
        <w:ind w:right="2127"/>
        <w:jc w:val="left"/>
      </w:pPr>
      <w:r>
        <w:rPr/>
        <w:t>资产预计寿命及依据如下：</w:t>
      </w:r>
    </w:p>
    <w:p>
      <w:pPr>
        <w:spacing w:after="0" w:line="240" w:lineRule="auto"/>
        <w:jc w:val="left"/>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2806"/>
        <w:gridCol w:w="1872"/>
        <w:gridCol w:w="3742"/>
      </w:tblGrid>
      <w:tr>
        <w:trPr>
          <w:trHeight w:val="354"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工业出让地</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50年</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依权属有效期内</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内部开发形成的无形资产</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5-10年</w:t>
            </w:r>
          </w:p>
        </w:tc>
        <w:tc>
          <w:tcPr>
            <w:tcW w:w="37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依技术进步、权属有效内使用</w:t>
            </w:r>
          </w:p>
        </w:tc>
      </w:tr>
    </w:tbl>
    <w:p>
      <w:pPr>
        <w:spacing w:line="240" w:lineRule="auto" w:before="4"/>
        <w:rPr>
          <w:rFonts w:ascii="宋体" w:hAnsi="宋体" w:cs="宋体" w:eastAsia="宋体" w:hint="default"/>
          <w:sz w:val="20"/>
          <w:szCs w:val="20"/>
        </w:rPr>
      </w:pPr>
    </w:p>
    <w:p>
      <w:pPr>
        <w:pStyle w:val="BodyText"/>
        <w:spacing w:line="273" w:lineRule="auto" w:before="34"/>
        <w:ind w:right="0" w:firstLine="420"/>
        <w:jc w:val="left"/>
      </w:pPr>
      <w:r>
        <w:rPr>
          <w:w w:val="95"/>
        </w:rPr>
        <w:t>每期末，对使用寿命有限的无形资产的使用寿命及摊销方法进行复核，如与原先估计数存在差异的，</w:t>
      </w:r>
      <w:r>
        <w:rPr>
          <w:spacing w:val="-79"/>
          <w:w w:val="95"/>
        </w:rPr>
        <w:t> </w:t>
      </w:r>
      <w:r>
        <w:rPr>
          <w:spacing w:val="-79"/>
          <w:w w:val="95"/>
        </w:rPr>
      </w:r>
      <w:r>
        <w:rPr/>
        <w:t>进行相应的调整。</w:t>
      </w:r>
    </w:p>
    <w:p>
      <w:pPr>
        <w:pStyle w:val="BodyText"/>
        <w:spacing w:line="240" w:lineRule="auto"/>
        <w:ind w:left="532" w:right="2127"/>
        <w:jc w:val="left"/>
      </w:pPr>
      <w:r>
        <w:rPr/>
        <w:t>经复核，本期期末无形资产的使用寿命及摊销方法与以前估计未有不同。</w:t>
      </w:r>
    </w:p>
    <w:p>
      <w:pPr>
        <w:pStyle w:val="BodyText"/>
        <w:spacing w:line="273" w:lineRule="auto" w:before="37"/>
        <w:ind w:left="532" w:right="0"/>
        <w:jc w:val="left"/>
      </w:pPr>
      <w:r>
        <w:rPr/>
        <w:t>②使用寿命不确定的无形资产</w:t>
      </w:r>
      <w:r>
        <w:rPr>
          <w:w w:val="99"/>
        </w:rPr>
        <w:t> </w:t>
      </w:r>
      <w:r>
        <w:rPr>
          <w:w w:val="95"/>
        </w:rPr>
        <w:t>无法预见无形资产为企业带来经济利益期限的，视为使用寿命不确定的无形资产。本报告期内公司无</w:t>
      </w:r>
      <w:r>
        <w:rPr/>
      </w:r>
    </w:p>
    <w:p>
      <w:pPr>
        <w:pStyle w:val="BodyText"/>
        <w:spacing w:line="240" w:lineRule="auto"/>
        <w:ind w:right="2127"/>
        <w:jc w:val="left"/>
      </w:pPr>
      <w:r>
        <w:rPr/>
        <w:t>使用寿命不确定的无形资产。</w:t>
      </w:r>
    </w:p>
    <w:p>
      <w:pPr>
        <w:spacing w:line="240" w:lineRule="auto" w:before="10"/>
        <w:rPr>
          <w:rFonts w:ascii="宋体" w:hAnsi="宋体" w:cs="宋体" w:eastAsia="宋体" w:hint="default"/>
          <w:sz w:val="26"/>
          <w:szCs w:val="26"/>
        </w:rPr>
      </w:pPr>
    </w:p>
    <w:p>
      <w:pPr>
        <w:pStyle w:val="Heading5"/>
        <w:spacing w:line="590" w:lineRule="atLeast"/>
        <w:ind w:left="535" w:right="4533" w:hanging="423"/>
        <w:jc w:val="left"/>
        <w:rPr>
          <w:b w:val="0"/>
          <w:bCs w:val="0"/>
        </w:rPr>
      </w:pPr>
      <w:bookmarkStart w:name="（2）内部研究开发支出会计政策" w:id="208"/>
      <w:bookmarkEnd w:id="208"/>
      <w:r>
        <w:rPr>
          <w:b w:val="0"/>
          <w:bCs w:val="0"/>
        </w:rPr>
      </w:r>
      <w:r>
        <w:rPr/>
        <w:t>（</w:t>
      </w:r>
      <w:r>
        <w:rPr>
          <w:rFonts w:ascii="Times New Roman" w:hAnsi="Times New Roman" w:cs="Times New Roman" w:eastAsia="Times New Roman" w:hint="default"/>
        </w:rPr>
        <w:t>2</w:t>
      </w:r>
      <w:r>
        <w:rPr/>
        <w:t>）内部研究开发支出会计政策</w:t>
      </w:r>
      <w:r>
        <w:rPr>
          <w:w w:val="99"/>
        </w:rPr>
        <w:t> </w:t>
      </w:r>
      <w:r>
        <w:rPr/>
        <w:t>1）划分公司内部研究开发项目的研究阶段和开发阶段具体标准</w:t>
      </w:r>
      <w:r>
        <w:rPr>
          <w:b w:val="0"/>
          <w:bCs w:val="0"/>
        </w:rPr>
      </w:r>
    </w:p>
    <w:p>
      <w:pPr>
        <w:pStyle w:val="BodyText"/>
        <w:spacing w:line="273" w:lineRule="auto" w:before="37"/>
        <w:ind w:left="532" w:right="0"/>
        <w:jc w:val="left"/>
      </w:pPr>
      <w:r>
        <w:rPr/>
        <w:t>研究阶段：为获取并理解新的科学或技术知识等而进行的独创性的有计划调查、研究活动的阶段。</w:t>
      </w:r>
      <w:r>
        <w:rPr>
          <w:w w:val="99"/>
        </w:rPr>
        <w:t> </w:t>
      </w:r>
      <w:r>
        <w:rPr>
          <w:w w:val="95"/>
        </w:rPr>
        <w:t>开发阶段：在进行商业性生产或使用前，将研究成果或其他知识应用于某项计划或设计，以生产出新</w:t>
      </w:r>
      <w:r>
        <w:rPr/>
      </w:r>
    </w:p>
    <w:p>
      <w:pPr>
        <w:pStyle w:val="BodyText"/>
        <w:spacing w:line="273" w:lineRule="auto"/>
        <w:ind w:left="532" w:right="2127" w:hanging="420"/>
        <w:jc w:val="left"/>
      </w:pPr>
      <w:r>
        <w:rPr/>
        <w:t>的或具有实质性改进的材料、装置、产品等活动的阶段。</w:t>
      </w:r>
      <w:r>
        <w:rPr>
          <w:w w:val="99"/>
        </w:rPr>
        <w:t> </w:t>
      </w:r>
      <w:r>
        <w:rPr/>
        <w:t>内部研究开发项目研究阶段的支出，在发生时计入当期损益。</w:t>
      </w:r>
      <w:r>
        <w:rPr>
          <w:w w:val="99"/>
        </w:rPr>
        <w:t> </w:t>
      </w:r>
      <w:r>
        <w:rPr>
          <w:rFonts w:ascii="宋体" w:hAnsi="宋体" w:cs="宋体" w:eastAsia="宋体" w:hint="default"/>
          <w:b/>
          <w:bCs/>
        </w:rPr>
        <w:t>2）开发阶段支出符合资本化的具体标准</w:t>
      </w:r>
      <w:r>
        <w:rPr>
          <w:rFonts w:ascii="宋体" w:hAnsi="宋体" w:cs="宋体" w:eastAsia="宋体" w:hint="default"/>
          <w:b/>
          <w:bCs/>
          <w:w w:val="99"/>
        </w:rPr>
        <w:t> </w:t>
      </w:r>
      <w:r>
        <w:rPr>
          <w:w w:val="95"/>
        </w:rPr>
        <w:t>内部研究开发项目开发阶段的支出，同时满足下列条件时确认为无形资产：</w:t>
      </w:r>
      <w:r>
        <w:rPr/>
      </w:r>
    </w:p>
    <w:p>
      <w:pPr>
        <w:pStyle w:val="BodyText"/>
        <w:spacing w:line="240" w:lineRule="auto"/>
        <w:ind w:left="532" w:right="2127"/>
        <w:jc w:val="left"/>
      </w:pPr>
      <w:r>
        <w:rPr/>
        <w:t>①完成该无形资产以使其能够使用或出售在技术上具有可行性；</w:t>
      </w:r>
    </w:p>
    <w:p>
      <w:pPr>
        <w:pStyle w:val="BodyText"/>
        <w:spacing w:line="240" w:lineRule="auto" w:before="37"/>
        <w:ind w:left="532" w:right="2127"/>
        <w:jc w:val="left"/>
      </w:pPr>
      <w:r>
        <w:rPr/>
        <w:t>②具有完成该无形资产并使用或出售的意图；</w:t>
      </w:r>
    </w:p>
    <w:p>
      <w:pPr>
        <w:pStyle w:val="BodyText"/>
        <w:spacing w:line="273" w:lineRule="auto" w:before="37"/>
        <w:ind w:right="0" w:firstLine="420"/>
        <w:jc w:val="left"/>
      </w:pPr>
      <w:r>
        <w:rPr>
          <w:w w:val="95"/>
        </w:rPr>
        <w:t>③无形资产产生经济利益的方式，包括能够证明运用该无形资产生产的产品存在市场或无形资产自身</w:t>
      </w:r>
      <w:r>
        <w:rPr>
          <w:w w:val="99"/>
        </w:rPr>
        <w:t> </w:t>
      </w:r>
      <w:r>
        <w:rPr/>
        <w:t>存在市场，无形资产将在内部使用的，能够证明其有用性；</w:t>
      </w:r>
    </w:p>
    <w:p>
      <w:pPr>
        <w:pStyle w:val="BodyText"/>
        <w:spacing w:line="273" w:lineRule="auto"/>
        <w:ind w:right="1120" w:firstLine="420"/>
        <w:jc w:val="left"/>
      </w:pPr>
      <w:r>
        <w:rPr>
          <w:w w:val="95"/>
        </w:rPr>
        <w:t>④有足够的技术、财务资源和其他资源支持，以完成该无形资产的开发，并有能力使用或出售该无形</w:t>
      </w:r>
      <w:r>
        <w:rPr>
          <w:spacing w:val="-97"/>
          <w:w w:val="95"/>
        </w:rPr>
        <w:t> </w:t>
      </w:r>
      <w:r>
        <w:rPr>
          <w:spacing w:val="-97"/>
          <w:w w:val="95"/>
        </w:rPr>
      </w:r>
      <w:r>
        <w:rPr/>
        <w:t>资产；</w:t>
      </w:r>
    </w:p>
    <w:p>
      <w:pPr>
        <w:pStyle w:val="BodyText"/>
        <w:spacing w:line="273" w:lineRule="auto"/>
        <w:ind w:left="532" w:right="0"/>
        <w:jc w:val="left"/>
      </w:pPr>
      <w:r>
        <w:rPr/>
        <w:t>⑤归属于该无形资产开发阶段的支出能够可靠地计量。</w:t>
      </w:r>
      <w:r>
        <w:rPr>
          <w:w w:val="99"/>
        </w:rPr>
        <w:t> </w:t>
      </w:r>
      <w:r>
        <w:rPr>
          <w:w w:val="95"/>
        </w:rPr>
        <w:t>不满足上述条件的开发阶段的支出，于发生时计入当期损益。以前期间已计入损益的开发支出不在以</w:t>
      </w:r>
      <w:r>
        <w:rPr/>
      </w:r>
    </w:p>
    <w:p>
      <w:pPr>
        <w:pStyle w:val="BodyText"/>
        <w:spacing w:line="273" w:lineRule="auto"/>
        <w:ind w:right="0"/>
        <w:jc w:val="left"/>
      </w:pPr>
      <w:r>
        <w:rPr>
          <w:w w:val="95"/>
        </w:rPr>
        <w:t>后期间重新确认为资产。已资本化的开发阶段的支出在资产负债表上列示为开发支出，自该项目达到预定</w:t>
      </w:r>
      <w:r>
        <w:rPr>
          <w:spacing w:val="37"/>
          <w:w w:val="95"/>
        </w:rPr>
        <w:t> </w:t>
      </w:r>
      <w:r>
        <w:rPr>
          <w:spacing w:val="37"/>
          <w:w w:val="95"/>
        </w:rPr>
      </w:r>
      <w:r>
        <w:rPr/>
        <w:t>用途之日起转为无形资产。</w:t>
      </w:r>
    </w:p>
    <w:p>
      <w:pPr>
        <w:spacing w:line="240" w:lineRule="auto" w:before="6"/>
        <w:rPr>
          <w:rFonts w:ascii="宋体" w:hAnsi="宋体" w:cs="宋体" w:eastAsia="宋体" w:hint="default"/>
          <w:sz w:val="24"/>
          <w:szCs w:val="24"/>
        </w:rPr>
      </w:pPr>
    </w:p>
    <w:p>
      <w:pPr>
        <w:pStyle w:val="BodyText"/>
        <w:spacing w:line="590" w:lineRule="atLeast" w:before="0"/>
        <w:ind w:left="532" w:right="1120" w:hanging="420"/>
        <w:jc w:val="left"/>
      </w:pPr>
      <w:bookmarkStart w:name="31、长期资产减值" w:id="209"/>
      <w:bookmarkEnd w:id="209"/>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99"/>
        </w:rPr>
        <w:t> </w:t>
      </w:r>
      <w:r>
        <w:rPr>
          <w:w w:val="95"/>
        </w:rPr>
        <w:t>本公司在资产负债表日判断长期资产是否存在可能发生减值的迹象。如果长期资产存在减值迹象的，</w:t>
      </w:r>
      <w:r>
        <w:rPr/>
      </w:r>
    </w:p>
    <w:p>
      <w:pPr>
        <w:pStyle w:val="BodyText"/>
        <w:spacing w:line="273" w:lineRule="auto" w:before="37"/>
        <w:ind w:right="0"/>
        <w:jc w:val="left"/>
      </w:pPr>
      <w:r>
        <w:rPr>
          <w:w w:val="95"/>
        </w:rPr>
        <w:t>以单项资产为基础估计其可收回金额；难以对单项资产的可收回金额进行估计的，以该资产所属的资产组</w:t>
      </w:r>
      <w:r>
        <w:rPr>
          <w:spacing w:val="37"/>
          <w:w w:val="95"/>
        </w:rPr>
        <w:t> </w:t>
      </w:r>
      <w:r>
        <w:rPr>
          <w:spacing w:val="37"/>
          <w:w w:val="95"/>
        </w:rPr>
      </w:r>
      <w:r>
        <w:rPr/>
        <w:t>为基础确定资产组的可收回金额。</w:t>
      </w:r>
    </w:p>
    <w:p>
      <w:pPr>
        <w:pStyle w:val="BodyText"/>
        <w:spacing w:line="273" w:lineRule="auto"/>
        <w:ind w:right="0" w:firstLine="420"/>
        <w:jc w:val="left"/>
      </w:pPr>
      <w:r>
        <w:rPr>
          <w:w w:val="95"/>
        </w:rPr>
        <w:t>资产可收回金额的估计，根据其公允价值减去处置费用后的净额与资产预计未来现金流量的现值两者</w:t>
      </w:r>
      <w:r>
        <w:rPr>
          <w:w w:val="99"/>
        </w:rPr>
        <w:t> </w:t>
      </w:r>
      <w:r>
        <w:rPr/>
        <w:t>之间较高者确定。</w:t>
      </w:r>
    </w:p>
    <w:p>
      <w:pPr>
        <w:pStyle w:val="BodyText"/>
        <w:spacing w:line="273" w:lineRule="auto"/>
        <w:ind w:right="1132" w:firstLine="420"/>
        <w:jc w:val="both"/>
      </w:pPr>
      <w:r>
        <w:rPr>
          <w:w w:val="95"/>
        </w:rPr>
        <w:t>可收回金额的计量结果表明，长期资产的可收回金额低于其账面价值的，将长期资产的账面价值减记</w:t>
      </w:r>
      <w:r>
        <w:rPr>
          <w:w w:val="99"/>
        </w:rPr>
        <w:t> </w:t>
      </w:r>
      <w:r>
        <w:rPr>
          <w:w w:val="95"/>
        </w:rPr>
        <w:t>至可收回金额，减记的金额确认为资产减值损失，计入当期损益，同时计提相应的资产减值准备。资产减</w:t>
      </w:r>
      <w:r>
        <w:rPr>
          <w:spacing w:val="42"/>
          <w:w w:val="95"/>
        </w:rPr>
        <w:t> </w:t>
      </w:r>
      <w:r>
        <w:rPr>
          <w:spacing w:val="42"/>
          <w:w w:val="95"/>
        </w:rPr>
      </w:r>
      <w:r>
        <w:rPr/>
        <w:t>值损失一经确认，在以后会计期间不得转回。</w:t>
      </w:r>
    </w:p>
    <w:p>
      <w:pPr>
        <w:pStyle w:val="BodyText"/>
        <w:spacing w:line="240" w:lineRule="auto"/>
        <w:ind w:left="532" w:right="0"/>
        <w:jc w:val="left"/>
      </w:pPr>
      <w:r>
        <w:rPr/>
        <w:t>资产减值损失确认后，减值资产的折旧或者摊销费用在未来期间作相应调整，以使该资产在剩余使用</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left="532" w:right="0" w:hanging="420"/>
        <w:jc w:val="left"/>
      </w:pPr>
      <w:r>
        <w:rPr>
          <w:spacing w:val="-4"/>
          <w:w w:val="99"/>
        </w:rPr>
        <w:t>寿命内，系统地分摊调整后的资产账面价值（扣除预计净残值）。</w:t>
      </w:r>
      <w:r>
        <w:rPr>
          <w:spacing w:val="-78"/>
          <w:w w:val="99"/>
        </w:rPr>
        <w:t> </w:t>
      </w:r>
      <w:r>
        <w:rPr>
          <w:spacing w:val="-78"/>
          <w:w w:val="99"/>
        </w:rPr>
      </w:r>
      <w:r>
        <w:rPr>
          <w:w w:val="95"/>
        </w:rPr>
        <w:t>因企业合并所形成的商誉和使用寿命不确定的无形资产，无论是否存在减值迹象，每年都进行减值测</w:t>
      </w:r>
      <w:r>
        <w:rPr/>
      </w:r>
    </w:p>
    <w:p>
      <w:pPr>
        <w:pStyle w:val="BodyText"/>
        <w:spacing w:line="240" w:lineRule="auto"/>
        <w:ind w:right="2127"/>
        <w:jc w:val="left"/>
      </w:pPr>
      <w:r>
        <w:rPr/>
        <w:t>试。</w:t>
      </w:r>
    </w:p>
    <w:p>
      <w:pPr>
        <w:pStyle w:val="BodyText"/>
        <w:spacing w:line="240" w:lineRule="auto" w:before="37"/>
        <w:ind w:left="532" w:right="0"/>
        <w:jc w:val="left"/>
      </w:pPr>
      <w:r>
        <w:rPr/>
        <w:t>在对商誉进行减值测试时，将商誉的账面价值分摊至预期从企业合并的协同效应中受益的资产组或资</w:t>
      </w:r>
    </w:p>
    <w:p>
      <w:pPr>
        <w:pStyle w:val="BodyText"/>
        <w:spacing w:line="273" w:lineRule="auto" w:before="37"/>
        <w:ind w:right="1130"/>
        <w:jc w:val="both"/>
      </w:pPr>
      <w:r>
        <w:rPr>
          <w:w w:val="95"/>
        </w:rPr>
        <w:t>产组组合。在对包含商誉的相关资产组或者资产组组合进行减值测试时，如与商誉相关的资产组或者资产</w:t>
      </w:r>
      <w:r>
        <w:rPr>
          <w:spacing w:val="37"/>
          <w:w w:val="95"/>
        </w:rPr>
        <w:t> </w:t>
      </w:r>
      <w:r>
        <w:rPr>
          <w:spacing w:val="37"/>
          <w:w w:val="95"/>
        </w:rPr>
      </w:r>
      <w:r>
        <w:rPr>
          <w:w w:val="95"/>
        </w:rPr>
        <w:t>组组合存在减值迹象的，先对不包含商誉的资产组或者资产组组合进行减值测试，计算可收回金额，并与</w:t>
      </w:r>
      <w:r>
        <w:rPr>
          <w:spacing w:val="43"/>
          <w:w w:val="95"/>
        </w:rPr>
        <w:t> </w:t>
      </w:r>
      <w:r>
        <w:rPr>
          <w:spacing w:val="43"/>
          <w:w w:val="95"/>
        </w:rPr>
      </w:r>
      <w:r>
        <w:rPr>
          <w:w w:val="95"/>
        </w:rPr>
        <w:t>相关账面价值相比较，确认相应的减值损失。再对包含商誉的资产组或者资产组组合进行减值测试，比较</w:t>
      </w:r>
      <w:r>
        <w:rPr>
          <w:spacing w:val="43"/>
          <w:w w:val="95"/>
        </w:rPr>
        <w:t> </w:t>
      </w:r>
      <w:r>
        <w:rPr>
          <w:spacing w:val="43"/>
          <w:w w:val="95"/>
        </w:rPr>
      </w:r>
      <w:r>
        <w:rPr>
          <w:w w:val="95"/>
        </w:rPr>
        <w:t>这些相关资产组或者资产组组合的账面价值（包括所分摊的商誉的账面价值部分）与其可收回金额，如相</w:t>
      </w:r>
      <w:r>
        <w:rPr>
          <w:spacing w:val="43"/>
          <w:w w:val="95"/>
        </w:rPr>
        <w:t> </w:t>
      </w:r>
      <w:r>
        <w:rPr>
          <w:spacing w:val="43"/>
          <w:w w:val="95"/>
        </w:rPr>
      </w:r>
      <w:r>
        <w:rPr/>
        <w:t>关资产组或者资产组组合的可收回金额低于其账面价值的，确认商誉的减值损失。</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both"/>
        <w:rPr>
          <w:b w:val="0"/>
          <w:bCs w:val="0"/>
        </w:rPr>
      </w:pPr>
      <w:bookmarkStart w:name="32、长期待摊费用" w:id="210"/>
      <w:bookmarkEnd w:id="210"/>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120" w:firstLine="2"/>
        <w:jc w:val="left"/>
      </w:pPr>
      <w:r>
        <w:rPr>
          <w:rFonts w:ascii="宋体" w:hAnsi="宋体" w:cs="宋体" w:eastAsia="宋体" w:hint="default"/>
          <w:b/>
          <w:bCs/>
        </w:rPr>
        <w:t>（1）摊销方法</w:t>
      </w:r>
      <w:r>
        <w:rPr>
          <w:rFonts w:ascii="宋体" w:hAnsi="宋体" w:cs="宋体" w:eastAsia="宋体" w:hint="default"/>
          <w:b/>
          <w:bCs/>
          <w:w w:val="99"/>
        </w:rPr>
        <w:t> </w:t>
      </w:r>
      <w:r>
        <w:rPr>
          <w:spacing w:val="2"/>
          <w:w w:val="95"/>
        </w:rPr>
        <w:t>长期待摊费用，是指本公司已经发生但应由本期和以后各期负担的分摊期限在</w:t>
      </w:r>
      <w:r>
        <w:rPr>
          <w:rFonts w:ascii="Times New Roman" w:hAnsi="Times New Roman" w:cs="Times New Roman" w:eastAsia="Times New Roman" w:hint="default"/>
          <w:spacing w:val="2"/>
          <w:w w:val="95"/>
        </w:rPr>
        <w:t>1</w:t>
      </w:r>
      <w:r>
        <w:rPr>
          <w:spacing w:val="2"/>
          <w:w w:val="95"/>
        </w:rPr>
        <w:t>年以上的各项费用。</w:t>
      </w:r>
      <w:r>
        <w:rPr>
          <w:spacing w:val="2"/>
        </w:rPr>
      </w:r>
    </w:p>
    <w:p>
      <w:pPr>
        <w:pStyle w:val="BodyText"/>
        <w:spacing w:line="264" w:lineRule="exact" w:before="0"/>
        <w:ind w:right="0"/>
        <w:jc w:val="both"/>
      </w:pPr>
      <w:r>
        <w:rPr/>
        <w:t>长期待摊费用在受益期内按直线法分期摊销。</w:t>
      </w:r>
    </w:p>
    <w:p>
      <w:pPr>
        <w:pStyle w:val="Heading5"/>
        <w:spacing w:line="240" w:lineRule="auto" w:before="37"/>
        <w:ind w:left="535" w:right="2127"/>
        <w:jc w:val="left"/>
        <w:rPr>
          <w:b w:val="0"/>
          <w:bCs w:val="0"/>
        </w:rPr>
      </w:pPr>
      <w:r>
        <w:rPr/>
        <w:t>（2）摊销年限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2842"/>
        <w:gridCol w:w="2843"/>
        <w:gridCol w:w="2843"/>
      </w:tblGrid>
      <w:tr>
        <w:trPr>
          <w:trHeight w:val="354"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3-5年</w:t>
            </w:r>
          </w:p>
        </w:tc>
        <w:tc>
          <w:tcPr>
            <w:tcW w:w="284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Heading5"/>
        <w:spacing w:line="240" w:lineRule="auto" w:before="34"/>
        <w:ind w:right="2127"/>
        <w:jc w:val="left"/>
        <w:rPr>
          <w:b w:val="0"/>
          <w:bCs w:val="0"/>
        </w:rPr>
      </w:pPr>
      <w:bookmarkStart w:name="33、合同负债" w:id="211"/>
      <w:bookmarkEnd w:id="211"/>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4、职工薪酬" w:id="212"/>
      <w:bookmarkEnd w:id="212"/>
      <w:r>
        <w:rPr>
          <w:b w:val="0"/>
          <w:bCs w:val="0"/>
        </w:rPr>
      </w:r>
      <w:r>
        <w:rPr>
          <w:rFonts w:ascii="Times New Roman" w:hAnsi="Times New Roman" w:cs="Times New Roman" w:eastAsia="Times New Roman" w:hint="default"/>
        </w:rPr>
        <w:t>34</w:t>
      </w:r>
      <w:r>
        <w:rPr/>
        <w:t>、职工薪酬</w:t>
      </w:r>
      <w:r>
        <w:rPr>
          <w:b w:val="0"/>
          <w:bCs w:val="0"/>
        </w:rPr>
      </w:r>
    </w:p>
    <w:p>
      <w:pPr>
        <w:spacing w:line="600" w:lineRule="atLeast" w:before="12"/>
        <w:ind w:left="532" w:right="1132" w:hanging="420"/>
        <w:jc w:val="left"/>
        <w:rPr>
          <w:rFonts w:ascii="宋体" w:hAnsi="宋体" w:cs="宋体" w:eastAsia="宋体" w:hint="default"/>
          <w:sz w:val="21"/>
          <w:szCs w:val="21"/>
        </w:rPr>
      </w:pPr>
      <w:bookmarkStart w:name="（1）短期薪酬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4"/>
          <w:sz w:val="21"/>
          <w:szCs w:val="21"/>
        </w:rPr>
        <w:t>短期薪酬是指本公司在职工提供相关服务的年度报告期间结束后十二个月内需要全部予以支付的职</w:t>
      </w:r>
    </w:p>
    <w:p>
      <w:pPr>
        <w:pStyle w:val="BodyText"/>
        <w:spacing w:line="273" w:lineRule="auto" w:before="37"/>
        <w:ind w:right="1025"/>
        <w:jc w:val="left"/>
      </w:pPr>
      <w:r>
        <w:rPr>
          <w:spacing w:val="-3"/>
        </w:rPr>
        <w:t>工薪酬，离职后福利和辞退福利除外。本公司在职工提供服务的会计期间，将应付的短期薪酬确认为负债，</w:t>
      </w:r>
      <w:r>
        <w:rPr>
          <w:w w:val="99"/>
        </w:rPr>
        <w:t> </w:t>
      </w:r>
      <w:r>
        <w:rPr/>
        <w:t>并根据职工提供服务的受益对象计入相关资产成本和费用。</w:t>
      </w:r>
    </w:p>
    <w:p>
      <w:pPr>
        <w:spacing w:line="240" w:lineRule="auto" w:before="6"/>
        <w:rPr>
          <w:rFonts w:ascii="宋体" w:hAnsi="宋体" w:cs="宋体" w:eastAsia="宋体" w:hint="default"/>
          <w:sz w:val="24"/>
          <w:szCs w:val="24"/>
        </w:rPr>
      </w:pPr>
    </w:p>
    <w:p>
      <w:pPr>
        <w:spacing w:line="590" w:lineRule="atLeast" w:before="0"/>
        <w:ind w:left="532" w:right="0" w:hanging="420"/>
        <w:jc w:val="left"/>
        <w:rPr>
          <w:rFonts w:ascii="宋体" w:hAnsi="宋体" w:cs="宋体" w:eastAsia="宋体" w:hint="default"/>
          <w:sz w:val="21"/>
          <w:szCs w:val="21"/>
        </w:rPr>
      </w:pPr>
      <w:bookmarkStart w:name="（2）离职后福利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离职后福利是指本公司为获得职工提供的服务而在职工退休或与企业解除劳动关系后，提供的各种形</w:t>
      </w:r>
      <w:r>
        <w:rPr>
          <w:rFonts w:ascii="宋体" w:hAnsi="宋体" w:cs="宋体" w:eastAsia="宋体" w:hint="default"/>
          <w:sz w:val="21"/>
          <w:szCs w:val="21"/>
        </w:rPr>
      </w:r>
    </w:p>
    <w:p>
      <w:pPr>
        <w:pStyle w:val="BodyText"/>
        <w:spacing w:line="273" w:lineRule="auto" w:before="37"/>
        <w:ind w:left="532" w:right="1120" w:hanging="420"/>
        <w:jc w:val="left"/>
      </w:pPr>
      <w:r>
        <w:rPr/>
        <w:t>式的报酬和福利，短期薪酬和辞退福利除外。</w:t>
      </w:r>
      <w:r>
        <w:rPr>
          <w:w w:val="99"/>
        </w:rPr>
        <w:t> </w:t>
      </w:r>
      <w:r>
        <w:rPr/>
        <w:t>本公司的离职后福利计划分类为设定提存计划和设定受益计划。</w:t>
      </w:r>
      <w:r>
        <w:rPr>
          <w:w w:val="99"/>
        </w:rPr>
        <w:t> </w:t>
      </w:r>
      <w:r>
        <w:rPr>
          <w:w w:val="95"/>
        </w:rPr>
        <w:t>离职后福利设定提存计划主要为参加由各地劳动及社会保障机构组织实施的社会基本养老保险、失业</w:t>
      </w:r>
      <w:r>
        <w:rPr/>
      </w:r>
    </w:p>
    <w:p>
      <w:pPr>
        <w:pStyle w:val="BodyText"/>
        <w:spacing w:line="273" w:lineRule="auto"/>
        <w:ind w:right="0"/>
        <w:jc w:val="left"/>
      </w:pPr>
      <w:r>
        <w:rPr>
          <w:w w:val="95"/>
        </w:rPr>
        <w:t>保险等；在职工为本公司提供服务的会计期间，将根据设定提存计划计算的应缴存金额确认为负债，并计</w:t>
      </w:r>
      <w:r>
        <w:rPr>
          <w:spacing w:val="43"/>
          <w:w w:val="95"/>
        </w:rPr>
        <w:t> </w:t>
      </w:r>
      <w:r>
        <w:rPr>
          <w:spacing w:val="43"/>
          <w:w w:val="95"/>
        </w:rPr>
      </w:r>
      <w:r>
        <w:rPr/>
        <w:t>入当期损益或相关资产成本。</w:t>
      </w:r>
    </w:p>
    <w:p>
      <w:pPr>
        <w:pStyle w:val="BodyText"/>
        <w:spacing w:line="240" w:lineRule="auto"/>
        <w:ind w:left="532" w:right="2127"/>
        <w:jc w:val="left"/>
      </w:pPr>
      <w:r>
        <w:rPr/>
        <w:t>本公司按照国家规定的标准定期缴付上述款项后，不再有其他的支付义务。</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辞退福利的会计处理方法" w:id="215"/>
      <w:bookmarkEnd w:id="21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0"/>
        <w:jc w:val="both"/>
      </w:pPr>
      <w:r>
        <w:rPr>
          <w:w w:val="95"/>
        </w:rPr>
        <w:t>辞退福利是指本公司在职工劳动合同到期之前解除与职工的劳动关系，或者为鼓励职工自愿接受裁减</w:t>
      </w:r>
      <w:r>
        <w:rPr>
          <w:w w:val="99"/>
        </w:rPr>
        <w:t> </w:t>
      </w:r>
      <w:r>
        <w:rPr>
          <w:w w:val="95"/>
        </w:rPr>
        <w:t>而给予职工的补偿，在本公司不能单方面撤回解除劳动关系计划或裁减建议时和确认与涉及支付辞退福利</w:t>
      </w:r>
      <w:r>
        <w:rPr>
          <w:spacing w:val="39"/>
          <w:w w:val="95"/>
        </w:rPr>
        <w:t> </w:t>
      </w:r>
      <w:r>
        <w:rPr>
          <w:spacing w:val="39"/>
          <w:w w:val="95"/>
        </w:rPr>
      </w:r>
      <w:r>
        <w:rPr>
          <w:w w:val="95"/>
        </w:rPr>
        <w:t>的重组相关的成本费用时两者孰早日，确认因解除与职工的劳动关系给予补偿而产生的负债，同时计入当</w:t>
      </w:r>
      <w:r>
        <w:rPr>
          <w:spacing w:val="40"/>
          <w:w w:val="95"/>
        </w:rPr>
        <w:t> </w:t>
      </w:r>
      <w:r>
        <w:rPr>
          <w:spacing w:val="40"/>
          <w:w w:val="95"/>
        </w:rPr>
      </w:r>
      <w:r>
        <w:rPr/>
        <w:t>期损益。</w:t>
      </w:r>
    </w:p>
    <w:p>
      <w:pPr>
        <w:pStyle w:val="BodyText"/>
        <w:spacing w:line="273" w:lineRule="auto"/>
        <w:ind w:right="1130" w:firstLine="420"/>
        <w:jc w:val="both"/>
      </w:pPr>
      <w:r>
        <w:rPr>
          <w:w w:val="95"/>
        </w:rPr>
        <w:t>本公司向接受内部退休安排的职工提供内退福利。内退福利是指，向未达到国家规定的退休年龄、经</w:t>
      </w:r>
      <w:r>
        <w:rPr>
          <w:spacing w:val="-97"/>
          <w:w w:val="95"/>
        </w:rPr>
        <w:t> </w:t>
      </w:r>
      <w:r>
        <w:rPr>
          <w:spacing w:val="-97"/>
          <w:w w:val="95"/>
        </w:rPr>
      </w:r>
      <w:r>
        <w:rPr>
          <w:w w:val="95"/>
        </w:rPr>
        <w:t>本公司管理层批准自愿退出工作岗位的职工支付的工资及为其缴纳的社会保险费等。本公司自内部退休安</w:t>
      </w:r>
      <w:r>
        <w:rPr>
          <w:spacing w:val="39"/>
          <w:w w:val="95"/>
        </w:rPr>
        <w:t> </w:t>
      </w:r>
      <w:r>
        <w:rPr>
          <w:spacing w:val="39"/>
          <w:w w:val="95"/>
        </w:rPr>
      </w:r>
      <w:r>
        <w:rPr>
          <w:w w:val="95"/>
        </w:rPr>
        <w:t>排开始之日起至职工达到正常退休年龄止，向内退职工支付内部退养福利。对于内退福利，本公司比照辞</w:t>
      </w:r>
      <w:r>
        <w:rPr>
          <w:spacing w:val="43"/>
          <w:w w:val="95"/>
        </w:rPr>
        <w:t> </w:t>
      </w:r>
      <w:r>
        <w:rPr>
          <w:spacing w:val="43"/>
          <w:w w:val="95"/>
        </w:rPr>
      </w:r>
      <w:r>
        <w:rPr>
          <w:w w:val="95"/>
        </w:rPr>
        <w:t>退福利进行会计处理，在符合辞退福利相关确认条件时，将自职工停止提供服务日至正常退休日期间拟支</w:t>
      </w:r>
      <w:r>
        <w:rPr>
          <w:spacing w:val="40"/>
          <w:w w:val="95"/>
        </w:rPr>
        <w:t> </w:t>
      </w:r>
      <w:r>
        <w:rPr>
          <w:spacing w:val="40"/>
          <w:w w:val="95"/>
        </w:rPr>
      </w:r>
      <w:r>
        <w:rPr>
          <w:w w:val="95"/>
        </w:rPr>
        <w:t>付的内退职工工资和缴纳的社会保险费等，确认为负债，一次性计入当期损益。内退福利的精算假设变化</w:t>
      </w:r>
      <w:r>
        <w:rPr>
          <w:spacing w:val="40"/>
          <w:w w:val="95"/>
        </w:rPr>
        <w:t> </w:t>
      </w:r>
      <w:r>
        <w:rPr>
          <w:spacing w:val="40"/>
          <w:w w:val="95"/>
        </w:rPr>
      </w:r>
      <w:r>
        <w:rPr/>
        <w:t>及福利标准调整引起的差异于发生时计入当期损益。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2127"/>
        <w:jc w:val="left"/>
        <w:rPr>
          <w:b w:val="0"/>
          <w:bCs w:val="0"/>
        </w:rPr>
      </w:pPr>
      <w:bookmarkStart w:name="（4）其他长期职工福利的会计处理方法" w:id="216"/>
      <w:bookmarkEnd w:id="21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0"/>
        <w:jc w:val="left"/>
      </w:pPr>
      <w:r>
        <w:rPr/>
        <w:t>其他长期职工福利是指除短期薪酬、离职后福利、辞退福利之外的其他所有职工福利。</w:t>
      </w:r>
      <w:r>
        <w:rPr>
          <w:w w:val="99"/>
        </w:rPr>
        <w:t> </w:t>
      </w:r>
      <w:r>
        <w:rPr>
          <w:w w:val="95"/>
        </w:rPr>
        <w:t>对符合设定提存计划条件的其他长期职工福利，在职工为本公司提供服务的会计期间，将应缴存金额</w:t>
      </w:r>
      <w:r>
        <w:rPr/>
      </w:r>
    </w:p>
    <w:p>
      <w:pPr>
        <w:pStyle w:val="BodyText"/>
        <w:spacing w:line="273" w:lineRule="auto"/>
        <w:ind w:right="0"/>
        <w:jc w:val="left"/>
      </w:pPr>
      <w:r>
        <w:rPr>
          <w:w w:val="95"/>
        </w:rPr>
        <w:t>确认为负债，并计入当期损益或相关资产成本；除上述情形外的其他长期职工福利，在资产负债表日将设</w:t>
      </w:r>
      <w:r>
        <w:rPr>
          <w:spacing w:val="40"/>
          <w:w w:val="95"/>
        </w:rPr>
        <w:t> </w:t>
      </w:r>
      <w:r>
        <w:rPr>
          <w:spacing w:val="40"/>
          <w:w w:val="95"/>
        </w:rPr>
      </w:r>
      <w:r>
        <w:rPr/>
        <w:t>定受益计划产生的福利义务归属于职工提供服务的期间，并计入当期损益或相关资产成本。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27"/>
        <w:jc w:val="left"/>
        <w:rPr>
          <w:b w:val="0"/>
          <w:bCs w:val="0"/>
        </w:rPr>
      </w:pPr>
      <w:bookmarkStart w:name="35、租赁负债" w:id="217"/>
      <w:bookmarkEnd w:id="217"/>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6、预计负债" w:id="218"/>
      <w:bookmarkEnd w:id="218"/>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32" w:right="3554" w:firstLine="2"/>
        <w:jc w:val="left"/>
      </w:pPr>
      <w:r>
        <w:rPr>
          <w:rFonts w:ascii="宋体" w:hAnsi="宋体" w:cs="宋体" w:eastAsia="宋体" w:hint="default"/>
          <w:b/>
          <w:bCs/>
        </w:rPr>
        <w:t>（1）预计负债的确认标准</w:t>
      </w:r>
      <w:r>
        <w:rPr>
          <w:rFonts w:ascii="宋体" w:hAnsi="宋体" w:cs="宋体" w:eastAsia="宋体" w:hint="default"/>
          <w:b/>
          <w:bCs/>
          <w:w w:val="99"/>
        </w:rPr>
        <w:t> </w:t>
      </w:r>
      <w:r>
        <w:rPr>
          <w:w w:val="95"/>
        </w:rPr>
        <w:t>与或有事项相关的义务同时满足下列条件时，本公司确认为预计负债：</w:t>
      </w:r>
      <w:r>
        <w:rPr>
          <w:spacing w:val="10"/>
          <w:w w:val="95"/>
        </w:rPr>
        <w:t> </w:t>
      </w:r>
      <w:r>
        <w:rPr>
          <w:spacing w:val="10"/>
          <w:w w:val="95"/>
        </w:rPr>
      </w:r>
      <w:r>
        <w:rPr/>
        <w:t>该义务是本公司承担的现时义务；</w:t>
      </w:r>
      <w:r>
        <w:rPr>
          <w:w w:val="99"/>
        </w:rPr>
        <w:t> </w:t>
      </w:r>
      <w:r>
        <w:rPr/>
        <w:t>履行该义务很可能导致经济利益流出本公司；</w:t>
      </w:r>
      <w:r>
        <w:rPr>
          <w:w w:val="99"/>
        </w:rPr>
        <w:t> </w:t>
      </w:r>
      <w:r>
        <w:rPr/>
        <w:t>该义务的金额能够可靠地计量。</w:t>
      </w:r>
    </w:p>
    <w:p>
      <w:pPr>
        <w:pStyle w:val="BodyText"/>
        <w:spacing w:line="273" w:lineRule="auto"/>
        <w:ind w:left="532" w:right="1120" w:firstLine="2"/>
        <w:jc w:val="left"/>
      </w:pPr>
      <w:r>
        <w:rPr>
          <w:rFonts w:ascii="宋体" w:hAnsi="宋体" w:cs="宋体" w:eastAsia="宋体" w:hint="default"/>
          <w:b/>
          <w:bCs/>
        </w:rPr>
        <w:t>（2）预计负债的计量方法</w:t>
      </w:r>
      <w:r>
        <w:rPr>
          <w:rFonts w:ascii="宋体" w:hAnsi="宋体" w:cs="宋体" w:eastAsia="宋体" w:hint="default"/>
          <w:b/>
          <w:bCs/>
          <w:w w:val="99"/>
        </w:rPr>
        <w:t> </w:t>
      </w:r>
      <w:r>
        <w:rPr/>
        <w:t>本公司预计负债按履行相关现时义务所需的支出的最佳估计数进行初始计量。</w:t>
      </w:r>
      <w:r>
        <w:rPr>
          <w:w w:val="99"/>
        </w:rPr>
        <w:t> </w:t>
      </w:r>
      <w:r>
        <w:rPr>
          <w:w w:val="95"/>
        </w:rPr>
        <w:t>本公司在确定最佳估计数时，综合考虑与或有事项有关的风险、不确定性和货币时间价值等因素。对</w:t>
      </w:r>
      <w:r>
        <w:rPr/>
      </w:r>
    </w:p>
    <w:p>
      <w:pPr>
        <w:pStyle w:val="BodyText"/>
        <w:spacing w:line="273" w:lineRule="auto"/>
        <w:ind w:left="532" w:right="1120" w:hanging="420"/>
        <w:jc w:val="left"/>
      </w:pPr>
      <w:r>
        <w:rPr/>
        <w:t>于货币时间价值影响重大的，通过对相关未来现金流出进行折现后确定最佳估计数。</w:t>
      </w:r>
      <w:r>
        <w:rPr>
          <w:w w:val="99"/>
        </w:rPr>
        <w:t> </w:t>
      </w:r>
      <w:r>
        <w:rPr/>
        <w:t>最佳估计数分别以下情况处理：</w:t>
      </w:r>
      <w:r>
        <w:rPr>
          <w:w w:val="99"/>
        </w:rPr>
        <w:t> 所需支出存在一个连续范围（或区间），且该范围内各种结果发生的可能性相同的，则最佳估计数按</w:t>
      </w:r>
      <w:r>
        <w:rPr/>
      </w:r>
    </w:p>
    <w:p>
      <w:pPr>
        <w:pStyle w:val="BodyText"/>
        <w:spacing w:line="273" w:lineRule="auto"/>
        <w:ind w:left="532" w:right="0" w:hanging="420"/>
        <w:jc w:val="left"/>
      </w:pPr>
      <w:r>
        <w:rPr/>
        <w:t>照该范围的中间值即上下限金额的平均数确定。</w:t>
      </w:r>
      <w:r>
        <w:rPr>
          <w:w w:val="99"/>
        </w:rPr>
        <w:t> 所需支出不存在一个连续范围（或区间），或虽然存在一个连续范围但该范围内各种结果发生的可能</w:t>
      </w:r>
      <w:r>
        <w:rPr/>
      </w:r>
    </w:p>
    <w:p>
      <w:pPr>
        <w:pStyle w:val="BodyText"/>
        <w:spacing w:line="273" w:lineRule="auto"/>
        <w:ind w:right="0"/>
        <w:jc w:val="left"/>
      </w:pPr>
      <w:r>
        <w:rPr>
          <w:w w:val="95"/>
        </w:rPr>
        <w:t>性不相同的，如或有事项涉及单个项目的，则最佳估计数按照最可能发生金额确定；如或有事项涉及多个</w:t>
      </w:r>
      <w:r>
        <w:rPr>
          <w:spacing w:val="40"/>
          <w:w w:val="95"/>
        </w:rPr>
        <w:t> </w:t>
      </w:r>
      <w:r>
        <w:rPr>
          <w:spacing w:val="40"/>
          <w:w w:val="95"/>
        </w:rPr>
      </w:r>
      <w:r>
        <w:rPr/>
        <w:t>项目的，则最佳估计数按各种可能结果及相关概率计算确定。</w:t>
      </w:r>
    </w:p>
    <w:p>
      <w:pPr>
        <w:pStyle w:val="BodyText"/>
        <w:spacing w:line="273" w:lineRule="auto"/>
        <w:ind w:right="1132" w:firstLine="420"/>
        <w:jc w:val="both"/>
      </w:pPr>
      <w:r>
        <w:rPr>
          <w:w w:val="95"/>
        </w:rPr>
        <w:t>本公司清偿预计负债所需支出全部或部分预期由第三方补偿的，补偿金额在基本确定能够收到时，作</w:t>
      </w:r>
      <w:r>
        <w:rPr>
          <w:w w:val="99"/>
        </w:rPr>
        <w:t> </w:t>
      </w:r>
      <w:r>
        <w:rPr/>
        <w:t>为资产单独确认，确认的补偿金额不超过预计负债的账面价值。</w:t>
      </w:r>
    </w:p>
    <w:p>
      <w:pPr>
        <w:spacing w:after="0" w:line="273" w:lineRule="auto"/>
        <w:jc w:val="both"/>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34"/>
        <w:ind w:right="0"/>
        <w:jc w:val="both"/>
        <w:rPr>
          <w:b w:val="0"/>
          <w:bCs w:val="0"/>
        </w:rPr>
      </w:pPr>
      <w:bookmarkStart w:name="37、股份支付" w:id="219"/>
      <w:bookmarkEnd w:id="219"/>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7"/>
        <w:rPr>
          <w:rFonts w:ascii="宋体" w:hAnsi="宋体" w:cs="宋体" w:eastAsia="宋体" w:hint="default"/>
          <w:b/>
          <w:bCs/>
          <w:sz w:val="24"/>
          <w:szCs w:val="24"/>
        </w:rPr>
      </w:pPr>
    </w:p>
    <w:p>
      <w:pPr>
        <w:spacing w:line="273" w:lineRule="auto" w:before="0"/>
        <w:ind w:left="532" w:right="2127" w:firstLine="2"/>
        <w:jc w:val="left"/>
        <w:rPr>
          <w:rFonts w:ascii="宋体" w:hAnsi="宋体" w:cs="宋体" w:eastAsia="宋体" w:hint="default"/>
          <w:sz w:val="21"/>
          <w:szCs w:val="21"/>
        </w:rPr>
      </w:pPr>
      <w:r>
        <w:rPr>
          <w:rFonts w:ascii="宋体" w:hAnsi="宋体" w:cs="宋体" w:eastAsia="宋体" w:hint="default"/>
          <w:b/>
          <w:bCs/>
          <w:sz w:val="21"/>
          <w:szCs w:val="21"/>
        </w:rPr>
        <w:t>（1）股份支付的种类</w:t>
      </w:r>
      <w:r>
        <w:rPr>
          <w:rFonts w:ascii="宋体" w:hAnsi="宋体" w:cs="宋体" w:eastAsia="宋体" w:hint="default"/>
          <w:b/>
          <w:bCs/>
          <w:w w:val="99"/>
          <w:sz w:val="21"/>
          <w:szCs w:val="21"/>
        </w:rPr>
        <w:t> </w:t>
      </w:r>
      <w:r>
        <w:rPr>
          <w:rFonts w:ascii="宋体" w:hAnsi="宋体" w:cs="宋体" w:eastAsia="宋体" w:hint="default"/>
          <w:w w:val="95"/>
          <w:sz w:val="21"/>
          <w:szCs w:val="21"/>
        </w:rPr>
        <w:t>本公司的股份支付分为以权益结算的股份支付和以现金结算的股份支付。</w:t>
      </w:r>
      <w:r>
        <w:rPr>
          <w:rFonts w:ascii="宋体" w:hAnsi="宋体" w:cs="宋体" w:eastAsia="宋体" w:hint="default"/>
          <w:sz w:val="21"/>
          <w:szCs w:val="21"/>
        </w:rPr>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（2）权益工具公允价值的确定方法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对于授予的存在活跃市场的期权等权益工具，按照活跃市场中的报价确定其公允价值。对于授予的不</w:t>
      </w:r>
      <w:r>
        <w:rPr>
          <w:rFonts w:ascii="宋体" w:hAnsi="宋体" w:cs="宋体" w:eastAsia="宋体" w:hint="default"/>
          <w:sz w:val="21"/>
          <w:szCs w:val="21"/>
        </w:rPr>
      </w:r>
    </w:p>
    <w:p>
      <w:pPr>
        <w:pStyle w:val="BodyText"/>
        <w:spacing w:line="273" w:lineRule="auto"/>
        <w:ind w:right="1132"/>
        <w:jc w:val="both"/>
      </w:pPr>
      <w:r>
        <w:rPr>
          <w:w w:val="95"/>
        </w:rPr>
        <w:t>存在活跃市场的期权等权益工具，采用期权定价模型等确定其公允价值，选用的期权定价模型考虑以下因</w:t>
      </w:r>
      <w:r>
        <w:rPr>
          <w:spacing w:val="37"/>
          <w:w w:val="95"/>
        </w:rPr>
        <w:t> </w:t>
      </w:r>
      <w:r>
        <w:rPr>
          <w:spacing w:val="37"/>
          <w:w w:val="95"/>
        </w:rPr>
      </w:r>
      <w:r>
        <w:rPr>
          <w:spacing w:val="2"/>
          <w:w w:val="95"/>
        </w:rPr>
        <w:t>素：1）期权的行权价格；2）期权的有效期；3）标的股份的现行价格；4）股价预计波动率；5）股份的</w:t>
      </w:r>
      <w:r>
        <w:rPr>
          <w:spacing w:val="45"/>
          <w:w w:val="95"/>
        </w:rPr>
        <w:t> </w:t>
      </w:r>
      <w:r>
        <w:rPr>
          <w:spacing w:val="45"/>
          <w:w w:val="95"/>
        </w:rPr>
      </w:r>
      <w:r>
        <w:rPr/>
        <w:t>预计股利；6）期权有效期内的无风险利率。</w:t>
      </w:r>
    </w:p>
    <w:p>
      <w:pPr>
        <w:pStyle w:val="BodyText"/>
        <w:spacing w:line="273" w:lineRule="auto"/>
        <w:ind w:right="1130" w:firstLine="420"/>
        <w:jc w:val="both"/>
      </w:pPr>
      <w:r>
        <w:rPr>
          <w:w w:val="95"/>
        </w:rPr>
        <w:t>在确定权益工具授予日的公允价值时，考虑股份支付协议规定的可行权条件中的市场条件和非可行权</w:t>
      </w:r>
      <w:r>
        <w:rPr>
          <w:w w:val="99"/>
        </w:rPr>
        <w:t> </w:t>
      </w:r>
      <w:r>
        <w:rPr>
          <w:spacing w:val="-5"/>
        </w:rPr>
        <w:t>条件的影响。股份支付存在非可行权条件的，只要职工或其他方满足了所有可行权条件中的非市场条件（如</w:t>
      </w:r>
      <w:r>
        <w:rPr>
          <w:w w:val="99"/>
        </w:rPr>
        <w:t> </w:t>
      </w:r>
      <w:r>
        <w:rPr>
          <w:spacing w:val="-4"/>
          <w:w w:val="99"/>
        </w:rPr>
        <w:t>服务期限等），即确认已得到服务相对应的成本费用。</w:t>
      </w:r>
      <w:r>
        <w:rPr>
          <w:spacing w:val="-4"/>
        </w:rPr>
      </w:r>
    </w:p>
    <w:p>
      <w:pPr>
        <w:spacing w:line="273" w:lineRule="auto" w:before="8"/>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（3）确定可行权权益工具最佳估计的依据</w:t>
      </w:r>
      <w:r>
        <w:rPr>
          <w:rFonts w:ascii="宋体" w:hAnsi="宋体" w:cs="宋体" w:eastAsia="宋体" w:hint="default"/>
          <w:b/>
          <w:bCs/>
          <w:w w:val="99"/>
          <w:sz w:val="21"/>
          <w:szCs w:val="21"/>
        </w:rPr>
        <w:t> </w:t>
      </w:r>
      <w:r>
        <w:rPr>
          <w:rFonts w:ascii="宋体" w:hAnsi="宋体" w:cs="宋体" w:eastAsia="宋体" w:hint="default"/>
          <w:w w:val="95"/>
          <w:sz w:val="21"/>
          <w:szCs w:val="21"/>
        </w:rPr>
        <w:t>等待期内每个资产负债表日，根据最新取得的可行权职工人数变动等后续信息作出最佳估计，修正预</w:t>
      </w:r>
      <w:r>
        <w:rPr>
          <w:rFonts w:ascii="宋体" w:hAnsi="宋体" w:cs="宋体" w:eastAsia="宋体" w:hint="default"/>
          <w:sz w:val="21"/>
          <w:szCs w:val="21"/>
        </w:rPr>
      </w:r>
    </w:p>
    <w:p>
      <w:pPr>
        <w:pStyle w:val="BodyText"/>
        <w:spacing w:line="240" w:lineRule="auto"/>
        <w:ind w:right="0"/>
        <w:jc w:val="both"/>
      </w:pPr>
      <w:r>
        <w:rPr/>
        <w:t>计可行权的权益工具数量。在可行权日，最终预计可行权权益工具的数量与实际可行权数量一致。</w:t>
      </w:r>
    </w:p>
    <w:p>
      <w:pPr>
        <w:pStyle w:val="BodyText"/>
        <w:spacing w:line="273" w:lineRule="auto" w:before="37"/>
        <w:ind w:left="532" w:right="0" w:firstLine="2"/>
        <w:jc w:val="left"/>
      </w:pPr>
      <w:r>
        <w:rPr>
          <w:rFonts w:ascii="宋体" w:hAnsi="宋体" w:cs="宋体" w:eastAsia="宋体" w:hint="default"/>
          <w:b/>
          <w:bCs/>
        </w:rPr>
        <w:t>（4）会计处理方法</w:t>
      </w:r>
      <w:r>
        <w:rPr>
          <w:rFonts w:ascii="宋体" w:hAnsi="宋体" w:cs="宋体" w:eastAsia="宋体" w:hint="default"/>
          <w:b/>
          <w:bCs/>
          <w:w w:val="99"/>
        </w:rPr>
        <w:t> </w:t>
      </w:r>
      <w:r>
        <w:rPr>
          <w:w w:val="95"/>
        </w:rPr>
        <w:t>以权益结算的股份支付，按授予职工权益工具的公允价值计量。授予后立即可行权的，在授予日按照</w:t>
      </w:r>
      <w:r>
        <w:rPr/>
      </w:r>
    </w:p>
    <w:p>
      <w:pPr>
        <w:pStyle w:val="BodyText"/>
        <w:spacing w:line="273" w:lineRule="auto" w:before="8"/>
        <w:ind w:right="1130"/>
        <w:jc w:val="both"/>
      </w:pPr>
      <w:r>
        <w:rPr>
          <w:w w:val="95"/>
        </w:rPr>
        <w:t>权益工具的公允价值计入相关成本或费用，相应增加资本公积。在完成等待期内的服务或达到规定业绩条</w:t>
      </w:r>
      <w:r>
        <w:rPr>
          <w:spacing w:val="37"/>
          <w:w w:val="95"/>
        </w:rPr>
        <w:t> </w:t>
      </w:r>
      <w:r>
        <w:rPr>
          <w:spacing w:val="37"/>
          <w:w w:val="95"/>
        </w:rPr>
      </w:r>
      <w:r>
        <w:rPr>
          <w:w w:val="95"/>
        </w:rPr>
        <w:t>件才可行权的，在等待期内的每个资产负债表日，以对可行权权益工具数量的最佳估计为基础，按照权益</w:t>
      </w:r>
      <w:r>
        <w:rPr>
          <w:spacing w:val="43"/>
          <w:w w:val="95"/>
        </w:rPr>
        <w:t> </w:t>
      </w:r>
      <w:r>
        <w:rPr>
          <w:spacing w:val="43"/>
          <w:w w:val="95"/>
        </w:rPr>
      </w:r>
      <w:r>
        <w:rPr>
          <w:w w:val="95"/>
        </w:rPr>
        <w:t>工具授予日的公允价值，将当期取得的服务计入相关成本或费用和资本公积。在可行权日之后不再对已确</w:t>
      </w:r>
      <w:r>
        <w:rPr>
          <w:spacing w:val="37"/>
          <w:w w:val="95"/>
        </w:rPr>
        <w:t> </w:t>
      </w:r>
      <w:r>
        <w:rPr>
          <w:spacing w:val="37"/>
          <w:w w:val="95"/>
        </w:rPr>
      </w:r>
      <w:r>
        <w:rPr/>
        <w:t>认的相关成本或费用和所有者权益总额进行调整。</w:t>
      </w:r>
    </w:p>
    <w:p>
      <w:pPr>
        <w:pStyle w:val="BodyText"/>
        <w:spacing w:line="273" w:lineRule="auto"/>
        <w:ind w:right="1025" w:firstLine="420"/>
        <w:jc w:val="left"/>
      </w:pPr>
      <w:r>
        <w:rPr/>
        <w:t>以现金结算的股份支付，按照本公司承担的以股份或其他权益工具为基础计算确定的负债的公允价值</w:t>
      </w:r>
      <w:r>
        <w:rPr>
          <w:w w:val="99"/>
        </w:rPr>
        <w:t> </w:t>
      </w:r>
      <w:r>
        <w:rPr>
          <w:spacing w:val="-3"/>
        </w:rPr>
        <w:t>计量。授予后立即可行权的，在授予日以本公司承担负债的公允价值计入相关成本或费用，相应增加负债。</w:t>
      </w:r>
      <w:r>
        <w:rPr>
          <w:w w:val="99"/>
        </w:rPr>
        <w:t> </w:t>
      </w:r>
      <w:r>
        <w:rPr/>
        <w:t>在完成等待期内的服务或达到规定业绩条件以后才可行权的以现金结算的股份支付，在等待期内的每个资</w:t>
      </w:r>
      <w:r>
        <w:rPr>
          <w:w w:val="99"/>
        </w:rPr>
        <w:t> </w:t>
      </w:r>
      <w:r>
        <w:rPr/>
        <w:t>产负债表日，以对可行权情况的最佳估计为基础，按照本公司承担负债的公允价值金额，将当期取得的服</w:t>
      </w:r>
      <w:r>
        <w:rPr>
          <w:w w:val="99"/>
        </w:rPr>
        <w:t> </w:t>
      </w:r>
      <w:r>
        <w:rPr/>
        <w:t>务计入成本或费用和相应的负债。在相关负债结算前的每个资产负债表日以及结算日，对负债的公允价值</w:t>
      </w:r>
      <w:r>
        <w:rPr>
          <w:w w:val="99"/>
        </w:rPr>
        <w:t> </w:t>
      </w:r>
      <w:r>
        <w:rPr/>
        <w:t>重新计量，其变动计入当期损益。</w:t>
      </w:r>
    </w:p>
    <w:p>
      <w:pPr>
        <w:pStyle w:val="BodyText"/>
        <w:spacing w:line="273" w:lineRule="auto"/>
        <w:ind w:right="1132" w:firstLine="420"/>
        <w:jc w:val="both"/>
      </w:pPr>
      <w:r>
        <w:rPr>
          <w:w w:val="95"/>
        </w:rPr>
        <w:t>若在等待期内取消了授予的权益工具，本公司对取消所授予的权益性工具作为加速行权处理，将剩余</w:t>
      </w:r>
      <w:r>
        <w:rPr>
          <w:w w:val="99"/>
        </w:rPr>
        <w:t> </w:t>
      </w:r>
      <w:r>
        <w:rPr>
          <w:w w:val="95"/>
        </w:rPr>
        <w:t>等待期内应确认的金额立即计入当期损益，同时确认资本公积。职工或其他方能够选择满足非可行权条件</w:t>
      </w:r>
      <w:r>
        <w:rPr>
          <w:spacing w:val="37"/>
          <w:w w:val="95"/>
        </w:rPr>
        <w:t> </w:t>
      </w:r>
      <w:r>
        <w:rPr>
          <w:spacing w:val="37"/>
          <w:w w:val="95"/>
        </w:rPr>
      </w:r>
      <w:r>
        <w:rPr/>
        <w:t>但在等待期内未满足的，本公司将其作为授予权益工具的取消处理。</w:t>
      </w:r>
    </w:p>
    <w:p>
      <w:pPr>
        <w:spacing w:line="240" w:lineRule="auto" w:before="9"/>
        <w:rPr>
          <w:rFonts w:ascii="宋体" w:hAnsi="宋体" w:cs="宋体" w:eastAsia="宋体" w:hint="default"/>
          <w:sz w:val="24"/>
          <w:szCs w:val="24"/>
        </w:rPr>
      </w:pPr>
    </w:p>
    <w:p>
      <w:pPr>
        <w:spacing w:line="590" w:lineRule="atLeast" w:before="0"/>
        <w:ind w:left="532" w:right="0" w:hanging="420"/>
        <w:jc w:val="left"/>
        <w:rPr>
          <w:rFonts w:ascii="宋体" w:hAnsi="宋体" w:cs="宋体" w:eastAsia="宋体" w:hint="default"/>
          <w:sz w:val="21"/>
          <w:szCs w:val="21"/>
        </w:rPr>
      </w:pPr>
      <w:bookmarkStart w:name="38、优先股、永续债等其他金融工具" w:id="220"/>
      <w:bookmarkEnd w:id="220"/>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b/>
          <w:bCs/>
          <w:w w:val="99"/>
          <w:sz w:val="21"/>
          <w:szCs w:val="21"/>
        </w:rPr>
        <w:t> </w:t>
      </w:r>
      <w:r>
        <w:rPr>
          <w:rFonts w:ascii="宋体" w:hAnsi="宋体" w:cs="宋体" w:eastAsia="宋体" w:hint="default"/>
          <w:w w:val="95"/>
          <w:sz w:val="21"/>
          <w:szCs w:val="21"/>
        </w:rPr>
        <w:t>本公司按照金融工具准则的规定，根据所发行优先股、永续债等金融工具的合同条款及其所反映的经</w:t>
      </w:r>
      <w:r>
        <w:rPr>
          <w:rFonts w:ascii="宋体" w:hAnsi="宋体" w:cs="宋体" w:eastAsia="宋体" w:hint="default"/>
          <w:sz w:val="21"/>
          <w:szCs w:val="21"/>
        </w:rPr>
      </w:r>
    </w:p>
    <w:p>
      <w:pPr>
        <w:pStyle w:val="BodyText"/>
        <w:spacing w:line="273" w:lineRule="auto" w:before="37"/>
        <w:ind w:right="1132"/>
        <w:jc w:val="both"/>
      </w:pPr>
      <w:r>
        <w:rPr>
          <w:w w:val="95"/>
        </w:rPr>
        <w:t>济实质而非仅以法律形式，结合金融负债和权益工具的定义，在初始确认时将该金融工具或其组成部分分</w:t>
      </w:r>
      <w:r>
        <w:rPr>
          <w:spacing w:val="40"/>
          <w:w w:val="95"/>
        </w:rPr>
        <w:t> </w:t>
      </w:r>
      <w:r>
        <w:rPr>
          <w:spacing w:val="40"/>
          <w:w w:val="95"/>
        </w:rPr>
      </w:r>
      <w:r>
        <w:rPr/>
        <w:t>类为金融负债或权益工具：</w:t>
      </w:r>
    </w:p>
    <w:p>
      <w:pPr>
        <w:spacing w:line="273" w:lineRule="auto" w:before="7"/>
        <w:ind w:left="532" w:right="4534" w:firstLine="2"/>
        <w:jc w:val="left"/>
        <w:rPr>
          <w:rFonts w:ascii="宋体" w:hAnsi="宋体" w:cs="宋体" w:eastAsia="宋体" w:hint="default"/>
          <w:sz w:val="21"/>
          <w:szCs w:val="21"/>
        </w:rPr>
      </w:pPr>
      <w:r>
        <w:rPr>
          <w:rFonts w:ascii="宋体" w:hAnsi="宋体" w:cs="宋体" w:eastAsia="宋体" w:hint="default"/>
          <w:b/>
          <w:bCs/>
          <w:sz w:val="21"/>
          <w:szCs w:val="21"/>
        </w:rPr>
        <w:t>（1）符合下列条件之一，将发行的金融工具分类为金融负债：</w:t>
      </w:r>
      <w:r>
        <w:rPr>
          <w:rFonts w:ascii="宋体" w:hAnsi="宋体" w:cs="宋体" w:eastAsia="宋体" w:hint="default"/>
          <w:b/>
          <w:bCs/>
          <w:w w:val="99"/>
          <w:sz w:val="21"/>
          <w:szCs w:val="21"/>
        </w:rPr>
        <w:t> </w:t>
      </w:r>
      <w:r>
        <w:rPr>
          <w:rFonts w:ascii="宋体" w:hAnsi="宋体" w:cs="宋体" w:eastAsia="宋体" w:hint="default"/>
          <w:sz w:val="21"/>
          <w:szCs w:val="21"/>
        </w:rPr>
        <w:t>1）向其他方交付现金或其他金融资产的合同义务；</w:t>
      </w:r>
    </w:p>
    <w:p>
      <w:pPr>
        <w:pStyle w:val="BodyText"/>
        <w:spacing w:line="240" w:lineRule="auto"/>
        <w:ind w:left="532" w:right="2127"/>
        <w:jc w:val="left"/>
      </w:pPr>
      <w:r>
        <w:rPr/>
        <w:t>2）在潜在不利条件下，与其他方交换金融资产或金融负债的合同义务；</w:t>
      </w:r>
    </w:p>
    <w:p>
      <w:pPr>
        <w:pStyle w:val="BodyText"/>
        <w:spacing w:line="273" w:lineRule="auto" w:before="37"/>
        <w:ind w:right="1133" w:firstLine="420"/>
        <w:jc w:val="both"/>
      </w:pPr>
      <w:r>
        <w:rPr>
          <w:spacing w:val="2"/>
          <w:w w:val="95"/>
        </w:rPr>
        <w:t>3）将来须用或可用企业自身权益工具进行结算的非衍生工具合同，且企业根据该合同将交付可变数</w:t>
      </w:r>
      <w:r>
        <w:rPr>
          <w:spacing w:val="-82"/>
          <w:w w:val="95"/>
        </w:rPr>
        <w:t> </w:t>
      </w:r>
      <w:r>
        <w:rPr>
          <w:spacing w:val="-82"/>
          <w:w w:val="95"/>
        </w:rPr>
      </w:r>
      <w:r>
        <w:rPr/>
        <w:t>量的自身权益工具；</w:t>
      </w:r>
    </w:p>
    <w:p>
      <w:pPr>
        <w:spacing w:after="0" w:line="273"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0" w:firstLine="420"/>
        <w:jc w:val="left"/>
      </w:pPr>
      <w:r>
        <w:rPr>
          <w:spacing w:val="2"/>
          <w:w w:val="95"/>
        </w:rPr>
        <w:t>4）将来须用或可用企业自身权益工具进行结算的衍生工具合同，但以固定数量的自身权益工具交换</w:t>
      </w:r>
      <w:r>
        <w:rPr>
          <w:spacing w:val="-82"/>
          <w:w w:val="95"/>
        </w:rPr>
        <w:t> </w:t>
      </w:r>
      <w:r>
        <w:rPr>
          <w:spacing w:val="-82"/>
          <w:w w:val="95"/>
        </w:rPr>
      </w:r>
      <w:r>
        <w:rPr/>
        <w:t>固定金额的现金或其他金融资产的衍生工具合同除外。</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（2）同时满足下列条件的，将发行的金融工具分类为权益工具：</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1）该金融工具不包括交付现金或其他金融资产给其他方，或在潜在不利条件下与其他方交换金融资</w:t>
      </w:r>
      <w:r>
        <w:rPr>
          <w:rFonts w:ascii="宋体" w:hAnsi="宋体" w:cs="宋体" w:eastAsia="宋体" w:hint="default"/>
          <w:spacing w:val="2"/>
          <w:sz w:val="21"/>
          <w:szCs w:val="21"/>
        </w:rPr>
      </w:r>
    </w:p>
    <w:p>
      <w:pPr>
        <w:pStyle w:val="BodyText"/>
        <w:spacing w:line="273" w:lineRule="auto"/>
        <w:ind w:left="532" w:right="0" w:hanging="420"/>
        <w:jc w:val="left"/>
      </w:pPr>
      <w:r>
        <w:rPr/>
        <w:t>产或金融负债的合同义务；</w:t>
      </w:r>
      <w:r>
        <w:rPr>
          <w:w w:val="99"/>
        </w:rPr>
        <w:t> </w:t>
      </w:r>
      <w:r>
        <w:rPr>
          <w:spacing w:val="2"/>
          <w:w w:val="95"/>
        </w:rPr>
        <w:t>2）将来须用或可用企业自身权益工具结算该金融工具的，如该金融工具为非衍生工具，不包括交付</w:t>
      </w:r>
      <w:r>
        <w:rPr>
          <w:spacing w:val="2"/>
        </w:rPr>
      </w:r>
    </w:p>
    <w:p>
      <w:pPr>
        <w:pStyle w:val="BodyText"/>
        <w:spacing w:line="273" w:lineRule="auto"/>
        <w:ind w:right="0"/>
        <w:jc w:val="left"/>
      </w:pPr>
      <w:r>
        <w:rPr>
          <w:w w:val="95"/>
        </w:rPr>
        <w:t>可变数量的自身权益工具进行结算的合同义务；如为衍生工具，企业只能通过以固定数量的自身权益工具</w:t>
      </w:r>
      <w:r>
        <w:rPr>
          <w:spacing w:val="37"/>
          <w:w w:val="95"/>
        </w:rPr>
        <w:t> </w:t>
      </w:r>
      <w:r>
        <w:rPr>
          <w:spacing w:val="37"/>
          <w:w w:val="95"/>
        </w:rPr>
      </w:r>
      <w:r>
        <w:rPr/>
        <w:t>交换固定金额的现金或其他金融资产结算该金融工具。</w:t>
      </w:r>
    </w:p>
    <w:p>
      <w:pPr>
        <w:pStyle w:val="BodyText"/>
        <w:spacing w:line="273" w:lineRule="auto"/>
        <w:ind w:left="532" w:right="0" w:firstLine="2"/>
        <w:jc w:val="left"/>
      </w:pPr>
      <w:r>
        <w:rPr>
          <w:rFonts w:ascii="宋体" w:hAnsi="宋体" w:cs="宋体" w:eastAsia="宋体" w:hint="default"/>
          <w:b/>
          <w:bCs/>
        </w:rPr>
        <w:t>（3）会计处理方法</w:t>
      </w:r>
      <w:r>
        <w:rPr>
          <w:rFonts w:ascii="宋体" w:hAnsi="宋体" w:cs="宋体" w:eastAsia="宋体" w:hint="default"/>
          <w:b/>
          <w:bCs/>
          <w:w w:val="99"/>
        </w:rPr>
        <w:t> </w:t>
      </w:r>
      <w:r>
        <w:rPr>
          <w:w w:val="95"/>
        </w:rPr>
        <w:t>对于归类为权益工具的金融工具，其利息支出或股利分配都应当作为发行企业的利润分配，其回购、</w:t>
      </w:r>
      <w:r>
        <w:rPr/>
      </w:r>
    </w:p>
    <w:p>
      <w:pPr>
        <w:pStyle w:val="BodyText"/>
        <w:spacing w:line="273" w:lineRule="auto"/>
        <w:ind w:left="532" w:right="0" w:hanging="420"/>
        <w:jc w:val="left"/>
      </w:pPr>
      <w:r>
        <w:rPr/>
        <w:t>注销等作为权益的变动处理，手续费、佣金等交易费用从权益中扣除；</w:t>
      </w:r>
      <w:r>
        <w:rPr>
          <w:w w:val="99"/>
        </w:rPr>
        <w:t> </w:t>
      </w:r>
      <w:r>
        <w:rPr>
          <w:w w:val="95"/>
        </w:rPr>
        <w:t>对于归类为金融负债的金融工具，其利息支出或股利分配原则上按照借款费用进行处理，其回购或赎</w:t>
      </w:r>
      <w:r>
        <w:rPr/>
      </w:r>
    </w:p>
    <w:p>
      <w:pPr>
        <w:pStyle w:val="BodyText"/>
        <w:spacing w:line="240" w:lineRule="auto"/>
        <w:ind w:right="0"/>
        <w:jc w:val="left"/>
      </w:pPr>
      <w:r>
        <w:rPr/>
        <w:t>回产生的利得或损失等计入当期损益，手续费、佣金等交易费用计入所发行工具的初始计量金额。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2127"/>
        <w:jc w:val="left"/>
        <w:rPr>
          <w:b w:val="0"/>
          <w:bCs w:val="0"/>
        </w:rPr>
      </w:pPr>
      <w:bookmarkStart w:name="39、收入" w:id="221"/>
      <w:bookmarkEnd w:id="221"/>
      <w:r>
        <w:rPr>
          <w:b w:val="0"/>
          <w:bCs w:val="0"/>
        </w:rPr>
      </w:r>
      <w:r>
        <w:rPr>
          <w:rFonts w:ascii="Times New Roman" w:hAnsi="Times New Roman" w:cs="Times New Roman" w:eastAsia="Times New Roman" w:hint="default"/>
        </w:rPr>
        <w:t>39</w:t>
      </w:r>
      <w:r>
        <w:rPr/>
        <w:t>、收入</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73" w:lineRule="auto" w:before="78"/>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（1）销售商品收入确认时间的具体判断标准</w:t>
      </w:r>
      <w:r>
        <w:rPr>
          <w:rFonts w:ascii="宋体" w:hAnsi="宋体" w:cs="宋体" w:eastAsia="宋体" w:hint="default"/>
          <w:b/>
          <w:bCs/>
          <w:w w:val="99"/>
          <w:sz w:val="21"/>
          <w:szCs w:val="21"/>
        </w:rPr>
        <w:t> </w:t>
      </w:r>
      <w:r>
        <w:rPr>
          <w:rFonts w:ascii="宋体" w:hAnsi="宋体" w:cs="宋体" w:eastAsia="宋体" w:hint="default"/>
          <w:w w:val="95"/>
          <w:sz w:val="21"/>
          <w:szCs w:val="21"/>
        </w:rPr>
        <w:t>公司已将商品所有权上的主要风险和报酬转移给购买方；公司既没有保留与所有权相联系的继续管理</w:t>
      </w:r>
      <w:r>
        <w:rPr>
          <w:rFonts w:ascii="宋体" w:hAnsi="宋体" w:cs="宋体" w:eastAsia="宋体" w:hint="default"/>
          <w:sz w:val="21"/>
          <w:szCs w:val="21"/>
        </w:rPr>
      </w:r>
    </w:p>
    <w:p>
      <w:pPr>
        <w:pStyle w:val="BodyText"/>
        <w:spacing w:line="273" w:lineRule="auto"/>
        <w:ind w:right="1025"/>
        <w:jc w:val="left"/>
      </w:pPr>
      <w:r>
        <w:rPr>
          <w:spacing w:val="-3"/>
        </w:rPr>
        <w:t>权，也没有对已售出的商品实施有效控制；收入的金额能够可靠地计量；相关的经济利益很可能流入企业；</w:t>
      </w:r>
      <w:r>
        <w:rPr>
          <w:w w:val="99"/>
        </w:rPr>
        <w:t> </w:t>
      </w:r>
      <w:r>
        <w:rPr/>
        <w:t>相关的已发生或将发生的成本能够可靠地计量时，确认商品销售收入实现。</w:t>
      </w:r>
    </w:p>
    <w:p>
      <w:pPr>
        <w:pStyle w:val="BodyText"/>
        <w:spacing w:line="273" w:lineRule="auto"/>
        <w:ind w:right="0" w:firstLine="420"/>
        <w:jc w:val="left"/>
      </w:pPr>
      <w:r>
        <w:rPr>
          <w:w w:val="95"/>
        </w:rPr>
        <w:t>合同或协议价款的收取采用递延方式，实质上具有融资性质的，按照应收的合同或协议价款的公允价</w:t>
      </w:r>
      <w:r>
        <w:rPr>
          <w:w w:val="99"/>
        </w:rPr>
        <w:t> </w:t>
      </w:r>
      <w:r>
        <w:rPr/>
        <w:t>值确定销售商品收入金额。</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w w:val="95"/>
          <w:sz w:val="21"/>
          <w:szCs w:val="21"/>
        </w:rPr>
        <w:t>与交易相关的经济利益很可能流入企业，收入的金额能够可靠地计量时，分别下列情况确定让渡资产</w:t>
      </w:r>
      <w:r>
        <w:rPr>
          <w:rFonts w:ascii="宋体" w:hAnsi="宋体" w:cs="宋体" w:eastAsia="宋体" w:hint="default"/>
          <w:sz w:val="21"/>
          <w:szCs w:val="21"/>
        </w:rPr>
      </w:r>
    </w:p>
    <w:p>
      <w:pPr>
        <w:pStyle w:val="BodyText"/>
        <w:spacing w:line="240" w:lineRule="auto"/>
        <w:ind w:right="2127"/>
        <w:jc w:val="left"/>
      </w:pPr>
      <w:r>
        <w:rPr/>
        <w:t>使用权收入金额：</w:t>
      </w:r>
    </w:p>
    <w:p>
      <w:pPr>
        <w:pStyle w:val="BodyText"/>
        <w:spacing w:line="240" w:lineRule="auto" w:before="37"/>
        <w:ind w:left="532" w:right="2127"/>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532" w:right="2127"/>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73" w:lineRule="auto" w:before="21"/>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（3）提供劳务收入的确认依据和方法</w:t>
      </w:r>
      <w:r>
        <w:rPr>
          <w:rFonts w:ascii="宋体" w:hAnsi="宋体" w:cs="宋体" w:eastAsia="宋体" w:hint="default"/>
          <w:b/>
          <w:bCs/>
          <w:w w:val="99"/>
          <w:sz w:val="21"/>
          <w:szCs w:val="21"/>
        </w:rPr>
        <w:t> </w:t>
      </w:r>
      <w:r>
        <w:rPr>
          <w:rFonts w:ascii="宋体" w:hAnsi="宋体" w:cs="宋体" w:eastAsia="宋体" w:hint="default"/>
          <w:w w:val="95"/>
          <w:sz w:val="21"/>
          <w:szCs w:val="21"/>
        </w:rPr>
        <w:t>在资产负债表日提供劳务交易的结果能够可靠估计的，采用完工百分比法确认提供劳务收入。提供劳</w:t>
      </w:r>
      <w:r>
        <w:rPr>
          <w:rFonts w:ascii="宋体" w:hAnsi="宋体" w:cs="宋体" w:eastAsia="宋体" w:hint="default"/>
          <w:sz w:val="21"/>
          <w:szCs w:val="21"/>
        </w:rPr>
      </w:r>
    </w:p>
    <w:p>
      <w:pPr>
        <w:pStyle w:val="BodyText"/>
        <w:spacing w:line="273" w:lineRule="auto"/>
        <w:ind w:left="532" w:right="2127" w:hanging="420"/>
        <w:jc w:val="left"/>
      </w:pPr>
      <w:r>
        <w:rPr/>
        <w:t>务交易的完工进度，依据已完工作的测量确定。</w:t>
      </w:r>
      <w:r>
        <w:rPr>
          <w:w w:val="99"/>
        </w:rPr>
        <w:t> </w:t>
      </w:r>
      <w:r>
        <w:rPr>
          <w:w w:val="95"/>
        </w:rPr>
        <w:t>提供劳务交易的结果能够可靠估计，是指同时满足下列条件：</w:t>
      </w:r>
      <w:r>
        <w:rPr>
          <w:w w:val="99"/>
        </w:rPr>
        <w:t> </w:t>
      </w:r>
      <w:r>
        <w:rPr>
          <w:rFonts w:ascii="Times New Roman" w:hAnsi="Times New Roman" w:cs="Times New Roman" w:eastAsia="Times New Roman" w:hint="default"/>
        </w:rPr>
        <w:t>1</w:t>
      </w:r>
      <w:r>
        <w:rPr/>
        <w:t>）收入的金额能够可靠地计量；</w:t>
      </w:r>
    </w:p>
    <w:p>
      <w:pPr>
        <w:pStyle w:val="BodyText"/>
        <w:spacing w:line="279" w:lineRule="exact" w:before="0"/>
        <w:ind w:left="532" w:right="2127"/>
        <w:jc w:val="left"/>
      </w:pPr>
      <w:r>
        <w:rPr>
          <w:rFonts w:ascii="Times New Roman" w:hAnsi="Times New Roman" w:cs="Times New Roman" w:eastAsia="Times New Roman" w:hint="default"/>
        </w:rPr>
        <w:t>2</w:t>
      </w:r>
      <w:r>
        <w:rPr/>
        <w:t>）相关的经济利益很可能流入企业；</w:t>
      </w:r>
    </w:p>
    <w:p>
      <w:pPr>
        <w:pStyle w:val="BodyText"/>
        <w:spacing w:line="240" w:lineRule="auto" w:before="21"/>
        <w:ind w:left="532" w:right="2127"/>
        <w:jc w:val="left"/>
      </w:pPr>
      <w:r>
        <w:rPr>
          <w:rFonts w:ascii="Times New Roman" w:hAnsi="Times New Roman" w:cs="Times New Roman" w:eastAsia="Times New Roman" w:hint="default"/>
        </w:rPr>
        <w:t>3</w:t>
      </w:r>
      <w:r>
        <w:rPr/>
        <w:t>）交易的完工进度能够可靠地确定；</w:t>
      </w:r>
    </w:p>
    <w:p>
      <w:pPr>
        <w:pStyle w:val="BodyText"/>
        <w:spacing w:line="256" w:lineRule="auto" w:before="21"/>
        <w:ind w:left="532" w:right="0"/>
        <w:jc w:val="left"/>
      </w:pPr>
      <w:r>
        <w:rPr>
          <w:rFonts w:ascii="Times New Roman" w:hAnsi="Times New Roman" w:cs="Times New Roman" w:eastAsia="Times New Roman" w:hint="default"/>
        </w:rPr>
        <w:t>4</w:t>
      </w:r>
      <w:r>
        <w:rPr/>
        <w:t>）交易中已发生和将发生的成本能够可靠地计量。</w:t>
      </w:r>
      <w:r>
        <w:rPr>
          <w:w w:val="99"/>
        </w:rPr>
        <w:t> </w:t>
      </w:r>
      <w:r>
        <w:rPr>
          <w:w w:val="95"/>
        </w:rPr>
        <w:t>按照已收或应收的合同或协议价款确定提供劳务收入总额，但已收或应收的合同或协议价款不公允的</w:t>
      </w:r>
      <w:r>
        <w:rPr/>
      </w:r>
    </w:p>
    <w:p>
      <w:pPr>
        <w:pStyle w:val="BodyText"/>
        <w:spacing w:line="273" w:lineRule="auto" w:before="22"/>
        <w:ind w:right="1130"/>
        <w:jc w:val="both"/>
      </w:pPr>
      <w:r>
        <w:rPr>
          <w:w w:val="95"/>
        </w:rPr>
        <w:t>除外。资产负债表日按照提供劳务收入总额乘以完工进度扣除以前会计期间累计已确认提供劳务收入后的</w:t>
      </w:r>
      <w:r>
        <w:rPr>
          <w:spacing w:val="39"/>
          <w:w w:val="95"/>
        </w:rPr>
        <w:t> </w:t>
      </w:r>
      <w:r>
        <w:rPr>
          <w:spacing w:val="39"/>
          <w:w w:val="95"/>
        </w:rPr>
      </w:r>
      <w:r>
        <w:rPr>
          <w:w w:val="95"/>
        </w:rPr>
        <w:t>金额，确认当期提供劳务收入；同时，按照提供劳务估计总成本乘以完工进度扣除以前会计期间累计已确</w:t>
      </w:r>
      <w:r>
        <w:rPr>
          <w:spacing w:val="43"/>
          <w:w w:val="95"/>
        </w:rPr>
        <w:t> </w:t>
      </w:r>
      <w:r>
        <w:rPr>
          <w:spacing w:val="43"/>
          <w:w w:val="95"/>
        </w:rPr>
      </w:r>
      <w:r>
        <w:rPr/>
        <w:t>认劳务成本后的金额，结转当期劳务成本。</w:t>
      </w:r>
    </w:p>
    <w:p>
      <w:pPr>
        <w:pStyle w:val="BodyText"/>
        <w:spacing w:line="240" w:lineRule="auto"/>
        <w:ind w:left="532" w:right="2127"/>
        <w:jc w:val="left"/>
      </w:pPr>
      <w:r>
        <w:rPr/>
        <w:t>在资产负债表日提供劳务交易结果不能够可靠估计的，分别下列情况处理：</w:t>
      </w:r>
    </w:p>
    <w:p>
      <w:pPr>
        <w:pStyle w:val="BodyText"/>
        <w:spacing w:line="256" w:lineRule="auto" w:before="37"/>
        <w:ind w:right="0" w:firstLine="420"/>
        <w:jc w:val="left"/>
      </w:pPr>
      <w:r>
        <w:rPr>
          <w:rFonts w:ascii="Times New Roman" w:hAnsi="Times New Roman" w:cs="Times New Roman" w:eastAsia="Times New Roman" w:hint="default"/>
          <w:spacing w:val="2"/>
          <w:w w:val="95"/>
        </w:rPr>
        <w:t>1</w:t>
      </w:r>
      <w:r>
        <w:rPr>
          <w:spacing w:val="2"/>
          <w:w w:val="95"/>
        </w:rPr>
        <w:t>）已经发生的劳务成本预计能够得到补偿的，按照已经发生的劳务成本金额确认提供劳务收入，并</w:t>
      </w:r>
      <w:r>
        <w:rPr>
          <w:spacing w:val="-82"/>
          <w:w w:val="95"/>
        </w:rPr>
        <w:t> </w:t>
      </w:r>
      <w:r>
        <w:rPr>
          <w:spacing w:val="-82"/>
          <w:w w:val="95"/>
        </w:rPr>
      </w:r>
      <w:r>
        <w:rPr/>
        <w:t>按相同金额结转劳务成本。</w:t>
      </w:r>
    </w:p>
    <w:p>
      <w:pPr>
        <w:spacing w:after="0" w:line="256"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56" w:lineRule="auto" w:before="34"/>
        <w:ind w:right="1133" w:firstLine="420"/>
        <w:jc w:val="both"/>
      </w:pPr>
      <w:r>
        <w:rPr>
          <w:rFonts w:ascii="Times New Roman" w:hAnsi="Times New Roman" w:cs="Times New Roman" w:eastAsia="Times New Roman" w:hint="default"/>
          <w:spacing w:val="2"/>
          <w:w w:val="95"/>
        </w:rPr>
        <w:t>2</w:t>
      </w:r>
      <w:r>
        <w:rPr>
          <w:spacing w:val="2"/>
          <w:w w:val="95"/>
        </w:rPr>
        <w:t>）已经发生的劳务成本预计不能够得到补偿的，将已经发生的劳务成本计入当期损益，不确认提供</w:t>
      </w:r>
      <w:r>
        <w:rPr>
          <w:spacing w:val="-82"/>
          <w:w w:val="95"/>
        </w:rPr>
        <w:t> </w:t>
      </w:r>
      <w:r>
        <w:rPr>
          <w:spacing w:val="-82"/>
          <w:w w:val="95"/>
        </w:rPr>
      </w:r>
      <w:r>
        <w:rPr/>
        <w:t>劳务收入。</w:t>
      </w:r>
    </w:p>
    <w:p>
      <w:pPr>
        <w:pStyle w:val="BodyText"/>
        <w:spacing w:line="273" w:lineRule="auto" w:before="22"/>
        <w:ind w:right="1130" w:firstLine="420"/>
        <w:jc w:val="both"/>
      </w:pPr>
      <w:r>
        <w:rPr>
          <w:w w:val="95"/>
        </w:rPr>
        <w:t>本公司与其他企业签订的合同或协议包括销售商品和提供劳务时，销售商品部分和提供劳务部分能够</w:t>
      </w:r>
      <w:r>
        <w:rPr>
          <w:w w:val="99"/>
        </w:rPr>
        <w:t> </w:t>
      </w:r>
      <w:r>
        <w:rPr>
          <w:w w:val="95"/>
        </w:rPr>
        <w:t>区分且能够单独计量的，将销售商品的部分作为销售商品处理，将提供劳务的部分作为提供劳务处理。销</w:t>
      </w:r>
      <w:r>
        <w:rPr>
          <w:spacing w:val="43"/>
          <w:w w:val="95"/>
        </w:rPr>
        <w:t> </w:t>
      </w:r>
      <w:r>
        <w:rPr>
          <w:spacing w:val="43"/>
          <w:w w:val="95"/>
        </w:rPr>
      </w:r>
      <w:r>
        <w:rPr>
          <w:w w:val="95"/>
        </w:rPr>
        <w:t>售商品部分和提供劳务部分不能够区分，或虽能区分但不能够单独计量的，将销售商品部分和提供劳务部</w:t>
      </w:r>
      <w:r>
        <w:rPr>
          <w:spacing w:val="40"/>
          <w:w w:val="95"/>
        </w:rPr>
        <w:t> </w:t>
      </w:r>
      <w:r>
        <w:rPr>
          <w:spacing w:val="40"/>
          <w:w w:val="95"/>
        </w:rPr>
      </w:r>
      <w:r>
        <w:rPr/>
        <w:t>分全部作为销售商品处理。</w:t>
      </w:r>
    </w:p>
    <w:p>
      <w:pPr>
        <w:pStyle w:val="BodyText"/>
        <w:spacing w:line="240" w:lineRule="auto"/>
        <w:ind w:left="532" w:right="2127"/>
        <w:jc w:val="left"/>
      </w:pPr>
      <w:r>
        <w:rPr/>
        <w:t>具体地，本公司的收入确认原则方法如下：</w:t>
      </w:r>
    </w:p>
    <w:p>
      <w:pPr>
        <w:pStyle w:val="BodyText"/>
        <w:spacing w:line="266" w:lineRule="auto" w:before="37"/>
        <w:ind w:right="1025" w:firstLine="420"/>
        <w:jc w:val="left"/>
      </w:pPr>
      <w:r>
        <w:rPr>
          <w:spacing w:val="2"/>
        </w:rPr>
        <w:t>（</w:t>
      </w:r>
      <w:r>
        <w:rPr>
          <w:rFonts w:ascii="Times New Roman" w:hAnsi="Times New Roman" w:cs="Times New Roman" w:eastAsia="Times New Roman" w:hint="default"/>
          <w:spacing w:val="2"/>
        </w:rPr>
        <w:t>1</w:t>
      </w:r>
      <w:r>
        <w:rPr>
          <w:spacing w:val="2"/>
        </w:rPr>
        <w:t>）系统集成项目收入：①一般系统集成项目为一次性确认收入，即服务已经提供，并经接受服务</w:t>
      </w:r>
      <w:r>
        <w:rPr>
          <w:w w:val="99"/>
        </w:rPr>
        <w:t> </w:t>
      </w:r>
      <w:r>
        <w:rPr>
          <w:spacing w:val="-3"/>
        </w:rPr>
        <w:t>方验收合格，取得相关的收款依据时确认为收入的实现。②复杂的系统集成项目，按工程项目服务已提供，</w:t>
      </w:r>
      <w:r>
        <w:rPr>
          <w:w w:val="99"/>
        </w:rPr>
        <w:t> </w:t>
      </w:r>
      <w:r>
        <w:rPr/>
        <w:t>接受服务方或并工程监理第三方，根据工程进度检验情况确认工程结算报告，公司据此开出结算票据取得</w:t>
      </w:r>
      <w:r>
        <w:rPr>
          <w:w w:val="99"/>
        </w:rPr>
        <w:t> </w:t>
      </w:r>
      <w:r>
        <w:rPr/>
        <w:t>相关的收款依据时确认收入的实现。</w:t>
      </w:r>
    </w:p>
    <w:p>
      <w:pPr>
        <w:pStyle w:val="BodyText"/>
        <w:spacing w:line="264" w:lineRule="auto" w:before="14"/>
        <w:ind w:right="1132" w:firstLine="420"/>
        <w:jc w:val="both"/>
      </w:pPr>
      <w:r>
        <w:rPr>
          <w:spacing w:val="2"/>
          <w:w w:val="95"/>
        </w:rPr>
        <w:t>（</w:t>
      </w:r>
      <w:r>
        <w:rPr>
          <w:rFonts w:ascii="Times New Roman" w:hAnsi="Times New Roman" w:cs="Times New Roman" w:eastAsia="Times New Roman" w:hint="default"/>
          <w:spacing w:val="2"/>
          <w:w w:val="95"/>
        </w:rPr>
        <w:t>2</w:t>
      </w:r>
      <w:r>
        <w:rPr>
          <w:spacing w:val="2"/>
          <w:w w:val="95"/>
        </w:rPr>
        <w:t>）技术服务项目收入：主要是指为各类系统集成项目提供后续的维护、改造及支持服务。收入确</w:t>
      </w:r>
      <w:r>
        <w:rPr>
          <w:spacing w:val="-84"/>
          <w:w w:val="95"/>
        </w:rPr>
        <w:t> </w:t>
      </w:r>
      <w:r>
        <w:rPr>
          <w:spacing w:val="-84"/>
          <w:w w:val="95"/>
        </w:rPr>
      </w:r>
      <w:r>
        <w:rPr>
          <w:w w:val="95"/>
        </w:rPr>
        <w:t>认的原则方法：根据服务合同，在服务期内维护及支持服务已提供并验收合格，公司开出结算票据或已取</w:t>
      </w:r>
      <w:r>
        <w:rPr>
          <w:spacing w:val="40"/>
          <w:w w:val="95"/>
        </w:rPr>
        <w:t> </w:t>
      </w:r>
      <w:r>
        <w:rPr>
          <w:spacing w:val="40"/>
          <w:w w:val="95"/>
        </w:rPr>
      </w:r>
      <w:r>
        <w:rPr/>
        <w:t>得收款的依据时，确认收入的实现。</w:t>
      </w:r>
    </w:p>
    <w:p>
      <w:pPr>
        <w:pStyle w:val="BodyText"/>
        <w:spacing w:line="264" w:lineRule="auto" w:before="16"/>
        <w:ind w:right="0" w:firstLine="420"/>
        <w:jc w:val="left"/>
      </w:pPr>
      <w:r>
        <w:rPr>
          <w:w w:val="95"/>
        </w:rPr>
        <w:t>（</w:t>
      </w:r>
      <w:r>
        <w:rPr>
          <w:rFonts w:ascii="Times New Roman" w:hAnsi="Times New Roman" w:cs="Times New Roman" w:eastAsia="Times New Roman" w:hint="default"/>
          <w:w w:val="95"/>
        </w:rPr>
        <w:t>3</w:t>
      </w:r>
      <w:r>
        <w:rPr>
          <w:w w:val="95"/>
        </w:rPr>
        <w:t>）技术转让项目收入：主要是指公司自主或联合研发的软件系统转让项目。收入确认的原则方法：</w:t>
      </w:r>
      <w:r>
        <w:rPr>
          <w:spacing w:val="-95"/>
          <w:w w:val="95"/>
        </w:rPr>
        <w:t> </w:t>
      </w:r>
      <w:r>
        <w:rPr>
          <w:spacing w:val="-95"/>
          <w:w w:val="95"/>
        </w:rPr>
      </w:r>
      <w:r>
        <w:rPr/>
        <w:t>根据技术转让合同，技术已转让并验收，与合同相关的收入已经取得或取得收款的依据，相关的成本能够</w:t>
      </w:r>
      <w:r>
        <w:rPr>
          <w:w w:val="99"/>
        </w:rPr>
        <w:t> </w:t>
      </w:r>
      <w:r>
        <w:rPr/>
        <w:t>可靠计量时，确认收入的实现。</w:t>
      </w:r>
    </w:p>
    <w:p>
      <w:pPr>
        <w:pStyle w:val="BodyText"/>
        <w:spacing w:line="266" w:lineRule="auto" w:before="16"/>
        <w:ind w:right="1112" w:firstLine="420"/>
        <w:jc w:val="both"/>
      </w:pPr>
      <w:r>
        <w:rPr>
          <w:spacing w:val="2"/>
        </w:rPr>
        <w:t>（</w:t>
      </w:r>
      <w:r>
        <w:rPr>
          <w:rFonts w:ascii="Times New Roman" w:hAnsi="Times New Roman" w:cs="Times New Roman" w:eastAsia="Times New Roman" w:hint="default"/>
          <w:spacing w:val="2"/>
        </w:rPr>
        <w:t>4</w:t>
      </w:r>
      <w:r>
        <w:rPr>
          <w:spacing w:val="2"/>
        </w:rPr>
        <w:t>）商品销售：公司生产的微波组件、器件和雷达整机等，收入确认的原则方法：公司产品已经发</w:t>
      </w:r>
      <w:r>
        <w:rPr>
          <w:w w:val="99"/>
        </w:rPr>
        <w:t> </w:t>
      </w:r>
      <w:r>
        <w:rPr>
          <w:w w:val="95"/>
        </w:rPr>
        <w:t>出，已将产品所有权上的重要风险和报酬转移给买方，公司不再对该商品实施继续管理权和实际控制权，</w:t>
      </w:r>
      <w:r>
        <w:rPr>
          <w:spacing w:val="61"/>
          <w:w w:val="95"/>
        </w:rPr>
        <w:t> </w:t>
      </w:r>
      <w:r>
        <w:rPr>
          <w:spacing w:val="61"/>
          <w:w w:val="95"/>
        </w:rPr>
      </w:r>
      <w:r>
        <w:rPr>
          <w:w w:val="95"/>
        </w:rPr>
        <w:t>相关的收入已收到或取得了收取货款的证据，并且与销售该商品有关的成本能够可靠的计量时，确认收入</w:t>
      </w:r>
      <w:r>
        <w:rPr>
          <w:spacing w:val="37"/>
          <w:w w:val="95"/>
        </w:rPr>
        <w:t> </w:t>
      </w:r>
      <w:r>
        <w:rPr>
          <w:spacing w:val="37"/>
          <w:w w:val="95"/>
        </w:rPr>
      </w:r>
      <w:r>
        <w:rPr/>
        <w:t>的实现。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5"/>
        <w:spacing w:line="240" w:lineRule="auto"/>
        <w:ind w:right="2127"/>
        <w:jc w:val="left"/>
        <w:rPr>
          <w:b w:val="0"/>
          <w:bCs w:val="0"/>
        </w:rPr>
      </w:pPr>
      <w:bookmarkStart w:name="40、政府补助" w:id="222"/>
      <w:bookmarkEnd w:id="222"/>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120" w:firstLine="2"/>
        <w:jc w:val="left"/>
      </w:pPr>
      <w:r>
        <w:rPr>
          <w:rFonts w:ascii="宋体" w:hAnsi="宋体" w:cs="宋体" w:eastAsia="宋体" w:hint="default"/>
          <w:b/>
          <w:bCs/>
        </w:rPr>
        <w:t>（1）类型</w:t>
      </w:r>
      <w:r>
        <w:rPr>
          <w:rFonts w:ascii="宋体" w:hAnsi="宋体" w:cs="宋体" w:eastAsia="宋体" w:hint="default"/>
          <w:b/>
          <w:bCs/>
          <w:w w:val="99"/>
        </w:rPr>
        <w:t> </w:t>
      </w:r>
      <w:r>
        <w:rPr>
          <w:w w:val="95"/>
        </w:rPr>
        <w:t>政府补助，是本公司从政府无偿取得的货币性资产与非货币性资产。根据相关政府文件规定的补助对</w:t>
      </w:r>
      <w:r>
        <w:rPr/>
      </w:r>
    </w:p>
    <w:p>
      <w:pPr>
        <w:pStyle w:val="BodyText"/>
        <w:spacing w:line="273" w:lineRule="auto"/>
        <w:ind w:left="532" w:right="0" w:hanging="420"/>
        <w:jc w:val="left"/>
      </w:pPr>
      <w:r>
        <w:rPr/>
        <w:t>象，将政府补助划分为与资产相关的政府补助和与收益相关的政府补助。</w:t>
      </w:r>
      <w:r>
        <w:rPr>
          <w:w w:val="99"/>
        </w:rPr>
        <w:t> </w:t>
      </w:r>
      <w:r>
        <w:rPr>
          <w:w w:val="95"/>
        </w:rPr>
        <w:t>与资产相关的政府补助，是指本公司取得的、用于购建或以其他方式形成长期资产的政府补助。与收</w:t>
      </w:r>
      <w:r>
        <w:rPr/>
      </w:r>
    </w:p>
    <w:p>
      <w:pPr>
        <w:pStyle w:val="BodyText"/>
        <w:spacing w:line="240" w:lineRule="auto"/>
        <w:ind w:right="2127"/>
        <w:jc w:val="left"/>
      </w:pPr>
      <w:r>
        <w:rPr/>
        <w:t>益相关的政府补助，是指除与资产相关的政府补助之外的政府补助。</w:t>
      </w:r>
    </w:p>
    <w:p>
      <w:pPr>
        <w:pStyle w:val="BodyText"/>
        <w:spacing w:line="273" w:lineRule="auto" w:before="37"/>
        <w:ind w:left="532" w:right="0" w:firstLine="2"/>
        <w:jc w:val="left"/>
      </w:pPr>
      <w:r>
        <w:rPr>
          <w:rFonts w:ascii="宋体" w:hAnsi="宋体" w:cs="宋体" w:eastAsia="宋体" w:hint="default"/>
          <w:b/>
          <w:bCs/>
        </w:rPr>
        <w:t>（2）政府补助的确认</w:t>
      </w:r>
      <w:r>
        <w:rPr>
          <w:rFonts w:ascii="宋体" w:hAnsi="宋体" w:cs="宋体" w:eastAsia="宋体" w:hint="default"/>
          <w:b/>
          <w:bCs/>
          <w:w w:val="99"/>
        </w:rPr>
        <w:t> </w:t>
      </w:r>
      <w:r>
        <w:rPr>
          <w:w w:val="95"/>
        </w:rPr>
        <w:t>对期末有证据表明公司能够符合财政扶持政策规定的相关条件且预计能够收到财政扶持资金的，按应</w:t>
      </w:r>
      <w:r>
        <w:rPr/>
      </w:r>
    </w:p>
    <w:p>
      <w:pPr>
        <w:pStyle w:val="BodyText"/>
        <w:spacing w:line="273" w:lineRule="auto"/>
        <w:ind w:left="532" w:right="0" w:hanging="420"/>
        <w:jc w:val="left"/>
      </w:pPr>
      <w:r>
        <w:rPr/>
        <w:t>收金额确认政府补助。除此之外，政府补助均在实际收到时确认。</w:t>
      </w:r>
      <w:r>
        <w:rPr>
          <w:w w:val="99"/>
        </w:rPr>
        <w:t> </w:t>
      </w:r>
      <w:r>
        <w:rPr>
          <w:w w:val="95"/>
        </w:rPr>
        <w:t>政府补助为货币性资产的，按照收到或应收的金额计量。政府补助为非货币性资产的，按照公允价值</w:t>
      </w:r>
      <w:r>
        <w:rPr/>
      </w:r>
    </w:p>
    <w:p>
      <w:pPr>
        <w:pStyle w:val="BodyText"/>
        <w:spacing w:line="256" w:lineRule="auto"/>
        <w:ind w:right="0"/>
        <w:jc w:val="left"/>
      </w:pPr>
      <w:r>
        <w:rPr>
          <w:spacing w:val="2"/>
          <w:w w:val="95"/>
        </w:rPr>
        <w:t>计量；公允价值不能够可靠取得的，按照名义金额（人民币</w:t>
      </w:r>
      <w:r>
        <w:rPr>
          <w:rFonts w:ascii="Times New Roman" w:hAnsi="Times New Roman" w:cs="Times New Roman" w:eastAsia="Times New Roman" w:hint="default"/>
          <w:spacing w:val="2"/>
          <w:w w:val="95"/>
        </w:rPr>
        <w:t>1</w:t>
      </w:r>
      <w:r>
        <w:rPr>
          <w:spacing w:val="2"/>
          <w:w w:val="95"/>
        </w:rPr>
        <w:t>元）计量。按照名义金额计量的政府补助，</w:t>
      </w:r>
      <w:r>
        <w:rPr>
          <w:spacing w:val="49"/>
          <w:w w:val="95"/>
        </w:rPr>
        <w:t> </w:t>
      </w:r>
      <w:r>
        <w:rPr>
          <w:spacing w:val="49"/>
          <w:w w:val="95"/>
        </w:rPr>
      </w:r>
      <w:r>
        <w:rPr/>
        <w:t>直接计入当期损益。</w:t>
      </w:r>
    </w:p>
    <w:p>
      <w:pPr>
        <w:pStyle w:val="BodyText"/>
        <w:spacing w:line="273" w:lineRule="auto" w:before="22"/>
        <w:ind w:left="532" w:right="0" w:firstLine="2"/>
        <w:jc w:val="left"/>
      </w:pPr>
      <w:r>
        <w:rPr>
          <w:rFonts w:ascii="宋体" w:hAnsi="宋体" w:cs="宋体" w:eastAsia="宋体" w:hint="default"/>
          <w:b/>
          <w:bCs/>
        </w:rPr>
        <w:t>（3）会计处理方法</w:t>
      </w:r>
      <w:r>
        <w:rPr>
          <w:rFonts w:ascii="宋体" w:hAnsi="宋体" w:cs="宋体" w:eastAsia="宋体" w:hint="default"/>
          <w:b/>
          <w:bCs/>
          <w:w w:val="99"/>
        </w:rPr>
        <w:t> </w:t>
      </w:r>
      <w:r>
        <w:rPr/>
        <w:t>与资产相关的政府补助，确认为递延收益，按照所建造或购买的资产使用年限内分期计入损益；</w:t>
      </w:r>
      <w:r>
        <w:rPr>
          <w:w w:val="99"/>
        </w:rPr>
        <w:t> </w:t>
      </w:r>
      <w:r>
        <w:rPr>
          <w:w w:val="95"/>
        </w:rPr>
        <w:t>与收益相关的政府补助，用于补偿企业以后期间的相关费用或损失的，确认为递延收益，在确认相关</w:t>
      </w:r>
      <w:r>
        <w:rPr/>
      </w:r>
    </w:p>
    <w:p>
      <w:pPr>
        <w:pStyle w:val="BodyText"/>
        <w:spacing w:line="273" w:lineRule="auto"/>
        <w:ind w:left="532" w:right="0" w:hanging="420"/>
        <w:jc w:val="left"/>
      </w:pPr>
      <w:r>
        <w:rPr>
          <w:w w:val="95"/>
        </w:rPr>
        <w:t>费用或损失的期间计入当期损益；用于补偿企业已发生的相关费用或损失的，取得时直接计入当期损益。</w:t>
      </w:r>
      <w:r>
        <w:rPr>
          <w:spacing w:val="61"/>
          <w:w w:val="95"/>
        </w:rPr>
        <w:t> </w:t>
      </w:r>
      <w:r>
        <w:rPr>
          <w:spacing w:val="61"/>
          <w:w w:val="95"/>
        </w:rPr>
      </w:r>
      <w:r>
        <w:rPr/>
        <w:t>与企业日常活动相关的政府补助计入其他收益；与企业日常活动无关的政府补助计入营业外收支。</w:t>
      </w:r>
      <w:r>
        <w:rPr>
          <w:w w:val="99"/>
        </w:rPr>
        <w:t> </w:t>
      </w:r>
      <w:r>
        <w:rPr>
          <w:w w:val="95"/>
        </w:rPr>
        <w:t>收到与政策性优惠贷款贴息相关的政府补助冲减相关借款费用；取得贷款银行提供的政策性优惠利率</w:t>
      </w:r>
      <w:r>
        <w:rPr/>
      </w:r>
    </w:p>
    <w:p>
      <w:pPr>
        <w:pStyle w:val="BodyText"/>
        <w:spacing w:line="273" w:lineRule="auto"/>
        <w:ind w:right="1181"/>
        <w:jc w:val="left"/>
      </w:pPr>
      <w:r>
        <w:rPr>
          <w:w w:val="95"/>
        </w:rPr>
        <w:t>贷款的，以实际收到的借款金额作为借款的入账价值，按照借款本金和该政策性优惠利率计算相关借款费   </w:t>
      </w:r>
      <w:r>
        <w:rPr>
          <w:spacing w:val="37"/>
          <w:w w:val="95"/>
        </w:rPr>
        <w:t> </w:t>
      </w:r>
      <w:r>
        <w:rPr>
          <w:spacing w:val="37"/>
          <w:w w:val="95"/>
        </w:rPr>
      </w:r>
      <w:r>
        <w:rPr/>
        <w:t>用。</w:t>
      </w:r>
    </w:p>
    <w:p>
      <w:pPr>
        <w:spacing w:after="0" w:line="273" w:lineRule="auto"/>
        <w:jc w:val="left"/>
        <w:sectPr>
          <w:footerReference w:type="default" r:id="rId30"/>
          <w:pgSz w:w="11910" w:h="16840"/>
          <w:pgMar w:footer="1016" w:header="919" w:top="1120" w:bottom="1200" w:left="1020" w:right="0"/>
          <w:pgNumType w:start="150"/>
        </w:sectPr>
      </w:pPr>
    </w:p>
    <w:p>
      <w:pPr>
        <w:spacing w:line="240" w:lineRule="auto" w:before="10"/>
        <w:rPr>
          <w:rFonts w:ascii="宋体" w:hAnsi="宋体" w:cs="宋体" w:eastAsia="宋体" w:hint="default"/>
          <w:sz w:val="19"/>
          <w:szCs w:val="19"/>
        </w:rPr>
      </w:pPr>
    </w:p>
    <w:p>
      <w:pPr>
        <w:pStyle w:val="BodyText"/>
        <w:spacing w:line="273" w:lineRule="auto" w:before="34"/>
        <w:ind w:right="1130" w:firstLine="420"/>
        <w:jc w:val="both"/>
      </w:pPr>
      <w:r>
        <w:rPr>
          <w:w w:val="95"/>
        </w:rPr>
        <w:t>已确认的政府补助需要返还时，初始确认时冲减相关资产账面价值的，调整资产账面价值；存在相关</w:t>
      </w:r>
      <w:r>
        <w:rPr>
          <w:spacing w:val="-97"/>
          <w:w w:val="95"/>
        </w:rPr>
        <w:t> </w:t>
      </w:r>
      <w:r>
        <w:rPr>
          <w:spacing w:val="-97"/>
          <w:w w:val="95"/>
        </w:rPr>
      </w:r>
      <w:r>
        <w:rPr>
          <w:w w:val="95"/>
        </w:rPr>
        <w:t>递延收益余额的，冲减相关递延收益账面余额，超出部分计入当期损益；不存在相关递延收益的，直接计</w:t>
      </w:r>
      <w:r>
        <w:rPr>
          <w:spacing w:val="41"/>
          <w:w w:val="95"/>
        </w:rPr>
        <w:t> </w:t>
      </w:r>
      <w:r>
        <w:rPr>
          <w:spacing w:val="41"/>
          <w:w w:val="95"/>
        </w:rPr>
      </w:r>
      <w:r>
        <w:rPr/>
        <w:t>入当期损益。</w:t>
      </w:r>
    </w:p>
    <w:p>
      <w:pPr>
        <w:spacing w:line="240" w:lineRule="auto" w:before="13"/>
        <w:rPr>
          <w:rFonts w:ascii="宋体" w:hAnsi="宋体" w:cs="宋体" w:eastAsia="宋体" w:hint="default"/>
          <w:sz w:val="22"/>
          <w:szCs w:val="22"/>
        </w:rPr>
      </w:pPr>
    </w:p>
    <w:p>
      <w:pPr>
        <w:spacing w:line="610" w:lineRule="atLeast" w:before="0"/>
        <w:ind w:left="532" w:right="0" w:hanging="420"/>
        <w:jc w:val="left"/>
        <w:rPr>
          <w:rFonts w:ascii="宋体" w:hAnsi="宋体" w:cs="宋体" w:eastAsia="宋体" w:hint="default"/>
          <w:sz w:val="21"/>
          <w:szCs w:val="21"/>
        </w:rPr>
      </w:pPr>
      <w:bookmarkStart w:name="41、递延所得税资产/递延所得税负债" w:id="223"/>
      <w:bookmarkEnd w:id="223"/>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BodyText"/>
        <w:spacing w:line="273" w:lineRule="auto" w:before="21"/>
        <w:ind w:right="1132"/>
        <w:jc w:val="both"/>
      </w:pPr>
      <w:r>
        <w:rPr>
          <w:w w:val="95"/>
        </w:rPr>
        <w:t>确认。于资产负债表日，递延所得税资产和递延所得税负债，按照预期收回该资产或清偿该负债期间的适</w:t>
      </w:r>
      <w:r>
        <w:rPr>
          <w:spacing w:val="40"/>
          <w:w w:val="95"/>
        </w:rPr>
        <w:t> </w:t>
      </w:r>
      <w:r>
        <w:rPr>
          <w:spacing w:val="40"/>
          <w:w w:val="95"/>
        </w:rPr>
      </w:r>
      <w:r>
        <w:rPr/>
        <w:t>用税率计量。</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（1）确认递延所得税资产的依据</w:t>
      </w:r>
      <w:r>
        <w:rPr>
          <w:rFonts w:ascii="宋体" w:hAnsi="宋体" w:cs="宋体" w:eastAsia="宋体" w:hint="default"/>
          <w:b/>
          <w:bCs/>
          <w:w w:val="99"/>
          <w:sz w:val="21"/>
          <w:szCs w:val="21"/>
        </w:rPr>
        <w:t> </w:t>
      </w:r>
      <w:r>
        <w:rPr>
          <w:rFonts w:ascii="宋体" w:hAnsi="宋体" w:cs="宋体" w:eastAsia="宋体" w:hint="default"/>
          <w:w w:val="95"/>
          <w:sz w:val="21"/>
          <w:szCs w:val="21"/>
        </w:rPr>
        <w:t>本公司以很可能取得用来抵扣可抵扣暂时性差异、能够结转以后年度的可抵扣亏损和税款抵减的应纳</w:t>
      </w:r>
      <w:r>
        <w:rPr>
          <w:rFonts w:ascii="宋体" w:hAnsi="宋体" w:cs="宋体" w:eastAsia="宋体" w:hint="default"/>
          <w:sz w:val="21"/>
          <w:szCs w:val="21"/>
        </w:rPr>
      </w:r>
    </w:p>
    <w:p>
      <w:pPr>
        <w:pStyle w:val="BodyText"/>
        <w:spacing w:line="264" w:lineRule="auto"/>
        <w:ind w:right="1130"/>
        <w:jc w:val="both"/>
      </w:pPr>
      <w:r>
        <w:rPr>
          <w:w w:val="95"/>
        </w:rPr>
        <w:t>税所得额为限，确认由可抵扣暂时性差异产生的递延所得税资产。但是，同时具有下列特征的交易中因资</w:t>
      </w:r>
      <w:r>
        <w:rPr>
          <w:spacing w:val="43"/>
          <w:w w:val="95"/>
        </w:rPr>
        <w:t> </w:t>
      </w:r>
      <w:r>
        <w:rPr>
          <w:spacing w:val="43"/>
          <w:w w:val="95"/>
        </w:rPr>
      </w:r>
      <w:r>
        <w:rPr>
          <w:w w:val="95"/>
        </w:rPr>
        <w:t>产或负债的初始确认所产生的递延所得税资产不予确认：</w:t>
      </w:r>
      <w:r>
        <w:rPr>
          <w:rFonts w:ascii="Times New Roman" w:hAnsi="Times New Roman" w:cs="Times New Roman" w:eastAsia="Times New Roman" w:hint="default"/>
          <w:w w:val="95"/>
        </w:rPr>
        <w:t>1</w:t>
      </w:r>
      <w:r>
        <w:rPr>
          <w:w w:val="95"/>
        </w:rPr>
        <w:t>）该交易不是企业合并；</w:t>
      </w:r>
      <w:r>
        <w:rPr>
          <w:rFonts w:ascii="Times New Roman" w:hAnsi="Times New Roman" w:cs="Times New Roman" w:eastAsia="Times New Roman" w:hint="default"/>
          <w:w w:val="95"/>
        </w:rPr>
        <w:t>2</w:t>
      </w:r>
      <w:r>
        <w:rPr>
          <w:w w:val="95"/>
        </w:rPr>
        <w:t>）交易发生时既不影</w:t>
      </w:r>
      <w:r>
        <w:rPr>
          <w:spacing w:val="45"/>
          <w:w w:val="95"/>
        </w:rPr>
        <w:t> </w:t>
      </w:r>
      <w:r>
        <w:rPr>
          <w:spacing w:val="45"/>
          <w:w w:val="95"/>
        </w:rPr>
      </w:r>
      <w:r>
        <w:rPr/>
        <w:t>响会计利润也不影响应纳税所得额或可抵扣亏损。</w:t>
      </w:r>
    </w:p>
    <w:p>
      <w:pPr>
        <w:pStyle w:val="BodyText"/>
        <w:spacing w:line="273" w:lineRule="auto" w:before="16"/>
        <w:ind w:right="1112" w:firstLine="420"/>
        <w:jc w:val="both"/>
      </w:pPr>
      <w:r>
        <w:rPr>
          <w:w w:val="95"/>
        </w:rPr>
        <w:t>对于与联营企业投资相关的可抵扣暂时性差异，同时满足下列条件的，确认相应的递延所得税资产：</w:t>
      </w:r>
      <w:r>
        <w:rPr>
          <w:spacing w:val="-79"/>
          <w:w w:val="95"/>
        </w:rPr>
        <w:t> </w:t>
      </w:r>
      <w:r>
        <w:rPr>
          <w:spacing w:val="-79"/>
          <w:w w:val="95"/>
        </w:rPr>
      </w:r>
      <w:r>
        <w:rPr>
          <w:w w:val="95"/>
        </w:rPr>
        <w:t>暂时性差异在可预见的未来很可能转回，且未来很可能获得用来抵扣可抵扣暂时性差异的应纳税所得额。</w:t>
      </w:r>
      <w:r>
        <w:rPr/>
      </w:r>
    </w:p>
    <w:p>
      <w:pPr>
        <w:spacing w:line="273" w:lineRule="auto" w:before="7"/>
        <w:ind w:left="532" w:right="2127" w:firstLine="2"/>
        <w:jc w:val="left"/>
        <w:rPr>
          <w:rFonts w:ascii="宋体" w:hAnsi="宋体" w:cs="宋体" w:eastAsia="宋体" w:hint="default"/>
          <w:sz w:val="21"/>
          <w:szCs w:val="21"/>
        </w:rPr>
      </w:pPr>
      <w:r>
        <w:rPr>
          <w:rFonts w:ascii="宋体" w:hAnsi="宋体" w:cs="宋体" w:eastAsia="宋体" w:hint="default"/>
          <w:b/>
          <w:bCs/>
          <w:sz w:val="21"/>
          <w:szCs w:val="21"/>
        </w:rPr>
        <w:t>（2）确认递延所得税负债的依据</w:t>
      </w:r>
      <w:r>
        <w:rPr>
          <w:rFonts w:ascii="宋体" w:hAnsi="宋体" w:cs="宋体" w:eastAsia="宋体" w:hint="default"/>
          <w:b/>
          <w:bCs/>
          <w:w w:val="99"/>
          <w:sz w:val="21"/>
          <w:szCs w:val="21"/>
        </w:rPr>
        <w:t> </w:t>
      </w:r>
      <w:r>
        <w:rPr>
          <w:rFonts w:ascii="宋体" w:hAnsi="宋体" w:cs="宋体" w:eastAsia="宋体" w:hint="default"/>
          <w:w w:val="95"/>
          <w:sz w:val="21"/>
          <w:szCs w:val="21"/>
        </w:rPr>
        <w:t>公司将当期与以前期间应交未交的应纳税暂时性差异确认为递延所得税负债。但不包括：</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）商誉的初始确认所形成的暂时性差异；</w:t>
      </w:r>
    </w:p>
    <w:p>
      <w:pPr>
        <w:pStyle w:val="BodyText"/>
        <w:spacing w:line="256" w:lineRule="auto" w:before="0"/>
        <w:ind w:right="1133" w:firstLine="420"/>
        <w:jc w:val="both"/>
      </w:pPr>
      <w:r>
        <w:rPr>
          <w:rFonts w:ascii="Times New Roman" w:hAnsi="Times New Roman" w:cs="Times New Roman" w:eastAsia="Times New Roman" w:hint="default"/>
          <w:spacing w:val="2"/>
          <w:w w:val="95"/>
        </w:rPr>
        <w:t>2</w:t>
      </w:r>
      <w:r>
        <w:rPr>
          <w:spacing w:val="2"/>
          <w:w w:val="95"/>
        </w:rPr>
        <w:t>）非企业合并形成的交易或事项，且该交易或事项发生时既不影响会计利润，也不影响应纳税所得</w:t>
      </w:r>
      <w:r>
        <w:rPr>
          <w:spacing w:val="-82"/>
          <w:w w:val="95"/>
        </w:rPr>
        <w:t> </w:t>
      </w:r>
      <w:r>
        <w:rPr>
          <w:spacing w:val="-82"/>
          <w:w w:val="95"/>
        </w:rPr>
      </w:r>
      <w:r>
        <w:rPr/>
        <w:t>额（或可抵扣亏损）所形成的暂时性差异；</w:t>
      </w:r>
    </w:p>
    <w:p>
      <w:pPr>
        <w:pStyle w:val="BodyText"/>
        <w:spacing w:line="256" w:lineRule="auto" w:before="22"/>
        <w:ind w:right="1133" w:firstLine="420"/>
        <w:jc w:val="both"/>
      </w:pPr>
      <w:r>
        <w:rPr>
          <w:rFonts w:ascii="Times New Roman" w:hAnsi="Times New Roman" w:cs="Times New Roman" w:eastAsia="Times New Roman" w:hint="default"/>
          <w:spacing w:val="2"/>
          <w:w w:val="95"/>
        </w:rPr>
        <w:t>3</w:t>
      </w:r>
      <w:r>
        <w:rPr>
          <w:spacing w:val="2"/>
          <w:w w:val="95"/>
        </w:rPr>
        <w:t>）对于与子公司、联营企业投资相关的应纳税暂时性差异，该暂时性差异转回的时间能够控制并且</w:t>
      </w:r>
      <w:r>
        <w:rPr>
          <w:spacing w:val="-82"/>
          <w:w w:val="95"/>
        </w:rPr>
        <w:t> </w:t>
      </w:r>
      <w:r>
        <w:rPr>
          <w:spacing w:val="-82"/>
          <w:w w:val="95"/>
        </w:rPr>
      </w:r>
      <w:r>
        <w:rPr/>
        <w:t>该暂时性差异在可预见的未来很可能不会转回。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ind w:right="2127"/>
        <w:jc w:val="left"/>
        <w:rPr>
          <w:b w:val="0"/>
          <w:bCs w:val="0"/>
        </w:rPr>
      </w:pPr>
      <w:bookmarkStart w:name="42、租赁" w:id="224"/>
      <w:bookmarkEnd w:id="224"/>
      <w:r>
        <w:rPr>
          <w:b w:val="0"/>
          <w:bCs w:val="0"/>
        </w:rPr>
      </w: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经营租赁的会计处理方法" w:id="225"/>
      <w:bookmarkEnd w:id="22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32" w:right="1019"/>
        <w:jc w:val="left"/>
      </w:pPr>
      <w:r>
        <w:rPr>
          <w:rFonts w:ascii="Times New Roman" w:hAnsi="Times New Roman" w:cs="Times New Roman" w:eastAsia="Times New Roman" w:hint="default"/>
        </w:rPr>
        <w:t>1</w:t>
      </w:r>
      <w:r>
        <w:rPr/>
        <w:t>）经营租入资产</w:t>
      </w:r>
      <w:r>
        <w:rPr>
          <w:w w:val="99"/>
        </w:rPr>
        <w:t> </w:t>
      </w:r>
      <w:r>
        <w:rPr>
          <w:spacing w:val="-3"/>
        </w:rPr>
        <w:t>公司租入资产所支付的租赁费，在不扣除免租期的整个租赁期内，按直线法进行分摊，计入当期费用。</w:t>
      </w:r>
    </w:p>
    <w:p>
      <w:pPr>
        <w:pStyle w:val="BodyText"/>
        <w:spacing w:line="273" w:lineRule="auto" w:before="22"/>
        <w:ind w:left="532" w:right="0" w:hanging="420"/>
        <w:jc w:val="left"/>
      </w:pPr>
      <w:r>
        <w:rPr/>
        <w:t>公司支付的与租赁交易相关的初始直接费用，计入当期费用。</w:t>
      </w:r>
      <w:r>
        <w:rPr>
          <w:w w:val="99"/>
        </w:rPr>
        <w:t> </w:t>
      </w:r>
      <w:r>
        <w:rPr>
          <w:w w:val="95"/>
        </w:rPr>
        <w:t>资产出租方承担了应由公司承担的与租赁相关的费用时，公司将该部分费用从租金总额中扣除，按扣</w:t>
      </w:r>
      <w:r>
        <w:rPr/>
      </w:r>
    </w:p>
    <w:p>
      <w:pPr>
        <w:pStyle w:val="BodyText"/>
        <w:spacing w:line="240" w:lineRule="auto"/>
        <w:ind w:right="2127"/>
        <w:jc w:val="left"/>
      </w:pPr>
      <w:r>
        <w:rPr/>
        <w:t>除后的租金费用在租赁期内分摊，计入当期费用。</w:t>
      </w:r>
    </w:p>
    <w:p>
      <w:pPr>
        <w:pStyle w:val="BodyText"/>
        <w:spacing w:line="256" w:lineRule="auto" w:before="37"/>
        <w:ind w:left="532" w:right="1120"/>
        <w:jc w:val="left"/>
      </w:pPr>
      <w:r>
        <w:rPr>
          <w:rFonts w:ascii="Times New Roman" w:hAnsi="Times New Roman" w:cs="Times New Roman" w:eastAsia="Times New Roman" w:hint="default"/>
        </w:rPr>
        <w:t>2</w:t>
      </w:r>
      <w:r>
        <w:rPr/>
        <w:t>）经营租出资产</w:t>
      </w:r>
      <w:r>
        <w:rPr>
          <w:w w:val="99"/>
        </w:rPr>
        <w:t> </w:t>
      </w:r>
      <w:r>
        <w:rPr>
          <w:w w:val="95"/>
        </w:rPr>
        <w:t>公司出租资产所收取的租赁费，在不扣除免租期的整个租赁期内，按直线法进行分摊，确认为租赁收</w:t>
      </w:r>
      <w:r>
        <w:rPr/>
      </w:r>
    </w:p>
    <w:p>
      <w:pPr>
        <w:pStyle w:val="BodyText"/>
        <w:spacing w:line="273" w:lineRule="auto" w:before="22"/>
        <w:ind w:right="1130"/>
        <w:jc w:val="both"/>
      </w:pPr>
      <w:r>
        <w:rPr>
          <w:w w:val="95"/>
        </w:rPr>
        <w:t>入。公司支付的与租赁交易相关的初始直接费用，计入当期费用；如金额较大的，则予以资本化，在整个</w:t>
      </w:r>
      <w:r>
        <w:rPr>
          <w:spacing w:val="44"/>
          <w:w w:val="95"/>
        </w:rPr>
        <w:t> </w:t>
      </w:r>
      <w:r>
        <w:rPr>
          <w:spacing w:val="44"/>
          <w:w w:val="95"/>
        </w:rPr>
      </w:r>
      <w:r>
        <w:rPr/>
        <w:t>租赁期间内按照与租赁收入确认相同的基础分期计入当期收益。</w:t>
      </w:r>
    </w:p>
    <w:p>
      <w:pPr>
        <w:pStyle w:val="BodyText"/>
        <w:spacing w:line="273" w:lineRule="auto"/>
        <w:ind w:right="1135" w:firstLine="420"/>
        <w:jc w:val="both"/>
      </w:pPr>
      <w:r>
        <w:rPr>
          <w:w w:val="95"/>
        </w:rPr>
        <w:t>公司承担了应由承租方承担的与租赁相关的费用时，公司将该部分费用从租金收入总额中扣除，按扣</w:t>
      </w:r>
      <w:r>
        <w:rPr>
          <w:w w:val="99"/>
        </w:rPr>
        <w:t> </w:t>
      </w:r>
      <w:r>
        <w:rPr/>
        <w:t>除后的租金费用在租赁期内分配。</w:t>
      </w:r>
    </w:p>
    <w:p>
      <w:pPr>
        <w:spacing w:after="0" w:line="273"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融资租赁的会计处理方法" w:id="226"/>
      <w:bookmarkEnd w:id="22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12" w:firstLine="420"/>
        <w:jc w:val="both"/>
      </w:pP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）融资租入资产：公司在承租开始日，将租赁资产公允价值与最低租赁付款额现值两者中较低者作</w:t>
      </w:r>
      <w:r>
        <w:rPr>
          <w:w w:val="99"/>
        </w:rPr>
        <w:t> </w:t>
      </w:r>
      <w:r>
        <w:rPr>
          <w:w w:val="95"/>
        </w:rPr>
        <w:t>为租入资产的入账价值，将最低租赁付款额作为长期应付款的入账价值，其差额作为未确认的融资费用。</w:t>
      </w:r>
      <w:r>
        <w:rPr/>
      </w:r>
    </w:p>
    <w:p>
      <w:pPr>
        <w:pStyle w:val="BodyText"/>
        <w:spacing w:line="273" w:lineRule="auto" w:before="22"/>
        <w:ind w:left="532" w:right="0"/>
        <w:jc w:val="left"/>
      </w:pPr>
      <w:r>
        <w:rPr/>
        <w:t>融资租入资产的认定依据、计价和折旧方法详见本附注五／（二十四）固定资产。</w:t>
      </w:r>
      <w:r>
        <w:rPr>
          <w:w w:val="99"/>
        </w:rPr>
        <w:t> </w:t>
      </w:r>
      <w:r>
        <w:rPr/>
        <w:t>公司采用实际利率法对未确认的融资费用，在资产租赁期间内摊销，计入财务费用。</w:t>
      </w:r>
      <w:r>
        <w:rPr>
          <w:w w:val="99"/>
        </w:rPr>
        <w:t> </w:t>
      </w:r>
      <w:r>
        <w:rPr>
          <w:rFonts w:ascii="Times New Roman" w:hAnsi="Times New Roman" w:cs="Times New Roman" w:eastAsia="Times New Roman" w:hint="default"/>
          <w:spacing w:val="2"/>
          <w:w w:val="95"/>
        </w:rPr>
        <w:t>2</w:t>
      </w:r>
      <w:r>
        <w:rPr>
          <w:spacing w:val="2"/>
          <w:w w:val="95"/>
        </w:rPr>
        <w:t>）融资租出资产：公司在租赁开始日，将应收融资租赁款，未担保余值之和与其现值的差额确认为</w:t>
      </w:r>
      <w:r>
        <w:rPr>
          <w:spacing w:val="2"/>
        </w:rPr>
      </w:r>
    </w:p>
    <w:p>
      <w:pPr>
        <w:pStyle w:val="BodyText"/>
        <w:spacing w:line="273" w:lineRule="auto" w:before="0"/>
        <w:ind w:right="0"/>
        <w:jc w:val="left"/>
      </w:pPr>
      <w:r>
        <w:rPr>
          <w:w w:val="95"/>
        </w:rPr>
        <w:t>未实现融资收益，在将来收到租金的各期间内确认为租赁收入，公司发生的与出租交易相关的初始直接费</w:t>
      </w:r>
      <w:r>
        <w:rPr>
          <w:spacing w:val="37"/>
          <w:w w:val="95"/>
        </w:rPr>
        <w:t> </w:t>
      </w:r>
      <w:r>
        <w:rPr>
          <w:spacing w:val="37"/>
          <w:w w:val="95"/>
        </w:rPr>
      </w:r>
      <w:r>
        <w:rPr/>
        <w:t>用，计入应收融资租赁款的初始计量中，并减少租赁期内确认的收益金额。</w:t>
      </w:r>
    </w:p>
    <w:p>
      <w:pPr>
        <w:spacing w:line="240" w:lineRule="auto" w:before="9"/>
        <w:rPr>
          <w:rFonts w:ascii="宋体" w:hAnsi="宋体" w:cs="宋体" w:eastAsia="宋体" w:hint="default"/>
          <w:sz w:val="24"/>
          <w:szCs w:val="24"/>
        </w:rPr>
      </w:pPr>
    </w:p>
    <w:p>
      <w:pPr>
        <w:spacing w:line="590" w:lineRule="atLeast" w:before="0"/>
        <w:ind w:left="532" w:right="0" w:hanging="420"/>
        <w:jc w:val="left"/>
        <w:rPr>
          <w:rFonts w:ascii="宋体" w:hAnsi="宋体" w:cs="宋体" w:eastAsia="宋体" w:hint="default"/>
          <w:sz w:val="21"/>
          <w:szCs w:val="21"/>
        </w:rPr>
      </w:pPr>
      <w:bookmarkStart w:name="43、其他重要的会计政策和会计估计" w:id="227"/>
      <w:bookmarkEnd w:id="227"/>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pacing w:val="-2"/>
          <w:w w:val="99"/>
          <w:sz w:val="21"/>
          <w:szCs w:val="21"/>
        </w:rPr>
        <w:t>财政部于2019年发布了《关于修订印发2019年度一般企业财务报表格式的通知》（财会〔2019〕6号）</w:t>
      </w:r>
      <w:r>
        <w:rPr>
          <w:rFonts w:ascii="宋体" w:hAnsi="宋体" w:cs="宋体" w:eastAsia="宋体" w:hint="default"/>
          <w:spacing w:val="-2"/>
          <w:sz w:val="21"/>
          <w:szCs w:val="21"/>
        </w:rPr>
      </w:r>
    </w:p>
    <w:p>
      <w:pPr>
        <w:pStyle w:val="BodyText"/>
        <w:spacing w:line="273" w:lineRule="auto" w:before="37"/>
        <w:ind w:right="1028"/>
        <w:jc w:val="left"/>
      </w:pPr>
      <w:r>
        <w:rPr>
          <w:spacing w:val="-4"/>
          <w:w w:val="99"/>
        </w:rPr>
        <w:t>和《关于修订印发合并财务报表格式(2019版)的通知》（财会〔2019〕16号），对一般企业财务报表格式进</w:t>
      </w:r>
      <w:r>
        <w:rPr>
          <w:spacing w:val="-96"/>
          <w:w w:val="99"/>
        </w:rPr>
        <w:t> </w:t>
      </w:r>
      <w:r>
        <w:rPr>
          <w:spacing w:val="-96"/>
          <w:w w:val="99"/>
        </w:rPr>
      </w:r>
      <w:r>
        <w:rPr/>
        <w:t>行了修订，拆分部分资产负债表项目和调整利润表项目等。本公司已经根据新的企业财务报表格式的要求</w:t>
      </w:r>
      <w:r>
        <w:rPr>
          <w:w w:val="99"/>
        </w:rPr>
        <w:t> </w:t>
      </w:r>
      <w:r>
        <w:rPr>
          <w:spacing w:val="-3"/>
        </w:rPr>
        <w:t>编制财务报表，财务报表的列报项目因此发生变更的，已经按照《企业会计准则第30号——财务报表列报》</w:t>
      </w:r>
      <w:r>
        <w:rPr>
          <w:w w:val="99"/>
        </w:rPr>
        <w:t> </w:t>
      </w:r>
      <w:r>
        <w:rPr/>
        <w:t>等的相关规定，对可比期间的比较数据进行调整。</w:t>
      </w:r>
    </w:p>
    <w:p>
      <w:pPr>
        <w:pStyle w:val="BodyText"/>
        <w:spacing w:line="273" w:lineRule="auto"/>
        <w:ind w:left="532" w:right="2127"/>
        <w:jc w:val="left"/>
      </w:pPr>
      <w:r>
        <w:rPr>
          <w:w w:val="95"/>
        </w:rPr>
        <w:t>（1）根据财会[2019]6号文件有关规定，公司对财务报表格式进行以下主要变动：</w:t>
      </w:r>
      <w:r>
        <w:rPr>
          <w:spacing w:val="58"/>
          <w:w w:val="95"/>
        </w:rPr>
        <w:t> </w:t>
      </w:r>
      <w:r>
        <w:rPr>
          <w:spacing w:val="58"/>
          <w:w w:val="95"/>
        </w:rPr>
      </w:r>
      <w:r>
        <w:rPr/>
        <w:t>1）资产负债表</w:t>
      </w:r>
    </w:p>
    <w:p>
      <w:pPr>
        <w:pStyle w:val="BodyText"/>
        <w:spacing w:line="256" w:lineRule="auto"/>
        <w:ind w:right="1130" w:firstLine="420"/>
        <w:jc w:val="both"/>
      </w:pPr>
      <w:r>
        <w:rPr/>
        <w:t>资产负债表将原</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两个项目，资产负债表将</w:t>
      </w:r>
      <w:r>
        <w:rPr>
          <w:w w:val="99"/>
        </w:rPr>
        <w:t> </w:t>
      </w:r>
      <w:r>
        <w:rPr>
          <w:spacing w:val="2"/>
          <w:w w:val="95"/>
        </w:rPr>
        <w:t>原</w:t>
      </w:r>
      <w:r>
        <w:rPr>
          <w:rFonts w:ascii="Times New Roman" w:hAnsi="Times New Roman" w:cs="Times New Roman" w:eastAsia="Times New Roman" w:hint="default"/>
          <w:spacing w:val="2"/>
          <w:w w:val="95"/>
        </w:rPr>
        <w:t>“</w:t>
      </w:r>
      <w:r>
        <w:rPr>
          <w:spacing w:val="2"/>
          <w:w w:val="95"/>
        </w:rPr>
        <w:t>应付票据及应付账款</w:t>
      </w:r>
      <w:r>
        <w:rPr>
          <w:rFonts w:ascii="Times New Roman" w:hAnsi="Times New Roman" w:cs="Times New Roman" w:eastAsia="Times New Roman" w:hint="default"/>
          <w:spacing w:val="2"/>
          <w:w w:val="95"/>
        </w:rPr>
        <w:t>”</w:t>
      </w:r>
      <w:r>
        <w:rPr>
          <w:spacing w:val="2"/>
          <w:w w:val="95"/>
        </w:rPr>
        <w:t>项目拆分为</w:t>
      </w:r>
      <w:r>
        <w:rPr>
          <w:rFonts w:ascii="Times New Roman" w:hAnsi="Times New Roman" w:cs="Times New Roman" w:eastAsia="Times New Roman" w:hint="default"/>
          <w:spacing w:val="2"/>
          <w:w w:val="95"/>
        </w:rPr>
        <w:t>“</w:t>
      </w:r>
      <w:r>
        <w:rPr>
          <w:spacing w:val="2"/>
          <w:w w:val="95"/>
        </w:rPr>
        <w:t>应付票据</w:t>
      </w:r>
      <w:r>
        <w:rPr>
          <w:rFonts w:ascii="Times New Roman" w:hAnsi="Times New Roman" w:cs="Times New Roman" w:eastAsia="Times New Roman" w:hint="default"/>
          <w:spacing w:val="2"/>
          <w:w w:val="95"/>
        </w:rPr>
        <w:t>”</w:t>
      </w:r>
      <w:r>
        <w:rPr>
          <w:spacing w:val="2"/>
          <w:w w:val="95"/>
        </w:rPr>
        <w:t>和</w:t>
      </w:r>
      <w:r>
        <w:rPr>
          <w:rFonts w:ascii="Times New Roman" w:hAnsi="Times New Roman" w:cs="Times New Roman" w:eastAsia="Times New Roman" w:hint="default"/>
          <w:spacing w:val="2"/>
          <w:w w:val="95"/>
        </w:rPr>
        <w:t>“</w:t>
      </w:r>
      <w:r>
        <w:rPr>
          <w:spacing w:val="2"/>
          <w:w w:val="95"/>
        </w:rPr>
        <w:t>应付账款</w:t>
      </w:r>
      <w:r>
        <w:rPr>
          <w:rFonts w:ascii="Times New Roman" w:hAnsi="Times New Roman" w:cs="Times New Roman" w:eastAsia="Times New Roman" w:hint="default"/>
          <w:spacing w:val="2"/>
          <w:w w:val="95"/>
        </w:rPr>
        <w:t>”</w:t>
      </w:r>
      <w:r>
        <w:rPr>
          <w:spacing w:val="2"/>
          <w:w w:val="95"/>
        </w:rPr>
        <w:t>两个项目。新增</w:t>
      </w:r>
      <w:r>
        <w:rPr>
          <w:rFonts w:ascii="Times New Roman" w:hAnsi="Times New Roman" w:cs="Times New Roman" w:eastAsia="Times New Roman" w:hint="default"/>
          <w:spacing w:val="2"/>
          <w:w w:val="95"/>
        </w:rPr>
        <w:t>“</w:t>
      </w:r>
      <w:r>
        <w:rPr>
          <w:spacing w:val="2"/>
          <w:w w:val="95"/>
        </w:rPr>
        <w:t>应收款项融资</w:t>
      </w:r>
      <w:r>
        <w:rPr>
          <w:rFonts w:ascii="Times New Roman" w:hAnsi="Times New Roman" w:cs="Times New Roman" w:eastAsia="Times New Roman" w:hint="default"/>
          <w:spacing w:val="2"/>
          <w:w w:val="95"/>
        </w:rPr>
        <w:t>”</w:t>
      </w:r>
      <w:r>
        <w:rPr>
          <w:spacing w:val="2"/>
          <w:w w:val="95"/>
        </w:rPr>
        <w:t>项目反映以</w:t>
      </w:r>
      <w:r>
        <w:rPr>
          <w:spacing w:val="35"/>
          <w:w w:val="95"/>
        </w:rPr>
        <w:t> </w:t>
      </w:r>
      <w:r>
        <w:rPr>
          <w:spacing w:val="35"/>
          <w:w w:val="95"/>
        </w:rPr>
      </w:r>
      <w:r>
        <w:rPr/>
        <w:t>公允价值计量且其变动计入其他综合收益的应收票据和应收账款等。</w:t>
      </w:r>
    </w:p>
    <w:p>
      <w:pPr>
        <w:pStyle w:val="BodyText"/>
        <w:spacing w:line="240" w:lineRule="auto" w:before="22"/>
        <w:ind w:left="532" w:right="2127"/>
        <w:jc w:val="left"/>
      </w:pPr>
      <w:r>
        <w:rPr/>
        <w:t>2）利润表</w:t>
      </w:r>
    </w:p>
    <w:p>
      <w:pPr>
        <w:pStyle w:val="BodyText"/>
        <w:spacing w:line="256" w:lineRule="auto" w:before="37"/>
        <w:ind w:right="1130" w:firstLine="420"/>
        <w:jc w:val="both"/>
      </w:pPr>
      <w:r>
        <w:rPr>
          <w:spacing w:val="2"/>
        </w:rPr>
        <w:t>将利润表</w:t>
      </w:r>
      <w:r>
        <w:rPr>
          <w:rFonts w:ascii="Times New Roman" w:hAnsi="Times New Roman" w:cs="Times New Roman" w:eastAsia="Times New Roman" w:hint="default"/>
          <w:spacing w:val="2"/>
        </w:rPr>
        <w:t>“</w:t>
      </w:r>
      <w:r>
        <w:rPr>
          <w:spacing w:val="2"/>
        </w:rPr>
        <w:t>减：资产减值损失</w:t>
      </w:r>
      <w:r>
        <w:rPr>
          <w:rFonts w:ascii="Times New Roman" w:hAnsi="Times New Roman" w:cs="Times New Roman" w:eastAsia="Times New Roman" w:hint="default"/>
          <w:spacing w:val="2"/>
        </w:rPr>
        <w:t>”</w:t>
      </w:r>
      <w:r>
        <w:rPr>
          <w:spacing w:val="2"/>
        </w:rPr>
        <w:t>调整为</w:t>
      </w:r>
      <w:r>
        <w:rPr>
          <w:rFonts w:ascii="Times New Roman" w:hAnsi="Times New Roman" w:cs="Times New Roman" w:eastAsia="Times New Roman" w:hint="default"/>
          <w:spacing w:val="2"/>
        </w:rPr>
        <w:t>“</w:t>
      </w:r>
      <w:r>
        <w:rPr>
          <w:spacing w:val="2"/>
        </w:rPr>
        <w:t>加：资产减值损失（损失以</w:t>
      </w:r>
      <w:r>
        <w:rPr>
          <w:rFonts w:ascii="Times New Roman" w:hAnsi="Times New Roman" w:cs="Times New Roman" w:eastAsia="Times New Roman" w:hint="default"/>
          <w:spacing w:val="2"/>
        </w:rPr>
        <w:t>“-”</w:t>
      </w:r>
      <w:r>
        <w:rPr>
          <w:spacing w:val="2"/>
        </w:rPr>
        <w:t>号填列）</w:t>
      </w:r>
      <w:r>
        <w:rPr>
          <w:rFonts w:ascii="Times New Roman" w:hAnsi="Times New Roman" w:cs="Times New Roman" w:eastAsia="Times New Roman" w:hint="default"/>
          <w:spacing w:val="2"/>
        </w:rPr>
        <w:t>”</w:t>
      </w:r>
      <w:r>
        <w:rPr>
          <w:spacing w:val="2"/>
        </w:rPr>
        <w:t>。在利润表中新增</w:t>
      </w:r>
      <w:r>
        <w:rPr>
          <w:rFonts w:ascii="Times New Roman" w:hAnsi="Times New Roman" w:cs="Times New Roman" w:eastAsia="Times New Roman" w:hint="default"/>
          <w:spacing w:val="2"/>
        </w:rPr>
        <w:t>“</w:t>
      </w:r>
      <w:r>
        <w:rPr>
          <w:spacing w:val="2"/>
        </w:rPr>
        <w:t>信</w:t>
      </w:r>
      <w:r>
        <w:rPr>
          <w:w w:val="99"/>
        </w:rPr>
        <w:t> </w:t>
      </w:r>
      <w:r>
        <w:rPr/>
        <w:t>用减值损失</w:t>
      </w:r>
      <w:r>
        <w:rPr>
          <w:rFonts w:ascii="Times New Roman" w:hAnsi="Times New Roman" w:cs="Times New Roman" w:eastAsia="Times New Roman" w:hint="default"/>
        </w:rPr>
        <w:t>”</w:t>
      </w:r>
      <w:r>
        <w:rPr/>
        <w:t>项目，并将</w:t>
      </w:r>
      <w:r>
        <w:rPr>
          <w:rFonts w:ascii="Times New Roman" w:hAnsi="Times New Roman" w:cs="Times New Roman" w:eastAsia="Times New Roman" w:hint="default"/>
        </w:rPr>
        <w:t>“</w:t>
      </w:r>
      <w:r>
        <w:rPr/>
        <w:t>资产减值损失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项目位置放至</w:t>
      </w:r>
      <w:r>
        <w:rPr>
          <w:rFonts w:ascii="Times New Roman" w:hAnsi="Times New Roman" w:cs="Times New Roman" w:eastAsia="Times New Roman" w:hint="default"/>
        </w:rPr>
        <w:t>“</w:t>
      </w:r>
      <w:r>
        <w:rPr/>
        <w:t>公允价值变动收益</w:t>
      </w:r>
      <w:r>
        <w:rPr>
          <w:rFonts w:ascii="Times New Roman" w:hAnsi="Times New Roman" w:cs="Times New Roman" w:eastAsia="Times New Roman" w:hint="default"/>
        </w:rPr>
        <w:t>”</w:t>
      </w:r>
      <w:r>
        <w:rPr/>
        <w:t>之后。</w:t>
      </w:r>
    </w:p>
    <w:p>
      <w:pPr>
        <w:pStyle w:val="BodyText"/>
        <w:spacing w:line="273" w:lineRule="auto" w:before="5"/>
        <w:ind w:left="532" w:right="1120"/>
        <w:jc w:val="left"/>
      </w:pPr>
      <w:r>
        <w:rPr/>
        <w:t>3）现金流量表</w:t>
      </w:r>
      <w:r>
        <w:rPr>
          <w:w w:val="99"/>
        </w:rPr>
        <w:t> </w:t>
      </w:r>
      <w:r>
        <w:rPr>
          <w:w w:val="95"/>
        </w:rPr>
        <w:t>现金流量表明确了政府补助的填列口径，企业实际收到的政府补助，无论是与资产相关还是与收益相</w:t>
      </w:r>
      <w:r>
        <w:rPr/>
      </w:r>
    </w:p>
    <w:p>
      <w:pPr>
        <w:pStyle w:val="BodyText"/>
        <w:spacing w:line="256" w:lineRule="auto"/>
        <w:ind w:left="532" w:right="5737" w:hanging="420"/>
        <w:jc w:val="left"/>
      </w:pPr>
      <w:r>
        <w:rPr/>
        <w:t>关，均在</w:t>
      </w:r>
      <w:r>
        <w:rPr>
          <w:rFonts w:ascii="Times New Roman" w:hAnsi="Times New Roman" w:cs="Times New Roman" w:eastAsia="Times New Roman" w:hint="default"/>
        </w:rPr>
        <w:t>“</w:t>
      </w:r>
      <w:r>
        <w:rPr/>
        <w:t>收到其他与经营活动有关的现金</w:t>
      </w:r>
      <w:r>
        <w:rPr>
          <w:rFonts w:ascii="Times New Roman" w:hAnsi="Times New Roman" w:cs="Times New Roman" w:eastAsia="Times New Roman" w:hint="default"/>
        </w:rPr>
        <w:t>”</w:t>
      </w:r>
      <w:r>
        <w:rPr/>
        <w:t>项目填列。</w:t>
      </w:r>
      <w:r>
        <w:rPr>
          <w:w w:val="99"/>
        </w:rPr>
        <w:t> </w:t>
      </w:r>
      <w:r>
        <w:rPr/>
        <w:t>4）所有者权益变动表</w:t>
      </w:r>
    </w:p>
    <w:p>
      <w:pPr>
        <w:pStyle w:val="BodyText"/>
        <w:spacing w:line="256" w:lineRule="auto" w:before="22"/>
        <w:ind w:right="1132" w:firstLine="420"/>
        <w:jc w:val="both"/>
      </w:pPr>
      <w:r>
        <w:rPr>
          <w:spacing w:val="-2"/>
          <w:w w:val="95"/>
        </w:rPr>
        <w:t>所有者权益变动表，明确了</w:t>
      </w:r>
      <w:r>
        <w:rPr>
          <w:rFonts w:ascii="Times New Roman" w:hAnsi="Times New Roman" w:cs="Times New Roman" w:eastAsia="Times New Roman" w:hint="default"/>
          <w:spacing w:val="-2"/>
          <w:w w:val="95"/>
        </w:rPr>
        <w:t>“</w:t>
      </w:r>
      <w:r>
        <w:rPr>
          <w:spacing w:val="-2"/>
          <w:w w:val="95"/>
        </w:rPr>
        <w:t>其他权益工具持有者投入资本</w:t>
      </w:r>
      <w:r>
        <w:rPr>
          <w:rFonts w:ascii="Times New Roman" w:hAnsi="Times New Roman" w:cs="Times New Roman" w:eastAsia="Times New Roman" w:hint="default"/>
          <w:spacing w:val="-2"/>
          <w:w w:val="95"/>
        </w:rPr>
        <w:t>”</w:t>
      </w:r>
      <w:r>
        <w:rPr>
          <w:spacing w:val="-2"/>
          <w:w w:val="95"/>
        </w:rPr>
        <w:t>项目的填列口径，</w:t>
      </w:r>
      <w:r>
        <w:rPr>
          <w:rFonts w:ascii="Times New Roman" w:hAnsi="Times New Roman" w:cs="Times New Roman" w:eastAsia="Times New Roman" w:hint="default"/>
          <w:spacing w:val="-2"/>
          <w:w w:val="95"/>
        </w:rPr>
        <w:t>“</w:t>
      </w:r>
      <w:r>
        <w:rPr>
          <w:spacing w:val="-2"/>
          <w:w w:val="95"/>
        </w:rPr>
        <w:t>其他权益工具持有者投</w:t>
      </w:r>
      <w:r>
        <w:rPr>
          <w:spacing w:val="-76"/>
          <w:w w:val="95"/>
        </w:rPr>
        <w:t> </w:t>
      </w:r>
      <w:r>
        <w:rPr>
          <w:spacing w:val="-76"/>
          <w:w w:val="95"/>
        </w:rPr>
      </w:r>
      <w:r>
        <w:rPr>
          <w:spacing w:val="2"/>
        </w:rPr>
        <w:t>入资本</w:t>
      </w:r>
      <w:r>
        <w:rPr>
          <w:rFonts w:ascii="Times New Roman" w:hAnsi="Times New Roman" w:cs="Times New Roman" w:eastAsia="Times New Roman" w:hint="default"/>
          <w:spacing w:val="2"/>
        </w:rPr>
        <w:t>”</w:t>
      </w:r>
      <w:r>
        <w:rPr>
          <w:spacing w:val="2"/>
        </w:rPr>
        <w:t>项目，反映企业发行的除普通股以外分类为权益工具的金融工具的持有者投入资本的金额。该项</w:t>
      </w:r>
      <w:r>
        <w:rPr>
          <w:w w:val="99"/>
        </w:rPr>
        <w:t> </w:t>
      </w:r>
      <w:r>
        <w:rPr/>
        <w:t>目根据金融工具类科目的相关明细科目的发生额分析填列。</w:t>
      </w:r>
    </w:p>
    <w:p>
      <w:pPr>
        <w:pStyle w:val="BodyText"/>
        <w:spacing w:line="240" w:lineRule="auto" w:before="22"/>
        <w:ind w:left="532" w:right="2127"/>
        <w:jc w:val="left"/>
      </w:pPr>
      <w:r>
        <w:rPr/>
        <w:t>（2）对可比期间的财务报表列报项目及金额的影响如下：单位：元</w:t>
      </w:r>
    </w:p>
    <w:p>
      <w:pPr>
        <w:spacing w:line="240" w:lineRule="auto" w:before="12"/>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402"/>
        <w:gridCol w:w="1559"/>
        <w:gridCol w:w="1701"/>
        <w:gridCol w:w="1701"/>
      </w:tblGrid>
      <w:tr>
        <w:trPr>
          <w:trHeight w:val="354" w:hRule="exact"/>
        </w:trPr>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41"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7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12"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33,026,210.66</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33,026,210.66</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439,790,844.95</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439,790,844.95</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472,817,055.61</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-472,817,055.61</w:t>
            </w: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22,004,085.71</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22,004,085.71</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468,651,800.35</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468,651,800.35</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490,655,886.06</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-490,655,886.06</w:t>
            </w:r>
          </w:p>
        </w:tc>
        <w:tc>
          <w:tcPr>
            <w:tcW w:w="1701"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44、重要会计政策和会计估计变更" w:id="228"/>
      <w:bookmarkEnd w:id="228"/>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重要会计政策变更" w:id="229"/>
      <w:bookmarkEnd w:id="22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日起执行财政</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年修订的《企业会计准则第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《企业会计</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金融资产转移》和《企业</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pacing w:val="-144"/>
                <w:sz w:val="18"/>
                <w:szCs w:val="18"/>
              </w:rPr>
              <w:t>、</w:t>
            </w:r>
            <w:r>
              <w:rPr>
                <w:rFonts w:ascii="宋体" w:hAnsi="宋体" w:cs="宋体" w:eastAsia="宋体" w:hint="default"/>
                <w:sz w:val="18"/>
                <w:szCs w:val="18"/>
              </w:rPr>
              <w:t>《企业会</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）金</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6"/>
                <w:sz w:val="18"/>
                <w:szCs w:val="18"/>
              </w:rPr>
              <w:t>融资产分类由现行“四分类”改为“三</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分类</w:t>
            </w:r>
            <w:r>
              <w:rPr>
                <w:rFonts w:ascii="宋体" w:hAnsi="宋体" w:cs="宋体" w:eastAsia="宋体" w:hint="default"/>
                <w:spacing w:val="-89"/>
                <w:sz w:val="18"/>
                <w:szCs w:val="18"/>
              </w:rPr>
              <w:t>”</w:t>
            </w:r>
            <w:r>
              <w:rPr>
                <w:rFonts w:ascii="宋体" w:hAnsi="宋体" w:cs="宋体" w:eastAsia="宋体" w:hint="default"/>
                <w:sz w:val="18"/>
                <w:szCs w:val="18"/>
              </w:rPr>
              <w:t>（以企业持有金融资产的“业务</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模式</w:t>
            </w:r>
            <w:r>
              <w:rPr>
                <w:rFonts w:ascii="宋体" w:hAnsi="宋体" w:cs="宋体" w:eastAsia="宋体" w:hint="default"/>
                <w:spacing w:val="-87"/>
                <w:sz w:val="18"/>
                <w:szCs w:val="18"/>
              </w:rPr>
              <w:t>”和</w:t>
            </w:r>
            <w:r>
              <w:rPr>
                <w:rFonts w:ascii="宋体" w:hAnsi="宋体" w:cs="宋体" w:eastAsia="宋体" w:hint="default"/>
                <w:sz w:val="18"/>
                <w:szCs w:val="18"/>
              </w:rPr>
              <w:t>“金融资产合同现金流量特征”</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作为金融资产分类的判断依据</w:t>
            </w:r>
            <w:r>
              <w:rPr>
                <w:rFonts w:ascii="宋体" w:hAnsi="宋体" w:cs="宋体" w:eastAsia="宋体" w:hint="default"/>
                <w:spacing w:val="-84"/>
                <w:sz w:val="18"/>
                <w:szCs w:val="18"/>
              </w:rPr>
              <w:t>，</w:t>
            </w:r>
            <w:r>
              <w:rPr>
                <w:rFonts w:ascii="宋体" w:hAnsi="宋体" w:cs="宋体" w:eastAsia="宋体" w:hint="default"/>
                <w:sz w:val="18"/>
                <w:szCs w:val="18"/>
              </w:rPr>
              <w:t>将金融</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资产分类为以摊余成本计量的金融资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84"/>
                <w:sz w:val="18"/>
                <w:szCs w:val="18"/>
              </w:rPr>
              <w:t>、</w:t>
            </w:r>
            <w:r>
              <w:rPr>
                <w:rFonts w:ascii="宋体" w:hAnsi="宋体" w:cs="宋体" w:eastAsia="宋体" w:hint="default"/>
                <w:sz w:val="18"/>
                <w:szCs w:val="18"/>
              </w:rPr>
              <w:t>以公允价值计量且其变动计入其他</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97"/>
              <w:jc w:val="left"/>
              <w:rPr>
                <w:rFonts w:ascii="宋体" w:hAnsi="宋体" w:cs="宋体" w:eastAsia="宋体" w:hint="default"/>
                <w:sz w:val="18"/>
                <w:szCs w:val="18"/>
              </w:rPr>
            </w:pPr>
            <w:r>
              <w:rPr>
                <w:rFonts w:ascii="宋体" w:hAnsi="宋体" w:cs="宋体" w:eastAsia="宋体" w:hint="default"/>
                <w:sz w:val="18"/>
                <w:szCs w:val="18"/>
              </w:rPr>
              <w:t>综合收益的金融资产以及以公允价值 计量且其变动计入当期损益的金融资</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产三类</w:t>
            </w:r>
            <w:r>
              <w:rPr>
                <w:rFonts w:ascii="宋体" w:hAnsi="宋体" w:cs="宋体" w:eastAsia="宋体" w:hint="default"/>
                <w:spacing w:val="-89"/>
                <w:sz w:val="18"/>
                <w:szCs w:val="18"/>
              </w:rPr>
              <w:t>）</w:t>
            </w:r>
            <w:r>
              <w:rPr>
                <w:rFonts w:ascii="宋体" w:hAnsi="宋体" w:cs="宋体" w:eastAsia="宋体" w:hint="default"/>
                <w:spacing w:val="-44"/>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44"/>
                <w:sz w:val="18"/>
                <w:szCs w:val="18"/>
              </w:rPr>
              <w:t>）</w:t>
            </w:r>
            <w:r>
              <w:rPr>
                <w:rFonts w:ascii="宋体" w:hAnsi="宋体" w:cs="宋体" w:eastAsia="宋体" w:hint="default"/>
                <w:sz w:val="18"/>
                <w:szCs w:val="18"/>
              </w:rPr>
              <w:t>将金融资产减值会计处理</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6"/>
                <w:sz w:val="18"/>
                <w:szCs w:val="18"/>
              </w:rPr>
              <w:t>由“已发生损失法”修改为“预期损失</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89"/>
                <w:sz w:val="18"/>
                <w:szCs w:val="18"/>
              </w:rPr>
              <w:t>”</w:t>
            </w:r>
            <w:r>
              <w:rPr>
                <w:rFonts w:ascii="宋体" w:hAnsi="宋体" w:cs="宋体" w:eastAsia="宋体" w:hint="default"/>
                <w:sz w:val="18"/>
                <w:szCs w:val="18"/>
              </w:rPr>
              <w:t>，要求考虑金融资产未来预期信用</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损失情况，从而更加及时、足额地计提</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金融资产减值准备</w:t>
            </w:r>
            <w:r>
              <w:rPr>
                <w:rFonts w:ascii="宋体" w:hAnsi="宋体" w:cs="宋体" w:eastAsia="宋体" w:hint="default"/>
                <w:spacing w:val="-84"/>
                <w:sz w:val="18"/>
                <w:szCs w:val="18"/>
              </w:rPr>
              <w:t>，</w:t>
            </w:r>
            <w:r>
              <w:rPr>
                <w:rFonts w:ascii="宋体" w:hAnsi="宋体" w:cs="宋体" w:eastAsia="宋体" w:hint="default"/>
                <w:sz w:val="18"/>
                <w:szCs w:val="18"/>
              </w:rPr>
              <w:t>揭示和防控金融资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产信用风险；</w:t>
            </w:r>
            <w:r>
              <w:rPr>
                <w:rFonts w:ascii="Times New Roman" w:hAnsi="Times New Roman" w:cs="Times New Roman" w:eastAsia="Times New Roman" w:hint="default"/>
                <w:sz w:val="18"/>
                <w:szCs w:val="18"/>
              </w:rPr>
              <w:t>3</w:t>
            </w:r>
            <w:r>
              <w:rPr>
                <w:rFonts w:ascii="宋体" w:hAnsi="宋体" w:cs="宋体" w:eastAsia="宋体" w:hint="default"/>
                <w:sz w:val="18"/>
                <w:szCs w:val="18"/>
              </w:rPr>
              <w:t>）调整非交易性权益工</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具投资的会计处理</w:t>
            </w:r>
            <w:r>
              <w:rPr>
                <w:rFonts w:ascii="宋体" w:hAnsi="宋体" w:cs="宋体" w:eastAsia="宋体" w:hint="default"/>
                <w:spacing w:val="-84"/>
                <w:sz w:val="18"/>
                <w:szCs w:val="18"/>
              </w:rPr>
              <w:t>，</w:t>
            </w:r>
            <w:r>
              <w:rPr>
                <w:rFonts w:ascii="宋体" w:hAnsi="宋体" w:cs="宋体" w:eastAsia="宋体" w:hint="default"/>
                <w:sz w:val="18"/>
                <w:szCs w:val="18"/>
              </w:rPr>
              <w:t>允许企业将非交易</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性权益工具投资指定为以公允价值计</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量且其变动计入其他综合收益进行处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理，但该指定不可撤销，且在处置时不</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得将原计入其他综合收益的累计公允</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价值变动额结转计入当期损益；</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日起执行财</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年修订的《企业会计准则第</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号——非货币性资产交换》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新明确了非货币性资产交换的概念和</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应适用其他准则的情形</w:t>
            </w:r>
            <w:r>
              <w:rPr>
                <w:rFonts w:ascii="宋体" w:hAnsi="宋体" w:cs="宋体" w:eastAsia="宋体" w:hint="default"/>
                <w:spacing w:val="-84"/>
                <w:sz w:val="18"/>
                <w:szCs w:val="18"/>
              </w:rPr>
              <w:t>，</w:t>
            </w:r>
            <w:r>
              <w:rPr>
                <w:rFonts w:ascii="宋体" w:hAnsi="宋体" w:cs="宋体" w:eastAsia="宋体" w:hint="default"/>
                <w:sz w:val="18"/>
                <w:szCs w:val="18"/>
              </w:rPr>
              <w:t>明确了货币性</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资产是指企业持有的货币资金和收取</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固定或可确定金额的货币资金的权利；</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）明确了非货币性资产交换的确认时</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5"/>
                <w:sz w:val="18"/>
                <w:szCs w:val="18"/>
              </w:rPr>
              <w:t>点。对于换入资产，企业应当在换入资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产符合资产定义并满足资产确认条件</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时予以确认；对于换出资产，企业应当</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1" w:right="106"/>
              <w:jc w:val="left"/>
              <w:rPr>
                <w:rFonts w:ascii="宋体" w:hAnsi="宋体" w:cs="宋体" w:eastAsia="宋体" w:hint="default"/>
                <w:sz w:val="18"/>
                <w:szCs w:val="18"/>
              </w:rPr>
            </w:pPr>
            <w:r>
              <w:rPr>
                <w:rFonts w:ascii="宋体" w:hAnsi="宋体" w:cs="宋体" w:eastAsia="宋体" w:hint="default"/>
                <w:sz w:val="18"/>
                <w:szCs w:val="18"/>
              </w:rPr>
              <w:t>在换出资产满足资产终止确认条件时 终止确认；</w:t>
            </w:r>
            <w:r>
              <w:rPr>
                <w:rFonts w:ascii="Times New Roman" w:hAnsi="Times New Roman" w:cs="Times New Roman" w:eastAsia="Times New Roman" w:hint="default"/>
                <w:sz w:val="18"/>
                <w:szCs w:val="18"/>
              </w:rPr>
              <w:t>3</w:t>
            </w:r>
            <w:r>
              <w:rPr>
                <w:rFonts w:ascii="宋体" w:hAnsi="宋体" w:cs="宋体" w:eastAsia="宋体" w:hint="default"/>
                <w:sz w:val="18"/>
                <w:szCs w:val="18"/>
              </w:rPr>
              <w:t>）明确了不同条件下非货 币交换的价值计量基础和核算方法</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日起执行财</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年修订的《企业会计准则第</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号——债务重组》</w:t>
            </w:r>
            <w:r>
              <w:rPr>
                <w:rFonts w:ascii="宋体" w:hAnsi="宋体" w:cs="宋体" w:eastAsia="宋体" w:hint="default"/>
                <w:spacing w:val="53"/>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）在债务重组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5"/>
                <w:sz w:val="18"/>
                <w:szCs w:val="18"/>
              </w:rPr>
              <w:t>定义方面，强调重新达成协议，不再强</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调债务人发生财务困难</w:t>
            </w:r>
            <w:r>
              <w:rPr>
                <w:rFonts w:ascii="宋体" w:hAnsi="宋体" w:cs="宋体" w:eastAsia="宋体" w:hint="default"/>
                <w:spacing w:val="-84"/>
                <w:sz w:val="18"/>
                <w:szCs w:val="18"/>
              </w:rPr>
              <w:t>、</w:t>
            </w:r>
            <w:r>
              <w:rPr>
                <w:rFonts w:ascii="宋体" w:hAnsi="宋体" w:cs="宋体" w:eastAsia="宋体" w:hint="default"/>
                <w:sz w:val="18"/>
                <w:szCs w:val="18"/>
              </w:rPr>
              <w:t>债权人作出让</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5"/>
                <w:sz w:val="18"/>
                <w:szCs w:val="18"/>
              </w:rPr>
              <w:t>步，将重组债权和债务指定为《企业会</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1" w:right="106"/>
              <w:jc w:val="left"/>
              <w:rPr>
                <w:rFonts w:ascii="宋体" w:hAnsi="宋体" w:cs="宋体" w:eastAsia="宋体" w:hint="default"/>
                <w:sz w:val="18"/>
                <w:szCs w:val="18"/>
              </w:rPr>
            </w:pP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号—金融工具确认和计 量》规范的金融工具范畴；</w:t>
            </w:r>
            <w:r>
              <w:rPr>
                <w:rFonts w:ascii="Times New Roman" w:hAnsi="Times New Roman" w:cs="Times New Roman" w:eastAsia="Times New Roman" w:hint="default"/>
                <w:sz w:val="18"/>
                <w:szCs w:val="18"/>
              </w:rPr>
              <w:t>2</w:t>
            </w:r>
            <w:r>
              <w:rPr>
                <w:rFonts w:ascii="宋体" w:hAnsi="宋体" w:cs="宋体" w:eastAsia="宋体" w:hint="default"/>
                <w:sz w:val="18"/>
                <w:szCs w:val="18"/>
              </w:rPr>
              <w:t>）对以非</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现金资产清偿债务方式进行债务重组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84"/>
                <w:sz w:val="18"/>
                <w:szCs w:val="18"/>
              </w:rPr>
              <w:t>，</w:t>
            </w:r>
            <w:r>
              <w:rPr>
                <w:rFonts w:ascii="宋体" w:hAnsi="宋体" w:cs="宋体" w:eastAsia="宋体" w:hint="default"/>
                <w:sz w:val="18"/>
                <w:szCs w:val="18"/>
              </w:rPr>
              <w:t>明确了债权人初始确认受让的金融</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资产以外的资产时的成本计量原则</w:t>
            </w:r>
            <w:r>
              <w:rPr>
                <w:rFonts w:ascii="宋体" w:hAnsi="宋体" w:cs="宋体" w:eastAsia="宋体" w:hint="default"/>
                <w:spacing w:val="-84"/>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明确了债权人放弃债权采用公允价值</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计量等；</w:t>
            </w:r>
            <w:r>
              <w:rPr>
                <w:rFonts w:ascii="Times New Roman" w:hAnsi="Times New Roman" w:cs="Times New Roman" w:eastAsia="Times New Roman" w:hint="default"/>
                <w:sz w:val="18"/>
                <w:szCs w:val="18"/>
              </w:rPr>
              <w:t>4</w:t>
            </w:r>
            <w:r>
              <w:rPr>
                <w:rFonts w:ascii="宋体" w:hAnsi="宋体" w:cs="宋体" w:eastAsia="宋体" w:hint="default"/>
                <w:sz w:val="18"/>
                <w:szCs w:val="18"/>
              </w:rPr>
              <w:t>）重新规定了债权人、债务</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人的会计处理及信息披露要求。</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bl>
    <w:p>
      <w:pPr>
        <w:pStyle w:val="Heading5"/>
        <w:spacing w:line="260" w:lineRule="exact"/>
        <w:ind w:left="535" w:right="2127"/>
        <w:jc w:val="left"/>
        <w:rPr>
          <w:b w:val="0"/>
          <w:bCs w:val="0"/>
        </w:rPr>
      </w:pPr>
      <w:r>
        <w:rPr/>
        <w:t>1）执行新金融工具准则对本公司的影响</w:t>
      </w:r>
      <w:r>
        <w:rPr>
          <w:b w:val="0"/>
          <w:bCs w:val="0"/>
        </w:rPr>
      </w:r>
    </w:p>
    <w:p>
      <w:pPr>
        <w:pStyle w:val="BodyText"/>
        <w:spacing w:line="273" w:lineRule="auto" w:before="37"/>
        <w:ind w:right="1132" w:firstLine="420"/>
        <w:jc w:val="both"/>
      </w:pPr>
      <w:r>
        <w:rPr>
          <w:spacing w:val="2"/>
          <w:w w:val="99"/>
        </w:rPr>
        <w:t>本</w:t>
      </w:r>
      <w:r>
        <w:rPr>
          <w:spacing w:val="-1"/>
          <w:w w:val="99"/>
        </w:rPr>
        <w:t>公</w:t>
      </w:r>
      <w:r>
        <w:rPr>
          <w:spacing w:val="2"/>
          <w:w w:val="99"/>
        </w:rPr>
        <w:t>司</w:t>
      </w:r>
      <w:r>
        <w:rPr>
          <w:spacing w:val="-1"/>
          <w:w w:val="99"/>
        </w:rPr>
        <w:t>自</w:t>
      </w:r>
      <w:r>
        <w:rPr>
          <w:spacing w:val="1"/>
          <w:w w:val="99"/>
        </w:rPr>
        <w:t>201</w:t>
      </w:r>
      <w:r>
        <w:rPr>
          <w:spacing w:val="-2"/>
          <w:w w:val="99"/>
        </w:rPr>
        <w:t>9</w:t>
      </w:r>
      <w:r>
        <w:rPr>
          <w:spacing w:val="2"/>
          <w:w w:val="99"/>
        </w:rPr>
        <w:t>年</w:t>
      </w:r>
      <w:r>
        <w:rPr>
          <w:spacing w:val="1"/>
          <w:w w:val="99"/>
        </w:rPr>
        <w:t>1</w:t>
      </w:r>
      <w:r>
        <w:rPr>
          <w:spacing w:val="-1"/>
          <w:w w:val="99"/>
        </w:rPr>
        <w:t>月</w:t>
      </w:r>
      <w:r>
        <w:rPr>
          <w:spacing w:val="1"/>
          <w:w w:val="99"/>
        </w:rPr>
        <w:t>1</w:t>
      </w:r>
      <w:r>
        <w:rPr>
          <w:spacing w:val="2"/>
          <w:w w:val="99"/>
        </w:rPr>
        <w:t>日</w:t>
      </w:r>
      <w:r>
        <w:rPr>
          <w:spacing w:val="-1"/>
          <w:w w:val="99"/>
        </w:rPr>
        <w:t>起</w:t>
      </w:r>
      <w:r>
        <w:rPr>
          <w:spacing w:val="2"/>
          <w:w w:val="99"/>
        </w:rPr>
        <w:t>执</w:t>
      </w:r>
      <w:r>
        <w:rPr>
          <w:spacing w:val="-1"/>
          <w:w w:val="99"/>
        </w:rPr>
        <w:t>行</w:t>
      </w:r>
      <w:r>
        <w:rPr>
          <w:spacing w:val="2"/>
          <w:w w:val="99"/>
        </w:rPr>
        <w:t>财</w:t>
      </w:r>
      <w:r>
        <w:rPr>
          <w:spacing w:val="-1"/>
          <w:w w:val="99"/>
        </w:rPr>
        <w:t>政部</w:t>
      </w:r>
      <w:r>
        <w:rPr>
          <w:spacing w:val="1"/>
          <w:w w:val="99"/>
        </w:rPr>
        <w:t>201</w:t>
      </w:r>
      <w:r>
        <w:rPr>
          <w:spacing w:val="-2"/>
          <w:w w:val="99"/>
        </w:rPr>
        <w:t>7</w:t>
      </w:r>
      <w:r>
        <w:rPr>
          <w:spacing w:val="2"/>
          <w:w w:val="99"/>
        </w:rPr>
        <w:t>年</w:t>
      </w:r>
      <w:r>
        <w:rPr>
          <w:spacing w:val="-1"/>
          <w:w w:val="99"/>
        </w:rPr>
        <w:t>修</w:t>
      </w:r>
      <w:r>
        <w:rPr>
          <w:spacing w:val="2"/>
          <w:w w:val="99"/>
        </w:rPr>
        <w:t>订</w:t>
      </w:r>
      <w:r>
        <w:rPr>
          <w:spacing w:val="-63"/>
          <w:w w:val="99"/>
        </w:rPr>
        <w:t>的</w:t>
      </w:r>
      <w:r>
        <w:rPr>
          <w:spacing w:val="2"/>
          <w:w w:val="99"/>
        </w:rPr>
        <w:t>《企</w:t>
      </w:r>
      <w:r>
        <w:rPr>
          <w:spacing w:val="-1"/>
          <w:w w:val="99"/>
        </w:rPr>
        <w:t>业</w:t>
      </w:r>
      <w:r>
        <w:rPr>
          <w:spacing w:val="2"/>
          <w:w w:val="99"/>
        </w:rPr>
        <w:t>会</w:t>
      </w:r>
      <w:r>
        <w:rPr>
          <w:spacing w:val="-1"/>
          <w:w w:val="99"/>
        </w:rPr>
        <w:t>计</w:t>
      </w:r>
      <w:r>
        <w:rPr>
          <w:spacing w:val="2"/>
          <w:w w:val="99"/>
        </w:rPr>
        <w:t>准</w:t>
      </w:r>
      <w:r>
        <w:rPr>
          <w:spacing w:val="-1"/>
          <w:w w:val="99"/>
        </w:rPr>
        <w:t>则第</w:t>
      </w:r>
      <w:r>
        <w:rPr>
          <w:spacing w:val="1"/>
          <w:w w:val="99"/>
        </w:rPr>
        <w:t>22</w:t>
      </w:r>
      <w:r>
        <w:rPr>
          <w:spacing w:val="-1"/>
          <w:w w:val="99"/>
        </w:rPr>
        <w:t>号</w:t>
      </w:r>
      <w:r>
        <w:rPr>
          <w:spacing w:val="1"/>
          <w:w w:val="99"/>
        </w:rPr>
        <w:t>-</w:t>
      </w:r>
      <w:r>
        <w:rPr>
          <w:spacing w:val="2"/>
          <w:w w:val="99"/>
        </w:rPr>
        <w:t>金</w:t>
      </w:r>
      <w:r>
        <w:rPr>
          <w:spacing w:val="-1"/>
          <w:w w:val="99"/>
        </w:rPr>
        <w:t>融</w:t>
      </w:r>
      <w:r>
        <w:rPr>
          <w:spacing w:val="2"/>
          <w:w w:val="99"/>
        </w:rPr>
        <w:t>工</w:t>
      </w:r>
      <w:r>
        <w:rPr>
          <w:spacing w:val="-1"/>
          <w:w w:val="99"/>
        </w:rPr>
        <w:t>具</w:t>
      </w:r>
      <w:r>
        <w:rPr>
          <w:spacing w:val="2"/>
          <w:w w:val="99"/>
        </w:rPr>
        <w:t>确</w:t>
      </w:r>
      <w:r>
        <w:rPr>
          <w:spacing w:val="-1"/>
          <w:w w:val="99"/>
        </w:rPr>
        <w:t>认</w:t>
      </w:r>
      <w:r>
        <w:rPr>
          <w:spacing w:val="2"/>
          <w:w w:val="99"/>
        </w:rPr>
        <w:t>和</w:t>
      </w:r>
      <w:r>
        <w:rPr>
          <w:spacing w:val="-1"/>
          <w:w w:val="99"/>
        </w:rPr>
        <w:t>计量</w:t>
      </w:r>
      <w:r>
        <w:rPr>
          <w:spacing w:val="-104"/>
          <w:w w:val="99"/>
        </w:rPr>
        <w:t>》</w:t>
      </w:r>
      <w:r>
        <w:rPr>
          <w:spacing w:val="-166"/>
          <w:w w:val="99"/>
        </w:rPr>
        <w:t>、</w:t>
      </w:r>
      <w:r>
        <w:rPr>
          <w:spacing w:val="-1"/>
          <w:w w:val="99"/>
        </w:rPr>
        <w:t>《</w:t>
      </w:r>
      <w:r>
        <w:rPr>
          <w:w w:val="99"/>
        </w:rPr>
        <w:t>企</w:t>
      </w:r>
      <w:r>
        <w:rPr>
          <w:w w:val="99"/>
        </w:rPr>
        <w:t> </w:t>
      </w:r>
      <w:r>
        <w:rPr>
          <w:spacing w:val="2"/>
          <w:w w:val="99"/>
        </w:rPr>
        <w:t>业会</w:t>
      </w:r>
      <w:r>
        <w:rPr>
          <w:spacing w:val="4"/>
          <w:w w:val="99"/>
        </w:rPr>
        <w:t>计</w:t>
      </w:r>
      <w:r>
        <w:rPr>
          <w:spacing w:val="2"/>
          <w:w w:val="99"/>
        </w:rPr>
        <w:t>准则</w:t>
      </w:r>
      <w:r>
        <w:rPr>
          <w:spacing w:val="4"/>
          <w:w w:val="99"/>
        </w:rPr>
        <w:t>第</w:t>
      </w:r>
      <w:r>
        <w:rPr>
          <w:spacing w:val="1"/>
          <w:w w:val="99"/>
        </w:rPr>
        <w:t>23</w:t>
      </w:r>
      <w:r>
        <w:rPr>
          <w:spacing w:val="2"/>
          <w:w w:val="99"/>
        </w:rPr>
        <w:t>号</w:t>
      </w:r>
      <w:r>
        <w:rPr>
          <w:spacing w:val="1"/>
          <w:w w:val="99"/>
        </w:rPr>
        <w:t>-</w:t>
      </w:r>
      <w:r>
        <w:rPr>
          <w:spacing w:val="2"/>
          <w:w w:val="99"/>
        </w:rPr>
        <w:t>金融</w:t>
      </w:r>
      <w:r>
        <w:rPr>
          <w:spacing w:val="4"/>
          <w:w w:val="99"/>
        </w:rPr>
        <w:t>资</w:t>
      </w:r>
      <w:r>
        <w:rPr>
          <w:spacing w:val="2"/>
          <w:w w:val="99"/>
        </w:rPr>
        <w:t>产转移</w:t>
      </w:r>
      <w:r>
        <w:rPr>
          <w:spacing w:val="4"/>
          <w:w w:val="99"/>
        </w:rPr>
        <w:t>》</w:t>
      </w:r>
      <w:r>
        <w:rPr>
          <w:spacing w:val="2"/>
          <w:w w:val="99"/>
        </w:rPr>
        <w:t>和《企</w:t>
      </w:r>
      <w:r>
        <w:rPr>
          <w:spacing w:val="4"/>
          <w:w w:val="99"/>
        </w:rPr>
        <w:t>业</w:t>
      </w:r>
      <w:r>
        <w:rPr>
          <w:spacing w:val="2"/>
          <w:w w:val="99"/>
        </w:rPr>
        <w:t>会计准</w:t>
      </w:r>
      <w:r>
        <w:rPr>
          <w:spacing w:val="4"/>
          <w:w w:val="99"/>
        </w:rPr>
        <w:t>则第</w:t>
      </w:r>
      <w:r>
        <w:rPr>
          <w:spacing w:val="1"/>
          <w:w w:val="99"/>
        </w:rPr>
        <w:t>2</w:t>
      </w:r>
      <w:r>
        <w:rPr>
          <w:spacing w:val="-2"/>
          <w:w w:val="99"/>
        </w:rPr>
        <w:t>4</w:t>
      </w:r>
      <w:r>
        <w:rPr>
          <w:spacing w:val="4"/>
          <w:w w:val="99"/>
        </w:rPr>
        <w:t>号</w:t>
      </w:r>
      <w:r>
        <w:rPr>
          <w:spacing w:val="1"/>
          <w:w w:val="99"/>
        </w:rPr>
        <w:t>-</w:t>
      </w:r>
      <w:r>
        <w:rPr>
          <w:spacing w:val="2"/>
          <w:w w:val="99"/>
        </w:rPr>
        <w:t>套期</w:t>
      </w:r>
      <w:r>
        <w:rPr>
          <w:spacing w:val="4"/>
          <w:w w:val="99"/>
        </w:rPr>
        <w:t>会</w:t>
      </w:r>
      <w:r>
        <w:rPr>
          <w:spacing w:val="2"/>
          <w:w w:val="99"/>
        </w:rPr>
        <w:t>计</w:t>
      </w:r>
      <w:r>
        <w:rPr>
          <w:spacing w:val="-101"/>
          <w:w w:val="99"/>
        </w:rPr>
        <w:t>》</w:t>
      </w:r>
      <w:r>
        <w:rPr>
          <w:spacing w:val="-104"/>
          <w:w w:val="99"/>
        </w:rPr>
        <w:t>、</w:t>
      </w:r>
      <w:r>
        <w:rPr>
          <w:spacing w:val="2"/>
          <w:w w:val="99"/>
        </w:rPr>
        <w:t>《企</w:t>
      </w:r>
      <w:r>
        <w:rPr>
          <w:spacing w:val="4"/>
          <w:w w:val="99"/>
        </w:rPr>
        <w:t>业</w:t>
      </w:r>
      <w:r>
        <w:rPr>
          <w:spacing w:val="2"/>
          <w:w w:val="99"/>
        </w:rPr>
        <w:t>会计准</w:t>
      </w:r>
      <w:r>
        <w:rPr>
          <w:spacing w:val="4"/>
          <w:w w:val="99"/>
        </w:rPr>
        <w:t>则</w:t>
      </w:r>
      <w:r>
        <w:rPr>
          <w:spacing w:val="2"/>
          <w:w w:val="99"/>
        </w:rPr>
        <w:t>第</w:t>
      </w:r>
      <w:r>
        <w:rPr>
          <w:spacing w:val="1"/>
          <w:w w:val="99"/>
        </w:rPr>
        <w:t>37</w:t>
      </w:r>
      <w:r>
        <w:rPr>
          <w:spacing w:val="4"/>
          <w:w w:val="99"/>
        </w:rPr>
        <w:t>号</w:t>
      </w:r>
      <w:r>
        <w:rPr>
          <w:spacing w:val="1"/>
          <w:w w:val="99"/>
        </w:rPr>
        <w:t>-</w:t>
      </w:r>
      <w:r>
        <w:rPr>
          <w:spacing w:val="2"/>
          <w:w w:val="99"/>
        </w:rPr>
        <w:t>金融</w:t>
      </w:r>
      <w:r>
        <w:rPr>
          <w:w w:val="99"/>
        </w:rPr>
        <w:t>工</w:t>
      </w:r>
      <w:r>
        <w:rPr>
          <w:w w:val="99"/>
        </w:rPr>
        <w:t> </w:t>
      </w:r>
      <w:r>
        <w:rPr>
          <w:spacing w:val="-1"/>
          <w:w w:val="99"/>
        </w:rPr>
        <w:t>具</w:t>
      </w:r>
      <w:r>
        <w:rPr>
          <w:spacing w:val="2"/>
          <w:w w:val="99"/>
        </w:rPr>
        <w:t>列报</w:t>
      </w:r>
      <w:r>
        <w:rPr>
          <w:spacing w:val="-104"/>
          <w:w w:val="99"/>
        </w:rPr>
        <w:t>》</w:t>
      </w:r>
      <w:r>
        <w:rPr>
          <w:spacing w:val="-1"/>
          <w:w w:val="99"/>
        </w:rPr>
        <w:t>（</w:t>
      </w:r>
      <w:r>
        <w:rPr>
          <w:spacing w:val="2"/>
          <w:w w:val="99"/>
        </w:rPr>
        <w:t>以</w:t>
      </w:r>
      <w:r>
        <w:rPr>
          <w:spacing w:val="-1"/>
          <w:w w:val="99"/>
        </w:rPr>
        <w:t>上</w:t>
      </w:r>
      <w:r>
        <w:rPr>
          <w:spacing w:val="2"/>
          <w:w w:val="99"/>
        </w:rPr>
        <w:t>四</w:t>
      </w:r>
      <w:r>
        <w:rPr>
          <w:spacing w:val="-1"/>
          <w:w w:val="99"/>
        </w:rPr>
        <w:t>项</w:t>
      </w:r>
      <w:r>
        <w:rPr>
          <w:spacing w:val="2"/>
          <w:w w:val="99"/>
        </w:rPr>
        <w:t>统</w:t>
      </w:r>
      <w:r>
        <w:rPr>
          <w:spacing w:val="-1"/>
          <w:w w:val="99"/>
        </w:rPr>
        <w:t>称</w:t>
      </w:r>
      <w:r>
        <w:rPr>
          <w:spacing w:val="1"/>
          <w:w w:val="99"/>
        </w:rPr>
        <w:t>&lt;</w:t>
      </w:r>
      <w:r>
        <w:rPr>
          <w:spacing w:val="-1"/>
          <w:w w:val="99"/>
        </w:rPr>
        <w:t>新</w:t>
      </w:r>
      <w:r>
        <w:rPr>
          <w:spacing w:val="2"/>
          <w:w w:val="99"/>
        </w:rPr>
        <w:t>金</w:t>
      </w:r>
      <w:r>
        <w:rPr>
          <w:spacing w:val="-1"/>
          <w:w w:val="99"/>
        </w:rPr>
        <w:t>融</w:t>
      </w:r>
      <w:r>
        <w:rPr>
          <w:spacing w:val="2"/>
          <w:w w:val="99"/>
        </w:rPr>
        <w:t>工</w:t>
      </w:r>
      <w:r>
        <w:rPr>
          <w:spacing w:val="-1"/>
          <w:w w:val="99"/>
        </w:rPr>
        <w:t>具</w:t>
      </w:r>
      <w:r>
        <w:rPr>
          <w:spacing w:val="2"/>
          <w:w w:val="99"/>
        </w:rPr>
        <w:t>准</w:t>
      </w:r>
      <w:r>
        <w:rPr>
          <w:spacing w:val="-1"/>
          <w:w w:val="99"/>
        </w:rPr>
        <w:t>则</w:t>
      </w:r>
      <w:r>
        <w:rPr>
          <w:spacing w:val="1"/>
          <w:w w:val="99"/>
        </w:rPr>
        <w:t>&gt;</w:t>
      </w:r>
      <w:r>
        <w:rPr>
          <w:spacing w:val="-104"/>
          <w:w w:val="99"/>
        </w:rPr>
        <w:t>）</w:t>
      </w:r>
      <w:r>
        <w:rPr>
          <w:spacing w:val="-1"/>
          <w:w w:val="99"/>
        </w:rPr>
        <w:t>，</w:t>
      </w:r>
      <w:r>
        <w:rPr>
          <w:spacing w:val="2"/>
          <w:w w:val="99"/>
        </w:rPr>
        <w:t>变</w:t>
      </w:r>
      <w:r>
        <w:rPr>
          <w:spacing w:val="-1"/>
          <w:w w:val="99"/>
        </w:rPr>
        <w:t>更</w:t>
      </w:r>
      <w:r>
        <w:rPr>
          <w:spacing w:val="2"/>
          <w:w w:val="99"/>
        </w:rPr>
        <w:t>后</w:t>
      </w:r>
      <w:r>
        <w:rPr>
          <w:spacing w:val="-1"/>
          <w:w w:val="99"/>
        </w:rPr>
        <w:t>的</w:t>
      </w:r>
      <w:r>
        <w:rPr>
          <w:spacing w:val="2"/>
          <w:w w:val="99"/>
        </w:rPr>
        <w:t>会</w:t>
      </w:r>
      <w:r>
        <w:rPr>
          <w:spacing w:val="-1"/>
          <w:w w:val="99"/>
        </w:rPr>
        <w:t>计</w:t>
      </w:r>
      <w:r>
        <w:rPr>
          <w:spacing w:val="2"/>
          <w:w w:val="99"/>
        </w:rPr>
        <w:t>政</w:t>
      </w:r>
      <w:r>
        <w:rPr>
          <w:spacing w:val="-1"/>
          <w:w w:val="99"/>
        </w:rPr>
        <w:t>策</w:t>
      </w:r>
      <w:r>
        <w:rPr>
          <w:spacing w:val="2"/>
          <w:w w:val="99"/>
        </w:rPr>
        <w:t>详</w:t>
      </w:r>
      <w:r>
        <w:rPr>
          <w:spacing w:val="-1"/>
          <w:w w:val="99"/>
        </w:rPr>
        <w:t>见</w:t>
      </w:r>
      <w:r>
        <w:rPr>
          <w:spacing w:val="2"/>
          <w:w w:val="99"/>
        </w:rPr>
        <w:t>附</w:t>
      </w:r>
      <w:r>
        <w:rPr>
          <w:spacing w:val="-1"/>
          <w:w w:val="99"/>
        </w:rPr>
        <w:t>注</w:t>
      </w:r>
      <w:r>
        <w:rPr>
          <w:spacing w:val="2"/>
          <w:w w:val="99"/>
        </w:rPr>
        <w:t>五</w:t>
      </w:r>
      <w:r>
        <w:rPr>
          <w:w w:val="99"/>
        </w:rPr>
        <w:t>。</w:t>
      </w:r>
      <w:r>
        <w:rPr/>
      </w:r>
    </w:p>
    <w:p>
      <w:pPr>
        <w:pStyle w:val="BodyText"/>
        <w:spacing w:line="273" w:lineRule="auto"/>
        <w:ind w:right="1132" w:firstLine="420"/>
        <w:jc w:val="both"/>
      </w:pPr>
      <w:r>
        <w:rPr>
          <w:w w:val="95"/>
        </w:rPr>
        <w:t>本公司于2019年1月1日之前的金融工具确认和计量与新金融工具准则要求不一致的，本公司按照新金</w:t>
      </w:r>
      <w:r>
        <w:rPr>
          <w:w w:val="99"/>
        </w:rPr>
        <w:t> </w:t>
      </w:r>
      <w:r>
        <w:rPr>
          <w:w w:val="95"/>
        </w:rPr>
        <w:t>融工具准则的要求进行衔接调整。涉及前期比较财务报表数据与新金融工具准则要求不一致的，本公司未</w:t>
      </w:r>
      <w:r>
        <w:rPr>
          <w:spacing w:val="37"/>
          <w:w w:val="95"/>
        </w:rPr>
        <w:t> </w:t>
      </w:r>
      <w:r>
        <w:rPr>
          <w:spacing w:val="37"/>
          <w:w w:val="95"/>
        </w:rPr>
      </w:r>
      <w:r>
        <w:rPr>
          <w:w w:val="95"/>
        </w:rPr>
        <w:t>调整可比期间信息。金融工具原账面价值和新金融工具准则施行日的新账面价值之间的差额，计入2019年</w:t>
      </w:r>
      <w:r>
        <w:rPr>
          <w:spacing w:val="40"/>
          <w:w w:val="95"/>
        </w:rPr>
        <w:t> </w:t>
      </w:r>
      <w:r>
        <w:rPr>
          <w:spacing w:val="40"/>
          <w:w w:val="95"/>
        </w:rPr>
      </w:r>
      <w:r>
        <w:rPr/>
        <w:t>1月1日留存收益或其他综合收益。</w:t>
      </w:r>
    </w:p>
    <w:p>
      <w:pPr>
        <w:pStyle w:val="BodyText"/>
        <w:spacing w:line="240" w:lineRule="auto"/>
        <w:ind w:left="532" w:right="2127"/>
        <w:jc w:val="left"/>
      </w:pPr>
      <w:r>
        <w:rPr/>
        <w:t>执行新金融工具准则对本期期初资产负债表相关项目的影响列示如下：单位：元</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906"/>
        <w:gridCol w:w="1778"/>
        <w:gridCol w:w="1957"/>
        <w:gridCol w:w="1692"/>
      </w:tblGrid>
      <w:tr>
        <w:trPr>
          <w:trHeight w:val="666" w:hRule="exact"/>
        </w:trPr>
        <w:tc>
          <w:tcPr>
            <w:tcW w:w="2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2018年12月31日</w:t>
            </w:r>
          </w:p>
        </w:tc>
        <w:tc>
          <w:tcPr>
            <w:tcW w:w="195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2"/>
              <w:ind w:left="520" w:right="1" w:hanging="519"/>
              <w:jc w:val="left"/>
              <w:rPr>
                <w:rFonts w:ascii="宋体" w:hAnsi="宋体" w:cs="宋体" w:eastAsia="宋体" w:hint="default"/>
                <w:sz w:val="18"/>
                <w:szCs w:val="18"/>
              </w:rPr>
            </w:pPr>
            <w:r>
              <w:rPr>
                <w:rFonts w:ascii="宋体" w:hAnsi="宋体" w:cs="宋体" w:eastAsia="宋体" w:hint="default"/>
                <w:spacing w:val="-4"/>
                <w:sz w:val="18"/>
                <w:szCs w:val="18"/>
              </w:rPr>
              <w:t>累积影响金额（分类和计</w:t>
            </w:r>
            <w:r>
              <w:rPr>
                <w:rFonts w:ascii="宋体" w:hAnsi="宋体" w:cs="宋体" w:eastAsia="宋体" w:hint="default"/>
                <w:sz w:val="18"/>
                <w:szCs w:val="18"/>
              </w:rPr>
              <w:t> 量的影响）</w:t>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298" w:right="0"/>
              <w:jc w:val="left"/>
              <w:rPr>
                <w:rFonts w:ascii="宋体" w:hAnsi="宋体" w:cs="宋体" w:eastAsia="宋体" w:hint="default"/>
                <w:sz w:val="18"/>
                <w:szCs w:val="18"/>
              </w:rPr>
            </w:pPr>
            <w:r>
              <w:rPr>
                <w:rFonts w:ascii="宋体" w:hAnsi="宋体" w:cs="宋体" w:eastAsia="宋体" w:hint="default"/>
                <w:sz w:val="18"/>
                <w:szCs w:val="18"/>
              </w:rPr>
              <w:t>2019年1月1日</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33,026,210.66</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r>
              <w:rPr>
                <w:rFonts w:ascii="宋体"/>
                <w:spacing w:val="-6"/>
                <w:sz w:val="18"/>
              </w:rPr>
              <w:t> </w:t>
            </w:r>
            <w:r>
              <w:rPr>
                <w:rFonts w:ascii="宋体"/>
                <w:sz w:val="18"/>
              </w:rPr>
              <w:t>31,086,210.66</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1,940,000.00</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应收款项融资（注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78" w:type="dxa"/>
            <w:tcBorders>
              <w:top w:val="single" w:sz="12" w:space="0" w:color="000000"/>
              <w:left w:val="single" w:sz="6" w:space="0" w:color="000000"/>
              <w:bottom w:val="single" w:sz="12" w:space="0" w:color="000000"/>
              <w:right w:val="single" w:sz="6" w:space="0" w:color="000000"/>
            </w:tcBorders>
          </w:tcPr>
          <w:p>
            <w:pP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31,086,210.66</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31,086,210.66</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87,707,125.96</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-880,947.95</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86,826,178.01</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货币资金（注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885,857,429.84</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880,947.95</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886,738,377.79</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4,862,149.17</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-4,862,149.17</w:t>
            </w:r>
          </w:p>
        </w:tc>
        <w:tc>
          <w:tcPr>
            <w:tcW w:w="169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78" w:type="dxa"/>
            <w:tcBorders>
              <w:top w:val="single" w:sz="12" w:space="0" w:color="000000"/>
              <w:left w:val="single" w:sz="6" w:space="0" w:color="000000"/>
              <w:bottom w:val="single" w:sz="12" w:space="0" w:color="000000"/>
              <w:right w:val="single" w:sz="6" w:space="0" w:color="000000"/>
            </w:tcBorders>
          </w:tcPr>
          <w:p>
            <w:pP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4,862,149.17</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4,862,149.17</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083"/>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1,011,452,915.63</w:t>
            </w:r>
          </w:p>
        </w:tc>
        <w:tc>
          <w:tcPr>
            <w:tcW w:w="1957" w:type="dxa"/>
            <w:tcBorders>
              <w:top w:val="single" w:sz="12" w:space="0" w:color="000000"/>
              <w:left w:val="single" w:sz="6" w:space="0" w:color="000000"/>
              <w:bottom w:val="single" w:sz="12" w:space="0" w:color="000000"/>
              <w:right w:val="single" w:sz="6" w:space="0" w:color="000000"/>
            </w:tcBorders>
          </w:tcPr>
          <w:p>
            <w:pP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1,011,452,915.63</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短期借款（注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27,000,000.00</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24,508.33</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27,024,508.33</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48,394,404.88</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-24,508.33</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48,369,896.55</w:t>
            </w:r>
          </w:p>
        </w:tc>
      </w:tr>
      <w:tr>
        <w:trPr>
          <w:trHeight w:val="362" w:hRule="exact"/>
        </w:trPr>
        <w:tc>
          <w:tcPr>
            <w:tcW w:w="2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083"/>
              <w:jc w:val="right"/>
              <w:rPr>
                <w:rFonts w:ascii="宋体" w:hAnsi="宋体" w:cs="宋体" w:eastAsia="宋体" w:hint="default"/>
                <w:sz w:val="18"/>
                <w:szCs w:val="18"/>
              </w:rPr>
            </w:pPr>
            <w:r>
              <w:rPr>
                <w:rFonts w:ascii="宋体" w:hAnsi="宋体" w:cs="宋体" w:eastAsia="宋体" w:hint="default"/>
                <w:sz w:val="18"/>
                <w:szCs w:val="18"/>
              </w:rPr>
              <w:t>负债合计</w:t>
            </w:r>
          </w:p>
        </w:tc>
        <w:tc>
          <w:tcPr>
            <w:tcW w:w="17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75,394,404.88</w:t>
            </w:r>
          </w:p>
        </w:tc>
        <w:tc>
          <w:tcPr>
            <w:tcW w:w="1957" w:type="dxa"/>
            <w:tcBorders>
              <w:top w:val="single" w:sz="12" w:space="0" w:color="000000"/>
              <w:left w:val="single" w:sz="6" w:space="0" w:color="000000"/>
              <w:bottom w:val="single" w:sz="12" w:space="0" w:color="000000"/>
              <w:right w:val="single" w:sz="6" w:space="0" w:color="000000"/>
            </w:tcBorders>
          </w:tcPr>
          <w:p>
            <w:pP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75,394,404.88</w:t>
            </w:r>
          </w:p>
        </w:tc>
      </w:tr>
    </w:tbl>
    <w:p>
      <w:pPr>
        <w:spacing w:line="240" w:lineRule="auto" w:before="3"/>
        <w:rPr>
          <w:rFonts w:ascii="宋体" w:hAnsi="宋体" w:cs="宋体" w:eastAsia="宋体" w:hint="default"/>
          <w:sz w:val="20"/>
          <w:szCs w:val="20"/>
        </w:rPr>
      </w:pPr>
    </w:p>
    <w:p>
      <w:pPr>
        <w:pStyle w:val="BodyText"/>
        <w:spacing w:line="273" w:lineRule="auto" w:before="34"/>
        <w:ind w:right="1131" w:firstLine="420"/>
        <w:jc w:val="both"/>
      </w:pPr>
      <w:r>
        <w:rPr>
          <w:spacing w:val="13"/>
        </w:rPr>
        <w:t>注1：执行本准则对首次执行日财务报表相关项目重分类情况说明:于2019年1月1日，账面价值</w:t>
      </w:r>
      <w:r>
        <w:rPr>
          <w:w w:val="99"/>
        </w:rPr>
        <w:t> </w:t>
      </w:r>
      <w:r>
        <w:rPr>
          <w:spacing w:val="2"/>
          <w:w w:val="95"/>
        </w:rPr>
        <w:t>31,086,210.66元的以前年度被分类为摊余成本计量的应收票据，本公司管理该金额资产的业务模式是收</w:t>
      </w:r>
      <w:r>
        <w:rPr>
          <w:spacing w:val="34"/>
          <w:w w:val="95"/>
        </w:rPr>
        <w:t> </w:t>
      </w:r>
      <w:r>
        <w:rPr>
          <w:spacing w:val="34"/>
          <w:w w:val="95"/>
        </w:rPr>
      </w:r>
      <w:r>
        <w:rPr>
          <w:spacing w:val="2"/>
          <w:w w:val="95"/>
        </w:rPr>
        <w:t>取合同现金流量和出售两者兼有，应分类为“以公允价值计量且其变动计入其他综合收益的金融资产”,</w:t>
      </w:r>
      <w:r>
        <w:rPr>
          <w:spacing w:val="2"/>
        </w:rPr>
      </w:r>
    </w:p>
    <w:p>
      <w:pPr>
        <w:spacing w:after="0" w:line="273" w:lineRule="auto"/>
        <w:jc w:val="both"/>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left="532" w:right="0" w:hanging="420"/>
        <w:jc w:val="left"/>
      </w:pPr>
      <w:r>
        <w:rPr/>
        <w:t>因此该部分金额从应收票据重分类至应收款项融资。</w:t>
      </w:r>
      <w:r>
        <w:rPr>
          <w:w w:val="99"/>
        </w:rPr>
        <w:t> </w:t>
      </w:r>
      <w:r>
        <w:rPr>
          <w:spacing w:val="2"/>
          <w:w w:val="95"/>
        </w:rPr>
        <w:t>注2：将基于实际利率法计提的金融工具的利息调整至相应金融工具账面余额，调减其他应收款中应</w:t>
      </w:r>
      <w:r>
        <w:rPr>
          <w:spacing w:val="2"/>
        </w:rPr>
      </w:r>
    </w:p>
    <w:p>
      <w:pPr>
        <w:pStyle w:val="BodyText"/>
        <w:spacing w:line="273" w:lineRule="auto"/>
        <w:ind w:right="0"/>
        <w:jc w:val="left"/>
      </w:pPr>
      <w:r>
        <w:rPr>
          <w:w w:val="95"/>
        </w:rPr>
        <w:t>收利息金额880,947.95元，同时调增货币资金中未到期应收利息账面金额880,947.95元；调减其他应付款</w:t>
      </w:r>
      <w:r>
        <w:rPr>
          <w:spacing w:val="40"/>
          <w:w w:val="95"/>
        </w:rPr>
        <w:t> </w:t>
      </w:r>
      <w:r>
        <w:rPr>
          <w:spacing w:val="40"/>
          <w:w w:val="95"/>
        </w:rPr>
      </w:r>
      <w:r>
        <w:rPr/>
        <w:t>中应付利息金额24,508.33元，同时调增短期借款账面金额24,508.33元。</w:t>
      </w:r>
    </w:p>
    <w:p>
      <w:pPr>
        <w:pStyle w:val="Heading5"/>
        <w:spacing w:line="240" w:lineRule="auto" w:before="7"/>
        <w:ind w:left="535" w:right="2127"/>
        <w:jc w:val="left"/>
        <w:rPr>
          <w:b w:val="0"/>
          <w:bCs w:val="0"/>
        </w:rPr>
      </w:pPr>
      <w:r>
        <w:rPr/>
        <w:t>2）执行新债务重组及非货币性资产交换准则对本公司的影响</w:t>
      </w:r>
      <w:r>
        <w:rPr>
          <w:b w:val="0"/>
          <w:bCs w:val="0"/>
        </w:rPr>
      </w:r>
    </w:p>
    <w:p>
      <w:pPr>
        <w:pStyle w:val="BodyText"/>
        <w:spacing w:line="273" w:lineRule="auto" w:before="37"/>
        <w:ind w:right="1132" w:firstLine="420"/>
        <w:jc w:val="both"/>
      </w:pPr>
      <w:r>
        <w:rPr>
          <w:spacing w:val="3"/>
        </w:rPr>
        <w:t>本公司自2019 </w:t>
      </w:r>
      <w:r>
        <w:rPr/>
        <w:t>年6 </w:t>
      </w:r>
      <w:r>
        <w:rPr>
          <w:spacing w:val="2"/>
        </w:rPr>
        <w:t>月10 </w:t>
      </w:r>
      <w:r>
        <w:rPr>
          <w:spacing w:val="4"/>
        </w:rPr>
        <w:t>日起执行财政部2019年修订的《企业会计准则第7</w:t>
      </w:r>
      <w:r>
        <w:rPr>
          <w:spacing w:val="-5"/>
        </w:rPr>
        <w:t> </w:t>
      </w:r>
      <w:r>
        <w:rPr>
          <w:spacing w:val="5"/>
        </w:rPr>
        <w:t>号——非货币性资产交</w:t>
      </w:r>
      <w:r>
        <w:rPr>
          <w:w w:val="99"/>
        </w:rPr>
        <w:t> </w:t>
      </w:r>
      <w:r>
        <w:rPr>
          <w:spacing w:val="-14"/>
          <w:w w:val="99"/>
        </w:rPr>
        <w:t>换》，自2019</w:t>
      </w:r>
      <w:r>
        <w:rPr>
          <w:w w:val="99"/>
        </w:rPr>
        <w:t> </w:t>
      </w:r>
      <w:r>
        <w:rPr>
          <w:spacing w:val="1"/>
          <w:w w:val="99"/>
        </w:rPr>
        <w:t>年6</w:t>
      </w:r>
      <w:r>
        <w:rPr>
          <w:w w:val="99"/>
        </w:rPr>
        <w:t> </w:t>
      </w:r>
      <w:r>
        <w:rPr>
          <w:spacing w:val="1"/>
          <w:w w:val="99"/>
        </w:rPr>
        <w:t>月17</w:t>
      </w:r>
      <w:r>
        <w:rPr>
          <w:spacing w:val="16"/>
          <w:w w:val="99"/>
        </w:rPr>
        <w:t> </w:t>
      </w:r>
      <w:r>
        <w:rPr>
          <w:spacing w:val="-3"/>
          <w:w w:val="99"/>
        </w:rPr>
        <w:t>日起执行财政部2019年修订的《企业会计准则第12号——债务重组》。该项会计政</w:t>
      </w:r>
      <w:r>
        <w:rPr>
          <w:w w:val="99"/>
        </w:rPr>
        <w:t> </w:t>
      </w:r>
      <w:r>
        <w:rPr>
          <w:w w:val="95"/>
        </w:rPr>
        <w:t>策变更采用未来适用法处理，并根据准则的规定对于2019年1月1日至准则实施日之间发生的非货币性资产</w:t>
      </w:r>
      <w:r>
        <w:rPr>
          <w:spacing w:val="36"/>
          <w:w w:val="95"/>
        </w:rPr>
        <w:t> </w:t>
      </w:r>
      <w:r>
        <w:rPr>
          <w:spacing w:val="36"/>
          <w:w w:val="95"/>
        </w:rPr>
      </w:r>
      <w:r>
        <w:rPr/>
        <w:t>交换和债务重组进行调整。</w:t>
      </w:r>
    </w:p>
    <w:p>
      <w:pPr>
        <w:pStyle w:val="BodyText"/>
        <w:spacing w:line="240" w:lineRule="auto"/>
        <w:ind w:left="532" w:right="2127"/>
        <w:jc w:val="left"/>
      </w:pPr>
      <w:r>
        <w:rPr/>
        <w:t>本公司执行上述准则对本报告期内财务报表无重大影响。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2127"/>
        <w:jc w:val="left"/>
        <w:rPr>
          <w:b w:val="0"/>
          <w:bCs w:val="0"/>
        </w:rPr>
      </w:pPr>
      <w:bookmarkStart w:name="（2）重要会计估计变更" w:id="230"/>
      <w:bookmarkEnd w:id="23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2019年起执行新金融工具准则、新收入准则或新租赁准则调整执行当年年初财务" w:id="231"/>
      <w:bookmarkEnd w:id="23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2019年起执行新金融工具准则或新租赁准则追溯调整前期比较数据说明" w:id="232"/>
      <w:bookmarkEnd w:id="232"/>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年起执行新金融工具准则或新租赁准则追溯调整前期比较数据说明</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45、其他" w:id="233"/>
      <w:bookmarkEnd w:id="233"/>
      <w:r>
        <w:rPr>
          <w:b w:val="0"/>
          <w:bCs w:val="0"/>
        </w:rPr>
      </w:r>
      <w:r>
        <w:rPr>
          <w:rFonts w:ascii="Times New Roman" w:hAnsi="Times New Roman" w:cs="Times New Roman" w:eastAsia="Times New Roman" w:hint="default"/>
        </w:rPr>
        <w:t>45</w:t>
      </w:r>
      <w:r>
        <w:rPr/>
        <w:t>、其他</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4"/>
        <w:spacing w:line="240" w:lineRule="auto"/>
        <w:ind w:right="2127"/>
        <w:jc w:val="left"/>
        <w:rPr>
          <w:b w:val="0"/>
          <w:bCs w:val="0"/>
        </w:rPr>
      </w:pPr>
      <w:bookmarkStart w:name="六、税项" w:id="234"/>
      <w:bookmarkEnd w:id="234"/>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主要税种及税率" w:id="235"/>
      <w:bookmarkEnd w:id="23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2"/>
              <w:jc w:val="left"/>
              <w:rPr>
                <w:rFonts w:ascii="宋体" w:hAnsi="宋体" w:cs="宋体" w:eastAsia="宋体" w:hint="default"/>
                <w:sz w:val="18"/>
                <w:szCs w:val="18"/>
              </w:rPr>
            </w:pPr>
            <w:r>
              <w:rPr>
                <w:rFonts w:ascii="宋体" w:hAnsi="宋体" w:cs="宋体" w:eastAsia="宋体" w:hint="default"/>
                <w:spacing w:val="-6"/>
                <w:sz w:val="18"/>
                <w:szCs w:val="18"/>
              </w:rPr>
              <w:t>销售货物、应税销售服务收入、无形资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产或者不动产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2" w:right="181"/>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 为纳税基准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安徽皖通科技股份有限公司</w:t>
            </w:r>
            <w:r>
              <w:rPr>
                <w:rFonts w:ascii="Times New Roman" w:hAnsi="Times New Roman" w:cs="Times New Roman" w:eastAsia="Times New Roman" w:hint="default"/>
                <w:sz w:val="18"/>
                <w:szCs w:val="18"/>
              </w:rPr>
              <w:t>*1</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天津市天安怡和信息技术有限公司</w:t>
            </w:r>
            <w:r>
              <w:rPr>
                <w:rFonts w:ascii="Times New Roman" w:hAnsi="Times New Roman" w:cs="Times New Roman" w:eastAsia="Times New Roman" w:hint="default"/>
                <w:sz w:val="18"/>
                <w:szCs w:val="18"/>
              </w:rPr>
              <w:t>*2</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安徽汉高信息科技有限公司</w:t>
            </w:r>
            <w:r>
              <w:rPr>
                <w:rFonts w:ascii="Times New Roman" w:hAnsi="Times New Roman" w:cs="Times New Roman" w:eastAsia="Times New Roman" w:hint="default"/>
                <w:sz w:val="18"/>
                <w:szCs w:val="18"/>
              </w:rPr>
              <w:t>*3</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浙江自贸区舶云智慧物流有限公司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成都赛英科技有限公司</w:t>
            </w:r>
            <w:r>
              <w:rPr>
                <w:rFonts w:ascii="Times New Roman" w:hAnsi="Times New Roman" w:cs="Times New Roman" w:eastAsia="Times New Roman" w:hint="default"/>
                <w:sz w:val="18"/>
                <w:szCs w:val="18"/>
              </w:rPr>
              <w:t>*4</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陕西皖通科技有限责任公司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税收优惠" w:id="236"/>
      <w:bookmarkEnd w:id="23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32" w:right="1120"/>
        <w:jc w:val="left"/>
      </w:pPr>
      <w:r>
        <w:rPr/>
        <w:t>（1）增值税</w:t>
      </w:r>
      <w:r>
        <w:rPr>
          <w:w w:val="99"/>
        </w:rPr>
        <w:t> </w:t>
      </w:r>
      <w:r>
        <w:rPr>
          <w:w w:val="95"/>
        </w:rPr>
        <w:t>主要是系统集成项目配套的机器设备及销售的光通讯产品，按照应税收入的17%税率计算销项税额，</w:t>
      </w:r>
      <w:r>
        <w:rPr/>
      </w:r>
    </w:p>
    <w:p>
      <w:pPr>
        <w:pStyle w:val="BodyText"/>
        <w:spacing w:line="273" w:lineRule="auto"/>
        <w:ind w:right="1120"/>
        <w:jc w:val="left"/>
      </w:pPr>
      <w:r>
        <w:rPr>
          <w:w w:val="95"/>
        </w:rPr>
        <w:t>扣除允许在当年抵扣的进项税额后，缴纳增值税。其中，对于自行开发生产的软件产品部分执行财政部国</w:t>
      </w:r>
      <w:r>
        <w:rPr>
          <w:spacing w:val="37"/>
          <w:w w:val="95"/>
        </w:rPr>
        <w:t> </w:t>
      </w:r>
      <w:r>
        <w:rPr>
          <w:spacing w:val="37"/>
          <w:w w:val="95"/>
        </w:rPr>
      </w:r>
      <w:r>
        <w:rPr>
          <w:spacing w:val="-2"/>
          <w:w w:val="99"/>
        </w:rPr>
        <w:t>家税务总局2011年10月13日联合发文《关于软件产品增值税政策的通知》（财税[2011]100号）的规定，即</w:t>
      </w:r>
      <w:r>
        <w:rPr>
          <w:spacing w:val="-97"/>
          <w:w w:val="99"/>
        </w:rPr>
        <w:t> </w:t>
      </w:r>
      <w:r>
        <w:rPr>
          <w:spacing w:val="-97"/>
          <w:w w:val="99"/>
        </w:rPr>
      </w:r>
      <w:r>
        <w:rPr/>
        <w:t>自2011年1月1日起继续“按17%的法定税率征收增值税后，对其增值税实际税负超过3%的部分实行即征即</w:t>
      </w:r>
      <w:r>
        <w:rPr>
          <w:w w:val="99"/>
        </w:rPr>
        <w:t> </w:t>
      </w:r>
      <w:r>
        <w:rPr>
          <w:spacing w:val="-21"/>
          <w:w w:val="99"/>
        </w:rPr>
        <w:t>退政策”。</w:t>
      </w:r>
      <w:r>
        <w:rPr>
          <w:spacing w:val="-21"/>
        </w:rPr>
      </w:r>
    </w:p>
    <w:p>
      <w:pPr>
        <w:pStyle w:val="BodyText"/>
        <w:spacing w:line="240" w:lineRule="auto"/>
        <w:ind w:left="532" w:right="2127"/>
        <w:jc w:val="left"/>
      </w:pPr>
      <w:r>
        <w:rPr/>
        <w:t>（2）所得税</w:t>
      </w:r>
    </w:p>
    <w:p>
      <w:pPr>
        <w:pStyle w:val="BodyText"/>
        <w:spacing w:line="273" w:lineRule="auto" w:before="37"/>
        <w:ind w:right="1130" w:firstLine="420"/>
        <w:jc w:val="both"/>
      </w:pPr>
      <w:r>
        <w:rPr/>
        <w:t>*1.</w:t>
      </w:r>
      <w:r>
        <w:rPr>
          <w:spacing w:val="-18"/>
        </w:rPr>
        <w:t> </w:t>
      </w:r>
      <w:r>
        <w:rPr>
          <w:spacing w:val="2"/>
        </w:rPr>
        <w:t>2017年11月7日，本公司取得安徽省科技厅、安徽省财政厅、安徽省国家税务局、安徽省地方税</w:t>
      </w:r>
      <w:r>
        <w:rPr>
          <w:w w:val="99"/>
        </w:rPr>
        <w:t> </w:t>
      </w:r>
      <w:r>
        <w:rPr>
          <w:spacing w:val="-4"/>
          <w:w w:val="99"/>
        </w:rPr>
        <w:t>务局联合颁发的《高新技术企业证书》（证书编号为GR201734001673）。根据有关规定，本公司报告期内享</w:t>
      </w:r>
      <w:r>
        <w:rPr>
          <w:spacing w:val="-92"/>
          <w:w w:val="99"/>
        </w:rPr>
        <w:t> </w:t>
      </w:r>
      <w:r>
        <w:rPr>
          <w:spacing w:val="-92"/>
          <w:w w:val="99"/>
        </w:rPr>
      </w:r>
      <w:r>
        <w:rPr/>
        <w:t>受国家关于高新技术企业的相关优惠政策，按15%的税率计缴企业所得税。</w:t>
      </w:r>
    </w:p>
    <w:p>
      <w:pPr>
        <w:pStyle w:val="BodyText"/>
        <w:spacing w:line="273" w:lineRule="auto" w:before="127"/>
        <w:ind w:right="1131" w:firstLine="420"/>
        <w:jc w:val="both"/>
      </w:pPr>
      <w:r>
        <w:rPr/>
        <w:t>*2.</w:t>
      </w:r>
      <w:r>
        <w:rPr>
          <w:spacing w:val="-40"/>
        </w:rPr>
        <w:t> </w:t>
      </w:r>
      <w:r>
        <w:rPr/>
        <w:t>2017年10月10日，天津市天安怡和信息技术有限公司取得天津市科技厅、天津市财政局、天津市</w:t>
      </w:r>
      <w:r>
        <w:rPr>
          <w:w w:val="99"/>
        </w:rPr>
        <w:t> </w:t>
      </w:r>
      <w:r>
        <w:rPr>
          <w:spacing w:val="-4"/>
          <w:w w:val="99"/>
        </w:rPr>
        <w:t>国家税务局、天津市地方税务局联合颁发的《高新技术企业证书》（证书编号为GR201712000120）。根据有</w:t>
      </w:r>
      <w:r>
        <w:rPr>
          <w:spacing w:val="-96"/>
          <w:w w:val="99"/>
        </w:rPr>
        <w:t> </w:t>
      </w:r>
      <w:r>
        <w:rPr>
          <w:spacing w:val="-96"/>
          <w:w w:val="99"/>
        </w:rPr>
      </w:r>
      <w:r>
        <w:rPr>
          <w:spacing w:val="2"/>
          <w:w w:val="95"/>
        </w:rPr>
        <w:t>关规定，天津市天安怡和信息技术有限公司报告期内享受国家关于高新技术企业的相关优惠政策，按15%</w:t>
      </w:r>
      <w:r>
        <w:rPr>
          <w:spacing w:val="49"/>
          <w:w w:val="95"/>
        </w:rPr>
        <w:t> </w:t>
      </w:r>
      <w:r>
        <w:rPr>
          <w:spacing w:val="49"/>
          <w:w w:val="95"/>
        </w:rPr>
      </w:r>
      <w:r>
        <w:rPr/>
        <w:t>的税率计缴企业所得税。</w:t>
      </w:r>
    </w:p>
    <w:p>
      <w:pPr>
        <w:pStyle w:val="BodyText"/>
        <w:spacing w:line="273" w:lineRule="auto"/>
        <w:ind w:right="1025" w:firstLine="420"/>
        <w:jc w:val="left"/>
      </w:pPr>
      <w:r>
        <w:rPr/>
        <w:t>*3.</w:t>
      </w:r>
      <w:r>
        <w:rPr>
          <w:spacing w:val="-10"/>
        </w:rPr>
        <w:t> </w:t>
      </w:r>
      <w:r>
        <w:rPr>
          <w:spacing w:val="2"/>
        </w:rPr>
        <w:t>2017年7月20日，安徽汉高信息科技有限公司取得安徽省科技厅、安徽省财政厅、安徽省国家税</w:t>
      </w:r>
      <w:r>
        <w:rPr>
          <w:w w:val="99"/>
        </w:rPr>
        <w:t> </w:t>
      </w:r>
      <w:r>
        <w:rPr>
          <w:spacing w:val="-6"/>
          <w:w w:val="99"/>
        </w:rPr>
        <w:t>务局、安徽省地方税务局联合颁发的《高新技术企业证书》（证书编号为GR201734000613）。根据有关规定，</w:t>
      </w:r>
      <w:r>
        <w:rPr>
          <w:spacing w:val="-85"/>
          <w:w w:val="99"/>
        </w:rPr>
        <w:t> </w:t>
      </w:r>
      <w:r>
        <w:rPr>
          <w:spacing w:val="-85"/>
          <w:w w:val="99"/>
        </w:rPr>
      </w:r>
      <w:r>
        <w:rPr>
          <w:spacing w:val="2"/>
        </w:rPr>
        <w:t>安徽汉高信息科技有限公司报告期内享受国家关于高新技术企业的相关优惠政策，按15%的税率计缴企业</w:t>
      </w:r>
      <w:r>
        <w:rPr>
          <w:w w:val="99"/>
        </w:rPr>
        <w:t> </w:t>
      </w:r>
      <w:r>
        <w:rPr/>
        <w:t>所得税。</w:t>
      </w:r>
    </w:p>
    <w:p>
      <w:pPr>
        <w:pStyle w:val="BodyText"/>
        <w:spacing w:line="240" w:lineRule="auto"/>
        <w:ind w:left="532" w:right="0"/>
        <w:jc w:val="left"/>
      </w:pPr>
      <w:r>
        <w:rPr/>
        <w:t>*4.</w:t>
      </w:r>
      <w:r>
        <w:rPr>
          <w:spacing w:val="-43"/>
        </w:rPr>
        <w:t> </w:t>
      </w:r>
      <w:r>
        <w:rPr/>
        <w:t>2017年12月4日，成都赛英科技有限公司取得四川省科技厅、四川省财政厅、四川省国家税务局、</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right="0"/>
        <w:jc w:val="left"/>
      </w:pPr>
      <w:r>
        <w:rPr>
          <w:spacing w:val="-4"/>
          <w:w w:val="99"/>
        </w:rPr>
        <w:t>四川省地方税务局联合颁发的《高新技术企业证书》（证书编号为GR201751001432）。根据有关规定，成都</w:t>
      </w:r>
      <w:r>
        <w:rPr>
          <w:spacing w:val="-93"/>
          <w:w w:val="99"/>
        </w:rPr>
        <w:t> </w:t>
      </w:r>
      <w:r>
        <w:rPr>
          <w:spacing w:val="-93"/>
          <w:w w:val="99"/>
        </w:rPr>
      </w:r>
      <w:r>
        <w:rPr/>
        <w:t>赛英科技有限公司报告期内享受国家关于高新技术企业的相关优惠政策，按15%的税率计缴企业所得税。</w:t>
      </w:r>
    </w:p>
    <w:p>
      <w:pPr>
        <w:spacing w:line="240" w:lineRule="auto" w:before="4"/>
        <w:rPr>
          <w:rFonts w:ascii="宋体" w:hAnsi="宋体" w:cs="宋体" w:eastAsia="宋体" w:hint="default"/>
          <w:sz w:val="29"/>
          <w:szCs w:val="29"/>
        </w:rPr>
      </w:pPr>
    </w:p>
    <w:p>
      <w:pPr>
        <w:spacing w:line="340" w:lineRule="auto" w:before="0"/>
        <w:ind w:left="112" w:right="1845"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 无</w:t>
      </w:r>
    </w:p>
    <w:p>
      <w:pPr>
        <w:spacing w:line="240" w:lineRule="auto" w:before="3"/>
        <w:rPr>
          <w:rFonts w:ascii="宋体" w:hAnsi="宋体" w:cs="宋体" w:eastAsia="宋体" w:hint="default"/>
          <w:sz w:val="21"/>
          <w:szCs w:val="21"/>
        </w:rPr>
      </w:pPr>
    </w:p>
    <w:p>
      <w:pPr>
        <w:pStyle w:val="Heading5"/>
        <w:spacing w:line="240" w:lineRule="auto"/>
        <w:ind w:right="2127"/>
        <w:jc w:val="left"/>
        <w:rPr>
          <w:b w:val="0"/>
          <w:bCs w:val="0"/>
        </w:rPr>
      </w:pPr>
      <w:bookmarkStart w:name="3、其他" w:id="237"/>
      <w:bookmarkEnd w:id="237"/>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4"/>
        <w:spacing w:line="240" w:lineRule="auto"/>
        <w:ind w:right="2127"/>
        <w:jc w:val="left"/>
        <w:rPr>
          <w:b w:val="0"/>
          <w:bCs w:val="0"/>
        </w:rPr>
      </w:pPr>
      <w:bookmarkStart w:name="七、合并财务报表项目注释" w:id="238"/>
      <w:bookmarkEnd w:id="238"/>
      <w:r>
        <w:rPr>
          <w:b w:val="0"/>
          <w:bCs w:val="0"/>
        </w:rPr>
      </w: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货币资金" w:id="239"/>
      <w:bookmarkEnd w:id="23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334,452.99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259,753.14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817,939,937.12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855,073,703.09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111,651,879.49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30,523,973.61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929,926,269.60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885,857,429.84</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tabs>
          <w:tab w:pos="7778" w:val="left" w:leader="none"/>
        </w:tabs>
        <w:spacing w:line="273" w:lineRule="auto" w:before="92"/>
        <w:ind w:left="532" w:right="2267"/>
        <w:jc w:val="left"/>
      </w:pPr>
      <w:r>
        <w:rPr/>
        <w:t>截止2019年12月31日，本公司不存在质押、冻结，或有潜在收回风险的款项。</w:t>
      </w:r>
      <w:r>
        <w:rPr>
          <w:w w:val="99"/>
        </w:rPr>
        <w:t> </w:t>
      </w:r>
      <w:r>
        <w:rPr>
          <w:w w:val="95"/>
        </w:rPr>
        <w:t>其中受限制的货币资金明细如下：</w:t>
        <w:tab/>
      </w:r>
      <w:r>
        <w:rPr/>
        <w:t>单位：元</w:t>
      </w:r>
    </w:p>
    <w:tbl>
      <w:tblPr>
        <w:tblW w:w="0" w:type="auto"/>
        <w:jc w:val="left"/>
        <w:tblInd w:w="106" w:type="dxa"/>
        <w:tblLayout w:type="fixed"/>
        <w:tblCellMar>
          <w:top w:w="0" w:type="dxa"/>
          <w:left w:w="0" w:type="dxa"/>
          <w:bottom w:w="0" w:type="dxa"/>
          <w:right w:w="0" w:type="dxa"/>
        </w:tblCellMar>
        <w:tblLook w:val="01E0"/>
      </w:tblPr>
      <w:tblGrid>
        <w:gridCol w:w="3652"/>
        <w:gridCol w:w="2438"/>
        <w:gridCol w:w="2438"/>
      </w:tblGrid>
      <w:tr>
        <w:trPr>
          <w:trHeight w:val="354"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43,149,664.83</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7,864,216.85</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22,400,243.92</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pacing w:val="-1"/>
                <w:sz w:val="18"/>
              </w:rPr>
              <w:t>14,922,966.71</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24,234,973.73</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2,006,110.17</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投标保函保证金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2,465,000.00</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1,260,000.00</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1,652,821.20</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6"/>
              <w:jc w:val="right"/>
              <w:rPr>
                <w:rFonts w:ascii="宋体" w:hAnsi="宋体" w:cs="宋体" w:eastAsia="宋体" w:hint="default"/>
                <w:sz w:val="18"/>
                <w:szCs w:val="18"/>
              </w:rPr>
            </w:pPr>
            <w:r>
              <w:rPr>
                <w:rFonts w:ascii="宋体"/>
                <w:spacing w:val="-1"/>
                <w:sz w:val="18"/>
              </w:rPr>
              <w:t>221,413.15</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93,902,703.68</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26,274,706.88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5"/>
        <w:spacing w:line="240" w:lineRule="auto" w:before="34"/>
        <w:ind w:right="2127"/>
        <w:jc w:val="left"/>
        <w:rPr>
          <w:b w:val="0"/>
          <w:bCs w:val="0"/>
        </w:rPr>
      </w:pPr>
      <w:bookmarkStart w:name="2、交易性金融资产" w:id="240"/>
      <w:bookmarkEnd w:id="240"/>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9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1" w:right="0"/>
              <w:jc w:val="left"/>
              <w:rPr>
                <w:rFonts w:ascii="Times New Roman" w:hAnsi="Times New Roman" w:cs="Times New Roman" w:eastAsia="Times New Roman" w:hint="default"/>
                <w:sz w:val="18"/>
                <w:szCs w:val="18"/>
              </w:rPr>
            </w:pPr>
            <w:r>
              <w:rPr>
                <w:rFonts w:ascii="Times New Roman"/>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6"/>
          <w:szCs w:val="16"/>
        </w:rPr>
      </w:pPr>
    </w:p>
    <w:p>
      <w:pPr>
        <w:pStyle w:val="BodyText"/>
        <w:spacing w:line="273" w:lineRule="auto" w:before="0"/>
        <w:ind w:right="1131" w:firstLine="420"/>
        <w:jc w:val="left"/>
      </w:pPr>
      <w:r>
        <w:rPr/>
        <w:t>交易性金融资产2019年年末余额较2018年年末增加20,000,000.00</w:t>
      </w:r>
      <w:r>
        <w:rPr>
          <w:spacing w:val="-37"/>
        </w:rPr>
        <w:t> </w:t>
      </w:r>
      <w:r>
        <w:rPr/>
        <w:t>元，系公司于2019年1月1日起执行</w:t>
      </w:r>
      <w:r>
        <w:rPr>
          <w:w w:val="99"/>
        </w:rPr>
        <w:t> </w:t>
      </w:r>
      <w:r>
        <w:rPr/>
        <w:t>新金融工具准则，将公司结构性存款交易性金融资产”项目核算。</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27"/>
        <w:jc w:val="left"/>
        <w:rPr>
          <w:b w:val="0"/>
          <w:bCs w:val="0"/>
        </w:rPr>
      </w:pPr>
      <w:bookmarkStart w:name="3、衍生金融资产" w:id="241"/>
      <w:bookmarkEnd w:id="24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4、应收票据" w:id="242"/>
      <w:bookmarkEnd w:id="24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收票据分类列示" w:id="243"/>
      <w:bookmarkEnd w:id="24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24,668,738.00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7,794,844.24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1,540,000.00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32,463,582.24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1,940,000.00</w:t>
            </w:r>
          </w:p>
        </w:tc>
      </w:tr>
    </w:tbl>
    <w:p>
      <w:pPr>
        <w:spacing w:before="4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930"/>
        <w:gridCol w:w="798"/>
        <w:gridCol w:w="79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0"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4" w:right="12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1" w:right="0"/>
              <w:jc w:val="left"/>
              <w:rPr>
                <w:rFonts w:ascii="Times New Roman" w:hAnsi="Times New Roman" w:cs="Times New Roman" w:eastAsia="Times New Roman" w:hint="default"/>
                <w:sz w:val="18"/>
                <w:szCs w:val="18"/>
              </w:rPr>
            </w:pPr>
            <w:r>
              <w:rPr>
                <w:rFonts w:ascii="Times New Roman"/>
                <w:sz w:val="18"/>
              </w:rPr>
              <w:t>32,518,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772.25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55,190.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0.17%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5" w:right="0"/>
              <w:jc w:val="left"/>
              <w:rPr>
                <w:rFonts w:ascii="Times New Roman" w:hAnsi="Times New Roman" w:cs="Times New Roman" w:eastAsia="Times New Roman" w:hint="default"/>
                <w:sz w:val="18"/>
                <w:szCs w:val="18"/>
              </w:rPr>
            </w:pPr>
            <w:r>
              <w:rPr>
                <w:rFonts w:ascii="Times New Roman"/>
                <w:sz w:val="18"/>
              </w:rPr>
              <w:t>32,463,</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582.24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center"/>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center"/>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3"/>
                <w:sz w:val="18"/>
                <w:szCs w:val="18"/>
              </w:rPr>
              <w:t>其中：无风险银行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承兑票据组合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1" w:right="0"/>
              <w:jc w:val="left"/>
              <w:rPr>
                <w:rFonts w:ascii="Times New Roman" w:hAnsi="Times New Roman" w:cs="Times New Roman" w:eastAsia="Times New Roman" w:hint="default"/>
                <w:sz w:val="18"/>
                <w:szCs w:val="18"/>
              </w:rPr>
            </w:pPr>
            <w:r>
              <w:rPr>
                <w:rFonts w:ascii="Times New Roman"/>
                <w:sz w:val="18"/>
              </w:rPr>
              <w:t>24,668,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738.00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3" w:right="0"/>
              <w:jc w:val="left"/>
              <w:rPr>
                <w:rFonts w:ascii="Times New Roman" w:hAnsi="Times New Roman" w:cs="Times New Roman" w:eastAsia="Times New Roman" w:hint="default"/>
                <w:sz w:val="18"/>
                <w:szCs w:val="18"/>
              </w:rPr>
            </w:pPr>
            <w:r>
              <w:rPr>
                <w:rFonts w:ascii="Times New Roman"/>
                <w:sz w:val="18"/>
              </w:rPr>
              <w:t>75.86</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5" w:right="0"/>
              <w:jc w:val="left"/>
              <w:rPr>
                <w:rFonts w:ascii="Times New Roman" w:hAnsi="Times New Roman" w:cs="Times New Roman" w:eastAsia="Times New Roman" w:hint="default"/>
                <w:sz w:val="18"/>
                <w:szCs w:val="18"/>
              </w:rPr>
            </w:pPr>
            <w:r>
              <w:rPr>
                <w:rFonts w:ascii="Times New Roman"/>
                <w:sz w:val="18"/>
              </w:rPr>
              <w:t>24,668,</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738.00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3"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43" w:right="0"/>
              <w:jc w:val="center"/>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20.62%</w:t>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9"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7,850,0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24.14</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55,190.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7,794,8</w:t>
            </w:r>
          </w:p>
          <w:p>
            <w:pPr>
              <w:pStyle w:val="TableParagraph"/>
              <w:spacing w:line="240" w:lineRule="auto" w:before="105"/>
              <w:ind w:left="169" w:right="0"/>
              <w:jc w:val="center"/>
              <w:rPr>
                <w:rFonts w:ascii="Times New Roman" w:hAnsi="Times New Roman" w:cs="Times New Roman" w:eastAsia="Times New Roman" w:hint="default"/>
                <w:sz w:val="18"/>
                <w:szCs w:val="18"/>
              </w:rPr>
            </w:pPr>
            <w:r>
              <w:rPr>
                <w:rFonts w:ascii="Times New Roman"/>
                <w:sz w:val="18"/>
              </w:rPr>
              <w:t>44.24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1,540,0</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79.38%</w:t>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1,540,0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1" w:right="0"/>
              <w:jc w:val="left"/>
              <w:rPr>
                <w:rFonts w:ascii="Times New Roman" w:hAnsi="Times New Roman" w:cs="Times New Roman" w:eastAsia="Times New Roman" w:hint="default"/>
                <w:sz w:val="18"/>
                <w:szCs w:val="18"/>
              </w:rPr>
            </w:pPr>
            <w:r>
              <w:rPr>
                <w:rFonts w:ascii="Times New Roman"/>
                <w:sz w:val="18"/>
              </w:rPr>
              <w:t>32,518,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772.25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55,190.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01</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5" w:right="0"/>
              <w:jc w:val="left"/>
              <w:rPr>
                <w:rFonts w:ascii="Times New Roman" w:hAnsi="Times New Roman" w:cs="Times New Roman" w:eastAsia="Times New Roman" w:hint="default"/>
                <w:sz w:val="18"/>
                <w:szCs w:val="18"/>
              </w:rPr>
            </w:pPr>
            <w:r>
              <w:rPr>
                <w:rFonts w:ascii="Times New Roman"/>
                <w:sz w:val="18"/>
              </w:rPr>
              <w:t>32,463,</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582.24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center"/>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8" w:right="0"/>
              <w:jc w:val="center"/>
              <w:rPr>
                <w:rFonts w:ascii="Times New Roman" w:hAnsi="Times New Roman" w:cs="Times New Roman" w:eastAsia="Times New Roman" w:hint="default"/>
                <w:sz w:val="18"/>
                <w:szCs w:val="18"/>
              </w:rPr>
            </w:pPr>
            <w:r>
              <w:rPr>
                <w:rFonts w:ascii="Times New Roman"/>
                <w:sz w:val="18"/>
              </w:rPr>
              <w:t>1,940,0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00.00</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7,850,034.25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55,190.01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7,850,034.25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55,190.01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360" w:lineRule="auto"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2093" w:space="673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50"/>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both"/>
              <w:rPr>
                <w:rFonts w:ascii="宋体" w:hAnsi="宋体" w:cs="宋体" w:eastAsia="宋体" w:hint="default"/>
                <w:sz w:val="18"/>
                <w:szCs w:val="18"/>
              </w:rPr>
            </w:pPr>
            <w:r>
              <w:rPr>
                <w:rFonts w:ascii="宋体" w:hAnsi="宋体" w:cs="宋体" w:eastAsia="宋体" w:hint="default"/>
                <w:sz w:val="18"/>
                <w:szCs w:val="18"/>
              </w:rPr>
              <w:t>按组合计提预 期信用损失的 应收票据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5"/>
              <w:jc w:val="left"/>
              <w:rPr>
                <w:rFonts w:ascii="宋体" w:hAnsi="宋体" w:cs="宋体" w:eastAsia="宋体" w:hint="default"/>
                <w:sz w:val="18"/>
                <w:szCs w:val="18"/>
              </w:rPr>
            </w:pPr>
            <w:r>
              <w:rPr>
                <w:rFonts w:ascii="宋体" w:hAnsi="宋体" w:cs="宋体" w:eastAsia="宋体" w:hint="default"/>
                <w:sz w:val="18"/>
                <w:szCs w:val="18"/>
              </w:rPr>
              <w:t>其中：商业承 兑汇票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55,190.01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55,190.01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55,190.01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55,190.01</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期末公司已质押的应收票据" w:id="245"/>
      <w:bookmarkEnd w:id="245"/>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type w:val="continuous"/>
          <w:pgSz w:w="11910" w:h="16840"/>
          <w:pgMar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4）期末公司已背书或贴现且在资产负债表日尚未到期的应收票据" w:id="246"/>
      <w:bookmarkEnd w:id="246"/>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5）期末公司因出票人未履约而将其转应收账款的票据" w:id="247"/>
      <w:bookmarkEnd w:id="247"/>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4"/>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6）本期实际核销的应收票据情况" w:id="248"/>
      <w:bookmarkEnd w:id="248"/>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5、应收账款" w:id="249"/>
      <w:bookmarkEnd w:id="24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收账款分类披露" w:id="250"/>
      <w:bookmarkEnd w:id="25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8" w:right="0"/>
              <w:jc w:val="left"/>
              <w:rPr>
                <w:rFonts w:ascii="Times New Roman" w:hAnsi="Times New Roman" w:cs="Times New Roman" w:eastAsia="Times New Roman" w:hint="default"/>
                <w:sz w:val="18"/>
                <w:szCs w:val="18"/>
              </w:rPr>
            </w:pPr>
            <w:r>
              <w:rPr>
                <w:rFonts w:ascii="Times New Roman"/>
                <w:sz w:val="18"/>
              </w:rPr>
              <w:t>11,513,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143.18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11,513,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143.18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3,999,1</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74.00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3,999,1</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74.00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603,57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1,000.6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98.13</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35,780,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814.96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567,79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0,185.7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469,55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4,951.4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29,764,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106.50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439,790,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844.95</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603,57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1,000.6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98.13</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35,780,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814.96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567,79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0,185.7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469,55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4,951.4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29,764,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106.50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439,790,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844.95</w:t>
            </w:r>
          </w:p>
        </w:tc>
      </w:tr>
    </w:tbl>
    <w:p>
      <w:pPr>
        <w:spacing w:after="0" w:line="240" w:lineRule="auto"/>
        <w:jc w:val="center"/>
        <w:rPr>
          <w:rFonts w:ascii="Times New Roman" w:hAnsi="Times New Roman" w:cs="Times New Roman" w:eastAsia="Times New Roman" w:hint="default"/>
          <w:sz w:val="18"/>
          <w:szCs w:val="18"/>
        </w:rPr>
        <w:sectPr>
          <w:footerReference w:type="default" r:id="rId31"/>
          <w:pgSz w:w="11910" w:h="16840"/>
          <w:pgMar w:footer="1016" w:header="919" w:top="1120" w:bottom="1200" w:left="1020" w:right="0"/>
          <w:pgNumType w:start="16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615,08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4,143.8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47,293,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958.14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567,79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0,185.7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473,55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4,125.4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33,763,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280.50</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439,790,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844.95</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北京星纪开元科技发 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9"/>
              <w:jc w:val="left"/>
              <w:rPr>
                <w:rFonts w:ascii="宋体" w:hAnsi="宋体" w:cs="宋体" w:eastAsia="宋体" w:hint="default"/>
                <w:sz w:val="18"/>
                <w:szCs w:val="18"/>
              </w:rPr>
            </w:pPr>
            <w:r>
              <w:rPr>
                <w:rFonts w:ascii="宋体" w:hAnsi="宋体" w:cs="宋体" w:eastAsia="宋体" w:hint="default"/>
                <w:sz w:val="18"/>
                <w:szCs w:val="18"/>
              </w:rPr>
              <w:t>常州无线电厂有限公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中电科技电子信息系 统有限公司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4,133,969.18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4,133,969.18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11,513,143.18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11,513,143.18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50"/>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55"/>
        <w:gridCol w:w="1991"/>
        <w:gridCol w:w="1991"/>
        <w:gridCol w:w="1991"/>
      </w:tblGrid>
      <w:tr>
        <w:trPr>
          <w:trHeight w:val="354" w:hRule="exact"/>
        </w:trPr>
        <w:tc>
          <w:tcPr>
            <w:tcW w:w="2555" w:type="dxa"/>
            <w:vMerge w:val="restart"/>
            <w:tcBorders>
              <w:top w:val="single" w:sz="6" w:space="0" w:color="000000"/>
              <w:left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973"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555" w:type="dxa"/>
            <w:vMerge/>
            <w:tcBorders>
              <w:left w:val="single" w:sz="6" w:space="0" w:color="000000"/>
              <w:bottom w:val="single" w:sz="12" w:space="0" w:color="000000"/>
              <w:right w:val="single" w:sz="6" w:space="0" w:color="000000"/>
            </w:tcBorders>
          </w:tcPr>
          <w:p>
            <w:pP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47" w:right="0"/>
              <w:jc w:val="left"/>
              <w:rPr>
                <w:rFonts w:ascii="宋体" w:hAnsi="宋体" w:cs="宋体" w:eastAsia="宋体" w:hint="default"/>
                <w:sz w:val="18"/>
                <w:szCs w:val="18"/>
              </w:rPr>
            </w:pPr>
            <w:r>
              <w:rPr>
                <w:rFonts w:ascii="宋体" w:hAnsi="宋体" w:cs="宋体" w:eastAsia="宋体" w:hint="default"/>
                <w:sz w:val="18"/>
                <w:szCs w:val="18"/>
              </w:rPr>
              <w:t>预期信用损失</w:t>
            </w:r>
          </w:p>
        </w:tc>
        <w:tc>
          <w:tcPr>
            <w:tcW w:w="19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430,724,129.42</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2,994,316.17</w:t>
            </w:r>
          </w:p>
        </w:tc>
        <w:tc>
          <w:tcPr>
            <w:tcW w:w="199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其中：1-6月</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370,837,806.00</w:t>
            </w:r>
          </w:p>
        </w:tc>
        <w:tc>
          <w:tcPr>
            <w:tcW w:w="1991" w:type="dxa"/>
            <w:tcBorders>
              <w:top w:val="single" w:sz="12" w:space="0" w:color="000000"/>
              <w:left w:val="single" w:sz="6" w:space="0" w:color="000000"/>
              <w:bottom w:val="single" w:sz="12" w:space="0" w:color="000000"/>
              <w:right w:val="single" w:sz="6" w:space="0" w:color="000000"/>
            </w:tcBorders>
          </w:tcPr>
          <w:p>
            <w:pPr/>
          </w:p>
        </w:tc>
        <w:tc>
          <w:tcPr>
            <w:tcW w:w="199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6-12月</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59,886,323.42</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2,994,316.17</w:t>
            </w:r>
          </w:p>
        </w:tc>
        <w:tc>
          <w:tcPr>
            <w:tcW w:w="19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sz w:val="18"/>
              </w:rPr>
              <w:t>5.00</w:t>
            </w: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100,910,552.20</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10,091,055.23</w:t>
            </w:r>
          </w:p>
        </w:tc>
        <w:tc>
          <w:tcPr>
            <w:tcW w:w="19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sz w:val="18"/>
              </w:rPr>
              <w:t>10.00</w:t>
            </w: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40,655,639.51</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8,131,127.91</w:t>
            </w:r>
          </w:p>
        </w:tc>
        <w:tc>
          <w:tcPr>
            <w:tcW w:w="19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20.00</w:t>
            </w: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3－4年</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20,235,947.03</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6,070,784.11</w:t>
            </w:r>
          </w:p>
        </w:tc>
        <w:tc>
          <w:tcPr>
            <w:tcW w:w="19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30.00</w:t>
            </w: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4－5年</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4,252,001.62</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1,700,800.66</w:t>
            </w:r>
          </w:p>
        </w:tc>
        <w:tc>
          <w:tcPr>
            <w:tcW w:w="19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sz w:val="18"/>
              </w:rPr>
              <w:t>40.00</w:t>
            </w: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6,792,730.88</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6,792,730.88</w:t>
            </w:r>
          </w:p>
        </w:tc>
        <w:tc>
          <w:tcPr>
            <w:tcW w:w="19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sz w:val="18"/>
              </w:rPr>
              <w:t>100.00</w:t>
            </w:r>
          </w:p>
        </w:tc>
      </w:tr>
      <w:tr>
        <w:trPr>
          <w:trHeight w:val="362" w:hRule="exact"/>
        </w:trPr>
        <w:tc>
          <w:tcPr>
            <w:tcW w:w="2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603,571,000.66</w:t>
            </w:r>
          </w:p>
        </w:tc>
        <w:tc>
          <w:tcPr>
            <w:tcW w:w="1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35,780,814.96</w:t>
            </w:r>
          </w:p>
        </w:tc>
        <w:tc>
          <w:tcPr>
            <w:tcW w:w="1991"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430,724,129.42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1-6 </w:t>
            </w:r>
            <w:r>
              <w:rPr>
                <w:rFonts w:ascii="宋体" w:hAnsi="宋体" w:cs="宋体" w:eastAsia="宋体" w:hint="default"/>
                <w:sz w:val="18"/>
                <w:szCs w:val="18"/>
              </w:rPr>
              <w:t>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370,837,806.00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59,886,323.42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104,290,552.20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40,655,639.51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39,413,822.71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20,235,947.03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8,385,970.80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10,791,904.88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615,084,143.84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号——上市公司从事软件与信息技术服务业务》的披露要求</w:t>
      </w:r>
    </w:p>
    <w:p>
      <w:pPr>
        <w:spacing w:line="240" w:lineRule="auto" w:before="13"/>
        <w:rPr>
          <w:rFonts w:ascii="宋体" w:hAnsi="宋体" w:cs="宋体" w:eastAsia="宋体" w:hint="default"/>
          <w:sz w:val="25"/>
          <w:szCs w:val="25"/>
        </w:rPr>
      </w:pPr>
    </w:p>
    <w:p>
      <w:pPr>
        <w:pStyle w:val="Heading5"/>
        <w:spacing w:line="240" w:lineRule="auto"/>
        <w:ind w:right="2127"/>
        <w:jc w:val="left"/>
        <w:rPr>
          <w:b w:val="0"/>
          <w:bCs w:val="0"/>
        </w:rPr>
      </w:pPr>
      <w:bookmarkStart w:name="（2）本期计提、收回或转回的坏账准备情况" w:id="251"/>
      <w:bookmarkEnd w:id="2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both"/>
              <w:rPr>
                <w:rFonts w:ascii="宋体" w:hAnsi="宋体" w:cs="宋体" w:eastAsia="宋体" w:hint="default"/>
                <w:sz w:val="18"/>
                <w:szCs w:val="18"/>
              </w:rPr>
            </w:pPr>
            <w:r>
              <w:rPr>
                <w:rFonts w:ascii="宋体" w:hAnsi="宋体" w:cs="宋体" w:eastAsia="宋体" w:hint="default"/>
                <w:sz w:val="18"/>
                <w:szCs w:val="18"/>
              </w:rPr>
              <w:t>单项计提预期 信用损失的应 收账款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3,999,174.00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7,513,969.18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11,513,143.18</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both"/>
              <w:rPr>
                <w:rFonts w:ascii="宋体" w:hAnsi="宋体" w:cs="宋体" w:eastAsia="宋体" w:hint="default"/>
                <w:sz w:val="18"/>
                <w:szCs w:val="18"/>
              </w:rPr>
            </w:pPr>
            <w:r>
              <w:rPr>
                <w:rFonts w:ascii="宋体" w:hAnsi="宋体" w:cs="宋体" w:eastAsia="宋体" w:hint="default"/>
                <w:sz w:val="18"/>
                <w:szCs w:val="18"/>
              </w:rPr>
              <w:t>按组合计提预 期信用损失的 应收账款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left"/>
              <w:rPr>
                <w:rFonts w:ascii="宋体" w:hAnsi="宋体" w:cs="宋体" w:eastAsia="宋体" w:hint="default"/>
                <w:sz w:val="18"/>
                <w:szCs w:val="18"/>
              </w:rPr>
            </w:pPr>
            <w:r>
              <w:rPr>
                <w:rFonts w:ascii="宋体" w:hAnsi="宋体" w:cs="宋体" w:eastAsia="宋体" w:hint="default"/>
                <w:sz w:val="18"/>
                <w:szCs w:val="18"/>
              </w:rPr>
              <w:t>其中：账龄分 析法组合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29,764,106.50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6,074,674.16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24,258.20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33,707.50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35,780,814.96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33,763,280.50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13,588,643.34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24,258.20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3" w:right="0"/>
              <w:jc w:val="left"/>
              <w:rPr>
                <w:rFonts w:ascii="Times New Roman" w:hAnsi="Times New Roman" w:cs="Times New Roman" w:eastAsia="Times New Roman" w:hint="default"/>
                <w:sz w:val="18"/>
                <w:szCs w:val="18"/>
              </w:rPr>
            </w:pPr>
            <w:r>
              <w:rPr>
                <w:rFonts w:ascii="Times New Roman"/>
                <w:sz w:val="18"/>
              </w:rPr>
              <w:t>33,707.50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47,293,958.14</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3）本期实际核销的应收账款情况" w:id="252"/>
      <w:bookmarkEnd w:id="25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4794;top:5;width:2;height:400" coordorigin="4794,5" coordsize="2,400">
              <v:shape style="position:absolute;left:4794;top:5;width:2;height:400" coordorigin="4794,5" coordsize="0,400" path="m4794,5l4794,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0"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919" w:footer="1016" w:top="1120" w:bottom="1200" w:left="1020" w:right="0"/>
        </w:sectPr>
      </w:pPr>
    </w:p>
    <w:p>
      <w:pPr>
        <w:spacing w:line="240" w:lineRule="auto" w:before="1"/>
        <w:rPr>
          <w:rFonts w:ascii="宋体" w:hAnsi="宋体" w:cs="宋体" w:eastAsia="宋体" w:hint="default"/>
          <w:sz w:val="23"/>
          <w:szCs w:val="23"/>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106" w:right="0" w:firstLine="0"/>
                        <w:jc w:val="left"/>
                        <w:rPr>
                          <w:rFonts w:ascii="宋体" w:hAnsi="宋体" w:cs="宋体" w:eastAsia="宋体" w:hint="default"/>
                          <w:sz w:val="18"/>
                          <w:szCs w:val="18"/>
                        </w:rPr>
                      </w:pPr>
                      <w:r>
                        <w:rPr>
                          <w:rFonts w:ascii="宋体" w:hAnsi="宋体" w:cs="宋体" w:eastAsia="宋体" w:hint="default"/>
                          <w:sz w:val="18"/>
                          <w:szCs w:val="18"/>
                        </w:rPr>
                        <w:t>实际核销的应收账款</w:t>
                      </w:r>
                    </w:p>
                  </w:txbxContent>
                </v:textbox>
                <w10:wrap type="none"/>
              </v:shape>
              <v:shape style="position:absolute;left:4794;top:10;width:4784;height:402" type="#_x0000_t202" filled="false" stroked="false">
                <v:textbox inset="0,0,0,0">
                  <w:txbxContent>
                    <w:p>
                      <w:pPr>
                        <w:spacing w:before="97"/>
                        <w:ind w:left="0" w:right="105" w:firstLine="0"/>
                        <w:jc w:val="right"/>
                        <w:rPr>
                          <w:rFonts w:ascii="Times New Roman" w:hAnsi="Times New Roman" w:cs="Times New Roman" w:eastAsia="Times New Roman" w:hint="default"/>
                          <w:sz w:val="18"/>
                          <w:szCs w:val="18"/>
                        </w:rPr>
                      </w:pPr>
                      <w:r>
                        <w:rPr>
                          <w:rFonts w:ascii="Times New Roman"/>
                          <w:spacing w:val="-1"/>
                          <w:sz w:val="18"/>
                        </w:rPr>
                        <w:t>33,707.50</w:t>
                      </w:r>
                    </w:p>
                  </w:txbxContent>
                </v:textbox>
                <w10:wrap type="none"/>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1" w:right="159"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89"/>
        <w:ind w:right="2127"/>
        <w:jc w:val="left"/>
      </w:pPr>
      <w:r>
        <w:rPr/>
        <w:t>应收账款核销说明：本期应收账款核销主要系客户长期未履行偿付义务，预计无法收回。</w:t>
      </w:r>
    </w:p>
    <w:p>
      <w:pPr>
        <w:spacing w:line="240" w:lineRule="auto" w:before="12"/>
        <w:rPr>
          <w:rFonts w:ascii="宋体" w:hAnsi="宋体" w:cs="宋体" w:eastAsia="宋体" w:hint="default"/>
          <w:sz w:val="25"/>
          <w:szCs w:val="25"/>
        </w:rPr>
      </w:pPr>
    </w:p>
    <w:p>
      <w:pPr>
        <w:pStyle w:val="Heading5"/>
        <w:spacing w:line="240" w:lineRule="auto"/>
        <w:ind w:right="2127"/>
        <w:jc w:val="left"/>
        <w:rPr>
          <w:b w:val="0"/>
          <w:bCs w:val="0"/>
        </w:rPr>
      </w:pPr>
      <w:bookmarkStart w:name="（4）按欠款方归集的期末余额前五名的应收账款情况" w:id="253"/>
      <w:bookmarkEnd w:id="25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529"/>
        <w:gridCol w:w="2528"/>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9" w:right="17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52,377,408.35</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8.52%</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45,643,139.73</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7.42%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334,997.99</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23,139,061.61</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3.76%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4,464.98</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18,313,000.00</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2.98%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1,806,300.00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17,444,299.38</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2.84%</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156,916,909.07</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25.52%</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5）因金融资产转移而终止确认的应收账款" w:id="254"/>
      <w:bookmarkEnd w:id="25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6）转移应收账款且继续涉入形成的资产、负债金额" w:id="255"/>
      <w:bookmarkEnd w:id="25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6、应收款项融资" w:id="256"/>
      <w:bookmarkEnd w:id="256"/>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13,442,445.63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28,754,112.61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17,896,132.80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2,332,098.05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31,338,578.43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31,086,210.66</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60" w:lineRule="auto" w:before="117"/>
        <w:ind w:left="112" w:right="1394" w:firstLine="0"/>
        <w:jc w:val="left"/>
        <w:rPr>
          <w:rFonts w:ascii="宋体" w:hAnsi="宋体" w:cs="宋体" w:eastAsia="宋体" w:hint="default"/>
          <w:sz w:val="18"/>
          <w:szCs w:val="18"/>
        </w:rPr>
      </w:pPr>
      <w:r>
        <w:rPr>
          <w:rFonts w:ascii="宋体" w:hAnsi="宋体" w:cs="宋体" w:eastAsia="宋体" w:hint="default"/>
          <w:sz w:val="18"/>
          <w:szCs w:val="18"/>
        </w:rPr>
        <w:t>□ 适用 √ 不适用 如是按照预期信用损失一般模型计提应收款项融资减值准备，请参照其他应收款的披露方式披露减值准备的相关信息：</w:t>
      </w:r>
    </w:p>
    <w:p>
      <w:pPr>
        <w:spacing w:line="360" w:lineRule="auto" w:before="25"/>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after="0" w:line="36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7、预付款项" w:id="257"/>
      <w:bookmarkEnd w:id="257"/>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预付款项按账龄列示" w:id="258"/>
      <w:bookmarkEnd w:id="25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56,461,685.70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31,507,761.81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6,397,548.63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4,105,534.32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3,406,398.94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1,580,699.57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660,987.81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84,002.19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66,926,621.08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37,277,997.89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943"/>
        <w:gridCol w:w="1504"/>
        <w:gridCol w:w="1122"/>
        <w:gridCol w:w="2959"/>
      </w:tblGrid>
      <w:tr>
        <w:trPr>
          <w:trHeight w:val="354" w:hRule="exact"/>
        </w:trPr>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1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72"/>
              <w:jc w:val="right"/>
              <w:rPr>
                <w:rFonts w:ascii="宋体" w:hAnsi="宋体" w:cs="宋体" w:eastAsia="宋体" w:hint="default"/>
                <w:sz w:val="18"/>
                <w:szCs w:val="18"/>
              </w:rPr>
            </w:pPr>
            <w:r>
              <w:rPr>
                <w:rFonts w:ascii="宋体" w:hAnsi="宋体" w:cs="宋体" w:eastAsia="宋体" w:hint="default"/>
                <w:sz w:val="18"/>
                <w:szCs w:val="18"/>
              </w:rPr>
              <w:t>账龄</w:t>
            </w:r>
          </w:p>
        </w:tc>
        <w:tc>
          <w:tcPr>
            <w:tcW w:w="29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南宁市傲日消防有限责任公司</w:t>
            </w:r>
          </w:p>
        </w:tc>
        <w:tc>
          <w:tcPr>
            <w:tcW w:w="15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3,022,148.80</w:t>
            </w:r>
          </w:p>
        </w:tc>
        <w:tc>
          <w:tcPr>
            <w:tcW w:w="1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2-3年</w:t>
            </w:r>
          </w:p>
        </w:tc>
        <w:tc>
          <w:tcPr>
            <w:tcW w:w="2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right="7"/>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5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3,022,148.80</w:t>
            </w:r>
          </w:p>
        </w:tc>
        <w:tc>
          <w:tcPr>
            <w:tcW w:w="1122" w:type="dxa"/>
            <w:tcBorders>
              <w:top w:val="single" w:sz="12" w:space="0" w:color="000000"/>
              <w:left w:val="single" w:sz="6" w:space="0" w:color="000000"/>
              <w:bottom w:val="single" w:sz="12" w:space="0" w:color="000000"/>
              <w:right w:val="single" w:sz="6" w:space="0" w:color="000000"/>
            </w:tcBorders>
          </w:tcPr>
          <w:p>
            <w:pPr/>
          </w:p>
        </w:tc>
        <w:tc>
          <w:tcPr>
            <w:tcW w:w="295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943" w:type="dxa"/>
            <w:tcBorders>
              <w:top w:val="single" w:sz="12" w:space="0" w:color="000000"/>
              <w:left w:val="single" w:sz="6" w:space="0" w:color="000000"/>
              <w:bottom w:val="single" w:sz="12" w:space="0" w:color="000000"/>
              <w:right w:val="nil" w:sz="6" w:space="0" w:color="auto"/>
            </w:tcBorders>
          </w:tcPr>
          <w:p>
            <w:pPr/>
          </w:p>
        </w:tc>
        <w:tc>
          <w:tcPr>
            <w:tcW w:w="5585" w:type="dxa"/>
            <w:gridSpan w:val="3"/>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4"/>
        <w:ind w:right="2127"/>
        <w:jc w:val="left"/>
        <w:rPr>
          <w:b w:val="0"/>
          <w:bCs w:val="0"/>
        </w:rPr>
      </w:pPr>
      <w:bookmarkStart w:name="（2）按预付对象归集的期末余额前五名的预付款情况" w:id="259"/>
      <w:bookmarkEnd w:id="25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802"/>
        <w:gridCol w:w="1417"/>
        <w:gridCol w:w="992"/>
        <w:gridCol w:w="1276"/>
        <w:gridCol w:w="2041"/>
      </w:tblGrid>
      <w:tr>
        <w:trPr>
          <w:trHeight w:val="330" w:hRule="exact"/>
        </w:trPr>
        <w:tc>
          <w:tcPr>
            <w:tcW w:w="28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5"/>
              <w:jc w:val="right"/>
              <w:rPr>
                <w:rFonts w:ascii="宋体" w:hAnsi="宋体" w:cs="宋体" w:eastAsia="宋体" w:hint="default"/>
                <w:sz w:val="18"/>
                <w:szCs w:val="18"/>
              </w:rPr>
            </w:pPr>
            <w:r>
              <w:rPr>
                <w:rFonts w:ascii="宋体" w:hAnsi="宋体" w:cs="宋体" w:eastAsia="宋体" w:hint="default"/>
                <w:sz w:val="18"/>
                <w:szCs w:val="18"/>
              </w:rPr>
              <w:t>占预付款项</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041" w:type="dxa"/>
            <w:tcBorders>
              <w:top w:val="single" w:sz="6" w:space="0" w:color="000000"/>
              <w:left w:val="single" w:sz="6" w:space="0" w:color="000000"/>
              <w:bottom w:val="nil" w:sz="6" w:space="0" w:color="auto"/>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12" w:hRule="exact"/>
        </w:trPr>
        <w:tc>
          <w:tcPr>
            <w:tcW w:w="2802" w:type="dxa"/>
            <w:tcBorders>
              <w:top w:val="nil" w:sz="6" w:space="0" w:color="auto"/>
              <w:left w:val="single" w:sz="6" w:space="0" w:color="000000"/>
              <w:bottom w:val="nil" w:sz="6" w:space="0" w:color="auto"/>
              <w:right w:val="single" w:sz="6" w:space="0" w:color="000000"/>
            </w:tcBorders>
          </w:tcPr>
          <w:p>
            <w:pPr/>
          </w:p>
        </w:tc>
        <w:tc>
          <w:tcPr>
            <w:tcW w:w="1417"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总额的比例</w:t>
            </w:r>
          </w:p>
        </w:tc>
        <w:tc>
          <w:tcPr>
            <w:tcW w:w="1276" w:type="dxa"/>
            <w:tcBorders>
              <w:top w:val="nil" w:sz="6" w:space="0" w:color="auto"/>
              <w:left w:val="single" w:sz="6" w:space="0" w:color="000000"/>
              <w:bottom w:val="nil" w:sz="6" w:space="0" w:color="auto"/>
              <w:right w:val="single" w:sz="6" w:space="0" w:color="000000"/>
            </w:tcBorders>
          </w:tcPr>
          <w:p>
            <w:pPr/>
          </w:p>
        </w:tc>
        <w:tc>
          <w:tcPr>
            <w:tcW w:w="2041" w:type="dxa"/>
            <w:tcBorders>
              <w:top w:val="nil" w:sz="6" w:space="0" w:color="auto"/>
              <w:left w:val="single" w:sz="6" w:space="0" w:color="000000"/>
              <w:bottom w:val="nil" w:sz="6" w:space="0" w:color="auto"/>
              <w:right w:val="nil" w:sz="6" w:space="0" w:color="auto"/>
            </w:tcBorders>
          </w:tcPr>
          <w:p>
            <w:pPr/>
          </w:p>
        </w:tc>
      </w:tr>
      <w:tr>
        <w:trPr>
          <w:trHeight w:val="336" w:hRule="exact"/>
        </w:trPr>
        <w:tc>
          <w:tcPr>
            <w:tcW w:w="2802" w:type="dxa"/>
            <w:tcBorders>
              <w:top w:val="nil" w:sz="6" w:space="0" w:color="auto"/>
              <w:left w:val="single" w:sz="6" w:space="0" w:color="000000"/>
              <w:bottom w:val="single" w:sz="12" w:space="0" w:color="000000"/>
              <w:right w:val="single" w:sz="6" w:space="0" w:color="000000"/>
            </w:tcBorders>
          </w:tcPr>
          <w:p>
            <w:pPr/>
          </w:p>
        </w:tc>
        <w:tc>
          <w:tcPr>
            <w:tcW w:w="1417"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276" w:type="dxa"/>
            <w:tcBorders>
              <w:top w:val="nil" w:sz="6" w:space="0" w:color="auto"/>
              <w:left w:val="single" w:sz="6" w:space="0" w:color="000000"/>
              <w:bottom w:val="single" w:sz="12" w:space="0" w:color="000000"/>
              <w:right w:val="single" w:sz="6" w:space="0" w:color="000000"/>
            </w:tcBorders>
          </w:tcPr>
          <w:p>
            <w:pPr/>
          </w:p>
        </w:tc>
        <w:tc>
          <w:tcPr>
            <w:tcW w:w="2041" w:type="dxa"/>
            <w:tcBorders>
              <w:top w:val="nil" w:sz="6" w:space="0" w:color="auto"/>
              <w:left w:val="single" w:sz="6" w:space="0" w:color="000000"/>
              <w:bottom w:val="single" w:sz="12" w:space="0" w:color="000000"/>
              <w:right w:val="nil" w:sz="6" w:space="0" w:color="auto"/>
            </w:tcBorders>
          </w:tcPr>
          <w:p>
            <w:pPr/>
          </w:p>
        </w:tc>
      </w:tr>
      <w:tr>
        <w:trPr>
          <w:trHeight w:val="36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安徽天立泰科技股份有限公司</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12,582,543.00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18.80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0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
              <w:ind w:right="8"/>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安徽春勤教育装备有限公司</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10,977,410.00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16.40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0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8"/>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4,860,000.00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7.26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0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
              <w:ind w:right="8"/>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南宁市傲日消防有限责任公司</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3,022,148.80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2-3年</w:t>
            </w:r>
          </w:p>
        </w:tc>
        <w:tc>
          <w:tcPr>
            <w:tcW w:w="20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right="8"/>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安徽曦腾信息科技有限公司</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3,011,880.00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1年以内</w:t>
            </w:r>
          </w:p>
        </w:tc>
        <w:tc>
          <w:tcPr>
            <w:tcW w:w="20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right="8"/>
              <w:jc w:val="center"/>
              <w:rPr>
                <w:rFonts w:ascii="宋体" w:hAnsi="宋体" w:cs="宋体" w:eastAsia="宋体" w:hint="default"/>
                <w:sz w:val="20"/>
                <w:szCs w:val="20"/>
              </w:rPr>
            </w:pPr>
            <w:r>
              <w:rPr>
                <w:rFonts w:ascii="宋体" w:hAnsi="宋体" w:cs="宋体" w:eastAsia="宋体" w:hint="default"/>
                <w:sz w:val="20"/>
                <w:szCs w:val="20"/>
              </w:rPr>
              <w:t>未到结算期</w:t>
            </w:r>
          </w:p>
        </w:tc>
      </w:tr>
      <w:tr>
        <w:trPr>
          <w:trHeight w:val="362" w:hRule="exact"/>
        </w:trPr>
        <w:tc>
          <w:tcPr>
            <w:tcW w:w="28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34,453,981.80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51.48</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204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8、其他应收款" w:id="260"/>
      <w:bookmarkEnd w:id="260"/>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73,153,345.96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86,826,178.01</w:t>
            </w:r>
          </w:p>
        </w:tc>
      </w:tr>
    </w:tbl>
    <w:p>
      <w:pPr>
        <w:spacing w:after="0" w:line="240" w:lineRule="auto"/>
        <w:jc w:val="lef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73,708,345.96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86,826,178.01</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1）应收利息" w:id="261"/>
      <w:bookmarkEnd w:id="26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应收利息分类" w:id="262"/>
      <w:bookmarkEnd w:id="262"/>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2）重要逾期利息" w:id="263"/>
      <w:bookmarkEnd w:id="263"/>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坏账准备计提情况" w:id="264"/>
      <w:bookmarkEnd w:id="26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2）应收股利" w:id="265"/>
      <w:bookmarkEnd w:id="26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收股利分类" w:id="266"/>
      <w:bookmarkEnd w:id="26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安徽西太华信息科技有限公司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555,000.00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2）重要的账龄超过1年的应收股利" w:id="267"/>
      <w:bookmarkEnd w:id="267"/>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3）坏账准备计提情况" w:id="268"/>
      <w:bookmarkEnd w:id="26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after="0" w:line="36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其他应收款" w:id="269"/>
      <w:bookmarkEnd w:id="26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其他应收款按款项性质分类情况" w:id="270"/>
      <w:bookmarkEnd w:id="27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79,229,474.59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90,732,754.73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8,759,446.94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9,067,526.44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4,607,600.00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4,607,600.00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3,112,070.50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1,594,152.49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95,708,592.03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106,002,033.66</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2）坏账准备计提情况" w:id="271"/>
      <w:bookmarkEnd w:id="27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14,168,255.65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5,007,600.00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19,175,855.65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-2,118,055.90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2,118,055.90</w:t>
            </w: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3,661,713.93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3,661,713.93</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232,375.01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232,375.01</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49,948.50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49,948.50</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15,429,590.17</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7,125,655.90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22,555,246.07</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2230" w:firstLine="0"/>
        <w:jc w:val="left"/>
        <w:rPr>
          <w:rFonts w:ascii="宋体" w:hAnsi="宋体" w:cs="宋体" w:eastAsia="宋体" w:hint="default"/>
          <w:sz w:val="18"/>
          <w:szCs w:val="18"/>
        </w:rPr>
      </w:pPr>
      <w:r>
        <w:rPr>
          <w:rFonts w:ascii="宋体" w:hAnsi="宋体" w:cs="宋体" w:eastAsia="宋体" w:hint="default"/>
          <w:sz w:val="18"/>
          <w:szCs w:val="18"/>
        </w:rPr>
        <w:t>□ 适用 √ 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3893" w:space="493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35,239,477.65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1-6 </w:t>
            </w:r>
            <w:r>
              <w:rPr>
                <w:rFonts w:ascii="宋体" w:hAnsi="宋体" w:cs="宋体" w:eastAsia="宋体" w:hint="default"/>
                <w:sz w:val="18"/>
                <w:szCs w:val="18"/>
              </w:rPr>
              <w:t>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28,803,969.84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6,435,507.81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16,804,452.97</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25,368,335.84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18,296,325.57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5,979,923.82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1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5,029,767.85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7,286,633.90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95,708,592.03</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3）本期计提、收回或转回的坏账准备情况" w:id="272"/>
      <w:bookmarkEnd w:id="27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194"/>
        <w:gridCol w:w="1303"/>
        <w:gridCol w:w="1092"/>
        <w:gridCol w:w="1736"/>
        <w:gridCol w:w="173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1"/>
              <w:jc w:val="both"/>
              <w:rPr>
                <w:rFonts w:ascii="宋体" w:hAnsi="宋体" w:cs="宋体" w:eastAsia="宋体" w:hint="default"/>
                <w:sz w:val="18"/>
                <w:szCs w:val="18"/>
              </w:rPr>
            </w:pPr>
            <w:r>
              <w:rPr>
                <w:rFonts w:ascii="宋体" w:hAnsi="宋体" w:cs="宋体" w:eastAsia="宋体" w:hint="default"/>
                <w:sz w:val="18"/>
                <w:szCs w:val="18"/>
              </w:rPr>
              <w:t>单项计提预期 信用损失的其 他应收款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5,007,600.0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2,118,055.90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7,125,655.90</w:t>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1"/>
              <w:jc w:val="both"/>
              <w:rPr>
                <w:rFonts w:ascii="宋体" w:hAnsi="宋体" w:cs="宋体" w:eastAsia="宋体" w:hint="default"/>
                <w:sz w:val="18"/>
                <w:szCs w:val="18"/>
              </w:rPr>
            </w:pPr>
            <w:r>
              <w:rPr>
                <w:rFonts w:ascii="宋体" w:hAnsi="宋体" w:cs="宋体" w:eastAsia="宋体" w:hint="default"/>
                <w:sz w:val="18"/>
                <w:szCs w:val="18"/>
              </w:rPr>
              <w:t>按组合计提预 期信用损失的 其他应收款</w:t>
            </w:r>
          </w:p>
        </w:tc>
        <w:tc>
          <w:tcPr>
            <w:tcW w:w="1098"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9"/>
                <w:sz w:val="18"/>
                <w:szCs w:val="18"/>
              </w:rPr>
              <w:t>其中：账龄分析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法组合</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14,168,255.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3,661,713.93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232,375.01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49,948.50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-2,118,055.90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15,429,590.17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19,175,855.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3,661,713.93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232,375.01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49,948.50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22,555,246.07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9" w:footer="1016" w:top="1120" w:bottom="1200" w:left="1020" w:right="0"/>
        </w:sectPr>
      </w:pPr>
    </w:p>
    <w:p>
      <w:pPr>
        <w:spacing w:before="26"/>
        <w:ind w:left="112" w:right="-20" w:firstLine="0"/>
        <w:jc w:val="left"/>
        <w:rPr>
          <w:rFonts w:ascii="宋体" w:hAnsi="宋体" w:cs="宋体" w:eastAsia="宋体" w:hint="default"/>
          <w:sz w:val="24"/>
          <w:szCs w:val="24"/>
        </w:rPr>
      </w:pPr>
      <w:r>
        <w:rPr>
          <w:rFonts w:ascii="宋体" w:hAnsi="宋体" w:cs="宋体" w:eastAsia="宋体" w:hint="default"/>
          <w:sz w:val="24"/>
          <w:szCs w:val="24"/>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4673" w:space="415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4）本期实际核销的其他应收款情况" w:id="273"/>
      <w:bookmarkEnd w:id="27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49,948.50</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16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73" w:lineRule="auto" w:before="89"/>
        <w:ind w:right="1754"/>
        <w:jc w:val="left"/>
      </w:pPr>
      <w:r>
        <w:rPr>
          <w:w w:val="95"/>
        </w:rPr>
        <w:t>本期核销的其他应收款系全资孙公司宁波拖柜宝物流科技有限责任公司本期注销时将所有往来款核销所   </w:t>
      </w:r>
      <w:r>
        <w:rPr>
          <w:spacing w:val="50"/>
          <w:w w:val="95"/>
        </w:rPr>
        <w:t> </w:t>
      </w:r>
      <w:r>
        <w:rPr>
          <w:spacing w:val="50"/>
          <w:w w:val="95"/>
        </w:rPr>
      </w:r>
      <w:r>
        <w:rPr/>
        <w:t>致</w:t>
      </w:r>
    </w:p>
    <w:p>
      <w:pPr>
        <w:spacing w:line="240" w:lineRule="auto" w:before="9"/>
        <w:rPr>
          <w:rFonts w:ascii="宋体" w:hAnsi="宋体" w:cs="宋体" w:eastAsia="宋体" w:hint="default"/>
          <w:sz w:val="23"/>
          <w:szCs w:val="23"/>
        </w:rPr>
      </w:pPr>
    </w:p>
    <w:p>
      <w:pPr>
        <w:pStyle w:val="Heading5"/>
        <w:spacing w:line="240" w:lineRule="auto"/>
        <w:ind w:right="2127"/>
        <w:jc w:val="left"/>
        <w:rPr>
          <w:b w:val="0"/>
          <w:bCs w:val="0"/>
        </w:rPr>
      </w:pPr>
      <w:bookmarkStart w:name="5）按欠款方归集的期末余额前五名的其他应收款情况" w:id="274"/>
      <w:bookmarkEnd w:id="27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19,827,227.02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3,965,445.40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3,760,453.04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188,022.65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3,240,400.00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3.39%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2,406,816.00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1,019,831.00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2.51%</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620,061.70</w:t>
            </w:r>
          </w:p>
        </w:tc>
      </w:tr>
      <w:tr>
        <w:trPr>
          <w:trHeight w:val="352" w:hRule="exact"/>
        </w:trPr>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1,386,985.00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2,118,055.90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2,118,055.90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31,352,951.96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6,891,585.65</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6）涉及政府补助的应收款项" w:id="275"/>
      <w:bookmarkEnd w:id="27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7）因金融资产转移而终止确认的其他应收款" w:id="276"/>
      <w:bookmarkEnd w:id="27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8）转移其他应收款且继续涉入形成的资产、负债金额" w:id="277"/>
      <w:bookmarkEnd w:id="277"/>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5"/>
        <w:spacing w:line="240" w:lineRule="auto"/>
        <w:ind w:right="2127"/>
        <w:jc w:val="left"/>
        <w:rPr>
          <w:b w:val="0"/>
          <w:bCs w:val="0"/>
        </w:rPr>
      </w:pPr>
      <w:bookmarkStart w:name="9、存货" w:id="278"/>
      <w:bookmarkEnd w:id="278"/>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1）存货分类" w:id="279"/>
      <w:bookmarkEnd w:id="27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spacing w:line="340" w:lineRule="auto"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7853" w:space="97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7" w:hRule="exact"/>
        </w:trPr>
        <w:tc>
          <w:tcPr>
            <w:tcW w:w="1368" w:type="dxa"/>
            <w:vMerge/>
            <w:tcBorders>
              <w:left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存货跌价准备</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存货跌价准备</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68" w:type="dxa"/>
            <w:vMerge/>
            <w:tcBorders>
              <w:left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或合同履约成</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或合同履约成</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7"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本减值准备</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本减值准备</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按下列格式披露“开发成本”主要项目及其利息资本化情况：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6"/>
        <w:gridCol w:w="798"/>
        <w:gridCol w:w="798"/>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122"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2" w:right="123" w:hanging="180"/>
              <w:jc w:val="left"/>
              <w:rPr>
                <w:rFonts w:ascii="宋体" w:hAnsi="宋体" w:cs="宋体" w:eastAsia="宋体" w:hint="default"/>
                <w:sz w:val="18"/>
                <w:szCs w:val="18"/>
              </w:rPr>
            </w:pPr>
            <w:r>
              <w:rPr>
                <w:rFonts w:ascii="宋体" w:hAnsi="宋体" w:cs="宋体" w:eastAsia="宋体" w:hint="default"/>
                <w:sz w:val="18"/>
                <w:szCs w:val="18"/>
              </w:rPr>
              <w:t>开工时 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2" w:right="123"/>
              <w:jc w:val="left"/>
              <w:rPr>
                <w:rFonts w:ascii="宋体" w:hAnsi="宋体" w:cs="宋体" w:eastAsia="宋体" w:hint="default"/>
                <w:sz w:val="18"/>
                <w:szCs w:val="18"/>
              </w:rPr>
            </w:pPr>
            <w:r>
              <w:rPr>
                <w:rFonts w:ascii="宋体" w:hAnsi="宋体" w:cs="宋体" w:eastAsia="宋体" w:hint="default"/>
                <w:sz w:val="18"/>
                <w:szCs w:val="18"/>
              </w:rPr>
              <w:t>预计竣 工时间</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13" w:right="122" w:hanging="92"/>
              <w:jc w:val="left"/>
              <w:rPr>
                <w:rFonts w:ascii="宋体" w:hAnsi="宋体" w:cs="宋体" w:eastAsia="宋体" w:hint="default"/>
                <w:sz w:val="18"/>
                <w:szCs w:val="18"/>
              </w:rPr>
            </w:pPr>
            <w:r>
              <w:rPr>
                <w:rFonts w:ascii="宋体" w:hAnsi="宋体" w:cs="宋体" w:eastAsia="宋体" w:hint="default"/>
                <w:sz w:val="18"/>
                <w:szCs w:val="18"/>
              </w:rPr>
              <w:t>预计总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3" w:right="142"/>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本期转 入开发 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5" w:right="12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316" w:lineRule="auto" w:before="76"/>
              <w:ind w:left="123" w:right="122"/>
              <w:jc w:val="both"/>
              <w:rPr>
                <w:rFonts w:ascii="宋体" w:hAnsi="宋体" w:cs="宋体" w:eastAsia="宋体" w:hint="default"/>
                <w:sz w:val="18"/>
                <w:szCs w:val="18"/>
              </w:rPr>
            </w:pPr>
            <w:r>
              <w:rPr>
                <w:rFonts w:ascii="宋体" w:hAnsi="宋体" w:cs="宋体" w:eastAsia="宋体" w:hint="default"/>
                <w:sz w:val="18"/>
                <w:szCs w:val="18"/>
              </w:rPr>
              <w:t>（开发 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12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按下列格式项目披露“开发产品”主要项目信息：</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0"/>
        <w:gridCol w:w="937"/>
        <w:gridCol w:w="1143"/>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7" w:right="155" w:hanging="272"/>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5" w:right="101" w:hanging="142"/>
              <w:jc w:val="left"/>
              <w:rPr>
                <w:rFonts w:ascii="宋体" w:hAnsi="宋体" w:cs="宋体" w:eastAsia="宋体" w:hint="default"/>
                <w:sz w:val="18"/>
                <w:szCs w:val="18"/>
              </w:rPr>
            </w:pPr>
            <w:r>
              <w:rPr>
                <w:rFonts w:ascii="宋体" w:hAnsi="宋体" w:cs="宋体" w:eastAsia="宋体" w:hint="default"/>
                <w:spacing w:val="-11"/>
                <w:sz w:val="18"/>
                <w:szCs w:val="18"/>
              </w:rPr>
              <w:t>其中：本期利息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资本化金额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按下列格式分项目披露“分期收款开发产品</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“出租开发产品</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“周转房</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783"/>
        <w:gridCol w:w="2153"/>
        <w:gridCol w:w="1655"/>
        <w:gridCol w:w="264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2）存货跌价准备和合同履约成本减值准备" w:id="280"/>
      <w:bookmarkEnd w:id="280"/>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20" w:bottom="1200" w:left="1020" w:right="0"/>
        </w:sectPr>
      </w:pPr>
    </w:p>
    <w:p>
      <w:pPr>
        <w:spacing w:line="357"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3533" w:space="52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54" w:right="17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按主要项目分类：</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54" w:right="17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存货期末余额中利息资本化率的情况" w:id="281"/>
      <w:bookmarkEnd w:id="281"/>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4）存货受限情况" w:id="282"/>
      <w:bookmarkEnd w:id="282"/>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12"/>
        <w:rPr>
          <w:rFonts w:ascii="宋体" w:hAnsi="宋体" w:cs="宋体" w:eastAsia="宋体" w:hint="default"/>
          <w:b/>
          <w:bCs/>
          <w:sz w:val="22"/>
          <w:szCs w:val="22"/>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按项目披露受限存货情况：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38"/>
        <w:gridCol w:w="1821"/>
        <w:gridCol w:w="2505"/>
        <w:gridCol w:w="2503"/>
      </w:tblGrid>
      <w:tr>
        <w:trPr>
          <w:trHeight w:val="402"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5）存货分类" w:id="283"/>
      <w:bookmarkEnd w:id="283"/>
      <w:r>
        <w:rPr>
          <w:b w:val="0"/>
          <w:bCs w:val="0"/>
        </w:rPr>
      </w:r>
      <w:r>
        <w:rPr/>
        <w:t>（</w:t>
      </w:r>
      <w:r>
        <w:rPr>
          <w:rFonts w:ascii="Times New Roman" w:hAnsi="Times New Roman" w:cs="Times New Roman" w:eastAsia="Times New Roman" w:hint="default"/>
        </w:rPr>
        <w:t>5</w:t>
      </w:r>
      <w:r>
        <w:rPr/>
        <w:t>）存货分类</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2"/>
          <w:pgSz w:w="11910" w:h="16840"/>
          <w:pgMar w:footer="1016" w:header="919" w:top="1120" w:bottom="1200" w:left="1020" w:right="0"/>
          <w:pgNumType w:start="170"/>
        </w:sectPr>
      </w:pPr>
    </w:p>
    <w:p>
      <w:pPr>
        <w:spacing w:line="340" w:lineRule="auto"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7853" w:space="97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按下列格式披露“开发成本”主要项目及其利息资本化情况：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6"/>
        <w:gridCol w:w="798"/>
        <w:gridCol w:w="798"/>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2" w:right="123" w:hanging="180"/>
              <w:jc w:val="left"/>
              <w:rPr>
                <w:rFonts w:ascii="宋体" w:hAnsi="宋体" w:cs="宋体" w:eastAsia="宋体" w:hint="default"/>
                <w:sz w:val="18"/>
                <w:szCs w:val="18"/>
              </w:rPr>
            </w:pPr>
            <w:r>
              <w:rPr>
                <w:rFonts w:ascii="宋体" w:hAnsi="宋体" w:cs="宋体" w:eastAsia="宋体" w:hint="default"/>
                <w:sz w:val="18"/>
                <w:szCs w:val="18"/>
              </w:rPr>
              <w:t>开工时 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2" w:right="123"/>
              <w:jc w:val="left"/>
              <w:rPr>
                <w:rFonts w:ascii="宋体" w:hAnsi="宋体" w:cs="宋体" w:eastAsia="宋体" w:hint="default"/>
                <w:sz w:val="18"/>
                <w:szCs w:val="18"/>
              </w:rPr>
            </w:pPr>
            <w:r>
              <w:rPr>
                <w:rFonts w:ascii="宋体" w:hAnsi="宋体" w:cs="宋体" w:eastAsia="宋体" w:hint="default"/>
                <w:sz w:val="18"/>
                <w:szCs w:val="18"/>
              </w:rPr>
              <w:t>预计竣 工时间</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3" w:right="122" w:hanging="92"/>
              <w:jc w:val="left"/>
              <w:rPr>
                <w:rFonts w:ascii="宋体" w:hAnsi="宋体" w:cs="宋体" w:eastAsia="宋体" w:hint="default"/>
                <w:sz w:val="18"/>
                <w:szCs w:val="18"/>
              </w:rPr>
            </w:pPr>
            <w:r>
              <w:rPr>
                <w:rFonts w:ascii="宋体" w:hAnsi="宋体" w:cs="宋体" w:eastAsia="宋体" w:hint="default"/>
                <w:sz w:val="18"/>
                <w:szCs w:val="18"/>
              </w:rPr>
              <w:t>预计总 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42"/>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本期转 入开发 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5" w:right="12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316" w:lineRule="auto" w:before="76"/>
              <w:ind w:left="123" w:right="122"/>
              <w:jc w:val="both"/>
              <w:rPr>
                <w:rFonts w:ascii="宋体" w:hAnsi="宋体" w:cs="宋体" w:eastAsia="宋体" w:hint="default"/>
                <w:sz w:val="18"/>
                <w:szCs w:val="18"/>
              </w:rPr>
            </w:pPr>
            <w:r>
              <w:rPr>
                <w:rFonts w:ascii="宋体" w:hAnsi="宋体" w:cs="宋体" w:eastAsia="宋体" w:hint="default"/>
                <w:sz w:val="18"/>
                <w:szCs w:val="18"/>
              </w:rPr>
              <w:t>（开发 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按下列格式项目披露“开发产品”主要项目信息：</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0"/>
        <w:gridCol w:w="937"/>
        <w:gridCol w:w="1143"/>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7" w:right="155" w:hanging="272"/>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5" w:right="101" w:hanging="142"/>
              <w:jc w:val="left"/>
              <w:rPr>
                <w:rFonts w:ascii="宋体" w:hAnsi="宋体" w:cs="宋体" w:eastAsia="宋体" w:hint="default"/>
                <w:sz w:val="18"/>
                <w:szCs w:val="18"/>
              </w:rPr>
            </w:pPr>
            <w:r>
              <w:rPr>
                <w:rFonts w:ascii="宋体" w:hAnsi="宋体" w:cs="宋体" w:eastAsia="宋体" w:hint="default"/>
                <w:spacing w:val="-11"/>
                <w:sz w:val="18"/>
                <w:szCs w:val="18"/>
              </w:rPr>
              <w:t>其中：本期利息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资本化金额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按下列格式分项目披露“分期收款开发产品</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“出租开发产品</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“周转房</w:t>
      </w:r>
      <w:r>
        <w:rPr>
          <w:rFonts w:ascii="宋体" w:hAnsi="宋体" w:cs="宋体" w:eastAsia="宋体" w:hint="default"/>
          <w:spacing w:val="-89"/>
          <w:sz w:val="18"/>
          <w:szCs w:val="18"/>
        </w:rPr>
        <w:t>”</w:t>
      </w:r>
      <w:r>
        <w:rPr>
          <w:rFonts w:ascii="宋体" w:hAnsi="宋体" w:cs="宋体" w:eastAsia="宋体" w:hint="default"/>
          <w:sz w:val="18"/>
          <w:szCs w:val="18"/>
        </w:rPr>
        <w:t>：</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29"/>
        <w:gridCol w:w="1783"/>
        <w:gridCol w:w="2153"/>
        <w:gridCol w:w="1655"/>
        <w:gridCol w:w="2649"/>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6）存货跌价准备" w:id="284"/>
      <w:bookmarkEnd w:id="284"/>
      <w:r>
        <w:rPr>
          <w:b w:val="0"/>
          <w:bCs w:val="0"/>
        </w:rPr>
      </w:r>
      <w:r>
        <w:rPr/>
        <w:t>（</w:t>
      </w:r>
      <w:r>
        <w:rPr>
          <w:rFonts w:ascii="Times New Roman" w:hAnsi="Times New Roman" w:cs="Times New Roman" w:eastAsia="Times New Roman" w:hint="default"/>
        </w:rPr>
        <w:t>6</w:t>
      </w:r>
      <w:r>
        <w:rPr/>
        <w:t>）存货跌价准备</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20" w:bottom="1200" w:left="1020" w:right="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3533" w:space="52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54" w:right="17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按主要项目分类：</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2259"/>
        <w:gridCol w:w="2790"/>
        <w:gridCol w:w="1195"/>
        <w:gridCol w:w="1063"/>
      </w:tblGrid>
      <w:tr>
        <w:trPr>
          <w:trHeight w:val="400"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4"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3"/>
        <w:gridCol w:w="898"/>
        <w:gridCol w:w="1196"/>
        <w:gridCol w:w="1063"/>
        <w:gridCol w:w="1328"/>
        <w:gridCol w:w="1462"/>
        <w:gridCol w:w="1195"/>
        <w:gridCol w:w="1063"/>
      </w:tblGrid>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7）存货期末余额中利息资本化率的情况" w:id="285"/>
      <w:bookmarkEnd w:id="285"/>
      <w:r>
        <w:rPr>
          <w:b w:val="0"/>
          <w:bCs w:val="0"/>
        </w:rPr>
      </w: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8）存货受限情况" w:id="286"/>
      <w:bookmarkEnd w:id="286"/>
      <w:r>
        <w:rPr>
          <w:b w:val="0"/>
          <w:bCs w:val="0"/>
        </w:rPr>
      </w:r>
      <w:r>
        <w:rPr/>
        <w:t>（</w:t>
      </w:r>
      <w:r>
        <w:rPr>
          <w:rFonts w:ascii="Times New Roman" w:hAnsi="Times New Roman" w:cs="Times New Roman" w:eastAsia="Times New Roman" w:hint="default"/>
        </w:rPr>
        <w:t>8</w:t>
      </w:r>
      <w:r>
        <w:rPr/>
        <w:t>）存货受限情况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按项目披露受限存货情况：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38"/>
        <w:gridCol w:w="1821"/>
        <w:gridCol w:w="2505"/>
        <w:gridCol w:w="2503"/>
      </w:tblGrid>
      <w:tr>
        <w:trPr>
          <w:trHeight w:val="402"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9）期末建造合同形成的已完工未结算资产情况" w:id="287"/>
      <w:bookmarkEnd w:id="287"/>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10）存货分类" w:id="288"/>
      <w:bookmarkEnd w:id="288"/>
      <w:r>
        <w:rPr>
          <w:b w:val="0"/>
          <w:bCs w:val="0"/>
        </w:rPr>
      </w:r>
      <w:r>
        <w:rPr/>
        <w:t>（</w:t>
      </w:r>
      <w:r>
        <w:rPr>
          <w:rFonts w:ascii="Times New Roman" w:hAnsi="Times New Roman" w:cs="Times New Roman" w:eastAsia="Times New Roman" w:hint="default"/>
        </w:rPr>
        <w:t>10</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21,645,661.83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21,645,661.83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17,205,450.35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16,597,940.91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8,886,822.38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8,886,822.38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13,964,264.95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13,964,264.95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314,087,708.26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314,087,708.26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276,059,693.59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276,059,693.59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1,250.02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2,635,372.45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2,635,372.45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1,572,420.75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1,572,420.75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175,185,486.32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175,185,486.32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126,651,108.88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126,651,108.88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522,442,301.26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522,442,301.26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435,454,188.54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434,846,679.10</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11）存货跌价准备" w:id="289"/>
      <w:bookmarkEnd w:id="289"/>
      <w:r>
        <w:rPr>
          <w:b w:val="0"/>
          <w:bCs w:val="0"/>
        </w:rPr>
      </w:r>
      <w:r>
        <w:rPr/>
        <w:t>（</w:t>
      </w:r>
      <w:r>
        <w:rPr>
          <w:rFonts w:ascii="Times New Roman" w:hAnsi="Times New Roman" w:cs="Times New Roman" w:eastAsia="Times New Roman" w:hint="default"/>
        </w:rPr>
        <w:t>11</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5" w:right="0"/>
              <w:jc w:val="left"/>
              <w:rPr>
                <w:rFonts w:ascii="Times New Roman" w:hAnsi="Times New Roman" w:cs="Times New Roman" w:eastAsia="Times New Roman" w:hint="default"/>
                <w:sz w:val="18"/>
                <w:szCs w:val="18"/>
              </w:rPr>
            </w:pPr>
            <w:r>
              <w:rPr>
                <w:rFonts w:ascii="Times New Roman"/>
                <w:sz w:val="18"/>
              </w:rPr>
              <w:t>159,719.10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767,228.54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5" w:right="0"/>
              <w:jc w:val="left"/>
              <w:rPr>
                <w:rFonts w:ascii="Times New Roman" w:hAnsi="Times New Roman" w:cs="Times New Roman" w:eastAsia="Times New Roman" w:hint="default"/>
                <w:sz w:val="18"/>
                <w:szCs w:val="18"/>
              </w:rPr>
            </w:pPr>
            <w:r>
              <w:rPr>
                <w:rFonts w:ascii="Times New Roman"/>
                <w:sz w:val="18"/>
              </w:rPr>
              <w:t>159,719.10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767,228.54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before="0"/>
        <w:ind w:right="0"/>
        <w:jc w:val="left"/>
      </w:pPr>
      <w:r>
        <w:rPr/>
        <w:t>本期存货转销主要系全资孙公司天津信息港甲子科技有限公司本期注销时将所有的存货跌价准备转销所</w:t>
      </w:r>
    </w:p>
    <w:p>
      <w:pPr>
        <w:pStyle w:val="BodyText"/>
        <w:spacing w:line="240" w:lineRule="auto" w:before="37"/>
        <w:ind w:right="2127"/>
        <w:jc w:val="left"/>
      </w:pPr>
      <w:r>
        <w:rPr/>
        <w:t>致。</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12）存货期末余额含有借款费用资本化金额的说明" w:id="290"/>
      <w:bookmarkEnd w:id="290"/>
      <w:r>
        <w:rPr>
          <w:b w:val="0"/>
          <w:bCs w:val="0"/>
        </w:rPr>
      </w: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3）期末建造合同形成的已完工未结算资产情况" w:id="291"/>
      <w:bookmarkEnd w:id="291"/>
      <w:r>
        <w:rPr>
          <w:b w:val="0"/>
          <w:bCs w:val="0"/>
        </w:rPr>
      </w:r>
      <w:r>
        <w:rPr/>
        <w:t>（</w:t>
      </w:r>
      <w:r>
        <w:rPr>
          <w:rFonts w:ascii="Times New Roman" w:hAnsi="Times New Roman" w:cs="Times New Roman" w:eastAsia="Times New Roman" w:hint="default"/>
        </w:rPr>
        <w:t>13</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0、合同资产" w:id="292"/>
      <w:bookmarkEnd w:id="292"/>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196"/>
        <w:gridCol w:w="1329"/>
        <w:gridCol w:w="1195"/>
        <w:gridCol w:w="1196"/>
        <w:gridCol w:w="1196"/>
        <w:gridCol w:w="1324"/>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19"/>
        <w:gridCol w:w="4944"/>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57" w:lineRule="auto" w:before="117"/>
        <w:ind w:left="112" w:right="8234" w:firstLine="0"/>
        <w:jc w:val="left"/>
        <w:rPr>
          <w:rFonts w:ascii="宋体" w:hAnsi="宋体" w:cs="宋体" w:eastAsia="宋体" w:hint="default"/>
          <w:sz w:val="18"/>
          <w:szCs w:val="18"/>
        </w:rPr>
      </w:pPr>
      <w:r>
        <w:rPr>
          <w:rFonts w:ascii="宋体" w:hAnsi="宋体" w:cs="宋体" w:eastAsia="宋体" w:hint="default"/>
          <w:sz w:val="18"/>
          <w:szCs w:val="18"/>
        </w:rPr>
        <w:t>□ 适用 √ 不适用 本期合同资产计提减值准备情况</w:t>
      </w:r>
    </w:p>
    <w:p>
      <w:pPr>
        <w:spacing w:before="2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1、持有待售资产" w:id="293"/>
      <w:bookmarkEnd w:id="293"/>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7"/>
        <w:gridCol w:w="1367"/>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8"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12、一年内到期的非流动资产" w:id="294"/>
      <w:bookmarkEnd w:id="29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957"/>
        <w:gridCol w:w="958"/>
        <w:gridCol w:w="956"/>
        <w:gridCol w:w="957"/>
        <w:gridCol w:w="956"/>
        <w:gridCol w:w="957"/>
        <w:gridCol w:w="956"/>
        <w:gridCol w:w="957"/>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13、其他流动资产" w:id="295"/>
      <w:bookmarkEnd w:id="29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9" w:footer="1016" w:top="112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9,546,141.18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7,274,487.41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5,880,594.07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52,873.33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441,297.59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15,868,032.84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7,327,360.74</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4、债权投资" w:id="296"/>
      <w:bookmarkEnd w:id="296"/>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957"/>
        <w:gridCol w:w="958"/>
        <w:gridCol w:w="956"/>
        <w:gridCol w:w="957"/>
        <w:gridCol w:w="956"/>
        <w:gridCol w:w="957"/>
        <w:gridCol w:w="956"/>
        <w:gridCol w:w="957"/>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57"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line="240" w:lineRule="auto" w:before="3"/>
        <w:rPr>
          <w:rFonts w:ascii="宋体" w:hAnsi="宋体" w:cs="宋体" w:eastAsia="宋体" w:hint="default"/>
          <w:sz w:val="20"/>
          <w:szCs w:val="20"/>
        </w:rPr>
      </w:pPr>
    </w:p>
    <w:p>
      <w:pPr>
        <w:pStyle w:val="Heading5"/>
        <w:spacing w:line="240" w:lineRule="auto"/>
        <w:ind w:right="2127"/>
        <w:jc w:val="left"/>
        <w:rPr>
          <w:b w:val="0"/>
          <w:bCs w:val="0"/>
        </w:rPr>
      </w:pPr>
      <w:bookmarkStart w:name="15、其他债权投资" w:id="297"/>
      <w:bookmarkEnd w:id="297"/>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96"/>
        <w:gridCol w:w="1035"/>
        <w:gridCol w:w="1034"/>
        <w:gridCol w:w="1034"/>
        <w:gridCol w:w="1034"/>
        <w:gridCol w:w="1034"/>
        <w:gridCol w:w="1034"/>
        <w:gridCol w:w="1034"/>
        <w:gridCol w:w="1035"/>
      </w:tblGrid>
      <w:tr>
        <w:trPr>
          <w:trHeight w:val="346" w:hRule="exact"/>
        </w:trPr>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累计在其</w:t>
            </w:r>
          </w:p>
        </w:tc>
        <w:tc>
          <w:tcPr>
            <w:tcW w:w="10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34" w:hRule="exact"/>
        </w:trPr>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left="1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
              <w:ind w:left="152" w:right="150"/>
              <w:jc w:val="left"/>
              <w:rPr>
                <w:rFonts w:ascii="宋体" w:hAnsi="宋体" w:cs="宋体" w:eastAsia="宋体" w:hint="default"/>
                <w:sz w:val="18"/>
                <w:szCs w:val="18"/>
              </w:rPr>
            </w:pPr>
            <w:r>
              <w:rPr>
                <w:rFonts w:ascii="宋体" w:hAnsi="宋体" w:cs="宋体" w:eastAsia="宋体" w:hint="default"/>
                <w:sz w:val="18"/>
                <w:szCs w:val="18"/>
              </w:rPr>
              <w:t>本期公允 价值变动</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left="1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left="33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
              <w:ind w:left="150" w:right="151"/>
              <w:jc w:val="left"/>
              <w:rPr>
                <w:rFonts w:ascii="宋体" w:hAnsi="宋体" w:cs="宋体" w:eastAsia="宋体" w:hint="default"/>
                <w:sz w:val="18"/>
                <w:szCs w:val="18"/>
              </w:rPr>
            </w:pPr>
            <w:r>
              <w:rPr>
                <w:rFonts w:ascii="宋体" w:hAnsi="宋体" w:cs="宋体" w:eastAsia="宋体" w:hint="default"/>
                <w:sz w:val="18"/>
                <w:szCs w:val="18"/>
              </w:rPr>
              <w:t>累计公允 价值变动</w:t>
            </w: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20"/>
              <w:ind w:left="151" w:right="151"/>
              <w:jc w:val="left"/>
              <w:rPr>
                <w:rFonts w:ascii="宋体" w:hAnsi="宋体" w:cs="宋体" w:eastAsia="宋体" w:hint="default"/>
                <w:sz w:val="18"/>
                <w:szCs w:val="18"/>
              </w:rPr>
            </w:pPr>
            <w:r>
              <w:rPr>
                <w:rFonts w:ascii="宋体" w:hAnsi="宋体" w:cs="宋体" w:eastAsia="宋体" w:hint="default"/>
                <w:sz w:val="18"/>
                <w:szCs w:val="18"/>
              </w:rPr>
              <w:t>他综合收 益中确认</w:t>
            </w: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left="331"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23" w:hRule="exact"/>
        </w:trPr>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的损失准</w:t>
            </w:r>
          </w:p>
        </w:tc>
        <w:tc>
          <w:tcPr>
            <w:tcW w:w="103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96"/>
        <w:gridCol w:w="1035"/>
        <w:gridCol w:w="1034"/>
        <w:gridCol w:w="1034"/>
        <w:gridCol w:w="1034"/>
        <w:gridCol w:w="1034"/>
        <w:gridCol w:w="1034"/>
        <w:gridCol w:w="1034"/>
        <w:gridCol w:w="1035"/>
      </w:tblGrid>
      <w:tr>
        <w:trPr>
          <w:trHeight w:val="362" w:hRule="exact"/>
        </w:trPr>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957"/>
        <w:gridCol w:w="958"/>
        <w:gridCol w:w="956"/>
        <w:gridCol w:w="957"/>
        <w:gridCol w:w="956"/>
        <w:gridCol w:w="957"/>
        <w:gridCol w:w="956"/>
        <w:gridCol w:w="957"/>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57" w:lineRule="auto" w:before="117"/>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line="240" w:lineRule="auto" w:before="3"/>
        <w:rPr>
          <w:rFonts w:ascii="宋体" w:hAnsi="宋体" w:cs="宋体" w:eastAsia="宋体" w:hint="default"/>
          <w:sz w:val="20"/>
          <w:szCs w:val="20"/>
        </w:rPr>
      </w:pPr>
    </w:p>
    <w:p>
      <w:pPr>
        <w:pStyle w:val="Heading5"/>
        <w:spacing w:line="240" w:lineRule="auto"/>
        <w:ind w:right="2127"/>
        <w:jc w:val="left"/>
        <w:rPr>
          <w:b w:val="0"/>
          <w:bCs w:val="0"/>
        </w:rPr>
      </w:pPr>
      <w:bookmarkStart w:name="16、长期应收款" w:id="298"/>
      <w:bookmarkEnd w:id="29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长期应收款情况" w:id="299"/>
      <w:bookmarkEnd w:id="29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9"/>
              <w:jc w:val="left"/>
              <w:rPr>
                <w:rFonts w:ascii="宋体" w:hAnsi="宋体" w:cs="宋体" w:eastAsia="宋体" w:hint="default"/>
                <w:sz w:val="18"/>
                <w:szCs w:val="18"/>
              </w:rPr>
            </w:pPr>
            <w:r>
              <w:rPr>
                <w:rFonts w:ascii="宋体" w:hAnsi="宋体" w:cs="宋体" w:eastAsia="宋体" w:hint="default"/>
                <w:sz w:val="18"/>
                <w:szCs w:val="18"/>
              </w:rPr>
              <w:t>分期收款销售 商品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30,760,401.3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1,734,714.21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29,025,687.1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3,897,274.88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796,868.40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3,100,406.48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4.90%</w:t>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30,760,401.3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1,734,714.21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29,025,687.1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3,897,274.88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796,868.40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3,100,406.48</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因金融资产转移而终止确认的长期应收款" w:id="300"/>
      <w:bookmarkEnd w:id="30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3）转移长期应收款且继续涉入形成的资产、负债金额" w:id="301"/>
      <w:bookmarkEnd w:id="30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7、长期股权投资" w:id="302"/>
      <w:bookmarkEnd w:id="30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5" w:right="12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42"/>
              <w:jc w:val="both"/>
              <w:rPr>
                <w:rFonts w:ascii="宋体" w:hAnsi="宋体" w:cs="宋体" w:eastAsia="宋体" w:hint="default"/>
                <w:sz w:val="18"/>
                <w:szCs w:val="18"/>
              </w:rPr>
            </w:pPr>
            <w:r>
              <w:rPr>
                <w:rFonts w:ascii="宋体" w:hAnsi="宋体" w:cs="宋体" w:eastAsia="宋体" w:hint="default"/>
                <w:sz w:val="18"/>
                <w:szCs w:val="18"/>
              </w:rPr>
              <w:t>安徽西 太华信 息科技 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3,541,7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62.51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1,675,4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53.13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1,110,0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4,662,2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15.64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42"/>
              <w:jc w:val="both"/>
              <w:rPr>
                <w:rFonts w:ascii="宋体" w:hAnsi="宋体" w:cs="宋体" w:eastAsia="宋体" w:hint="default"/>
                <w:sz w:val="18"/>
                <w:szCs w:val="18"/>
              </w:rPr>
            </w:pPr>
            <w:r>
              <w:rPr>
                <w:rFonts w:ascii="宋体" w:hAnsi="宋体" w:cs="宋体" w:eastAsia="宋体" w:hint="default"/>
                <w:sz w:val="18"/>
                <w:szCs w:val="18"/>
              </w:rPr>
              <w:t>武汉宏 途科技 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3,541,7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62.51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1,675,4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53.13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1,110,0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4,662,2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15.64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0" w:right="0"/>
              <w:jc w:val="center"/>
              <w:rPr>
                <w:rFonts w:ascii="Times New Roman" w:hAnsi="Times New Roman" w:cs="Times New Roman" w:eastAsia="Times New Roman" w:hint="default"/>
                <w:sz w:val="18"/>
                <w:szCs w:val="18"/>
              </w:rPr>
            </w:pPr>
            <w:r>
              <w:rPr>
                <w:rFonts w:ascii="Times New Roman"/>
                <w:sz w:val="18"/>
              </w:rPr>
              <w:t>3,541,7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62.51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center"/>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 w:right="0"/>
              <w:jc w:val="center"/>
              <w:rPr>
                <w:rFonts w:ascii="Times New Roman" w:hAnsi="Times New Roman" w:cs="Times New Roman" w:eastAsia="Times New Roman" w:hint="default"/>
                <w:sz w:val="18"/>
                <w:szCs w:val="18"/>
              </w:rPr>
            </w:pPr>
            <w:r>
              <w:rPr>
                <w:rFonts w:ascii="Times New Roman"/>
                <w:sz w:val="18"/>
              </w:rPr>
              <w:t>1,675,4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53.13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 w:right="0"/>
              <w:jc w:val="center"/>
              <w:rPr>
                <w:rFonts w:ascii="Times New Roman" w:hAnsi="Times New Roman" w:cs="Times New Roman" w:eastAsia="Times New Roman" w:hint="default"/>
                <w:sz w:val="18"/>
                <w:szCs w:val="18"/>
              </w:rPr>
            </w:pPr>
            <w:r>
              <w:rPr>
                <w:rFonts w:ascii="Times New Roman"/>
                <w:sz w:val="18"/>
              </w:rPr>
              <w:t>1,110,0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 w:right="0"/>
              <w:jc w:val="center"/>
              <w:rPr>
                <w:rFonts w:ascii="Times New Roman" w:hAnsi="Times New Roman" w:cs="Times New Roman" w:eastAsia="Times New Roman" w:hint="default"/>
                <w:sz w:val="18"/>
                <w:szCs w:val="18"/>
              </w:rPr>
            </w:pPr>
            <w:r>
              <w:rPr>
                <w:rFonts w:ascii="Times New Roman"/>
                <w:sz w:val="18"/>
              </w:rPr>
              <w:t>4,662,2</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15.64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6"/>
          <w:szCs w:val="16"/>
        </w:rPr>
      </w:pPr>
    </w:p>
    <w:p>
      <w:pPr>
        <w:pStyle w:val="BodyText"/>
        <w:spacing w:line="273" w:lineRule="auto" w:before="0"/>
        <w:ind w:right="0" w:firstLine="420"/>
        <w:jc w:val="left"/>
      </w:pPr>
      <w:r>
        <w:rPr>
          <w:w w:val="95"/>
        </w:rPr>
        <w:t>公司于2013年对武汉宏途科技有限公司投资200.00万元，持股比例40%，由于武汉宏途科技有限公司</w:t>
      </w:r>
      <w:r>
        <w:rPr>
          <w:spacing w:val="-85"/>
          <w:w w:val="95"/>
        </w:rPr>
        <w:t> </w:t>
      </w:r>
      <w:r>
        <w:rPr>
          <w:spacing w:val="-85"/>
          <w:w w:val="95"/>
        </w:rPr>
      </w:r>
      <w:r>
        <w:rPr/>
        <w:t>一直处于超额亏损状态，长期股权投资账面价值调整至零。</w:t>
      </w:r>
    </w:p>
    <w:p>
      <w:pPr>
        <w:spacing w:line="240" w:lineRule="auto" w:before="7"/>
        <w:rPr>
          <w:rFonts w:ascii="宋体" w:hAnsi="宋体" w:cs="宋体" w:eastAsia="宋体" w:hint="default"/>
          <w:sz w:val="23"/>
          <w:szCs w:val="23"/>
        </w:rPr>
      </w:pPr>
    </w:p>
    <w:p>
      <w:pPr>
        <w:pStyle w:val="Heading5"/>
        <w:spacing w:line="240" w:lineRule="auto"/>
        <w:ind w:right="2127"/>
        <w:jc w:val="left"/>
        <w:rPr>
          <w:b w:val="0"/>
          <w:bCs w:val="0"/>
        </w:rPr>
      </w:pPr>
      <w:bookmarkStart w:name="18、其他权益工具投资" w:id="303"/>
      <w:bookmarkEnd w:id="303"/>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7" w:right="0"/>
              <w:jc w:val="left"/>
              <w:rPr>
                <w:rFonts w:ascii="宋体" w:hAnsi="宋体" w:cs="宋体" w:eastAsia="宋体" w:hint="default"/>
                <w:sz w:val="18"/>
                <w:szCs w:val="18"/>
              </w:rPr>
            </w:pPr>
            <w:r>
              <w:rPr>
                <w:rFonts w:ascii="宋体" w:hAnsi="宋体" w:cs="宋体" w:eastAsia="宋体" w:hint="default"/>
                <w:sz w:val="18"/>
                <w:szCs w:val="18"/>
              </w:rPr>
              <w:t>确认的股利收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8" w:right="0"/>
              <w:jc w:val="left"/>
              <w:rPr>
                <w:rFonts w:ascii="宋体" w:hAnsi="宋体" w:cs="宋体" w:eastAsia="宋体" w:hint="default"/>
                <w:sz w:val="18"/>
                <w:szCs w:val="18"/>
              </w:rPr>
            </w:pPr>
            <w:r>
              <w:rPr>
                <w:rFonts w:ascii="宋体" w:hAnsi="宋体" w:cs="宋体" w:eastAsia="宋体" w:hint="default"/>
                <w:sz w:val="18"/>
                <w:szCs w:val="18"/>
              </w:rPr>
              <w:t>指定为以公允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18"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入</w:t>
            </w:r>
          </w:p>
        </w:tc>
        <w:tc>
          <w:tcPr>
            <w:tcW w:w="1367" w:type="dxa"/>
            <w:vMerge w:val="restart"/>
            <w:tcBorders>
              <w:top w:val="single" w:sz="4" w:space="0" w:color="000000"/>
              <w:left w:val="single" w:sz="4" w:space="0" w:color="000000"/>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转入留存收益</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价值计量且其</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转入留存收益</w:t>
            </w:r>
          </w:p>
        </w:tc>
      </w:tr>
      <w:tr>
        <w:trPr>
          <w:trHeight w:val="312" w:hRule="exact"/>
        </w:trPr>
        <w:tc>
          <w:tcPr>
            <w:tcW w:w="1369" w:type="dxa"/>
            <w:vMerge/>
            <w:tcBorders>
              <w:left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的金额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变动计入其他</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的原因</w:t>
            </w:r>
          </w:p>
        </w:tc>
      </w:tr>
      <w:tr>
        <w:trPr>
          <w:trHeight w:val="312" w:hRule="exact"/>
        </w:trPr>
        <w:tc>
          <w:tcPr>
            <w:tcW w:w="1369" w:type="dxa"/>
            <w:vMerge/>
            <w:tcBorders>
              <w:left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综合收益的原</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6"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因</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9、其他非流动金融资产" w:id="304"/>
      <w:bookmarkEnd w:id="304"/>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权益工具投资原值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22,757,149.17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22,862,149.17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4,757,149.17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4,862,149.17</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0、投资性房地产" w:id="305"/>
      <w:bookmarkEnd w:id="305"/>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采用成本计量模式的投资性房地产" w:id="306"/>
      <w:bookmarkEnd w:id="30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采用公允价值计量模式的投资性房地产" w:id="307"/>
      <w:bookmarkEnd w:id="30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未办妥产权证书的投资性房地产情况" w:id="308"/>
      <w:bookmarkEnd w:id="30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1、固定资产" w:id="309"/>
      <w:bookmarkEnd w:id="309"/>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364,096,120.34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364,413,457.50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364,096,120.34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364,413,457.50</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1）固定资产情况" w:id="310"/>
      <w:bookmarkEnd w:id="31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6"/>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7" w:hanging="449"/>
              <w:jc w:val="left"/>
              <w:rPr>
                <w:rFonts w:ascii="宋体" w:hAnsi="宋体" w:cs="宋体" w:eastAsia="宋体" w:hint="default"/>
                <w:sz w:val="18"/>
                <w:szCs w:val="18"/>
              </w:rPr>
            </w:pPr>
            <w:r>
              <w:rPr>
                <w:rFonts w:ascii="宋体" w:hAnsi="宋体" w:cs="宋体" w:eastAsia="宋体" w:hint="default"/>
                <w:sz w:val="18"/>
                <w:szCs w:val="18"/>
              </w:rPr>
              <w:t>办公设备及其 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338,517,008.05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22,207,034.06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29,439,574.21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23,326,267.38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20,080,142.09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433,570,025.79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21,737,727.08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400,745.32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3,676,246.59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1,502,857.26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843,800.91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28,161,377.16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18,405,819.66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265,398.31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3,205,388.18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930,593.19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843,800.91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23,651,000.25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3,331,907.42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135,347.01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470,858.41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572,264.07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4,510,376.91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4,522,340.50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3,712,995.32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495,517.30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1,460,134.58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10,190,987.70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4,522,340.50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3,712,995.32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495,517.30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1,460,134.58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10,190,987.70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355,732,394.63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22,607,779.38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29,402,825.48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24,333,607.34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19,463,808.42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451,540,415.25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26,078,271.36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10,798,460.00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14,655,288.43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6,331,002.95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11,293,545.55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69,156,568.29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10,787,636.38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2,310,951.83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3,034,112.69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4,133,852.51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2,782,373.67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23,048,927.08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10,787,636.38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2,310,951.83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3,034,112.69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4,133,852.51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2,782,373.67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23,048,927.08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186,097.28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3,081,288.30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128,801.80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1,365,013.08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4,761,200.46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186,097.28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3,081,288.30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128,801.80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1,365,013.08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4,761,200.46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36,679,810.46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13,109,411.83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14,608,112.82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10,336,053.66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12,710,906.14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87,444,294.91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firstLine="3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319,052,584.17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9,498,367.55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14,794,712.66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13,997,553.68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6,752,902.28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364,096,120.34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312,438,736.69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11,408,574.06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14,784,285.78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16,995,264.43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8,786,596.54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364,413,457.50</w:t>
            </w: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right="2127"/>
        <w:jc w:val="left"/>
        <w:rPr>
          <w:b w:val="0"/>
          <w:bCs w:val="0"/>
        </w:rPr>
      </w:pPr>
      <w:bookmarkStart w:name="（2）暂时闲置的固定资产情况" w:id="311"/>
      <w:bookmarkEnd w:id="31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3）通过融资租赁租入的固定资产情况" w:id="312"/>
      <w:bookmarkEnd w:id="31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4）通过经营租赁租出的固定资产" w:id="313"/>
      <w:bookmarkEnd w:id="31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95,278,167.14</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5）未办妥产权证书的固定资产情况" w:id="314"/>
      <w:bookmarkEnd w:id="31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32,554,128.00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新购入房产，正在办理中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32,554,128.00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6）固定资产清理" w:id="315"/>
      <w:bookmarkEnd w:id="31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2、在建工程" w:id="316"/>
      <w:bookmarkEnd w:id="316"/>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59,421,559.82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59,421,559.82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1）在建工程情况" w:id="317"/>
      <w:bookmarkEnd w:id="31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4"/>
              <w:jc w:val="left"/>
              <w:rPr>
                <w:rFonts w:ascii="宋体" w:hAnsi="宋体" w:cs="宋体" w:eastAsia="宋体" w:hint="default"/>
                <w:sz w:val="18"/>
                <w:szCs w:val="18"/>
              </w:rPr>
            </w:pPr>
            <w:r>
              <w:rPr>
                <w:rFonts w:ascii="宋体" w:hAnsi="宋体" w:cs="宋体" w:eastAsia="宋体" w:hint="default"/>
                <w:sz w:val="18"/>
                <w:szCs w:val="18"/>
              </w:rPr>
              <w:t>微位移雷达项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59,421,559.82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59,421,559.82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59,421,559.82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59,421,559.82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重要在建工程项目本期变动情况" w:id="318"/>
      <w:bookmarkEnd w:id="31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72" w:right="180"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1"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3" w:right="180"/>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3" w:right="82" w:hanging="8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1"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8"/>
              <w:jc w:val="both"/>
              <w:rPr>
                <w:rFonts w:ascii="宋体" w:hAnsi="宋体" w:cs="宋体" w:eastAsia="宋体" w:hint="default"/>
                <w:sz w:val="18"/>
                <w:szCs w:val="18"/>
              </w:rPr>
            </w:pPr>
            <w:r>
              <w:rPr>
                <w:rFonts w:ascii="宋体" w:hAnsi="宋体" w:cs="宋体" w:eastAsia="宋体" w:hint="default"/>
                <w:sz w:val="18"/>
                <w:szCs w:val="18"/>
              </w:rPr>
              <w:t>微位 移雷 达项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164,60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59,421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,559.8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59,421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,559.8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大路</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网运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8"/>
              <w:jc w:val="both"/>
              <w:rPr>
                <w:rFonts w:ascii="宋体" w:hAnsi="宋体" w:cs="宋体" w:eastAsia="宋体" w:hint="default"/>
                <w:sz w:val="18"/>
                <w:szCs w:val="18"/>
              </w:rPr>
            </w:pPr>
            <w:r>
              <w:rPr>
                <w:rFonts w:ascii="宋体" w:hAnsi="宋体" w:cs="宋体" w:eastAsia="宋体" w:hint="default"/>
                <w:sz w:val="18"/>
                <w:szCs w:val="18"/>
              </w:rPr>
              <w:t>营管 理服 务平 台建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58,600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3" w:right="0"/>
              <w:jc w:val="left"/>
              <w:rPr>
                <w:rFonts w:ascii="Times New Roman" w:hAnsi="Times New Roman" w:cs="Times New Roman" w:eastAsia="Times New Roman" w:hint="default"/>
                <w:sz w:val="18"/>
                <w:szCs w:val="18"/>
              </w:rPr>
            </w:pPr>
            <w:r>
              <w:rPr>
                <w:rFonts w:ascii="Times New Roman"/>
                <w:sz w:val="18"/>
              </w:rPr>
              <w:t>6,406,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846.30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1"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536.29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2" w:right="0"/>
              <w:jc w:val="left"/>
              <w:rPr>
                <w:rFonts w:ascii="Times New Roman" w:hAnsi="Times New Roman" w:cs="Times New Roman" w:eastAsia="Times New Roman" w:hint="default"/>
                <w:sz w:val="18"/>
                <w:szCs w:val="18"/>
              </w:rPr>
            </w:pPr>
            <w:r>
              <w:rPr>
                <w:rFonts w:ascii="Times New Roman"/>
                <w:sz w:val="18"/>
              </w:rPr>
              <w:t>5,395,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310.01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7" w:right="0"/>
              <w:jc w:val="left"/>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设项</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223,20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65,828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,406.1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536.29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5,395,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310.01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59,421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,559.8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3）本期计提在建工程减值准备情况" w:id="319"/>
      <w:bookmarkEnd w:id="31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right="2127"/>
        <w:jc w:val="left"/>
      </w:pPr>
      <w:r>
        <w:rPr/>
        <w:t>说明：本期其他减少5,395,310.01元系自有房屋的装修费转入长期待摊费用所致。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2127"/>
        <w:jc w:val="left"/>
        <w:rPr>
          <w:b w:val="0"/>
          <w:bCs w:val="0"/>
        </w:rPr>
      </w:pPr>
      <w:bookmarkStart w:name="（4）工程物资" w:id="320"/>
      <w:bookmarkEnd w:id="32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23、生产性生物资产" w:id="321"/>
      <w:bookmarkEnd w:id="32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采用成本计量模式的生产性生物资产" w:id="322"/>
      <w:bookmarkEnd w:id="32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2）采用公允价值计量模式的生产性生物资产" w:id="323"/>
      <w:bookmarkEnd w:id="32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4、油气资产" w:id="324"/>
      <w:bookmarkEnd w:id="32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25、使用权资产" w:id="325"/>
      <w:bookmarkEnd w:id="325"/>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33"/>
          <w:pgSz w:w="11910" w:h="16840"/>
          <w:pgMar w:footer="1016" w:header="919" w:top="1120" w:bottom="1200" w:left="1020" w:right="0"/>
          <w:pgNumType w:start="18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6、无形资产" w:id="326"/>
      <w:bookmarkEnd w:id="326"/>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无形资产情况" w:id="327"/>
      <w:bookmarkEnd w:id="32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54,038,056.00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162,057,780.46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2,515,595.32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218,611,431.78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20,015,078.57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392,013.92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20,407,092.49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392,013.92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392,013.92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20,015,078.57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20,015,078.57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785,484.51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790,984.51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785,484.51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785,484.51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孙公司注销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53,252,571.49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182,072,859.03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2,902,109.24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238,227,539.76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4,715,655.07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51,922,464.35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516,520.89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57,154,640.31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1,324,480.32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17,954,365.87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211,730.66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19,490,576.85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1,324,480.32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17,954,365.87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211,730.66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19,490,576.85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74,102.31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79,602.31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74,102.31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74,102.31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29"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孙公司注销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5,966,033.08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69,876,830.22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722,751.55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76,565,614.85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6,347,726.94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493,806.35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6,841,533.29</w:t>
            </w: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6,347,726.94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493,806.35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6,841,533.29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47,286,538.41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105,848,301.87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1,685,551.34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154,820,391.62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49,322,400.93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103,787,589.17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1,505,268.08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154,615,258.18</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76.43%</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5"/>
        <w:spacing w:line="240" w:lineRule="auto"/>
        <w:ind w:right="2127"/>
        <w:jc w:val="left"/>
        <w:rPr>
          <w:b w:val="0"/>
          <w:bCs w:val="0"/>
        </w:rPr>
      </w:pPr>
      <w:bookmarkStart w:name="（2）未办妥产权证书的土地使用权情况" w:id="328"/>
      <w:bookmarkEnd w:id="32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7、开发支出" w:id="329"/>
      <w:bookmarkEnd w:id="329"/>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164"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166"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5" w:right="165"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29"/>
              <w:jc w:val="both"/>
              <w:rPr>
                <w:rFonts w:ascii="Times New Roman" w:hAnsi="Times New Roman" w:cs="Times New Roman" w:eastAsia="Times New Roman" w:hint="default"/>
                <w:sz w:val="18"/>
                <w:szCs w:val="18"/>
              </w:rPr>
            </w:pPr>
            <w:r>
              <w:rPr>
                <w:rFonts w:ascii="宋体" w:hAnsi="宋体" w:cs="宋体" w:eastAsia="宋体" w:hint="default"/>
                <w:sz w:val="18"/>
                <w:szCs w:val="18"/>
              </w:rPr>
              <w:t>箱号识别 及验残系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5,740,439.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5,740,439.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集装箱智</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能码头操</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2"/>
                <w:sz w:val="18"/>
              </w:rPr>
              <w:t>11,168,627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11,168,627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作系统</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.80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.80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49"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2"/>
              <w:ind w:left="101" w:right="0"/>
              <w:jc w:val="left"/>
              <w:rPr>
                <w:rFonts w:ascii="Times New Roman" w:hAnsi="Times New Roman" w:cs="Times New Roman" w:eastAsia="Times New Roman" w:hint="default"/>
                <w:sz w:val="18"/>
                <w:szCs w:val="18"/>
              </w:rPr>
            </w:pPr>
            <w:r>
              <w:rPr>
                <w:rFonts w:ascii="Times New Roman"/>
                <w:sz w:val="18"/>
              </w:rPr>
              <w:t>v7.0</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29"/>
              <w:jc w:val="both"/>
              <w:rPr>
                <w:rFonts w:ascii="宋体" w:hAnsi="宋体" w:cs="宋体" w:eastAsia="宋体" w:hint="default"/>
                <w:sz w:val="18"/>
                <w:szCs w:val="18"/>
              </w:rPr>
            </w:pPr>
            <w:r>
              <w:rPr>
                <w:rFonts w:ascii="宋体" w:hAnsi="宋体" w:cs="宋体" w:eastAsia="宋体" w:hint="default"/>
                <w:sz w:val="18"/>
                <w:szCs w:val="18"/>
              </w:rPr>
              <w:t>移动式冷 藏箱数据 采集终端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1,031,543.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116,646.45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1,148,190.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07</w:t>
            </w:r>
          </w:p>
        </w:tc>
      </w:tr>
      <w:tr>
        <w:trPr>
          <w:trHeight w:val="67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寸</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474,775.97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474,775.97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载终端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华东集装</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229"/>
              <w:jc w:val="left"/>
              <w:rPr>
                <w:rFonts w:ascii="宋体" w:hAnsi="宋体" w:cs="宋体" w:eastAsia="宋体" w:hint="default"/>
                <w:sz w:val="18"/>
                <w:szCs w:val="18"/>
              </w:rPr>
            </w:pPr>
            <w:r>
              <w:rPr>
                <w:rFonts w:ascii="宋体" w:hAnsi="宋体" w:cs="宋体" w:eastAsia="宋体" w:hint="default"/>
                <w:sz w:val="18"/>
                <w:szCs w:val="18"/>
              </w:rPr>
              <w:t>箱智能码 头云操作</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874,771.42</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874,771.42</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集装箱船</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舶自动配</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1,665,764.</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1,665,764.</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载系统</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70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70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49"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2"/>
              <w:ind w:left="101" w:right="0"/>
              <w:jc w:val="left"/>
              <w:rPr>
                <w:rFonts w:ascii="Times New Roman" w:hAnsi="Times New Roman" w:cs="Times New Roman" w:eastAsia="Times New Roman" w:hint="default"/>
                <w:sz w:val="18"/>
                <w:szCs w:val="18"/>
              </w:rPr>
            </w:pPr>
            <w:r>
              <w:rPr>
                <w:rFonts w:ascii="Times New Roman"/>
                <w:sz w:val="18"/>
              </w:rPr>
              <w:t>v1.0</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7"/>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智能理货 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1,941,545.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640,183.92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1,301,361.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left"/>
              <w:rPr>
                <w:rFonts w:ascii="宋体" w:hAnsi="宋体" w:cs="宋体" w:eastAsia="宋体" w:hint="default"/>
                <w:sz w:val="18"/>
                <w:szCs w:val="18"/>
              </w:rPr>
            </w:pPr>
            <w:r>
              <w:rPr>
                <w:rFonts w:ascii="宋体" w:hAnsi="宋体" w:cs="宋体" w:eastAsia="宋体" w:hint="default"/>
                <w:sz w:val="18"/>
                <w:szCs w:val="18"/>
              </w:rPr>
              <w:t>港口资产 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1,601,895.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486,803.04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1,115,092.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80</w:t>
            </w:r>
          </w:p>
        </w:tc>
      </w:tr>
      <w:tr>
        <w:trPr>
          <w:trHeight w:val="362"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港口统一</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1,439,567.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1,439,567.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调度指挥</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44</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44</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流动机械 智能管理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1,306,480.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93,836.54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1,212,644.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18</w:t>
            </w: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智能泊位</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计划智能</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1,244,727.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1,244,727.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调度配工</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20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20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华东港口 安全管理 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1,437,956.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454,935.69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983,020.64</w:t>
            </w: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华东智慧</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港航物流</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384,198.10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384,198.10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62"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港航大数</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2"/>
                <w:sz w:val="18"/>
              </w:rPr>
              <w:t>3,106,011.1</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1"/>
                <w:sz w:val="18"/>
              </w:rPr>
              <w:t>3,106,011.1</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据平台</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1</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城市智能 交通管理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5,592,564.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5,592,564.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基于大数</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据的联网</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12,883,033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12,883,033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收费数据</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.31</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.31</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2"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分析平台</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0"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01" w:right="0"/>
              <w:jc w:val="left"/>
              <w:rPr>
                <w:rFonts w:ascii="宋体" w:hAnsi="宋体" w:cs="宋体" w:eastAsia="宋体" w:hint="default"/>
                <w:sz w:val="18"/>
                <w:szCs w:val="18"/>
              </w:rPr>
            </w:pPr>
            <w:r>
              <w:rPr>
                <w:rFonts w:ascii="宋体" w:hAnsi="宋体" w:cs="宋体" w:eastAsia="宋体" w:hint="default"/>
                <w:sz w:val="18"/>
                <w:szCs w:val="18"/>
              </w:rPr>
              <w:t>基于语音</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883,135.45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883,135.45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129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229"/>
              <w:jc w:val="both"/>
              <w:rPr>
                <w:rFonts w:ascii="宋体" w:hAnsi="宋体" w:cs="宋体" w:eastAsia="宋体" w:hint="default"/>
                <w:sz w:val="18"/>
                <w:szCs w:val="18"/>
              </w:rPr>
            </w:pPr>
            <w:r>
              <w:rPr>
                <w:rFonts w:ascii="宋体" w:hAnsi="宋体" w:cs="宋体" w:eastAsia="宋体" w:hint="default"/>
                <w:sz w:val="18"/>
                <w:szCs w:val="18"/>
              </w:rPr>
              <w:t>技术的智 能交通信 息服务平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大路网运 营管理服 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4,104,247.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4,104,247.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left"/>
              <w:rPr>
                <w:rFonts w:ascii="宋体" w:hAnsi="宋体" w:cs="宋体" w:eastAsia="宋体" w:hint="default"/>
                <w:sz w:val="18"/>
                <w:szCs w:val="18"/>
              </w:rPr>
            </w:pPr>
            <w:r>
              <w:rPr>
                <w:rFonts w:ascii="宋体" w:hAnsi="宋体" w:cs="宋体" w:eastAsia="宋体" w:hint="default"/>
                <w:sz w:val="18"/>
                <w:szCs w:val="18"/>
              </w:rPr>
              <w:t>路网设备 智能工厂</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4,261,578.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4,261,578.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高速公路 智能运营 管理信息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10,110,291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10,110,291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扁平化智 能收费平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3,003,111.7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3,003,111.7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收费车道 设备在线 监测系统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1,530,719.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1,530,719.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left"/>
              <w:rPr>
                <w:rFonts w:ascii="宋体" w:hAnsi="宋体" w:cs="宋体" w:eastAsia="宋体" w:hint="default"/>
                <w:sz w:val="18"/>
                <w:szCs w:val="18"/>
              </w:rPr>
            </w:pPr>
            <w:r>
              <w:rPr>
                <w:rFonts w:ascii="宋体" w:hAnsi="宋体" w:cs="宋体" w:eastAsia="宋体" w:hint="default"/>
                <w:sz w:val="18"/>
                <w:szCs w:val="18"/>
              </w:rPr>
              <w:t>雾灯智能 诱导系统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516,032.60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516,032.60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高速公路 综合业务 管理与分 析平台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3,793,939.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3,793,939.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高速公路 视频结构 化应用技 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2,057,001.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2,057,001.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101" w:right="205"/>
              <w:jc w:val="both"/>
              <w:rPr>
                <w:rFonts w:ascii="宋体" w:hAnsi="宋体" w:cs="宋体" w:eastAsia="宋体" w:hint="default"/>
                <w:sz w:val="18"/>
                <w:szCs w:val="18"/>
              </w:rPr>
            </w:pP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门架 系统一体 化智能控 制机柜</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944,843.40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944,843.40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基于云平 台多融合 方式高速 公路收费 系统关键 技术研究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1,979,976.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1,979,976.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05"/>
              <w:jc w:val="left"/>
              <w:rPr>
                <w:rFonts w:ascii="宋体" w:hAnsi="宋体" w:cs="宋体" w:eastAsia="宋体" w:hint="default"/>
                <w:sz w:val="18"/>
                <w:szCs w:val="18"/>
              </w:rPr>
            </w:pP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无人 值守车道</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686,946.92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686,946.92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left"/>
              <w:rPr>
                <w:rFonts w:ascii="宋体" w:hAnsi="宋体" w:cs="宋体" w:eastAsia="宋体" w:hint="default"/>
                <w:sz w:val="18"/>
                <w:szCs w:val="18"/>
              </w:rPr>
            </w:pPr>
            <w:r>
              <w:rPr>
                <w:rFonts w:ascii="宋体" w:hAnsi="宋体" w:cs="宋体" w:eastAsia="宋体" w:hint="default"/>
                <w:sz w:val="18"/>
                <w:szCs w:val="18"/>
              </w:rPr>
              <w:t>微位移雷 达项目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8,940,139.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8,940,139.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住房公积 金数据修 正系统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926,014.30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926,014.30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13"/>
              <w:jc w:val="both"/>
              <w:rPr>
                <w:rFonts w:ascii="Times New Roman" w:hAnsi="Times New Roman" w:cs="Times New Roman" w:eastAsia="Times New Roman" w:hint="default"/>
                <w:sz w:val="18"/>
                <w:szCs w:val="18"/>
              </w:rPr>
            </w:pPr>
            <w:r>
              <w:rPr>
                <w:rFonts w:ascii="宋体" w:hAnsi="宋体" w:cs="宋体" w:eastAsia="宋体" w:hint="default"/>
                <w:sz w:val="18"/>
                <w:szCs w:val="18"/>
              </w:rPr>
              <w:t>高速公路 移动应急 救援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516,718.43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516,718.43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交通政务 服务集约 门户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572,208.58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572,208.58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left"/>
              <w:rPr>
                <w:rFonts w:ascii="宋体" w:hAnsi="宋体" w:cs="宋体" w:eastAsia="宋体" w:hint="default"/>
                <w:sz w:val="18"/>
                <w:szCs w:val="18"/>
              </w:rPr>
            </w:pPr>
            <w:r>
              <w:rPr>
                <w:rFonts w:ascii="宋体" w:hAnsi="宋体" w:cs="宋体" w:eastAsia="宋体" w:hint="default"/>
                <w:sz w:val="18"/>
                <w:szCs w:val="18"/>
              </w:rPr>
              <w:t>项目库存 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401,484.04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401,484.04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29"/>
              <w:jc w:val="both"/>
              <w:rPr>
                <w:rFonts w:ascii="宋体" w:hAnsi="宋体" w:cs="宋体" w:eastAsia="宋体" w:hint="default"/>
                <w:sz w:val="18"/>
                <w:szCs w:val="18"/>
              </w:rPr>
            </w:pPr>
            <w:r>
              <w:rPr>
                <w:rFonts w:ascii="宋体" w:hAnsi="宋体" w:cs="宋体" w:eastAsia="宋体" w:hint="default"/>
                <w:sz w:val="18"/>
                <w:szCs w:val="18"/>
              </w:rPr>
              <w:t>基于图论 算法的高 速公路多 义性路径 精确识别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856,340.34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856,340.34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交通运输 智慧信息 服务平台 建设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14,916,669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1,471,490.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16,388,160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35,963,292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78,520,148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20,015,078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88,708,052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5,760,309.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41</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8、商誉" w:id="330"/>
      <w:bookmarkEnd w:id="330"/>
      <w:r>
        <w:rPr>
          <w:b w:val="0"/>
          <w:bCs w:val="0"/>
        </w:rPr>
      </w:r>
      <w:r>
        <w:rPr>
          <w:rFonts w:ascii="Times New Roman" w:hAnsi="Times New Roman" w:cs="Times New Roman" w:eastAsia="Times New Roman" w:hint="default"/>
        </w:rPr>
        <w:t>28</w:t>
      </w:r>
      <w:r>
        <w:rPr/>
        <w:t>、商誉</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商誉账面原值" w:id="331"/>
      <w:bookmarkEnd w:id="33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137" w:hanging="452"/>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烟台华东电子</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软件技术有限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84,135,934.22</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84,135,934.22</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01" w:right="0"/>
              <w:jc w:val="left"/>
              <w:rPr>
                <w:rFonts w:ascii="宋体" w:hAnsi="宋体" w:cs="宋体" w:eastAsia="宋体" w:hint="default"/>
                <w:sz w:val="18"/>
                <w:szCs w:val="18"/>
              </w:rPr>
            </w:pPr>
            <w:r>
              <w:rPr>
                <w:rFonts w:ascii="宋体" w:hAnsi="宋体" w:cs="宋体" w:eastAsia="宋体" w:hint="default"/>
                <w:sz w:val="18"/>
                <w:szCs w:val="18"/>
              </w:rPr>
              <w:t>安徽汉高信息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4,181,796.25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4,181,796.25</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3"/>
              <w:jc w:val="both"/>
              <w:rPr>
                <w:rFonts w:ascii="宋体" w:hAnsi="宋体" w:cs="宋体" w:eastAsia="宋体" w:hint="default"/>
                <w:sz w:val="18"/>
                <w:szCs w:val="18"/>
              </w:rPr>
            </w:pPr>
            <w:r>
              <w:rPr>
                <w:rFonts w:ascii="宋体" w:hAnsi="宋体" w:cs="宋体" w:eastAsia="宋体" w:hint="default"/>
                <w:sz w:val="18"/>
                <w:szCs w:val="18"/>
              </w:rPr>
              <w:t>上海亲益保网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30,517,480.91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30,517,480.91</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安徽光大保险 代理有限责任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1,800,625.42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1,800,625.42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3"/>
              <w:jc w:val="left"/>
              <w:rPr>
                <w:rFonts w:ascii="宋体" w:hAnsi="宋体" w:cs="宋体" w:eastAsia="宋体" w:hint="default"/>
                <w:sz w:val="18"/>
                <w:szCs w:val="18"/>
              </w:rPr>
            </w:pPr>
            <w:r>
              <w:rPr>
                <w:rFonts w:ascii="宋体" w:hAnsi="宋体" w:cs="宋体" w:eastAsia="宋体" w:hint="default"/>
                <w:sz w:val="18"/>
                <w:szCs w:val="18"/>
              </w:rPr>
              <w:t>成都赛英科技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225,581,557.33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225,581,557.33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346,217,394.13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346,217,394.13</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商誉减值准备" w:id="332"/>
      <w:bookmarkEnd w:id="33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上海亲益保网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络科技有限公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30,517,480.91</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30,517,480.91</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安徽光大保险</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代理有限责任</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1,800,625.42</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1,800,625.42</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32,318,106.33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32,318,106.33</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73" w:lineRule="auto" w:before="89"/>
        <w:ind w:left="115" w:right="0" w:firstLine="420"/>
        <w:jc w:val="left"/>
      </w:pPr>
      <w:r>
        <w:rPr>
          <w:w w:val="95"/>
        </w:rPr>
        <w:t>（1）成都赛英科技有限公司主营业务为电子产品的生产与销售，公司盈利预测的业务也只有电子产</w:t>
      </w:r>
      <w:r>
        <w:rPr>
          <w:spacing w:val="-85"/>
          <w:w w:val="95"/>
        </w:rPr>
        <w:t> </w:t>
      </w:r>
      <w:r>
        <w:rPr>
          <w:spacing w:val="-85"/>
          <w:w w:val="95"/>
        </w:rPr>
      </w:r>
      <w:r>
        <w:rPr/>
        <w:t>品的生产与销售，无新增业务。</w:t>
      </w:r>
    </w:p>
    <w:p>
      <w:pPr>
        <w:pStyle w:val="BodyText"/>
        <w:spacing w:line="273" w:lineRule="auto"/>
        <w:ind w:left="115" w:right="0" w:firstLine="420"/>
        <w:jc w:val="left"/>
      </w:pPr>
      <w:r>
        <w:rPr>
          <w:w w:val="95"/>
        </w:rPr>
        <w:t>（2）安徽汉高信息科技有限公司主营业务为提供系统集成与技术服务，公司盈利预测的业务也只有</w:t>
      </w:r>
      <w:r>
        <w:rPr>
          <w:spacing w:val="-85"/>
          <w:w w:val="95"/>
        </w:rPr>
        <w:t> </w:t>
      </w:r>
      <w:r>
        <w:rPr>
          <w:spacing w:val="-85"/>
          <w:w w:val="95"/>
        </w:rPr>
      </w:r>
      <w:r>
        <w:rPr/>
        <w:t>系统集成与技术服务业务，无新增业务。</w:t>
      </w:r>
    </w:p>
    <w:p>
      <w:pPr>
        <w:pStyle w:val="BodyText"/>
        <w:spacing w:line="273" w:lineRule="auto"/>
        <w:ind w:left="115" w:right="0" w:firstLine="420"/>
        <w:jc w:val="left"/>
      </w:pPr>
      <w:r>
        <w:rPr>
          <w:w w:val="95"/>
        </w:rPr>
        <w:t>（3）上海亲益保网络科技有限公司主营业务为提供计算机软件等领域的技术开发、技术咨询和技术</w:t>
      </w:r>
      <w:r>
        <w:rPr>
          <w:spacing w:val="-85"/>
          <w:w w:val="95"/>
        </w:rPr>
        <w:t> </w:t>
      </w:r>
      <w:r>
        <w:rPr>
          <w:spacing w:val="-85"/>
          <w:w w:val="95"/>
        </w:rPr>
      </w:r>
      <w:r>
        <w:rPr/>
        <w:t>服务，公司盈利预测的业务也只有计算机软件等领域的技术开发、技术咨询和技术服务，无新增业务。</w:t>
      </w:r>
    </w:p>
    <w:p>
      <w:pPr>
        <w:pStyle w:val="BodyText"/>
        <w:spacing w:line="273" w:lineRule="auto"/>
        <w:ind w:left="115" w:right="0" w:firstLine="420"/>
        <w:jc w:val="left"/>
      </w:pPr>
      <w:r>
        <w:rPr>
          <w:w w:val="95"/>
        </w:rPr>
        <w:t>（4）安徽光大保险代理有限责任公司主营业务为代理销售保险产品，公司盈利预测的业务也只有代</w:t>
      </w:r>
      <w:r>
        <w:rPr>
          <w:spacing w:val="-85"/>
          <w:w w:val="95"/>
        </w:rPr>
        <w:t> </w:t>
      </w:r>
      <w:r>
        <w:rPr>
          <w:spacing w:val="-85"/>
          <w:w w:val="95"/>
        </w:rPr>
      </w:r>
      <w:r>
        <w:rPr/>
        <w:t>理销售保险产品业务，无新增业务。</w:t>
      </w:r>
    </w:p>
    <w:p>
      <w:pPr>
        <w:pStyle w:val="BodyText"/>
        <w:spacing w:line="273" w:lineRule="auto"/>
        <w:ind w:left="115" w:right="1022" w:firstLine="420"/>
        <w:jc w:val="left"/>
      </w:pPr>
      <w:r>
        <w:rPr/>
        <w:t>（5）烟台华东电子软件技术有限公司：在商誉形成日仅为一个单体公司，在报告基准日有五项股权</w:t>
      </w:r>
      <w:r>
        <w:rPr>
          <w:w w:val="99"/>
        </w:rPr>
        <w:t> </w:t>
      </w:r>
      <w:r>
        <w:rPr/>
        <w:t>投资，分别为：三家全资子公司（宁波拖柜宝物流科技有限责任公司、烟台华东电子科技有限公司、烟台</w:t>
      </w:r>
      <w:r>
        <w:rPr>
          <w:w w:val="99"/>
        </w:rPr>
        <w:t> </w:t>
      </w:r>
      <w:r>
        <w:rPr>
          <w:spacing w:val="-5"/>
          <w:w w:val="99"/>
        </w:rPr>
        <w:t>华东数据科技有限公司）；一家控股孙公司（上海舶云供应链管理有限公司）；一家控股重孙公司（浙江自</w:t>
      </w:r>
      <w:r>
        <w:rPr>
          <w:spacing w:val="-79"/>
          <w:w w:val="99"/>
        </w:rPr>
        <w:t> </w:t>
      </w:r>
      <w:r>
        <w:rPr>
          <w:spacing w:val="-79"/>
          <w:w w:val="99"/>
        </w:rPr>
      </w:r>
      <w:r>
        <w:rPr>
          <w:spacing w:val="-2"/>
          <w:w w:val="99"/>
        </w:rPr>
        <w:t>贸区舶云智慧物流有限公司）。因为烟台华东电子科技有限公司承接了烟台华东电子软件技术有限公司的</w:t>
      </w:r>
      <w:r>
        <w:rPr>
          <w:spacing w:val="-95"/>
          <w:w w:val="99"/>
        </w:rPr>
        <w:t> </w:t>
      </w:r>
      <w:r>
        <w:rPr>
          <w:spacing w:val="-95"/>
          <w:w w:val="99"/>
        </w:rPr>
      </w:r>
      <w:r>
        <w:rPr/>
        <w:t>原有业务，能产生现金流的最小资产单元包括烟台华东电子科技有限公司和烟台华东电子软件技术有限公</w:t>
      </w:r>
      <w:r>
        <w:rPr>
          <w:w w:val="99"/>
        </w:rPr>
        <w:t> </w:t>
      </w:r>
      <w:r>
        <w:rPr>
          <w:spacing w:val="-3"/>
        </w:rPr>
        <w:t>司经营性长期资产及营运资金。故将其作为与商誉相关的资产组。其余四项股权投资公司与初始商誉无关。</w:t>
      </w:r>
    </w:p>
    <w:p>
      <w:pPr>
        <w:pStyle w:val="BodyText"/>
        <w:spacing w:line="240" w:lineRule="auto"/>
        <w:ind w:left="532" w:right="2127"/>
        <w:jc w:val="left"/>
      </w:pPr>
      <w:r>
        <w:rPr/>
        <w:t>截至 2019年 12 月 31</w:t>
      </w:r>
      <w:r>
        <w:rPr>
          <w:spacing w:val="-14"/>
        </w:rPr>
        <w:t> </w:t>
      </w:r>
      <w:r>
        <w:rPr/>
        <w:t>日，资产组构成如下：单位：元</w:t>
      </w: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943"/>
        <w:gridCol w:w="1843"/>
        <w:gridCol w:w="1985"/>
        <w:gridCol w:w="1560"/>
      </w:tblGrid>
      <w:tr>
        <w:trPr>
          <w:trHeight w:val="352" w:hRule="exact"/>
        </w:trPr>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资产组构成</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4" w:right="0"/>
              <w:jc w:val="left"/>
              <w:rPr>
                <w:rFonts w:ascii="宋体" w:hAnsi="宋体" w:cs="宋体" w:eastAsia="宋体" w:hint="default"/>
                <w:sz w:val="18"/>
                <w:szCs w:val="18"/>
              </w:rPr>
            </w:pPr>
            <w:r>
              <w:rPr>
                <w:rFonts w:ascii="宋体" w:hAnsi="宋体" w:cs="宋体" w:eastAsia="宋体" w:hint="default"/>
                <w:sz w:val="18"/>
                <w:szCs w:val="18"/>
              </w:rPr>
              <w:t>包含商誉的资产组账面</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53" w:right="0"/>
              <w:jc w:val="left"/>
              <w:rPr>
                <w:rFonts w:ascii="宋体" w:hAnsi="宋体" w:cs="宋体" w:eastAsia="宋体" w:hint="default"/>
                <w:sz w:val="18"/>
                <w:szCs w:val="18"/>
              </w:rPr>
            </w:pPr>
            <w:r>
              <w:rPr>
                <w:rFonts w:ascii="宋体" w:hAnsi="宋体" w:cs="宋体" w:eastAsia="宋体" w:hint="default"/>
                <w:sz w:val="18"/>
                <w:szCs w:val="18"/>
              </w:rPr>
              <w:t>资产组是否与购买</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2943"/>
        <w:gridCol w:w="1843"/>
        <w:gridCol w:w="1985"/>
        <w:gridCol w:w="1560"/>
      </w:tblGrid>
      <w:tr>
        <w:trPr>
          <w:trHeight w:val="354" w:hRule="exact"/>
        </w:trPr>
        <w:tc>
          <w:tcPr>
            <w:tcW w:w="2943"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价值</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日一致</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643" w:right="15" w:hanging="632"/>
              <w:jc w:val="left"/>
              <w:rPr>
                <w:rFonts w:ascii="宋体" w:hAnsi="宋体" w:cs="宋体" w:eastAsia="宋体" w:hint="default"/>
                <w:sz w:val="18"/>
                <w:szCs w:val="18"/>
              </w:rPr>
            </w:pPr>
            <w:r>
              <w:rPr>
                <w:rFonts w:ascii="宋体" w:hAnsi="宋体" w:cs="宋体" w:eastAsia="宋体" w:hint="default"/>
                <w:sz w:val="18"/>
                <w:szCs w:val="18"/>
              </w:rPr>
              <w:t>所有经营性可辨认资产 与商誉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261,384,510.92</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安徽汉高信息技术有限公司</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643" w:right="15" w:hanging="632"/>
              <w:jc w:val="left"/>
              <w:rPr>
                <w:rFonts w:ascii="宋体" w:hAnsi="宋体" w:cs="宋体" w:eastAsia="宋体" w:hint="default"/>
                <w:sz w:val="18"/>
                <w:szCs w:val="18"/>
              </w:rPr>
            </w:pPr>
            <w:r>
              <w:rPr>
                <w:rFonts w:ascii="宋体" w:hAnsi="宋体" w:cs="宋体" w:eastAsia="宋体" w:hint="default"/>
                <w:sz w:val="18"/>
                <w:szCs w:val="18"/>
              </w:rPr>
              <w:t>所有经营性可辨认资产 与商誉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126,937,095.24</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3"/>
              <w:ind w:left="643" w:right="15" w:hanging="632"/>
              <w:jc w:val="left"/>
              <w:rPr>
                <w:rFonts w:ascii="宋体" w:hAnsi="宋体" w:cs="宋体" w:eastAsia="宋体" w:hint="default"/>
                <w:sz w:val="18"/>
                <w:szCs w:val="18"/>
              </w:rPr>
            </w:pPr>
            <w:r>
              <w:rPr>
                <w:rFonts w:ascii="宋体" w:hAnsi="宋体" w:cs="宋体" w:eastAsia="宋体" w:hint="default"/>
                <w:sz w:val="18"/>
                <w:szCs w:val="18"/>
              </w:rPr>
              <w:t>所有经营性可辨认资产 与商誉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275,473,169.22</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643" w:right="15" w:hanging="632"/>
              <w:jc w:val="left"/>
              <w:rPr>
                <w:rFonts w:ascii="宋体" w:hAnsi="宋体" w:cs="宋体" w:eastAsia="宋体" w:hint="default"/>
                <w:sz w:val="18"/>
                <w:szCs w:val="18"/>
              </w:rPr>
            </w:pPr>
            <w:r>
              <w:rPr>
                <w:rFonts w:ascii="宋体" w:hAnsi="宋体" w:cs="宋体" w:eastAsia="宋体" w:hint="default"/>
                <w:sz w:val="18"/>
                <w:szCs w:val="18"/>
              </w:rPr>
              <w:t>所有经营性可辨认资产 与商誉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30,509,538.70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一致</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643" w:right="15" w:hanging="632"/>
              <w:jc w:val="left"/>
              <w:rPr>
                <w:rFonts w:ascii="宋体" w:hAnsi="宋体" w:cs="宋体" w:eastAsia="宋体" w:hint="default"/>
                <w:sz w:val="18"/>
                <w:szCs w:val="18"/>
              </w:rPr>
            </w:pPr>
            <w:r>
              <w:rPr>
                <w:rFonts w:ascii="宋体" w:hAnsi="宋体" w:cs="宋体" w:eastAsia="宋体" w:hint="default"/>
                <w:sz w:val="18"/>
                <w:szCs w:val="18"/>
              </w:rPr>
              <w:t>所有经营性可辨认资产 与商誉</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3,727,518.40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一致</w:t>
            </w:r>
          </w:p>
        </w:tc>
      </w:tr>
    </w:tbl>
    <w:p>
      <w:pPr>
        <w:spacing w:line="240" w:lineRule="auto" w:before="6"/>
        <w:rPr>
          <w:rFonts w:ascii="宋体" w:hAnsi="宋体" w:cs="宋体" w:eastAsia="宋体" w:hint="default"/>
          <w:sz w:val="24"/>
          <w:szCs w:val="24"/>
        </w:rPr>
      </w:pPr>
    </w:p>
    <w:p>
      <w:pPr>
        <w:spacing w:line="316" w:lineRule="auto" w:before="44"/>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等）及商誉减值损失的确认方法：</w:t>
      </w:r>
    </w:p>
    <w:p>
      <w:pPr>
        <w:pStyle w:val="BodyText"/>
        <w:spacing w:line="240" w:lineRule="auto" w:before="32"/>
        <w:ind w:left="532" w:right="0"/>
        <w:jc w:val="left"/>
      </w:pPr>
      <w:r>
        <w:rPr/>
        <w:t>公司按照资产组的预计未来现金流量及折现率计算现值确定可收回金额进行商誉减值测算：单位：元</w:t>
      </w: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660"/>
        <w:gridCol w:w="1843"/>
        <w:gridCol w:w="1984"/>
        <w:gridCol w:w="1843"/>
      </w:tblGrid>
      <w:tr>
        <w:trPr>
          <w:trHeight w:val="666" w:hRule="exact"/>
        </w:trPr>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hAnsi="宋体" w:cs="宋体" w:eastAsia="宋体" w:hint="default"/>
                <w:sz w:val="18"/>
                <w:szCs w:val="18"/>
              </w:rPr>
              <w:t>成都赛英科技有限公司</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2"/>
              <w:ind w:left="804" w:right="84" w:hanging="720"/>
              <w:jc w:val="left"/>
              <w:rPr>
                <w:rFonts w:ascii="宋体" w:hAnsi="宋体" w:cs="宋体" w:eastAsia="宋体" w:hint="default"/>
                <w:sz w:val="18"/>
                <w:szCs w:val="18"/>
              </w:rPr>
            </w:pPr>
            <w:r>
              <w:rPr>
                <w:rFonts w:ascii="宋体" w:hAnsi="宋体" w:cs="宋体" w:eastAsia="宋体" w:hint="default"/>
                <w:sz w:val="18"/>
                <w:szCs w:val="18"/>
              </w:rPr>
              <w:t>安徽汉高信息技术有限 公司</w:t>
            </w:r>
          </w:p>
        </w:tc>
        <w:tc>
          <w:tcPr>
            <w:tcW w:w="1843"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2"/>
              <w:ind w:left="553" w:right="20" w:hanging="540"/>
              <w:jc w:val="left"/>
              <w:rPr>
                <w:rFonts w:ascii="宋体" w:hAnsi="宋体" w:cs="宋体" w:eastAsia="宋体" w:hint="default"/>
                <w:sz w:val="18"/>
                <w:szCs w:val="18"/>
              </w:rPr>
            </w:pPr>
            <w:r>
              <w:rPr>
                <w:rFonts w:ascii="宋体" w:hAnsi="宋体" w:cs="宋体" w:eastAsia="宋体" w:hint="default"/>
                <w:sz w:val="18"/>
                <w:szCs w:val="18"/>
              </w:rPr>
              <w:t>烟台华东电子软件技术 有限公司</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商誉①</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225,581,557.33</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4,181,796.25</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84,135,934.22</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归属于少数股东权益的商誉②</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4,017,804.24</w:t>
            </w:r>
          </w:p>
        </w:tc>
        <w:tc>
          <w:tcPr>
            <w:tcW w:w="184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整体商誉③＝①+②</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225,581,557.33</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8,199,600.49</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84,135,934.22</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资产组账面价值④</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35,802,953.58</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118,737,494.75</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191,337,235.00</w:t>
            </w:r>
          </w:p>
        </w:tc>
      </w:tr>
      <w:tr>
        <w:trPr>
          <w:trHeight w:val="674"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包含整体商誉的资产组账面价值</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⑤=④+③</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261,384,510.92</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126,937,095.24</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275,473,169.22</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预计未来现金流量的现值⑥</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301,333,821.36</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253,676,913.37</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300,809,022.10</w:t>
            </w:r>
          </w:p>
        </w:tc>
      </w:tr>
      <w:tr>
        <w:trPr>
          <w:trHeight w:val="674"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整体商誉减值损失（⑤大于⑥时</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⑦=⑤-⑥</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母公司持股比例⑧</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100.00%</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51.00%</w:t>
            </w:r>
          </w:p>
        </w:tc>
        <w:tc>
          <w:tcPr>
            <w:tcW w:w="1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100.00%</w:t>
            </w:r>
          </w:p>
        </w:tc>
      </w:tr>
      <w:tr>
        <w:trPr>
          <w:trHeight w:val="674"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归属于母公司的商誉减值损失⑨=</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⑦*⑧</w:t>
            </w:r>
          </w:p>
        </w:tc>
        <w:tc>
          <w:tcPr>
            <w:tcW w:w="1843" w:type="dxa"/>
            <w:tcBorders>
              <w:top w:val="single" w:sz="12" w:space="0" w:color="000000"/>
              <w:left w:val="single" w:sz="6" w:space="0" w:color="000000"/>
              <w:bottom w:val="single" w:sz="12" w:space="0" w:color="000000"/>
              <w:right w:val="single" w:sz="6" w:space="0" w:color="000000"/>
            </w:tcBorders>
          </w:tcPr>
          <w:p>
            <w:pPr/>
          </w:p>
        </w:tc>
        <w:tc>
          <w:tcPr>
            <w:tcW w:w="1984" w:type="dxa"/>
            <w:tcBorders>
              <w:top w:val="single" w:sz="12" w:space="0" w:color="000000"/>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5"/>
          <w:szCs w:val="5"/>
        </w:rPr>
      </w:pPr>
    </w:p>
    <w:p>
      <w:pPr>
        <w:pStyle w:val="BodyText"/>
        <w:spacing w:line="240" w:lineRule="auto" w:before="34"/>
        <w:ind w:left="532" w:right="2127"/>
        <w:jc w:val="left"/>
      </w:pPr>
      <w:r>
        <w:rPr/>
        <w:t>成都赛英科技有限公司预计未来现金流量的主要参数：</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662"/>
              <w:jc w:val="right"/>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616"/>
              <w:jc w:val="right"/>
              <w:rPr>
                <w:rFonts w:ascii="宋体" w:hAnsi="宋体" w:cs="宋体" w:eastAsia="宋体" w:hint="default"/>
                <w:sz w:val="18"/>
                <w:szCs w:val="18"/>
              </w:rPr>
            </w:pPr>
            <w:r>
              <w:rPr>
                <w:rFonts w:ascii="宋体"/>
                <w:spacing w:val="-1"/>
                <w:sz w:val="18"/>
              </w:rPr>
              <w:t>2.14%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稳定期毛利率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571"/>
              <w:jc w:val="right"/>
              <w:rPr>
                <w:rFonts w:ascii="宋体" w:hAnsi="宋体" w:cs="宋体" w:eastAsia="宋体" w:hint="default"/>
                <w:sz w:val="18"/>
                <w:szCs w:val="18"/>
              </w:rPr>
            </w:pPr>
            <w:r>
              <w:rPr>
                <w:rFonts w:ascii="宋体"/>
                <w:spacing w:val="-1"/>
                <w:sz w:val="18"/>
              </w:rPr>
              <w:t>68.06%</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参考历史毛利率</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571"/>
              <w:jc w:val="right"/>
              <w:rPr>
                <w:rFonts w:ascii="宋体" w:hAnsi="宋体" w:cs="宋体" w:eastAsia="宋体" w:hint="default"/>
                <w:sz w:val="18"/>
                <w:szCs w:val="18"/>
              </w:rPr>
            </w:pPr>
            <w:r>
              <w:rPr>
                <w:rFonts w:ascii="宋体"/>
                <w:spacing w:val="-1"/>
                <w:sz w:val="18"/>
              </w:rPr>
              <w:t>13.94%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616"/>
              <w:jc w:val="right"/>
              <w:rPr>
                <w:rFonts w:ascii="宋体" w:hAnsi="宋体" w:cs="宋体" w:eastAsia="宋体" w:hint="default"/>
                <w:sz w:val="18"/>
                <w:szCs w:val="18"/>
              </w:rPr>
            </w:pPr>
            <w:r>
              <w:rPr>
                <w:rFonts w:ascii="宋体"/>
                <w:spacing w:val="-1"/>
                <w:sz w:val="18"/>
              </w:rPr>
              <w:t>3.69%</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571"/>
              <w:jc w:val="right"/>
              <w:rPr>
                <w:rFonts w:ascii="宋体" w:hAnsi="宋体" w:cs="宋体" w:eastAsia="宋体" w:hint="default"/>
                <w:sz w:val="18"/>
                <w:szCs w:val="18"/>
              </w:rPr>
            </w:pPr>
            <w:r>
              <w:rPr>
                <w:rFonts w:ascii="宋体"/>
                <w:spacing w:val="-1"/>
                <w:sz w:val="18"/>
              </w:rPr>
              <w:t>1.0074</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616"/>
              <w:jc w:val="right"/>
              <w:rPr>
                <w:rFonts w:ascii="宋体" w:hAnsi="宋体" w:cs="宋体" w:eastAsia="宋体" w:hint="default"/>
                <w:sz w:val="18"/>
                <w:szCs w:val="18"/>
              </w:rPr>
            </w:pPr>
            <w:r>
              <w:rPr>
                <w:rFonts w:ascii="宋体"/>
                <w:spacing w:val="-1"/>
                <w:sz w:val="18"/>
              </w:rPr>
              <w:t>6.21%</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0"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616"/>
              <w:jc w:val="right"/>
              <w:rPr>
                <w:rFonts w:ascii="宋体" w:hAnsi="宋体" w:cs="宋体" w:eastAsia="宋体" w:hint="default"/>
                <w:sz w:val="18"/>
                <w:szCs w:val="18"/>
              </w:rPr>
            </w:pPr>
            <w:r>
              <w:rPr>
                <w:rFonts w:ascii="宋体"/>
                <w:spacing w:val="-1"/>
                <w:sz w:val="18"/>
              </w:rPr>
              <w:t>2.00%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1"/>
        <w:rPr>
          <w:rFonts w:ascii="宋体" w:hAnsi="宋体" w:cs="宋体" w:eastAsia="宋体" w:hint="default"/>
          <w:sz w:val="22"/>
          <w:szCs w:val="22"/>
        </w:rPr>
      </w:pPr>
    </w:p>
    <w:p>
      <w:pPr>
        <w:spacing w:line="398" w:lineRule="exact"/>
        <w:ind w:left="11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18.3pt;height:19.9pt;mso-position-horizontal-relative:char;mso-position-vertical-relative:line" coordorigin="0,0" coordsize="8366,398">
            <v:group style="position:absolute;left:14;top:14;width:8338;height:2" coordorigin="14,14" coordsize="8338,2">
              <v:shape style="position:absolute;left:14;top:14;width:8338;height:2" coordorigin="14,14" coordsize="8338,0" path="m14,14l8352,14e" filled="false" stroked="true" strokeweight=".72pt" strokecolor="#000000">
                <v:path arrowok="t"/>
              </v:shape>
            </v:group>
            <v:group style="position:absolute;left:14;top:384;width:8338;height:2" coordorigin="14,384" coordsize="8338,2">
              <v:shape style="position:absolute;left:14;top:384;width:8338;height:2" coordorigin="14,384" coordsize="8338,0" path="m14,384l8352,384e" filled="false" stroked="true" strokeweight="1.44pt" strokecolor="#000000">
                <v:path arrowok="t"/>
              </v:shape>
            </v:group>
            <v:group style="position:absolute;left:22;top:7;width:2;height:362" coordorigin="22,7" coordsize="2,362">
              <v:shape style="position:absolute;left:22;top:7;width:2;height:362" coordorigin="22,7" coordsize="0,362" path="m22,7l22,369e" filled="false" stroked="true" strokeweight=".72pt" strokecolor="#000000">
                <v:path arrowok="t"/>
              </v:shape>
            </v:group>
            <v:group style="position:absolute;left:2398;top:7;width:2;height:362" coordorigin="2398,7" coordsize="2,362">
              <v:shape style="position:absolute;left:2398;top:7;width:2;height:362" coordorigin="2398,7" coordsize="0,362" path="m2398,7l2398,369e" filled="false" stroked="true" strokeweight=".72pt" strokecolor="#000000">
                <v:path arrowok="t"/>
              </v:shape>
            </v:group>
            <v:group style="position:absolute;left:4099;top:7;width:2;height:362" coordorigin="4099,7" coordsize="2,362">
              <v:shape style="position:absolute;left:4099;top:7;width:2;height:362" coordorigin="4099,7" coordsize="0,362" path="m4099,7l4099,369e" filled="false" stroked="true" strokeweight=".72pt" strokecolor="#000000">
                <v:path arrowok="t"/>
              </v:shape>
              <v:shape style="position:absolute;left:22;top:14;width:2376;height:370" type="#_x0000_t202" filled="false" stroked="false">
                <v:textbox inset="0,0,0,0">
                  <w:txbxContent>
                    <w:p>
                      <w:pPr>
                        <w:spacing w:before="42"/>
                        <w:ind w:left="10" w:right="0" w:firstLine="0"/>
                        <w:jc w:val="left"/>
                        <w:rPr>
                          <w:rFonts w:ascii="宋体" w:hAnsi="宋体" w:cs="宋体" w:eastAsia="宋体" w:hint="default"/>
                          <w:sz w:val="18"/>
                          <w:szCs w:val="18"/>
                        </w:rPr>
                      </w:pPr>
                      <w:r>
                        <w:rPr>
                          <w:rFonts w:ascii="宋体" w:hAnsi="宋体" w:cs="宋体" w:eastAsia="宋体" w:hint="default"/>
                          <w:sz w:val="18"/>
                          <w:szCs w:val="18"/>
                        </w:rPr>
                        <w:t>预测期</w:t>
                      </w:r>
                    </w:p>
                  </w:txbxContent>
                </v:textbox>
                <w10:wrap type="none"/>
              </v:shape>
              <v:shape style="position:absolute;left:2398;top:14;width:1701;height:370" type="#_x0000_t202" filled="false" stroked="false">
                <v:textbox inset="0,0,0,0">
                  <w:txbxContent>
                    <w:p>
                      <w:pPr>
                        <w:spacing w:before="42"/>
                        <w:ind w:left="533" w:right="0" w:firstLine="0"/>
                        <w:jc w:val="left"/>
                        <w:rPr>
                          <w:rFonts w:ascii="宋体" w:hAnsi="宋体" w:cs="宋体" w:eastAsia="宋体" w:hint="default"/>
                          <w:sz w:val="18"/>
                          <w:szCs w:val="18"/>
                        </w:rPr>
                      </w:pPr>
                      <w:r>
                        <w:rPr>
                          <w:rFonts w:ascii="宋体" w:hAnsi="宋体" w:cs="宋体" w:eastAsia="宋体" w:hint="default"/>
                          <w:sz w:val="18"/>
                          <w:szCs w:val="18"/>
                        </w:rPr>
                        <w:t>未来5年</w:t>
                      </w:r>
                    </w:p>
                  </w:txbxContent>
                </v:textbox>
                <w10:wrap type="none"/>
              </v:shape>
            </v:group>
          </v:group>
        </w:pict>
      </w:r>
      <w:r>
        <w:rPr>
          <w:rFonts w:ascii="宋体" w:hAnsi="宋体" w:cs="宋体" w:eastAsia="宋体" w:hint="default"/>
          <w:position w:val="-7"/>
          <w:sz w:val="20"/>
          <w:szCs w:val="20"/>
        </w:rPr>
      </w:r>
    </w:p>
    <w:p>
      <w:pPr>
        <w:spacing w:line="240" w:lineRule="auto" w:before="7"/>
        <w:rPr>
          <w:rFonts w:ascii="宋体" w:hAnsi="宋体" w:cs="宋体" w:eastAsia="宋体" w:hint="default"/>
          <w:sz w:val="5"/>
          <w:szCs w:val="5"/>
        </w:rPr>
      </w:pPr>
    </w:p>
    <w:p>
      <w:pPr>
        <w:pStyle w:val="BodyText"/>
        <w:spacing w:line="240" w:lineRule="auto" w:before="34"/>
        <w:ind w:left="552" w:right="556"/>
        <w:jc w:val="left"/>
      </w:pPr>
      <w:r>
        <w:rPr/>
        <w:t>安徽汉高信息技术有限公司预计未来现金流量的主要参数：</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预测期收入增长率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0.45%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21.85%</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参考历史毛利率并略有下调</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15.42%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3.93%</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0.8680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7.12%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未来5年</w:t>
            </w:r>
          </w:p>
        </w:tc>
        <w:tc>
          <w:tcPr>
            <w:tcW w:w="425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5"/>
          <w:szCs w:val="5"/>
        </w:rPr>
      </w:pPr>
    </w:p>
    <w:p>
      <w:pPr>
        <w:pStyle w:val="BodyText"/>
        <w:spacing w:line="240" w:lineRule="auto" w:before="34"/>
        <w:ind w:left="552" w:right="556"/>
        <w:jc w:val="left"/>
      </w:pPr>
      <w:r>
        <w:rPr/>
        <w:t>烟台华东电子软件技术有限公司预计未来现金流量的主要参数：</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76"/>
        <w:gridCol w:w="1701"/>
        <w:gridCol w:w="4253"/>
      </w:tblGrid>
      <w:tr>
        <w:trPr>
          <w:trHeight w:val="354"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参数</w:t>
            </w:r>
          </w:p>
        </w:tc>
        <w:tc>
          <w:tcPr>
            <w:tcW w:w="42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预测期收入增长率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3.87%</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参考历史增长率、行业增长率以及未来销售预测</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w:t>
            </w:r>
          </w:p>
        </w:tc>
        <w:tc>
          <w:tcPr>
            <w:tcW w:w="4253"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45.22%左右</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参考历史毛利率并略有下调</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17.48%</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根据资产加权平均资本成本确定</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无风险利率</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72" w:right="0"/>
              <w:jc w:val="left"/>
              <w:rPr>
                <w:rFonts w:ascii="宋体" w:hAnsi="宋体" w:cs="宋体" w:eastAsia="宋体" w:hint="default"/>
                <w:sz w:val="18"/>
                <w:szCs w:val="18"/>
              </w:rPr>
            </w:pPr>
            <w:r>
              <w:rPr>
                <w:rFonts w:ascii="宋体"/>
                <w:sz w:val="18"/>
              </w:rPr>
              <w:t>3.93 %</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选取最新的10年期以上长期国债利率的平均值</w:t>
            </w:r>
          </w:p>
        </w:tc>
      </w:tr>
      <w:tr>
        <w:trPr>
          <w:trHeight w:val="674"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系统风险系数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0.8680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22"/>
              <w:ind w:left="1" w:right="10"/>
              <w:jc w:val="left"/>
              <w:rPr>
                <w:rFonts w:ascii="宋体" w:hAnsi="宋体" w:cs="宋体" w:eastAsia="宋体" w:hint="default"/>
                <w:sz w:val="18"/>
                <w:szCs w:val="18"/>
              </w:rPr>
            </w:pPr>
            <w:r>
              <w:rPr>
                <w:rFonts w:ascii="宋体" w:hAnsi="宋体" w:cs="宋体" w:eastAsia="宋体" w:hint="default"/>
                <w:sz w:val="18"/>
                <w:szCs w:val="18"/>
              </w:rPr>
              <w:t>通过Wind系统查询了5家可比上市公司2019年12月31日 的无财务杠杆的βe 值，并取其平均值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市场风险溢价</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7.12%</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特定风险调整系数</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3.00%</w:t>
            </w:r>
          </w:p>
        </w:tc>
        <w:tc>
          <w:tcPr>
            <w:tcW w:w="42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根据历史经验及对市场的预测取值</w:t>
            </w:r>
          </w:p>
        </w:tc>
      </w:tr>
      <w:tr>
        <w:trPr>
          <w:trHeight w:val="36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未来5年</w:t>
            </w:r>
          </w:p>
        </w:tc>
        <w:tc>
          <w:tcPr>
            <w:tcW w:w="4253" w:type="dxa"/>
            <w:tcBorders>
              <w:top w:val="single" w:sz="12" w:space="0" w:color="000000"/>
              <w:left w:val="single" w:sz="6" w:space="0" w:color="000000"/>
              <w:bottom w:val="single" w:sz="12" w:space="0" w:color="000000"/>
              <w:right w:val="nil" w:sz="6" w:space="0" w:color="auto"/>
            </w:tcBorders>
          </w:tcPr>
          <w:p>
            <w:pPr/>
          </w:p>
        </w:tc>
      </w:tr>
    </w:tbl>
    <w:p>
      <w:pPr>
        <w:pStyle w:val="BodyText"/>
        <w:spacing w:line="261" w:lineRule="exact" w:before="0"/>
        <w:ind w:left="132" w:right="0"/>
        <w:jc w:val="both"/>
      </w:pPr>
      <w:r>
        <w:rPr/>
        <w:t>公司期末对与商誉相关的资产组进行了减值测试，在进行减值测试时，将商誉的账面价值分摊至预期从企</w:t>
      </w:r>
    </w:p>
    <w:p>
      <w:pPr>
        <w:pStyle w:val="BodyText"/>
        <w:spacing w:line="273" w:lineRule="auto" w:before="37"/>
        <w:ind w:left="132" w:right="1135"/>
        <w:jc w:val="both"/>
      </w:pPr>
      <w:r>
        <w:rPr>
          <w:w w:val="95"/>
        </w:rPr>
        <w:t>业合并的协同效应中受益的资产组或资产组组合。然后将资产组账面价值与其可收回金额进行比较，以确</w:t>
      </w:r>
      <w:r>
        <w:rPr>
          <w:spacing w:val="37"/>
          <w:w w:val="95"/>
        </w:rPr>
        <w:t> </w:t>
      </w:r>
      <w:r>
        <w:rPr>
          <w:spacing w:val="37"/>
          <w:w w:val="95"/>
        </w:rPr>
      </w:r>
      <w:r>
        <w:rPr/>
        <w:t>定资产组（包括商誉）是否发生了减值。</w:t>
      </w:r>
    </w:p>
    <w:p>
      <w:pPr>
        <w:spacing w:line="240" w:lineRule="auto" w:before="7"/>
        <w:rPr>
          <w:rFonts w:ascii="宋体" w:hAnsi="宋体" w:cs="宋体" w:eastAsia="宋体" w:hint="default"/>
          <w:sz w:val="29"/>
          <w:szCs w:val="29"/>
        </w:rPr>
      </w:pPr>
    </w:p>
    <w:p>
      <w:pPr>
        <w:spacing w:line="357" w:lineRule="auto" w:before="0"/>
        <w:ind w:left="492" w:right="556" w:hanging="360"/>
        <w:jc w:val="left"/>
        <w:rPr>
          <w:rFonts w:ascii="宋体" w:hAnsi="宋体" w:cs="宋体" w:eastAsia="宋体" w:hint="default"/>
          <w:sz w:val="18"/>
          <w:szCs w:val="18"/>
        </w:rPr>
      </w:pPr>
      <w:r>
        <w:rPr>
          <w:rFonts w:ascii="宋体" w:hAnsi="宋体" w:cs="宋体" w:eastAsia="宋体" w:hint="default"/>
          <w:sz w:val="18"/>
          <w:szCs w:val="18"/>
        </w:rPr>
        <w:t>商誉减值测试的影响 </w:t>
      </w:r>
      <w:r>
        <w:rPr>
          <w:rFonts w:ascii="宋体" w:hAnsi="宋体" w:cs="宋体" w:eastAsia="宋体" w:hint="default"/>
          <w:spacing w:val="-2"/>
          <w:sz w:val="18"/>
          <w:szCs w:val="18"/>
        </w:rPr>
        <w:t>赛英科技2017年至2019年累计业绩承诺净利润为11,200.00万元，实际完成业绩为净利润11,360.25万元（赛英科技作为</w:t>
      </w:r>
    </w:p>
    <w:p>
      <w:pPr>
        <w:spacing w:line="224" w:lineRule="exact" w:before="0"/>
        <w:ind w:left="132" w:right="0" w:firstLine="0"/>
        <w:jc w:val="both"/>
        <w:rPr>
          <w:rFonts w:ascii="宋体" w:hAnsi="宋体" w:cs="宋体" w:eastAsia="宋体" w:hint="default"/>
          <w:sz w:val="18"/>
          <w:szCs w:val="18"/>
        </w:rPr>
      </w:pPr>
      <w:r>
        <w:rPr>
          <w:rFonts w:ascii="宋体" w:hAnsi="宋体" w:cs="宋体" w:eastAsia="宋体" w:hint="default"/>
          <w:spacing w:val="-3"/>
          <w:sz w:val="18"/>
          <w:szCs w:val="18"/>
        </w:rPr>
        <w:t>公司全资子公司，于2018年4月参与了公司第一期限制性股票激励计划，向核心技术、管理、业务人员授予限制性股票，2018</w:t>
      </w:r>
    </w:p>
    <w:p>
      <w:pPr>
        <w:spacing w:line="316" w:lineRule="auto" w:before="76"/>
        <w:ind w:left="132" w:right="1132" w:firstLine="0"/>
        <w:jc w:val="both"/>
        <w:rPr>
          <w:rFonts w:ascii="宋体" w:hAnsi="宋体" w:cs="宋体" w:eastAsia="宋体" w:hint="default"/>
          <w:sz w:val="18"/>
          <w:szCs w:val="18"/>
        </w:rPr>
      </w:pPr>
      <w:r>
        <w:rPr>
          <w:rFonts w:ascii="宋体" w:hAnsi="宋体" w:cs="宋体" w:eastAsia="宋体" w:hint="default"/>
          <w:spacing w:val="-2"/>
          <w:sz w:val="18"/>
          <w:szCs w:val="18"/>
        </w:rPr>
        <w:t>年度和2019年度赛英科技累计摊销的股份支付费用为673.75万元，对赛英科技2018年度和2019年度扣除非经常性损益后归属</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于母公司的净利润累计影响额为572.69万元。剔除此因素影响，赛英科技2017年至2019累计完成的业绩为11,932.94万元，</w:t>
      </w:r>
      <w:r>
        <w:rPr>
          <w:rFonts w:ascii="宋体" w:hAnsi="宋体" w:cs="宋体" w:eastAsia="宋体" w:hint="default"/>
          <w:sz w:val="18"/>
          <w:szCs w:val="18"/>
        </w:rPr>
        <w:t> </w:t>
      </w:r>
      <w:r>
        <w:rPr>
          <w:rFonts w:ascii="宋体" w:hAnsi="宋体" w:cs="宋体" w:eastAsia="宋体" w:hint="default"/>
          <w:spacing w:val="-5"/>
          <w:sz w:val="18"/>
          <w:szCs w:val="18"/>
        </w:rPr>
        <w:t>完成率达106.54%），实现了业绩承诺。</w:t>
      </w:r>
    </w:p>
    <w:p>
      <w:pPr>
        <w:spacing w:line="338" w:lineRule="auto" w:before="19"/>
        <w:ind w:left="132" w:right="1034" w:firstLine="360"/>
        <w:jc w:val="left"/>
        <w:rPr>
          <w:rFonts w:ascii="宋体" w:hAnsi="宋体" w:cs="宋体" w:eastAsia="宋体" w:hint="default"/>
          <w:sz w:val="18"/>
          <w:szCs w:val="18"/>
        </w:rPr>
      </w:pPr>
      <w:r>
        <w:rPr>
          <w:rFonts w:ascii="宋体" w:hAnsi="宋体" w:cs="宋体" w:eastAsia="宋体" w:hint="default"/>
          <w:spacing w:val="-2"/>
          <w:sz w:val="18"/>
          <w:szCs w:val="18"/>
        </w:rPr>
        <w:t>公司期末对与赛英科技商誉相关的资产组进行了减值测试，在进行减值测试时，将商誉的账面价值分摊至预期从企业合</w:t>
      </w:r>
      <w:r>
        <w:rPr>
          <w:rFonts w:ascii="宋体" w:hAnsi="宋体" w:cs="宋体" w:eastAsia="宋体" w:hint="default"/>
          <w:sz w:val="18"/>
          <w:szCs w:val="18"/>
        </w:rPr>
        <w:t> 并的协同效应中受益的资产组或资产组组合。然后将资产组账面价值与其可收回金额进行比较，赛英科技商誉未发生减值。 其他说明</w:t>
      </w:r>
    </w:p>
    <w:p>
      <w:pPr>
        <w:spacing w:after="0" w:line="338" w:lineRule="auto"/>
        <w:jc w:val="left"/>
        <w:rPr>
          <w:rFonts w:ascii="宋体" w:hAnsi="宋体" w:cs="宋体" w:eastAsia="宋体" w:hint="default"/>
          <w:sz w:val="18"/>
          <w:szCs w:val="18"/>
        </w:rPr>
        <w:sectPr>
          <w:pgSz w:w="11910" w:h="16840"/>
          <w:pgMar w:header="919" w:footer="1016" w:top="1120" w:bottom="1200" w:left="100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9、长期待摊费用" w:id="333"/>
      <w:bookmarkEnd w:id="333"/>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租入房屋装修费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432,983.92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757,962.92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224,882.64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966,064.20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自有房屋装修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5,588,489.36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303,572.64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5,284,916.72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长期待摊租金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6,604,200.00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1,320,840.00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5,283,360.00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432,983.92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12,950,652.28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1,849,295.28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11,534,340.92</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0、递延所得税资产/递延所得税负债" w:id="334"/>
      <w:bookmarkEnd w:id="33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未经抵销的递延所得税资产" w:id="335"/>
      <w:bookmarkEnd w:id="33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405,266.27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101,316.57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5,080,625.71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1,270,156.43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应收票据坏账准备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55,190.01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8,278.50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46,477,929.33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7,427,920.55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32,981,737.03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5,154,589.58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17,810,903.80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2,739,782.54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14,439,416.08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2,244,368.17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1,734,714.21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260,207.13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796,868.40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119,530.26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6,415,160.82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1,254,445.20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6,841,533.29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1,361,038.32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8"/>
              <w:jc w:val="left"/>
              <w:rPr>
                <w:rFonts w:ascii="宋体" w:hAnsi="宋体" w:cs="宋体" w:eastAsia="宋体" w:hint="default"/>
                <w:sz w:val="18"/>
                <w:szCs w:val="18"/>
              </w:rPr>
            </w:pPr>
            <w:r>
              <w:rPr>
                <w:rFonts w:ascii="宋体" w:hAnsi="宋体" w:cs="宋体" w:eastAsia="宋体" w:hint="default"/>
                <w:sz w:val="18"/>
                <w:szCs w:val="18"/>
              </w:rPr>
              <w:t>可供出售金融资产减 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26,259.34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政府补助（递延收益）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695,206.89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104,281.03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91,099,164.44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14,521,950.49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79,010,449.68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12,980,223.13</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2）未经抵销的递延所得税负债" w:id="336"/>
      <w:bookmarkEnd w:id="33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17,796,965.83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2,669,544.87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21,394,160.51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3,209,124.08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17,796,965.83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2,669,544.87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21,394,160.51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3,209,124.08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以抵销后净额列示的递延所得税资产或负债" w:id="337"/>
      <w:bookmarkEnd w:id="33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14,521,950.49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2,669,544.87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4）未确认递延所得税资产明细" w:id="338"/>
      <w:bookmarkEnd w:id="33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54,830,980.33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20,996,765.96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38,304,849.88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38,443,598.81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64,863,871.01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25,678,899.05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12,197,936.67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14,108,856.67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170,197,637.89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99,228,120.49</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5）未确认递延所得税资产的可抵扣亏损将于以下年度到期" w:id="339"/>
      <w:bookmarkEnd w:id="33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4,719,655.02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4,156,692.98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5,275,743.42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4,458,099.86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7,990,795.29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5,049,210.05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6,846,352.68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5,956,151.11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29,998,433.92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54,830,980.33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19,620,154.00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73" w:lineRule="auto" w:before="0"/>
        <w:ind w:right="0" w:firstLine="420"/>
        <w:jc w:val="left"/>
      </w:pPr>
      <w:r>
        <w:rPr>
          <w:w w:val="95"/>
        </w:rPr>
        <w:t>本期未确认递延所得税资产的可抵扣暂时性差异增加较多，主要系本期子、孙公司亏损增加和因绩效</w:t>
      </w:r>
      <w:r>
        <w:rPr>
          <w:w w:val="99"/>
        </w:rPr>
        <w:t> </w:t>
      </w:r>
      <w:r>
        <w:rPr/>
        <w:t>工资增加导致的期末计提未支付的应付职工薪酬增加所致。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2127"/>
        <w:jc w:val="left"/>
        <w:rPr>
          <w:b w:val="0"/>
          <w:bCs w:val="0"/>
        </w:rPr>
      </w:pPr>
      <w:bookmarkStart w:name="31、其他非流动资产" w:id="340"/>
      <w:bookmarkEnd w:id="340"/>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4"/>
          <w:pgSz w:w="11910" w:h="16840"/>
          <w:pgMar w:footer="1016" w:header="919" w:top="1120" w:bottom="1200" w:left="1020" w:right="0"/>
          <w:pgNumType w:start="19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1913" w:space="6916"/>
            <w:col w:w="2061"/>
          </w:cols>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17,381,365.95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5,642,344.37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5,642,344.37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17,381,365.95</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2、短期借款" w:id="341"/>
      <w:bookmarkEnd w:id="341"/>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短期借款分类" w:id="342"/>
      <w:bookmarkEnd w:id="34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32,688.50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24,508.33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30,832,688.50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27,024,508.33</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15"/>
          <w:szCs w:val="15"/>
        </w:rPr>
      </w:pPr>
    </w:p>
    <w:p>
      <w:pPr>
        <w:pStyle w:val="BodyText"/>
        <w:spacing w:line="273" w:lineRule="auto" w:before="0"/>
        <w:ind w:right="0" w:firstLine="420"/>
        <w:jc w:val="left"/>
      </w:pPr>
      <w:r>
        <w:rPr/>
        <w:t>（1）子公司安徽汉高信息科技有限公司向中信银行合肥潜山路支行和招商银行卫岗支行分别借款人</w:t>
      </w:r>
      <w:r>
        <w:rPr>
          <w:w w:val="99"/>
        </w:rPr>
        <w:t> </w:t>
      </w:r>
      <w:r>
        <w:rPr>
          <w:w w:val="95"/>
        </w:rPr>
        <w:t>民币1,500.00万元和720.00万元。其中，中信银行合肥潜山路支行1,500.00万元借款分为三笔借入，第一</w:t>
      </w:r>
      <w:r>
        <w:rPr>
          <w:spacing w:val="37"/>
          <w:w w:val="95"/>
        </w:rPr>
        <w:t> </w:t>
      </w:r>
      <w:r>
        <w:rPr>
          <w:spacing w:val="37"/>
          <w:w w:val="95"/>
        </w:rPr>
      </w:r>
      <w:r>
        <w:rPr/>
        <w:t>笔500.00万元借款期限自2019年3月4日至2020年3月4日；第二笔500.00万元借款期限自2019年5月9日至</w:t>
      </w:r>
      <w:r>
        <w:rPr>
          <w:w w:val="99"/>
        </w:rPr>
        <w:t> </w:t>
      </w:r>
      <w:r>
        <w:rPr>
          <w:w w:val="95"/>
        </w:rPr>
        <w:t>2020年5月9日；第三笔500.00万元借款期限自2019年5月23日至2020年5月23日。以上三笔借款均由安徽皖</w:t>
      </w:r>
      <w:r>
        <w:rPr>
          <w:spacing w:val="40"/>
          <w:w w:val="95"/>
        </w:rPr>
        <w:t> </w:t>
      </w:r>
      <w:r>
        <w:rPr>
          <w:spacing w:val="40"/>
          <w:w w:val="95"/>
        </w:rPr>
      </w:r>
      <w:r>
        <w:rPr>
          <w:w w:val="95"/>
        </w:rPr>
        <w:t>通科技股份有限公司、安徽省交通物资有限责任公司共同提供最高额度为6,000.00万元担保。招商银行卫</w:t>
      </w:r>
      <w:r>
        <w:rPr>
          <w:spacing w:val="40"/>
          <w:w w:val="95"/>
        </w:rPr>
        <w:t> </w:t>
      </w:r>
      <w:r>
        <w:rPr>
          <w:spacing w:val="40"/>
          <w:w w:val="95"/>
        </w:rPr>
      </w:r>
      <w:r>
        <w:rPr>
          <w:w w:val="95"/>
        </w:rPr>
        <w:t>岗支行720.00万元借款分为两笔借入，其中300.00万元借款期限自2019年7月31日至2020年4月29日；另外</w:t>
      </w:r>
      <w:r>
        <w:rPr>
          <w:spacing w:val="37"/>
          <w:w w:val="95"/>
        </w:rPr>
        <w:t> </w:t>
      </w:r>
      <w:r>
        <w:rPr>
          <w:spacing w:val="37"/>
          <w:w w:val="95"/>
        </w:rPr>
      </w:r>
      <w:r>
        <w:rPr>
          <w:w w:val="95"/>
        </w:rPr>
        <w:t>420.00万元借款期限自2019年8月30日至2020年4月29日，以上两笔借款均由安徽皖通科技股份有限公司、</w:t>
      </w:r>
      <w:r>
        <w:rPr>
          <w:spacing w:val="61"/>
          <w:w w:val="95"/>
        </w:rPr>
        <w:t> </w:t>
      </w:r>
      <w:r>
        <w:rPr>
          <w:spacing w:val="61"/>
          <w:w w:val="95"/>
        </w:rPr>
      </w:r>
      <w:r>
        <w:rPr/>
        <w:t>安徽省交通物资有限责任公司共同提供最高额度为2,000.00万元担保。</w:t>
      </w:r>
    </w:p>
    <w:p>
      <w:pPr>
        <w:pStyle w:val="BodyText"/>
        <w:spacing w:line="273" w:lineRule="auto"/>
        <w:ind w:right="1130" w:firstLine="420"/>
        <w:jc w:val="both"/>
      </w:pPr>
      <w:r>
        <w:rPr>
          <w:spacing w:val="2"/>
          <w:w w:val="95"/>
        </w:rPr>
        <w:t>（2）子公司成都赛英科技有限公司于2019年12月25日和中国银行股份有限公司绵阳分行签订2019年</w:t>
      </w:r>
      <w:r>
        <w:rPr>
          <w:spacing w:val="-95"/>
          <w:w w:val="95"/>
        </w:rPr>
        <w:t> </w:t>
      </w:r>
      <w:r>
        <w:rPr>
          <w:spacing w:val="-95"/>
          <w:w w:val="95"/>
        </w:rPr>
      </w:r>
      <w:r>
        <w:rPr>
          <w:w w:val="95"/>
        </w:rPr>
        <w:t>绵字第6119310024号国内保理业务协议，成都赛英科技有限公司将对四川九洲电器集团有限责任公司的应</w:t>
      </w:r>
      <w:r>
        <w:rPr>
          <w:spacing w:val="37"/>
          <w:w w:val="95"/>
        </w:rPr>
        <w:t> </w:t>
      </w:r>
      <w:r>
        <w:rPr>
          <w:spacing w:val="37"/>
          <w:w w:val="95"/>
        </w:rPr>
      </w:r>
      <w:r>
        <w:rPr>
          <w:w w:val="95"/>
        </w:rPr>
        <w:t>收款债权转让给中国银行股份有限公司绵阳分行进行贸易融资。2019年12月25日，融资发放通知书显示融  </w:t>
      </w:r>
      <w:r>
        <w:rPr>
          <w:spacing w:val="37"/>
          <w:w w:val="95"/>
        </w:rPr>
        <w:t> </w:t>
      </w:r>
      <w:r>
        <w:rPr>
          <w:spacing w:val="37"/>
          <w:w w:val="95"/>
        </w:rPr>
      </w:r>
      <w:r>
        <w:rPr>
          <w:spacing w:val="14"/>
        </w:rPr>
        <w:t>资本金</w:t>
      </w:r>
      <w:r>
        <w:rPr>
          <w:spacing w:val="-86"/>
        </w:rPr>
        <w:t> </w:t>
      </w:r>
      <w:r>
        <w:rPr/>
        <w:t>8,600,000.00</w:t>
      </w:r>
      <w:r>
        <w:rPr>
          <w:spacing w:val="-87"/>
        </w:rPr>
        <w:t> </w:t>
      </w:r>
      <w:r>
        <w:rPr>
          <w:spacing w:val="10"/>
        </w:rPr>
        <w:t>元，</w:t>
      </w:r>
      <w:r>
        <w:rPr>
          <w:spacing w:val="-86"/>
        </w:rPr>
        <w:t> </w:t>
      </w:r>
      <w:r>
        <w:rPr>
          <w:spacing w:val="17"/>
        </w:rPr>
        <w:t>融资起息日为</w:t>
      </w:r>
      <w:r>
        <w:rPr>
          <w:spacing w:val="-86"/>
        </w:rPr>
        <w:t> </w:t>
      </w:r>
      <w:r>
        <w:rPr/>
        <w:t>2019</w:t>
      </w:r>
      <w:r>
        <w:rPr>
          <w:spacing w:val="-87"/>
        </w:rPr>
        <w:t> </w:t>
      </w:r>
      <w:r>
        <w:rPr/>
        <w:t>年</w:t>
      </w:r>
      <w:r>
        <w:rPr>
          <w:spacing w:val="-86"/>
        </w:rPr>
        <w:t> </w:t>
      </w:r>
      <w:r>
        <w:rPr/>
        <w:t>12</w:t>
      </w:r>
      <w:r>
        <w:rPr>
          <w:spacing w:val="-87"/>
        </w:rPr>
        <w:t> </w:t>
      </w:r>
      <w:r>
        <w:rPr/>
        <w:t>月</w:t>
      </w:r>
      <w:r>
        <w:rPr>
          <w:spacing w:val="-86"/>
        </w:rPr>
        <w:t> </w:t>
      </w:r>
      <w:r>
        <w:rPr/>
        <w:t>25</w:t>
      </w:r>
      <w:r>
        <w:rPr>
          <w:spacing w:val="-87"/>
        </w:rPr>
        <w:t> </w:t>
      </w:r>
      <w:r>
        <w:rPr>
          <w:spacing w:val="10"/>
        </w:rPr>
        <w:t>日，</w:t>
      </w:r>
      <w:r>
        <w:rPr>
          <w:spacing w:val="-86"/>
        </w:rPr>
        <w:t> </w:t>
      </w:r>
      <w:r>
        <w:rPr>
          <w:spacing w:val="17"/>
        </w:rPr>
        <w:t>融资到期日为</w:t>
      </w:r>
      <w:r>
        <w:rPr>
          <w:spacing w:val="-86"/>
        </w:rPr>
        <w:t> </w:t>
      </w:r>
      <w:r>
        <w:rPr>
          <w:spacing w:val="4"/>
        </w:rPr>
        <w:t>2020年</w:t>
      </w:r>
      <w:r>
        <w:rPr>
          <w:spacing w:val="-84"/>
        </w:rPr>
        <w:t> </w:t>
      </w:r>
      <w:r>
        <w:rPr/>
        <w:t>6</w:t>
      </w:r>
      <w:r>
        <w:rPr>
          <w:spacing w:val="-87"/>
        </w:rPr>
        <w:t> </w:t>
      </w:r>
      <w:r>
        <w:rPr/>
        <w:t>月</w:t>
      </w:r>
      <w:r>
        <w:rPr>
          <w:spacing w:val="-86"/>
        </w:rPr>
        <w:t> </w:t>
      </w:r>
      <w:r>
        <w:rPr/>
        <w:t>26</w:t>
      </w:r>
      <w:r>
        <w:rPr>
          <w:spacing w:val="-87"/>
        </w:rPr>
        <w:t> </w:t>
      </w:r>
      <w:r>
        <w:rPr>
          <w:spacing w:val="10"/>
        </w:rPr>
        <w:t>日，</w:t>
      </w:r>
      <w:r>
        <w:rPr>
          <w:spacing w:val="-86"/>
        </w:rPr>
        <w:t> </w:t>
      </w:r>
      <w:r>
        <w:rPr>
          <w:spacing w:val="15"/>
        </w:rPr>
        <w:t>预收利息</w:t>
      </w:r>
      <w:r>
        <w:rPr>
          <w:w w:val="99"/>
        </w:rPr>
        <w:t> </w:t>
      </w:r>
      <w:r>
        <w:rPr>
          <w:w w:val="95"/>
        </w:rPr>
        <w:t>175,822.22元，扣除利息后，成都赛英科技有限公司收到贸易融资金额为8,424,177.78元。企业另支付手</w:t>
      </w:r>
      <w:r>
        <w:rPr>
          <w:spacing w:val="43"/>
          <w:w w:val="95"/>
        </w:rPr>
        <w:t> </w:t>
      </w:r>
      <w:r>
        <w:rPr>
          <w:spacing w:val="43"/>
          <w:w w:val="95"/>
        </w:rPr>
      </w:r>
      <w:r>
        <w:rPr/>
        <w:t>续费15,468.06元。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2127"/>
        <w:jc w:val="left"/>
        <w:rPr>
          <w:b w:val="0"/>
          <w:bCs w:val="0"/>
        </w:rPr>
      </w:pPr>
      <w:bookmarkStart w:name="（2）已逾期未偿还的短期借款情况" w:id="343"/>
      <w:bookmarkEnd w:id="34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3、交易性金融负债" w:id="344"/>
      <w:bookmarkEnd w:id="344"/>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4、衍生金融负债" w:id="345"/>
      <w:bookmarkEnd w:id="345"/>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5、应付票据" w:id="346"/>
      <w:bookmarkEnd w:id="346"/>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127,301,131.32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22,004,085.71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127,301,131.32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22,004,085.71</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6、应付账款" w:id="347"/>
      <w:bookmarkEnd w:id="347"/>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付账款列示" w:id="348"/>
      <w:bookmarkEnd w:id="34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457,432,426.06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322,766,409.35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82,431,056.09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145,885,391.00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539,863,482.15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468,651,800.35</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2）账龄超过1年的重要应付账款" w:id="349"/>
      <w:bookmarkEnd w:id="34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陕西汉唐计算机有限责任公司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12,519,305.92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江苏倍思网络技术有限公司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5,960,167.27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北京中交国通智能交通系统技术有限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3,371,842.80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6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合肥聚力电力设备有限公司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3,345,805.92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新大陆数字技术股份有限公司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3,137,150.00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安徽庐峰交通工程有限公司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2,511,696.67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绥德县第四建筑工程公司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2,217,778.30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合肥市正茂科技有限公司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2,055,258.13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35,119,005.01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7、预收款项" w:id="350"/>
      <w:bookmarkEnd w:id="350"/>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1）预收款项列示" w:id="351"/>
      <w:bookmarkEnd w:id="35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113,029,255.35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124,649,404.12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113,029,255.35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124,649,404.12</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账龄超过1年的重要预收款项" w:id="352"/>
      <w:bookmarkEnd w:id="35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合肥城市轨道交通有限公司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2,673,900.00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山东省枣庄汽车运输有限公司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4,314,005.20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山东祥亿网络技术有限公司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7,987,905.20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38、合同负债" w:id="353"/>
      <w:bookmarkEnd w:id="353"/>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19"/>
        <w:gridCol w:w="4944"/>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9、应付职工薪酬" w:id="354"/>
      <w:bookmarkEnd w:id="354"/>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付职工薪酬列示" w:id="355"/>
      <w:bookmarkEnd w:id="35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25,678,899.05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236,841,847.56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197,657,373.41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64,863,373.20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11,970,528.31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11,970,030.50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497.81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25,678,899.05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248,812,375.87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209,627,403.91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64,863,871.01</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2）短期薪酬列示" w:id="356"/>
      <w:bookmarkEnd w:id="35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23,073,764.46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216,380,755.53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177,928,853.83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61,525,666.16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5,511,336.47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5,511,336.47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6,316,329.35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6,316,051.89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277.46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5,631,886.46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5,631,630.10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256.36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358,672.27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358,651.17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21.10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325,770.62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325,770.62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5,385,895.39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5,227,507.23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158,388.16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2,430,072.31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2,687,781.76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1,938,812.65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3,179,041.42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559,749.06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734,811.34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25,678,899.05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236,841,847.56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197,657,373.41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64,863,373.20</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3）设定提存计划列示" w:id="357"/>
      <w:bookmarkEnd w:id="35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11,570,655.66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11,570,172.94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482.72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399,872.65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399,857.56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11,970,528.31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11,970,030.50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497.81</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32" w:right="2127"/>
        <w:jc w:val="left"/>
      </w:pPr>
      <w:r>
        <w:rPr/>
        <w:t>期末应付职工薪酬中无拖欠性质的金额。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ind w:right="2127"/>
        <w:jc w:val="left"/>
        <w:rPr>
          <w:b w:val="0"/>
          <w:bCs w:val="0"/>
        </w:rPr>
      </w:pPr>
      <w:bookmarkStart w:name="40、应交税费" w:id="358"/>
      <w:bookmarkEnd w:id="358"/>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11,359,759.85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5,084,769.88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16,009,078.40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11,356,911.53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361,954.47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280,250.93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1,515,121.17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1,121,451.94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95,408.19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161,429.27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3,259,892.39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893,132.53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1,042,481.69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88,751.22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74,474.58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674,752.20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481,959.25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131,114.78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146,888.68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215,553.07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239,040.10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414,854.31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321,939.67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6,365.27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35,019,610.29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20,317,962.79</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41、其他应付款" w:id="359"/>
      <w:bookmarkEnd w:id="35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24,508.33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52,894,369.40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48,369,896.55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52,894,369.40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48,394,404.88</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1）应付利息" w:id="360"/>
      <w:bookmarkEnd w:id="36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24,508.33</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24,508.33</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2）应付股利" w:id="361"/>
      <w:bookmarkEnd w:id="36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5"/>
        <w:spacing w:line="240" w:lineRule="auto"/>
        <w:ind w:right="2127"/>
        <w:jc w:val="left"/>
        <w:rPr>
          <w:b w:val="0"/>
          <w:bCs w:val="0"/>
        </w:rPr>
      </w:pPr>
      <w:bookmarkStart w:name="（3）其他应付款" w:id="362"/>
      <w:bookmarkEnd w:id="36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按款项性质列示其他应付款" w:id="363"/>
      <w:bookmarkEnd w:id="363"/>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3,830,956.29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4,076,595.35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44,223,154.87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40,576,500.59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4,840,258.24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3,716,800.61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52,894,369.40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48,369,896.55</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账龄超过1年的重要其他应付款" w:id="364"/>
      <w:bookmarkEnd w:id="364"/>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重庆渝信路桥发展有限公司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2、持有待售负债" w:id="365"/>
      <w:bookmarkEnd w:id="365"/>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3、一年内到期的非流动负债" w:id="366"/>
      <w:bookmarkEnd w:id="36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4、其他流动负债" w:id="367"/>
      <w:bookmarkEnd w:id="36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9" w:footer="1016" w:top="112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1913" w:space="691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5、长期借款" w:id="368"/>
      <w:bookmarkEnd w:id="36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长期借款分类" w:id="369"/>
      <w:bookmarkEnd w:id="36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0" w:lineRule="auto" w:before="49"/>
        <w:ind w:left="11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46、应付债券" w:id="370"/>
      <w:bookmarkEnd w:id="37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付债券" w:id="371"/>
      <w:bookmarkEnd w:id="37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应付债券的增减变动（不包括划分为金融负债的优先股、永续债等其他金融工具）" w:id="372"/>
      <w:bookmarkEnd w:id="37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122"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可转换公司债券的转股条件、转股时间说明" w:id="373"/>
      <w:bookmarkEnd w:id="37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4）划分为金融负债的其他金融工具说明" w:id="374"/>
      <w:bookmarkEnd w:id="37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9" w:footer="1016" w:top="1120" w:bottom="1200" w:left="1020" w:right="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4613" w:space="42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6"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0"/>
        <w:ind w:left="11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20"/>
          <w:szCs w:val="20"/>
        </w:rPr>
      </w:pPr>
    </w:p>
    <w:p>
      <w:pPr>
        <w:pStyle w:val="Heading5"/>
        <w:spacing w:line="240" w:lineRule="auto"/>
        <w:ind w:right="2127"/>
        <w:jc w:val="left"/>
        <w:rPr>
          <w:b w:val="0"/>
          <w:bCs w:val="0"/>
        </w:rPr>
      </w:pPr>
      <w:bookmarkStart w:name="47、租赁负债" w:id="375"/>
      <w:bookmarkEnd w:id="375"/>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48、长期应付款" w:id="376"/>
      <w:bookmarkEnd w:id="376"/>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1）按款项性质列示长期应付款" w:id="377"/>
      <w:bookmarkEnd w:id="37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专项应付款" w:id="378"/>
      <w:bookmarkEnd w:id="378"/>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49、长期应付职工薪酬" w:id="379"/>
      <w:bookmarkEnd w:id="379"/>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长期应付职工薪酬表" w:id="380"/>
      <w:bookmarkEnd w:id="38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设定受益计划变动情况" w:id="381"/>
      <w:bookmarkEnd w:id="38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1"/>
        <w:ind w:left="11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0、预计负债" w:id="382"/>
      <w:bookmarkEnd w:id="38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9" w:footer="1016" w:top="112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51、递延收益" w:id="383"/>
      <w:bookmarkEnd w:id="38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0"/>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695,206.89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695,206.89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99"/>
              <w:jc w:val="right"/>
              <w:rPr>
                <w:rFonts w:ascii="宋体" w:hAnsi="宋体" w:cs="宋体" w:eastAsia="宋体" w:hint="default"/>
                <w:sz w:val="18"/>
                <w:szCs w:val="18"/>
              </w:rPr>
            </w:pPr>
            <w:r>
              <w:rPr>
                <w:rFonts w:ascii="宋体" w:hAnsi="宋体" w:cs="宋体" w:eastAsia="宋体" w:hint="default"/>
                <w:sz w:val="18"/>
                <w:szCs w:val="18"/>
              </w:rPr>
              <w:t>项目尚未验收</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695,206.89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695,206.89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0" w:right="138"/>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137"/>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7"/>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8" w:right="13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5" w:right="112"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98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8"/>
              <w:jc w:val="both"/>
              <w:rPr>
                <w:rFonts w:ascii="宋体" w:hAnsi="宋体" w:cs="宋体" w:eastAsia="宋体" w:hint="default"/>
                <w:sz w:val="18"/>
                <w:szCs w:val="18"/>
              </w:rPr>
            </w:pPr>
            <w:r>
              <w:rPr>
                <w:rFonts w:ascii="宋体" w:hAnsi="宋体" w:cs="宋体" w:eastAsia="宋体" w:hint="default"/>
                <w:sz w:val="18"/>
                <w:szCs w:val="18"/>
              </w:rPr>
              <w:t>企业自主 创新政策 仪器设备</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26" w:right="0"/>
              <w:jc w:val="left"/>
              <w:rPr>
                <w:rFonts w:ascii="Times New Roman" w:hAnsi="Times New Roman" w:cs="Times New Roman" w:eastAsia="Times New Roman" w:hint="default"/>
                <w:sz w:val="18"/>
                <w:szCs w:val="18"/>
              </w:rPr>
            </w:pPr>
            <w:r>
              <w:rPr>
                <w:rFonts w:ascii="Times New Roman"/>
                <w:sz w:val="18"/>
              </w:rPr>
              <w:t>695,206.89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695,206.8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3" w:right="174"/>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012"/>
        <w:gridCol w:w="1249"/>
        <w:gridCol w:w="1010"/>
        <w:gridCol w:w="1010"/>
        <w:gridCol w:w="1010"/>
        <w:gridCol w:w="1010"/>
        <w:gridCol w:w="1010"/>
        <w:gridCol w:w="1248"/>
        <w:gridCol w:w="1010"/>
      </w:tblGrid>
      <w:tr>
        <w:trPr>
          <w:trHeight w:val="36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购置补助</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*1</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4"/>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695,206.89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695,206.8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5"/>
          <w:szCs w:val="15"/>
        </w:rPr>
      </w:pPr>
    </w:p>
    <w:p>
      <w:pPr>
        <w:pStyle w:val="BodyText"/>
        <w:spacing w:line="240" w:lineRule="auto" w:before="0"/>
        <w:ind w:left="532" w:right="2127"/>
        <w:jc w:val="left"/>
      </w:pPr>
      <w:r>
        <w:rPr/>
        <w:t>*1：因为涉密，故此处用B项目代替原始项目名称。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ind w:right="2127"/>
        <w:jc w:val="left"/>
        <w:rPr>
          <w:b w:val="0"/>
          <w:bCs w:val="0"/>
        </w:rPr>
      </w:pPr>
      <w:bookmarkStart w:name="52、其他非流动负债" w:id="384"/>
      <w:bookmarkEnd w:id="38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35"/>
          <w:pgSz w:w="11910" w:h="16840"/>
          <w:pgMar w:footer="1016" w:header="919" w:top="1120" w:bottom="1200" w:left="1020" w:right="0"/>
          <w:pgNumType w:start="20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1913" w:space="69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3、股本" w:id="385"/>
      <w:bookmarkEnd w:id="385"/>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412,135,469.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-63,000.00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-63,000.00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412,072,469.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32" w:right="0"/>
        <w:jc w:val="left"/>
      </w:pPr>
      <w:r>
        <w:rPr>
          <w:spacing w:val="-3"/>
        </w:rPr>
        <w:t>本期股份总数减少系持有限制性股权激励的员工离职，根据协议，公司回购其持有的股份并注销所致。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5"/>
        <w:spacing w:line="240" w:lineRule="auto"/>
        <w:ind w:right="2127"/>
        <w:jc w:val="left"/>
        <w:rPr>
          <w:b w:val="0"/>
          <w:bCs w:val="0"/>
        </w:rPr>
      </w:pPr>
      <w:bookmarkStart w:name="54、其他权益工具" w:id="386"/>
      <w:bookmarkEnd w:id="38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期末发行在外的优先股、永续债等其他金融工具基本情况" w:id="387"/>
      <w:bookmarkEnd w:id="38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2）期末发行在外的优先股、永续债等金融工具变动情况表" w:id="388"/>
      <w:bookmarkEnd w:id="38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66"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w:t>
      </w:r>
    </w:p>
    <w:p>
      <w:pPr>
        <w:spacing w:after="0"/>
        <w:jc w:val="left"/>
        <w:rPr>
          <w:rFonts w:ascii="宋体" w:hAnsi="宋体" w:cs="宋体" w:eastAsia="宋体" w:hint="default"/>
          <w:sz w:val="18"/>
          <w:szCs w:val="18"/>
        </w:rPr>
        <w:sectPr>
          <w:type w:val="continuous"/>
          <w:pgSz w:w="11910" w:h="16840"/>
          <w:pgMar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55、资本公积" w:id="389"/>
      <w:bookmarkEnd w:id="38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1,019,854,293.47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-248,850.00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1,019,605,443.47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14,485,295.40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11,774,372.50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26,259,667.90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1,034,339,588.87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11,525,522.50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2"/>
                <w:sz w:val="18"/>
              </w:rPr>
              <w:t>1,045,865,111.37</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15"/>
          <w:szCs w:val="15"/>
        </w:rPr>
      </w:pPr>
    </w:p>
    <w:p>
      <w:pPr>
        <w:pStyle w:val="BodyText"/>
        <w:spacing w:line="240" w:lineRule="auto" w:before="0"/>
        <w:ind w:left="532" w:right="2127"/>
        <w:jc w:val="left"/>
      </w:pPr>
      <w:r>
        <w:rPr/>
        <w:t>（1）资本溢价（股本溢价）本期增加为负数原因同注释30.股本；</w:t>
      </w:r>
    </w:p>
    <w:p>
      <w:pPr>
        <w:spacing w:line="240" w:lineRule="auto" w:before="10"/>
        <w:rPr>
          <w:rFonts w:ascii="宋体" w:hAnsi="宋体" w:cs="宋体" w:eastAsia="宋体" w:hint="default"/>
          <w:sz w:val="14"/>
          <w:szCs w:val="14"/>
        </w:rPr>
      </w:pPr>
    </w:p>
    <w:p>
      <w:pPr>
        <w:pStyle w:val="BodyText"/>
        <w:spacing w:line="240" w:lineRule="auto" w:before="0"/>
        <w:ind w:left="532" w:right="2127"/>
        <w:jc w:val="left"/>
      </w:pPr>
      <w:r>
        <w:rPr/>
        <w:t>（2）其他资本公积本期增加主要系本期摊销限制性股权激励费用所致。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5"/>
        <w:spacing w:line="240" w:lineRule="auto"/>
        <w:ind w:right="2127"/>
        <w:jc w:val="left"/>
        <w:rPr>
          <w:b w:val="0"/>
          <w:bCs w:val="0"/>
        </w:rPr>
      </w:pPr>
      <w:bookmarkStart w:name="56、库存股" w:id="390"/>
      <w:bookmarkEnd w:id="39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7、其他综合收益" w:id="391"/>
      <w:bookmarkEnd w:id="39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7"/>
        <w:gridCol w:w="974"/>
        <w:gridCol w:w="852"/>
        <w:gridCol w:w="1050"/>
        <w:gridCol w:w="852"/>
        <w:gridCol w:w="852"/>
        <w:gridCol w:w="853"/>
        <w:gridCol w:w="852"/>
        <w:gridCol w:w="726"/>
      </w:tblGrid>
      <w:tr>
        <w:trPr>
          <w:trHeight w:val="402" w:hRule="exact"/>
        </w:trPr>
        <w:tc>
          <w:tcPr>
            <w:tcW w:w="2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6"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4"/>
                <w:sz w:val="18"/>
                <w:szCs w:val="18"/>
              </w:rPr>
              <w:t>：</w:t>
            </w:r>
            <w:r>
              <w:rPr>
                <w:rFonts w:ascii="宋体" w:hAnsi="宋体" w:cs="宋体" w:eastAsia="宋体" w:hint="default"/>
                <w:sz w:val="18"/>
                <w:szCs w:val="18"/>
              </w:rPr>
              <w:t>前期</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290"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4"/>
                <w:sz w:val="18"/>
                <w:szCs w:val="18"/>
              </w:rPr>
              <w:t>减：前期计</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计入其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958"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1" w:right="148"/>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8" w:right="159"/>
              <w:jc w:val="both"/>
              <w:rPr>
                <w:rFonts w:ascii="宋体" w:hAnsi="宋体" w:cs="宋体" w:eastAsia="宋体" w:hint="default"/>
                <w:sz w:val="18"/>
                <w:szCs w:val="18"/>
              </w:rPr>
            </w:pPr>
            <w:r>
              <w:rPr>
                <w:rFonts w:ascii="宋体" w:hAnsi="宋体" w:cs="宋体" w:eastAsia="宋体" w:hint="default"/>
                <w:sz w:val="18"/>
                <w:szCs w:val="18"/>
              </w:rPr>
              <w:t>入其他综 合收益当 期转入损</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0" w:right="149"/>
              <w:jc w:val="both"/>
              <w:rPr>
                <w:rFonts w:ascii="宋体" w:hAnsi="宋体" w:cs="宋体" w:eastAsia="宋体" w:hint="default"/>
                <w:sz w:val="18"/>
                <w:szCs w:val="18"/>
              </w:rPr>
            </w:pPr>
            <w:r>
              <w:rPr>
                <w:rFonts w:ascii="宋体" w:hAnsi="宋体" w:cs="宋体" w:eastAsia="宋体" w:hint="default"/>
                <w:sz w:val="18"/>
                <w:szCs w:val="18"/>
              </w:rPr>
              <w:t>他综合 收益当 期转入</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50" w:right="101" w:hanging="48"/>
              <w:jc w:val="left"/>
              <w:rPr>
                <w:rFonts w:ascii="宋体" w:hAnsi="宋体" w:cs="宋体" w:eastAsia="宋体" w:hint="default"/>
                <w:sz w:val="18"/>
                <w:szCs w:val="18"/>
              </w:rPr>
            </w:pPr>
            <w:r>
              <w:rPr>
                <w:rFonts w:ascii="宋体" w:hAnsi="宋体" w:cs="宋体" w:eastAsia="宋体" w:hint="default"/>
                <w:spacing w:val="-21"/>
                <w:sz w:val="18"/>
                <w:szCs w:val="18"/>
              </w:rPr>
              <w:t>减：所得</w:t>
            </w:r>
            <w:r>
              <w:rPr>
                <w:rFonts w:ascii="宋体" w:hAnsi="宋体" w:cs="宋体" w:eastAsia="宋体" w:hint="default"/>
                <w:sz w:val="18"/>
                <w:szCs w:val="18"/>
              </w:rPr>
              <w:t> 税费用</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0" w:right="150"/>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32"/>
              <w:ind w:left="152" w:right="14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178" w:right="176"/>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312"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留存收</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tcBorders>
              <w:top w:val="nil" w:sz="6" w:space="0" w:color="auto"/>
              <w:left w:val="single" w:sz="4" w:space="0" w:color="000000"/>
              <w:bottom w:val="nil" w:sz="6" w:space="0" w:color="auto"/>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shd w:val="clear" w:color="auto" w:fill="D2D2D2"/>
          </w:tcPr>
          <w:p>
            <w:pPr/>
          </w:p>
        </w:tc>
        <w:tc>
          <w:tcPr>
            <w:tcW w:w="72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8"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58、专项储备" w:id="392"/>
      <w:bookmarkEnd w:id="39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59、盈余公积" w:id="393"/>
      <w:bookmarkEnd w:id="39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50,134,527.00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14,904,349.06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65,038,876.06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50,134,527.00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14,904,349.06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65,038,876.06</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60、未分配利润" w:id="394"/>
      <w:bookmarkEnd w:id="39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518,743,897.74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418,709,463.40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518,743,897.74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418,709,463.40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168,576,777.26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105,820,825.29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14,904,349.06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5,786,390.95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12,363,752.52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660,052,573.42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518,743,897.74</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2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5"/>
        <w:spacing w:line="240" w:lineRule="auto"/>
        <w:ind w:right="2127"/>
        <w:jc w:val="left"/>
        <w:rPr>
          <w:b w:val="0"/>
          <w:bCs w:val="0"/>
        </w:rPr>
      </w:pPr>
      <w:bookmarkStart w:name="61、营业收入和营业成本" w:id="395"/>
      <w:bookmarkEnd w:id="39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1,458,261,368.06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993,489,420.38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1,248,472,433.34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878,173,563.46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1,356,866.49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2,165,503.43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897,806.71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216,338.48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1,459,618,234.55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995,654,923.81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1,249,370,240.05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878,389,901.94</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0" w:lineRule="auto" w:before="117"/>
        <w:ind w:left="112" w:right="9764" w:firstLine="0"/>
        <w:jc w:val="left"/>
        <w:rPr>
          <w:rFonts w:ascii="宋体" w:hAnsi="宋体" w:cs="宋体" w:eastAsia="宋体" w:hint="default"/>
          <w:sz w:val="18"/>
          <w:szCs w:val="18"/>
        </w:rPr>
      </w:pPr>
      <w:r>
        <w:rPr>
          <w:rFonts w:ascii="宋体" w:hAnsi="宋体" w:cs="宋体" w:eastAsia="宋体" w:hint="default"/>
          <w:sz w:val="18"/>
          <w:szCs w:val="18"/>
        </w:rPr>
        <w:t>□ 是 √ 否 其他说明</w:t>
      </w:r>
    </w:p>
    <w:p>
      <w:pPr>
        <w:spacing w:after="0" w:line="36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62、税金及附加" w:id="396"/>
      <w:bookmarkEnd w:id="396"/>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2,310,072.58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3,141,108.32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1,032,937.22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1,399,070.91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2,715,221.58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1,680,811.44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140,194.79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137,128.04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14,215.86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16,695.36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570,419.55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694,115.49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683,375.89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926,744.04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-66,021.08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-19,698.27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411,076.68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7,400,416.39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8,387,052.01</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63、销售费用" w:id="397"/>
      <w:bookmarkEnd w:id="39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9,533,301.72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9,626,285.48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909,528.52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401,062.09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955,423.59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1,584,987.32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8,920,722.55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5,141,553.01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21,687,513.99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16,825,280.44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389,016.60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291,020.79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335,255.23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946,193.08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581,994.99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749,625.18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935,218.99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655,213.58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3,391,883.40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213,050.02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3,841,984.13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5,460,747.20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51,481,843.71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41,895,018.19</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64、管理费用" w:id="398"/>
      <w:bookmarkEnd w:id="39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51,470,972.19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40,169,694.81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36,152,747.96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31,366,741.73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435,197.96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23,280.54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6,317,650.73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9,507,999.90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2,654,920.35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1,298,642.97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1,975,000.57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1,539,653.84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1,331,011.34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1,475,805.04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1,165,084.59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1,088,327.12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593,031.34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681,303.50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121,749.49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253,880.87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3,026,180.20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2,182,988.69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12,197,936.67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14,108,856.67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9,989,357.27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12,086,971.58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127,430,840.66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115,784,147.26</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65、研发费用" w:id="399"/>
      <w:bookmarkEnd w:id="399"/>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81,068,261.57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41,711,696.27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1,998,583.12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1,525,731.78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2,358,599.83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1,549,190.53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委托外部研发费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658,398.93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1,440,648.34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725,390.57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1,404,851.10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1,898,818.48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1,567,956.88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88,708,052.50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49,200,074.90</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66、财务费用" w:id="400"/>
      <w:bookmarkEnd w:id="400"/>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2,128,689.83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1,113,692.67</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8,187,603.13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4,311,747.78</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14,110.24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-13,065.06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2,936,887.38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1,274,049.15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-3,107,915.68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-1,937,071.02</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67、其他收益" w:id="401"/>
      <w:bookmarkEnd w:id="401"/>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21,140,872.38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15,283,077.91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61,523.05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13,207.59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21,202,395.43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15,296,285.50</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68、投资收益" w:id="402"/>
      <w:bookmarkEnd w:id="40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1,675,453.13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1,338,416.58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4,923,778.71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6"/>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18,396.99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469,511.14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-19,126.82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2,434,007.71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6,598,502.01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4,241,935.43</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right="2127"/>
        <w:jc w:val="left"/>
      </w:pPr>
      <w:r>
        <w:rPr>
          <w:sz w:val="18"/>
          <w:szCs w:val="18"/>
        </w:rPr>
        <w:t>*1</w:t>
      </w:r>
      <w:r>
        <w:rPr/>
        <w:t>本期发生额中的其他系应收票据贴现的利息费用。</w:t>
      </w:r>
    </w:p>
    <w:p>
      <w:pPr>
        <w:spacing w:line="240" w:lineRule="auto" w:before="10"/>
        <w:rPr>
          <w:rFonts w:ascii="宋体" w:hAnsi="宋体" w:cs="宋体" w:eastAsia="宋体" w:hint="default"/>
          <w:sz w:val="25"/>
          <w:szCs w:val="25"/>
        </w:rPr>
      </w:pPr>
    </w:p>
    <w:p>
      <w:pPr>
        <w:pStyle w:val="Heading5"/>
        <w:spacing w:line="240" w:lineRule="auto"/>
        <w:ind w:right="2127"/>
        <w:jc w:val="left"/>
        <w:rPr>
          <w:b w:val="0"/>
          <w:bCs w:val="0"/>
        </w:rPr>
      </w:pPr>
      <w:bookmarkStart w:name="69、净敞口套期收益" w:id="403"/>
      <w:bookmarkEnd w:id="403"/>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70、公允价值变动收益" w:id="404"/>
      <w:bookmarkEnd w:id="404"/>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71、信用减值损失" w:id="405"/>
      <w:bookmarkEnd w:id="405"/>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-3,429,338.92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-937,845.81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合同资产减值损失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-13,619,575.15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-17,986,759.88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72、资产减值损失" w:id="406"/>
      <w:bookmarkEnd w:id="406"/>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9" w:footer="1016" w:top="1120" w:bottom="120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-15,808,444.31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-159,719.10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-3,841,889.61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-32,318,106.33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-159,719.10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-51,968,440.25</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73、资产处置收益" w:id="407"/>
      <w:bookmarkEnd w:id="407"/>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5,150,332.31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591,560.22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5,150,332.31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591,560.22</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74、营业外收入" w:id="408"/>
      <w:bookmarkEnd w:id="408"/>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非流动资产报废处置利得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35,176.32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38,250.29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35,176.32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362,522.58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219,282.08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362,522.58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397,698.90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257,532.37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397,698.90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75、营业外支出" w:id="409"/>
      <w:bookmarkEnd w:id="409"/>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72,778.00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滞纳金罚款支出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74,405.83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38,048.87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74,405.83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489,325.12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76,759.89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489,325.12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32,370.49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32,370.49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682,101.44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192,345.43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682,101.44</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76、所得税费用" w:id="410"/>
      <w:bookmarkEnd w:id="410"/>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所得税费用表" w:id="411"/>
      <w:bookmarkEnd w:id="41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33,067,689.18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25,191,368.26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-2,081,306.57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-2,633,273.19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30,986,382.61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22,558,095.07</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2）会计利润与所得税费用调整过程" w:id="412"/>
      <w:bookmarkEnd w:id="41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206,570,421.39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30,985,563.21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1,929,965.48</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-228,971.89</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-9,299,377.52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1,699,591.23</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8,539,078.21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-10,424,072.60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7,784,606.48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30,986,382.61</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77、其他综合收益" w:id="413"/>
      <w:bookmarkEnd w:id="413"/>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78、现金流量表项目" w:id="414"/>
      <w:bookmarkEnd w:id="414"/>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收到的其他与经营活动有关的现金" w:id="415"/>
      <w:bookmarkEnd w:id="41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6,322,057.31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2,624,268.85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11,521,318.96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6,787,195.00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投标履约保证金及往来款项收入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135,826,788.49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145,652,528.86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362,522.58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219,282.08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154,032,687.34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155,283,274.79</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支付的其他与经营活动有关的现金" w:id="416"/>
      <w:bookmarkEnd w:id="41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192,776.32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115,585.54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2,936,887.38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1,274,049.15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保证金等往来款项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121,248,397.79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140,491,772.55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支付的营业、管理以及研发费用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57,812,171.04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57,515,844.48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182,190,232.53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199,397,251.72</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收到的其他与投资活动有关的现金" w:id="417"/>
      <w:bookmarkEnd w:id="41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并购日被并购方持有现金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8,444,253.87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8,444,253.87</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支付的其他与投资活动有关的现金" w:id="418"/>
      <w:bookmarkEnd w:id="41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收到的其他与筹资活动有关的现金" w:id="419"/>
      <w:bookmarkEnd w:id="41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2,746,493.77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806,530.98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26,274,706.88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14,988,072.70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29,021,200.65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15,794,603.68</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6）支付的其他与筹资活动有关的现金" w:id="420"/>
      <w:bookmarkEnd w:id="42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93,902,703.68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26,274,706.88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311,850.00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94,214,553.68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26,274,706.88</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5"/>
        <w:spacing w:line="240" w:lineRule="auto"/>
        <w:ind w:right="2127"/>
        <w:jc w:val="left"/>
        <w:rPr>
          <w:b w:val="0"/>
          <w:bCs w:val="0"/>
        </w:rPr>
      </w:pPr>
      <w:bookmarkStart w:name="79、现金流量表补充资料" w:id="421"/>
      <w:bookmarkEnd w:id="421"/>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现金流量表补充资料" w:id="422"/>
      <w:bookmarkEnd w:id="42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175,584,038.78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103,319,549.54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18,146,478.98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51,968,440.25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23,211,636.62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16,690,993.37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19,490,576.85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17,547,564.41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1,849,295.28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417,348.58</w:t>
            </w:r>
          </w:p>
        </w:tc>
      </w:tr>
      <w:tr>
        <w:trPr>
          <w:trHeight w:val="102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both"/>
              <w:rPr>
                <w:rFonts w:ascii="宋体" w:hAnsi="宋体" w:cs="宋体" w:eastAsia="宋体" w:hint="default"/>
                <w:sz w:val="18"/>
                <w:szCs w:val="18"/>
              </w:rPr>
            </w:pPr>
            <w:r>
              <w:rPr>
                <w:rFonts w:ascii="宋体" w:hAnsi="宋体" w:cs="宋体" w:eastAsia="宋体" w:hint="default"/>
                <w:sz w:val="18"/>
                <w:szCs w:val="18"/>
              </w:rPr>
              <w:t>处置固定资产、无形资产和其 他长期资产的损失（收益以“－”号填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-5,150,332.31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-591,560.22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333"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454,148.80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38,509.60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-603,693.70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294,096.63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-6,598,502.01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-4,241,935.43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-1,541,727.36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-2,146,166.36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-539,579.21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-487,106.83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-87,755,341.26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-64,504,438.88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-226,234,254.67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-113,253,804.62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246,027,958.11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46,164,655.06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11,774,372.50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14,108,856.67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168,115,075.40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65,325,001.77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836,023,565.92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859,582,722.96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859,582,722.96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651,295,154.65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-23,559,157.04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208,287,568.31</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1016" w:header="919" w:top="1120" w:bottom="1200" w:left="1020" w:right="0"/>
          <w:pgNumType w:start="210"/>
        </w:sectPr>
      </w:pPr>
    </w:p>
    <w:p>
      <w:pPr>
        <w:spacing w:line="240" w:lineRule="auto" w:before="5"/>
        <w:rPr>
          <w:rFonts w:ascii="Times New Roman" w:hAnsi="Times New Roman" w:cs="Times New Roman" w:eastAsia="Times New Roman" w:hint="default"/>
          <w:sz w:val="22"/>
          <w:szCs w:val="22"/>
        </w:rPr>
      </w:pPr>
    </w:p>
    <w:p>
      <w:pPr>
        <w:pStyle w:val="Heading5"/>
        <w:spacing w:line="240" w:lineRule="auto" w:before="34"/>
        <w:ind w:right="2127"/>
        <w:jc w:val="left"/>
        <w:rPr>
          <w:b w:val="0"/>
          <w:bCs w:val="0"/>
        </w:rPr>
      </w:pPr>
      <w:bookmarkStart w:name="（2）本期支付的取得子公司的现金净额" w:id="423"/>
      <w:bookmarkEnd w:id="42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本期收到的处置子公司的现金净额" w:id="424"/>
      <w:bookmarkEnd w:id="42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现金和现金等价物的构成" w:id="425"/>
      <w:bookmarkEnd w:id="42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836,023,565.92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859,582,722.96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334,452.99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259,753.14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817,939,937.12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855,073,703.09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17,749,175.81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4,249,266.73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836,023,565.92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859,582,722.96</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80、所有者权益变动表项目注释" w:id="426"/>
      <w:bookmarkEnd w:id="426"/>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81、所有权或使用权受到限制的资产" w:id="427"/>
      <w:bookmarkEnd w:id="427"/>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93,902,703.68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票据、保函保证金等</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8,112,317.49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2" w:right="0"/>
              <w:jc w:val="left"/>
              <w:rPr>
                <w:rFonts w:ascii="宋体" w:hAnsi="宋体" w:cs="宋体" w:eastAsia="宋体" w:hint="default"/>
                <w:sz w:val="18"/>
                <w:szCs w:val="18"/>
              </w:rPr>
            </w:pPr>
            <w:r>
              <w:rPr>
                <w:rFonts w:ascii="宋体" w:hAnsi="宋体" w:cs="宋体" w:eastAsia="宋体" w:hint="default"/>
                <w:sz w:val="18"/>
                <w:szCs w:val="18"/>
              </w:rPr>
              <w:t>华东电子软件公司为保函、贸易融资</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授信等抵押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贸易融资借款质押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110,615,021.17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82、外币货币性项目" w:id="428"/>
      <w:bookmarkEnd w:id="428"/>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外币货币性项目" w:id="429"/>
      <w:bookmarkEnd w:id="42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7.8155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430"/>
      <w:bookmarkEnd w:id="430"/>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83、套期" w:id="431"/>
      <w:bookmarkEnd w:id="431"/>
      <w:r>
        <w:rPr>
          <w:b w:val="0"/>
          <w:bCs w:val="0"/>
        </w:rPr>
      </w:r>
      <w:r>
        <w:rPr>
          <w:rFonts w:ascii="Times New Roman" w:hAnsi="Times New Roman" w:cs="Times New Roman" w:eastAsia="Times New Roman" w:hint="default"/>
        </w:rPr>
        <w:t>83</w:t>
      </w:r>
      <w:r>
        <w:rPr/>
        <w:t>、套期</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84、政府补助" w:id="432"/>
      <w:bookmarkEnd w:id="432"/>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政府补助基本情况" w:id="433"/>
      <w:bookmarkEnd w:id="43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695,206.89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20,445,665.49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20,445,665.49</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2）政府补助退回情况" w:id="434"/>
      <w:bookmarkEnd w:id="43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line="240" w:lineRule="auto" w:before="12"/>
        <w:rPr>
          <w:rFonts w:ascii="宋体" w:hAnsi="宋体" w:cs="宋体" w:eastAsia="宋体" w:hint="default"/>
          <w:sz w:val="19"/>
          <w:szCs w:val="19"/>
        </w:rPr>
      </w:pPr>
    </w:p>
    <w:p>
      <w:pPr>
        <w:spacing w:line="487" w:lineRule="auto" w:before="0"/>
        <w:ind w:left="112" w:right="8329" w:firstLine="0"/>
        <w:jc w:val="left"/>
        <w:rPr>
          <w:rFonts w:ascii="宋体" w:hAnsi="宋体" w:cs="宋体" w:eastAsia="宋体" w:hint="default"/>
          <w:sz w:val="21"/>
          <w:szCs w:val="21"/>
        </w:rPr>
      </w:pPr>
      <w:bookmarkStart w:name="85、其他" w:id="435"/>
      <w:bookmarkEnd w:id="435"/>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36"/>
      <w:bookmarkEnd w:id="43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7"/>
      <w:bookmarkEnd w:id="43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1"/>
        <w:ind w:right="2127"/>
        <w:jc w:val="left"/>
        <w:rPr>
          <w:b w:val="0"/>
          <w:bCs w:val="0"/>
        </w:rPr>
      </w:pPr>
      <w:bookmarkStart w:name="（1）本期发生的非同一控制下企业合并" w:id="438"/>
      <w:bookmarkEnd w:id="43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358" w:hRule="exact"/>
        </w:trPr>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购买日至</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购买日至</w:t>
            </w:r>
          </w:p>
        </w:tc>
      </w:tr>
      <w:tr>
        <w:trPr>
          <w:trHeight w:val="624" w:hRule="exact"/>
        </w:trPr>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6" w:right="164"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7" w:right="16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6" w:right="163"/>
              <w:jc w:val="left"/>
              <w:rPr>
                <w:rFonts w:ascii="宋体" w:hAnsi="宋体" w:cs="宋体" w:eastAsia="宋体" w:hint="default"/>
                <w:sz w:val="18"/>
                <w:szCs w:val="18"/>
              </w:rPr>
            </w:pPr>
            <w:r>
              <w:rPr>
                <w:rFonts w:ascii="宋体" w:hAnsi="宋体" w:cs="宋体" w:eastAsia="宋体" w:hint="default"/>
                <w:sz w:val="18"/>
                <w:szCs w:val="18"/>
              </w:rPr>
              <w:t>期末被购 买方的收</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期末被购 买方的净</w:t>
            </w:r>
          </w:p>
        </w:tc>
      </w:tr>
      <w:tr>
        <w:trPr>
          <w:trHeight w:val="356" w:hRule="exact"/>
        </w:trPr>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合并成本及商誉" w:id="439"/>
      <w:bookmarkEnd w:id="43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52"/>
        <w:ind w:left="11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被购买方于购买日可辨认资产、负债" w:id="440"/>
      <w:bookmarkEnd w:id="44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pt;height:20.75pt;mso-position-horizontal-relative:char;mso-position-vertical-relative:line" coordorigin="0,0" coordsize="9590,415">
            <v:group style="position:absolute;left:13;top:12;width:3185;height:397" coordorigin="13,12" coordsize="3185,397">
              <v:shape style="position:absolute;left:13;top:12;width:3185;height:397" coordorigin="13,12" coordsize="3185,397" path="m13,12l3198,12,3198,409,13,409,13,12xe" filled="true" fillcolor="#d2d2d2"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0;width:9580;height:2" coordorigin="5,410" coordsize="9580,2">
              <v:shape style="position:absolute;left:5;top:410;width:9580;height:2" coordorigin="5,410" coordsize="9580,0" path="m5,410l9584,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3200;top:5;width:2;height:400" coordorigin="3200,5" coordsize="2,400">
              <v:shape style="position:absolute;left:3200;top:5;width:2;height:400" coordorigin="3200,5" coordsize="0,400" path="m3200,5l3200,405e" filled="false" stroked="true" strokeweight=".48pt" strokecolor="#000000">
                <v:path arrowok="t"/>
              </v:shape>
            </v:group>
            <v:group style="position:absolute;left:9580;top:5;width:2;height:400" coordorigin="9580,5" coordsize="2,400">
              <v:shape style="position:absolute;left:9580;top:5;width:2;height:400" coordorigin="9580,5" coordsize="0,400" path="m9580,5l9580,405e" filled="false" stroked="true" strokeweight=".48pt" strokecolor="#000000">
                <v:path arrowok="t"/>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51"/>
        <w:ind w:left="11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5"/>
        <w:spacing w:line="240" w:lineRule="auto"/>
        <w:ind w:right="0"/>
        <w:jc w:val="both"/>
        <w:rPr>
          <w:b w:val="0"/>
          <w:bCs w:val="0"/>
        </w:rPr>
      </w:pPr>
      <w:bookmarkStart w:name="（4）购买日之前持有的股权按照公允价值重新计量产生的利得或损失" w:id="441"/>
      <w:bookmarkEnd w:id="44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12"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bookmarkStart w:name="（5）购买日或合并当期期末无法合理确定合并对价或被购买方可辨认资产、负债公允价值" w:id="442"/>
      <w:bookmarkEnd w:id="44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443"/>
      <w:bookmarkEnd w:id="44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444"/>
      <w:bookmarkEnd w:id="44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445"/>
      <w:bookmarkEnd w:id="44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44"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4" w:right="165"/>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5"/>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8" w:right="164"/>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5"/>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8" w:right="164"/>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7" w:right="165"/>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合并成本" w:id="446"/>
      <w:bookmarkEnd w:id="44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50"/>
        <w:ind w:left="11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3）合并日被合并方资产、负债的账面价值" w:id="447"/>
      <w:bookmarkEnd w:id="44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3;width:3185;height:397" coordorigin="13,13" coordsize="3185,397">
              <v:shape style="position:absolute;left:13;top:13;width:3185;height:397" coordorigin="13,13" coordsize="3185,397" path="m13,13l3198,13,3198,410,13,410,13,13xe" filled="true" fillcolor="#d2d2d2" stroked="false">
                <v:path arrowok="t"/>
                <v:fill type="solid"/>
              </v:shape>
            </v:group>
            <v:group style="position:absolute;left:3203;top:13;width:6375;height:397" coordorigin="3203,13" coordsize="6375,397">
              <v:shape style="position:absolute;left:3203;top:13;width:6375;height:397" coordorigin="3203,13" coordsize="6375,397" path="m3203,13l9578,13,9578,410,3203,410,3203,13xe" filled="true" fillcolor="#d2d2d2" stroked="false">
                <v:path arrowok="t"/>
                <v:fill type="solid"/>
              </v:shape>
            </v:group>
            <v:group style="position:absolute;left:13;top:415;width:3185;height:397" coordorigin="13,415" coordsize="3185,397">
              <v:shape style="position:absolute;left:13;top:415;width:3185;height:397" coordorigin="13,415" coordsize="3185,397" path="m13,415l3198,415,3198,812,13,812,13,415xe" filled="true" fillcolor="#d2d2d2" stroked="false">
                <v:path arrowok="t"/>
                <v:fill type="solid"/>
              </v:shape>
            </v:group>
            <v:group style="position:absolute;left:3203;top:415;width:3185;height:397" coordorigin="3203,415" coordsize="3185,397">
              <v:shape style="position:absolute;left:3203;top:415;width:3185;height:397" coordorigin="3203,415" coordsize="3185,397" path="m3203,415l6388,415,6388,812,3203,812,3203,415xe" filled="true" fillcolor="#d2d2d2" stroked="false">
                <v:path arrowok="t"/>
                <v:fill type="solid"/>
              </v:shape>
            </v:group>
            <v:group style="position:absolute;left:6393;top:415;width:3185;height:397" coordorigin="6393,415" coordsize="3185,397">
              <v:shape style="position:absolute;left:6393;top:415;width:3185;height:397" coordorigin="6393,415" coordsize="3185,397" path="m6393,415l9578,415,9578,812,6393,812,6393,415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6"/>
        <w:ind w:left="11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6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反向购买" w:id="448"/>
      <w:bookmarkEnd w:id="44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8"/>
        <w:rPr>
          <w:rFonts w:ascii="宋体" w:hAnsi="宋体" w:cs="宋体" w:eastAsia="宋体" w:hint="default"/>
          <w:sz w:val="22"/>
          <w:szCs w:val="22"/>
        </w:rPr>
      </w:pPr>
    </w:p>
    <w:p>
      <w:pPr>
        <w:pStyle w:val="Heading5"/>
        <w:spacing w:line="240" w:lineRule="auto"/>
        <w:ind w:right="2127"/>
        <w:jc w:val="left"/>
        <w:rPr>
          <w:b w:val="0"/>
          <w:bCs w:val="0"/>
        </w:rPr>
      </w:pPr>
      <w:bookmarkStart w:name="4、处置子公司" w:id="449"/>
      <w:bookmarkEnd w:id="44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60" w:lineRule="auto" w:before="117"/>
        <w:ind w:left="112" w:right="4994"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5"/>
        <w:ind w:left="112" w:right="2127"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其他原因的合并范围变动" w:id="450"/>
      <w:bookmarkEnd w:id="45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92"/>
        <w:ind w:left="532" w:right="0"/>
        <w:jc w:val="left"/>
      </w:pP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陕西皖通科技有限责任公司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487" w:lineRule="auto" w:before="34"/>
        <w:ind w:left="112" w:right="8103" w:firstLine="0"/>
        <w:jc w:val="left"/>
        <w:rPr>
          <w:rFonts w:ascii="宋体" w:hAnsi="宋体" w:cs="宋体" w:eastAsia="宋体" w:hint="default"/>
          <w:sz w:val="21"/>
          <w:szCs w:val="21"/>
        </w:rPr>
      </w:pPr>
      <w:bookmarkStart w:name="6、其他" w:id="451"/>
      <w:bookmarkEnd w:id="45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52"/>
      <w:bookmarkEnd w:id="452"/>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53"/>
      <w:bookmarkEnd w:id="45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4"/>
        <w:ind w:right="2127"/>
        <w:jc w:val="left"/>
        <w:rPr>
          <w:b w:val="0"/>
          <w:bCs w:val="0"/>
        </w:rPr>
      </w:pPr>
      <w:bookmarkStart w:name="（1）企业集团的构成" w:id="454"/>
      <w:bookmarkEnd w:id="45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天津市金飞博</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光通讯技术有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天津市天安怡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和信息技术有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天津信息港甲</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子科技有限公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安徽皖通城市</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智能交通科技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0"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重庆皖通科技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烟台华东电子 软件技术有限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安徽汉高信息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left"/>
              <w:rPr>
                <w:rFonts w:ascii="宋体" w:hAnsi="宋体" w:cs="宋体" w:eastAsia="宋体" w:hint="default"/>
                <w:sz w:val="18"/>
                <w:szCs w:val="18"/>
              </w:rPr>
            </w:pPr>
            <w:r>
              <w:rPr>
                <w:rFonts w:ascii="宋体" w:hAnsi="宋体" w:cs="宋体" w:eastAsia="宋体" w:hint="default"/>
                <w:sz w:val="18"/>
                <w:szCs w:val="18"/>
              </w:rPr>
              <w:t>安徽行云天下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烟台华东数据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宁波拖柜宝物 流科技有限责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烟台华东电子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安徽光大保险 代理有限责任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保险代理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上海亲益保网 络科技有限公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上海舶云供应 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浙江自贸区舶 云智慧物流有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7"/>
              <w:jc w:val="left"/>
              <w:rPr>
                <w:rFonts w:ascii="宋体" w:hAnsi="宋体" w:cs="宋体" w:eastAsia="宋体" w:hint="default"/>
                <w:sz w:val="18"/>
                <w:szCs w:val="18"/>
              </w:rPr>
            </w:pPr>
            <w:r>
              <w:rPr>
                <w:rFonts w:ascii="宋体" w:hAnsi="宋体" w:cs="宋体" w:eastAsia="宋体" w:hint="default"/>
                <w:sz w:val="18"/>
                <w:szCs w:val="18"/>
              </w:rPr>
              <w:t>成都赛英科技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陕西皖通科技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51"/>
        <w:ind w:left="11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1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after="0" w:line="36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重要的非全资子公司" w:id="455"/>
      <w:bookmarkEnd w:id="45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139"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5" w:right="0"/>
              <w:jc w:val="lef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17,300,334.63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9,898,000.00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58,181,372.43</w:t>
            </w:r>
          </w:p>
        </w:tc>
      </w:tr>
    </w:tbl>
    <w:p>
      <w:pPr>
        <w:spacing w:line="357" w:lineRule="auto" w:before="52"/>
        <w:ind w:left="11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3"/>
        <w:rPr>
          <w:rFonts w:ascii="宋体" w:hAnsi="宋体" w:cs="宋体" w:eastAsia="宋体" w:hint="default"/>
          <w:sz w:val="20"/>
          <w:szCs w:val="20"/>
        </w:rPr>
      </w:pPr>
    </w:p>
    <w:p>
      <w:pPr>
        <w:pStyle w:val="Heading5"/>
        <w:spacing w:line="240" w:lineRule="auto"/>
        <w:ind w:right="2127"/>
        <w:jc w:val="left"/>
        <w:rPr>
          <w:b w:val="0"/>
          <w:bCs w:val="0"/>
        </w:rPr>
      </w:pPr>
      <w:bookmarkStart w:name="（3）重要非全资子公司的主要财务信息" w:id="456"/>
      <w:bookmarkEnd w:id="45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1"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汉高 信息 科技 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250,29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9,947.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79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33,907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,485.5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284,20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7,433.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9,938.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165,46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228,08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0,301.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33,855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,537.3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261,93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5,839.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159,16</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9,566.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159,16</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9,566.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61</w:t>
            </w:r>
          </w:p>
        </w:tc>
      </w:tr>
      <w:tr>
        <w:trPr>
          <w:trHeight w:val="35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5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27"/>
              <w:jc w:val="both"/>
              <w:rPr>
                <w:rFonts w:ascii="宋体" w:hAnsi="宋体" w:cs="宋体" w:eastAsia="宋体" w:hint="default"/>
                <w:sz w:val="18"/>
                <w:szCs w:val="18"/>
              </w:rPr>
            </w:pPr>
            <w:r>
              <w:rPr>
                <w:rFonts w:ascii="宋体" w:hAnsi="宋体" w:cs="宋体" w:eastAsia="宋体" w:hint="default"/>
                <w:sz w:val="18"/>
                <w:szCs w:val="18"/>
              </w:rPr>
              <w:t>安徽汉高 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331,446,39</w:t>
            </w:r>
          </w:p>
          <w:p>
            <w:pPr>
              <w:pStyle w:val="TableParagraph"/>
              <w:spacing w:line="240" w:lineRule="auto" w:before="105"/>
              <w:ind w:left="632" w:right="0"/>
              <w:jc w:val="left"/>
              <w:rPr>
                <w:rFonts w:ascii="Times New Roman" w:hAnsi="Times New Roman" w:cs="Times New Roman" w:eastAsia="Times New Roman" w:hint="default"/>
                <w:sz w:val="18"/>
                <w:szCs w:val="18"/>
              </w:rPr>
            </w:pPr>
            <w:r>
              <w:rPr>
                <w:rFonts w:ascii="Times New Roman"/>
                <w:sz w:val="18"/>
              </w:rPr>
              <w:t>2.71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35,306,805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35,306,805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14,586,658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283,340,44</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5.77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31,714,457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31,714,457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32,935,560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2"/>
                <w:sz w:val="18"/>
              </w:rPr>
              <w:t>.11</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4）使用企业集团资产和清偿企业集团债务的重大限制" w:id="457"/>
      <w:bookmarkEnd w:id="45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5）向纳入合并财务报表范围的结构化主体提供的财务支持或其他支持" w:id="458"/>
      <w:bookmarkEnd w:id="45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在子公司的所有者权益份额发生变化且仍控制子公司的交易" w:id="459"/>
      <w:bookmarkEnd w:id="45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在子公司所有者权益份额发生变化的情况说明" w:id="460"/>
      <w:bookmarkEnd w:id="46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2）交易对于少数股东权益及归属于母公司所有者权益的影响" w:id="461"/>
      <w:bookmarkEnd w:id="46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在合营安排或联营企业中的权益" w:id="462"/>
      <w:bookmarkEnd w:id="46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重要的合营企业或联营企业" w:id="463"/>
      <w:bookmarkEnd w:id="46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9" w:hRule="exact"/>
        </w:trPr>
        <w:tc>
          <w:tcPr>
            <w:tcW w:w="13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12" w:right="2127"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pStyle w:val="Heading5"/>
        <w:spacing w:line="240" w:lineRule="auto"/>
        <w:ind w:right="2127"/>
        <w:jc w:val="left"/>
        <w:rPr>
          <w:b w:val="0"/>
          <w:bCs w:val="0"/>
        </w:rPr>
      </w:pPr>
      <w:bookmarkStart w:name="（2）重要合营企业的主要财务信息" w:id="464"/>
      <w:bookmarkEnd w:id="46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重要联营企业的主要财务信息" w:id="465"/>
      <w:bookmarkEnd w:id="46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不重要的合营企业和联营企业的汇总财务信息" w:id="466"/>
      <w:bookmarkEnd w:id="46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0" w:right="0"/>
              <w:jc w:val="left"/>
              <w:rPr>
                <w:rFonts w:ascii="Times New Roman" w:hAnsi="Times New Roman" w:cs="Times New Roman" w:eastAsia="Times New Roman" w:hint="default"/>
                <w:sz w:val="18"/>
                <w:szCs w:val="18"/>
              </w:rPr>
            </w:pPr>
            <w:r>
              <w:rPr>
                <w:rFonts w:ascii="Times New Roman"/>
                <w:sz w:val="18"/>
              </w:rPr>
              <w:t>4,662,215.64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3,541,762.51</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1,675,453.13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1,338,416.58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1,675,453.13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1,338,416.58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6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合营企业或联营企业向本公司转移资金的能力存在重大限制的说明" w:id="467"/>
      <w:bookmarkEnd w:id="46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6）合营企业或联营企业发生的超额亏损" w:id="468"/>
      <w:bookmarkEnd w:id="46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61" w:right="110"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-16,783,984.78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-899,015.12</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-17,682,999.90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-16,783,984.78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-899,015.12</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-17,682,999.90</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06" w:lineRule="auto" w:before="0"/>
        <w:ind w:left="532" w:right="7065" w:hanging="420"/>
        <w:jc w:val="left"/>
        <w:rPr>
          <w:rFonts w:ascii="宋体" w:hAnsi="宋体" w:cs="宋体" w:eastAsia="宋体" w:hint="default"/>
          <w:sz w:val="21"/>
          <w:szCs w:val="21"/>
        </w:rPr>
      </w:pPr>
      <w:bookmarkStart w:name="（7）与合营企业投资相关的未确认承诺" w:id="469"/>
      <w:bookmarkEnd w:id="4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本公司无需要披露的承诺事项。</w:t>
      </w:r>
    </w:p>
    <w:p>
      <w:pPr>
        <w:spacing w:line="240" w:lineRule="auto" w:before="0"/>
        <w:rPr>
          <w:rFonts w:ascii="宋体" w:hAnsi="宋体" w:cs="宋体" w:eastAsia="宋体" w:hint="default"/>
          <w:sz w:val="20"/>
          <w:szCs w:val="20"/>
        </w:rPr>
      </w:pPr>
    </w:p>
    <w:p>
      <w:pPr>
        <w:pStyle w:val="Heading5"/>
        <w:spacing w:line="240" w:lineRule="auto" w:before="156"/>
        <w:ind w:right="2127"/>
        <w:jc w:val="left"/>
        <w:rPr>
          <w:b w:val="0"/>
          <w:bCs w:val="0"/>
        </w:rPr>
      </w:pPr>
      <w:bookmarkStart w:name="（8）与合营企业或联营企业投资相关的或有负债" w:id="470"/>
      <w:bookmarkEnd w:id="47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4、重要的共同经营" w:id="471"/>
      <w:bookmarkEnd w:id="47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1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7"/>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5、在未纳入合并财务报表范围的结构化主体中的权益" w:id="472"/>
      <w:bookmarkEnd w:id="47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pStyle w:val="BodyText"/>
        <w:spacing w:line="240" w:lineRule="auto" w:before="91"/>
        <w:ind w:right="2127"/>
        <w:jc w:val="left"/>
      </w:pPr>
      <w:r>
        <w:rPr/>
        <w:t>本公司不存在未纳入合并财务报表范围的结构化主体中的权益。</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6、其他" w:id="473"/>
      <w:bookmarkEnd w:id="473"/>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2127"/>
        <w:jc w:val="left"/>
        <w:rPr>
          <w:b w:val="0"/>
          <w:bCs w:val="0"/>
        </w:rPr>
      </w:pPr>
      <w:bookmarkStart w:name="十、与金融工具相关的风险" w:id="474"/>
      <w:bookmarkEnd w:id="474"/>
      <w:r>
        <w:rPr>
          <w:b w:val="0"/>
          <w:bCs w:val="0"/>
        </w:rPr>
      </w: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1130" w:firstLine="420"/>
        <w:jc w:val="both"/>
      </w:pPr>
      <w:r>
        <w:rPr>
          <w:w w:val="95"/>
        </w:rPr>
        <w:t>本公司的主要金融工具包括货币资金、股权投资、借款、应收款项、应付款项等。在日常活动中面临</w:t>
      </w:r>
      <w:r>
        <w:rPr>
          <w:spacing w:val="-96"/>
          <w:w w:val="95"/>
        </w:rPr>
        <w:t> </w:t>
      </w:r>
      <w:r>
        <w:rPr>
          <w:spacing w:val="-96"/>
          <w:w w:val="95"/>
        </w:rPr>
      </w:r>
      <w:r>
        <w:rPr>
          <w:w w:val="95"/>
        </w:rPr>
        <w:t>各种金融工具的风险，主要包括信用风险、流动性风险、市场风险。本公司整体的风险管理计划针对金融</w:t>
      </w:r>
      <w:r>
        <w:rPr>
          <w:spacing w:val="44"/>
          <w:w w:val="95"/>
        </w:rPr>
        <w:t> </w:t>
      </w:r>
      <w:r>
        <w:rPr>
          <w:spacing w:val="44"/>
          <w:w w:val="95"/>
        </w:rPr>
      </w:r>
      <w:r>
        <w:rPr/>
        <w:t>市场的不可预见性，力求减少对本公司财务业绩的潜在不利影响。</w:t>
      </w:r>
    </w:p>
    <w:p>
      <w:pPr>
        <w:pStyle w:val="BodyText"/>
        <w:spacing w:line="273" w:lineRule="auto"/>
        <w:ind w:left="532" w:right="1120" w:firstLine="67"/>
        <w:jc w:val="left"/>
      </w:pPr>
      <w:r>
        <w:rPr>
          <w:rFonts w:ascii="宋体" w:hAnsi="宋体" w:cs="宋体" w:eastAsia="宋体" w:hint="default"/>
          <w:b/>
          <w:bCs/>
        </w:rPr>
        <w:t>信用风险</w:t>
      </w:r>
      <w:r>
        <w:rPr>
          <w:rFonts w:ascii="宋体" w:hAnsi="宋体" w:cs="宋体" w:eastAsia="宋体" w:hint="default"/>
          <w:b/>
          <w:bCs/>
          <w:w w:val="99"/>
        </w:rPr>
        <w:t> </w:t>
      </w:r>
      <w:r>
        <w:rPr>
          <w:w w:val="95"/>
        </w:rPr>
        <w:t>信用风险是指交易对手未能履行合同义务而导致本公司产生财务损失的风险。本公司的信用风险主要</w:t>
      </w:r>
      <w:r>
        <w:rPr/>
      </w:r>
    </w:p>
    <w:p>
      <w:pPr>
        <w:pStyle w:val="BodyText"/>
        <w:spacing w:line="273" w:lineRule="auto"/>
        <w:ind w:right="1025"/>
        <w:jc w:val="left"/>
      </w:pPr>
      <w:r>
        <w:rPr>
          <w:spacing w:val="-3"/>
        </w:rPr>
        <w:t>来自货币资金、应收票据、应收账款、其他应收款和可供出售金融资产等。管理层已制定适当的信用政策，</w:t>
      </w:r>
      <w:r>
        <w:rPr>
          <w:w w:val="99"/>
        </w:rPr>
        <w:t> </w:t>
      </w:r>
      <w:r>
        <w:rPr/>
        <w:t>并且不断监察这些信用风险的敞口。</w:t>
      </w:r>
    </w:p>
    <w:p>
      <w:pPr>
        <w:pStyle w:val="BodyText"/>
        <w:spacing w:line="273" w:lineRule="auto"/>
        <w:ind w:right="1135" w:firstLine="420"/>
        <w:jc w:val="both"/>
      </w:pPr>
      <w:r>
        <w:rPr>
          <w:w w:val="95"/>
        </w:rPr>
        <w:t>本公司持有的货币资金，主要存放于国有控股银行和其他大中型商业银行等金融机构，管理层认为这</w:t>
      </w:r>
      <w:r>
        <w:rPr>
          <w:w w:val="99"/>
        </w:rPr>
        <w:t> </w:t>
      </w:r>
      <w:r>
        <w:rPr>
          <w:w w:val="95"/>
        </w:rPr>
        <w:t>些商业银行具备较高信誉和资产状况，不存在重大的信用风险，不会产生因对方单位违约而导致的任何重</w:t>
      </w:r>
      <w:r>
        <w:rPr>
          <w:spacing w:val="37"/>
          <w:w w:val="95"/>
        </w:rPr>
        <w:t> </w:t>
      </w:r>
      <w:r>
        <w:rPr>
          <w:spacing w:val="37"/>
          <w:w w:val="95"/>
        </w:rPr>
      </w:r>
      <w:r>
        <w:rPr/>
        <w:t>大损失。</w:t>
      </w:r>
    </w:p>
    <w:p>
      <w:pPr>
        <w:pStyle w:val="BodyText"/>
        <w:spacing w:line="273" w:lineRule="auto" w:before="163"/>
        <w:ind w:right="1130" w:firstLine="420"/>
        <w:jc w:val="both"/>
      </w:pPr>
      <w:r>
        <w:rPr>
          <w:w w:val="95"/>
        </w:rPr>
        <w:t>对于应收账款、其他应收款和应收票据，本公司设定相关政策以控制信用风险敞口。本公司基于对客</w:t>
      </w:r>
      <w:r>
        <w:rPr>
          <w:w w:val="99"/>
        </w:rPr>
        <w:t> </w:t>
      </w:r>
      <w:r>
        <w:rPr>
          <w:w w:val="95"/>
        </w:rPr>
        <w:t>户的财务状况、从第三方获取担保的可能性、信用记录及其它因素诸如目前市场状况等评估客户的信用资</w:t>
      </w:r>
      <w:r>
        <w:rPr>
          <w:spacing w:val="37"/>
          <w:w w:val="95"/>
        </w:rPr>
        <w:t> </w:t>
      </w:r>
      <w:r>
        <w:rPr>
          <w:spacing w:val="37"/>
          <w:w w:val="95"/>
        </w:rPr>
      </w:r>
      <w:r>
        <w:rPr>
          <w:w w:val="95"/>
        </w:rPr>
        <w:t>质并设置相应信用期。本公司会定期对客户信用记录进行监控，对于信用记录不良的客户，本公司会采用</w:t>
      </w:r>
      <w:r>
        <w:rPr>
          <w:spacing w:val="43"/>
          <w:w w:val="95"/>
        </w:rPr>
        <w:t> </w:t>
      </w:r>
      <w:r>
        <w:rPr>
          <w:spacing w:val="43"/>
          <w:w w:val="95"/>
        </w:rPr>
      </w:r>
      <w:r>
        <w:rPr/>
        <w:t>书面催款、缩短信用期或取消信用期等方式，以确保本公司的整体信用风险在可控的范围内。</w:t>
      </w:r>
    </w:p>
    <w:p>
      <w:pPr>
        <w:pStyle w:val="BodyText"/>
        <w:tabs>
          <w:tab w:pos="7778" w:val="left" w:leader="none"/>
        </w:tabs>
        <w:spacing w:line="240" w:lineRule="auto"/>
        <w:ind w:left="532" w:right="2127"/>
        <w:jc w:val="left"/>
      </w:pPr>
      <w:r>
        <w:rPr>
          <w:w w:val="95"/>
        </w:rPr>
        <w:t>截止2019年12月31日，相关资产的账面余额与预期信用减值损失情况如下：</w:t>
        <w:tab/>
      </w:r>
      <w:r>
        <w:rPr/>
        <w:t>单位：元</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227"/>
        <w:gridCol w:w="2693"/>
        <w:gridCol w:w="2608"/>
      </w:tblGrid>
      <w:tr>
        <w:trPr>
          <w:trHeight w:val="354" w:hRule="exact"/>
        </w:trPr>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减值准备</w:t>
            </w:r>
          </w:p>
        </w:tc>
      </w:tr>
      <w:tr>
        <w:trPr>
          <w:trHeight w:val="36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pacing w:val="-1"/>
                <w:sz w:val="18"/>
              </w:rPr>
              <w:t>32,463,582.24</w:t>
            </w:r>
          </w:p>
        </w:tc>
        <w:tc>
          <w:tcPr>
            <w:tcW w:w="2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pacing w:val="-1"/>
                <w:sz w:val="18"/>
              </w:rPr>
              <w:t>55,190.01</w:t>
            </w:r>
          </w:p>
        </w:tc>
      </w:tr>
      <w:tr>
        <w:trPr>
          <w:trHeight w:val="36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615,084,143.84</w:t>
            </w:r>
          </w:p>
        </w:tc>
        <w:tc>
          <w:tcPr>
            <w:tcW w:w="2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47,293,958.14</w:t>
            </w:r>
          </w:p>
        </w:tc>
      </w:tr>
      <w:tr>
        <w:trPr>
          <w:trHeight w:val="36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31,338,578.43</w:t>
            </w:r>
          </w:p>
        </w:tc>
        <w:tc>
          <w:tcPr>
            <w:tcW w:w="2608"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95,708,592.03</w:t>
            </w:r>
          </w:p>
        </w:tc>
        <w:tc>
          <w:tcPr>
            <w:tcW w:w="2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22,555,246.07</w:t>
            </w:r>
          </w:p>
        </w:tc>
      </w:tr>
      <w:tr>
        <w:trPr>
          <w:trHeight w:val="36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长期应收款（含一年内到期的款项）</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30,760,401.39</w:t>
            </w:r>
          </w:p>
        </w:tc>
        <w:tc>
          <w:tcPr>
            <w:tcW w:w="2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1,734,714.21</w:t>
            </w:r>
          </w:p>
        </w:tc>
      </w:tr>
      <w:tr>
        <w:trPr>
          <w:trHeight w:val="36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805,355,297.93</w:t>
            </w:r>
          </w:p>
        </w:tc>
        <w:tc>
          <w:tcPr>
            <w:tcW w:w="2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pacing w:val="-1"/>
                <w:sz w:val="18"/>
              </w:rPr>
              <w:t>71,639,108.43</w:t>
            </w:r>
          </w:p>
        </w:tc>
      </w:tr>
    </w:tbl>
    <w:p>
      <w:pPr>
        <w:spacing w:line="240" w:lineRule="auto" w:before="4"/>
        <w:rPr>
          <w:rFonts w:ascii="宋体" w:hAnsi="宋体" w:cs="宋体" w:eastAsia="宋体" w:hint="default"/>
          <w:sz w:val="8"/>
          <w:szCs w:val="8"/>
        </w:rPr>
      </w:pPr>
    </w:p>
    <w:p>
      <w:pPr>
        <w:pStyle w:val="BodyText"/>
        <w:spacing w:line="273" w:lineRule="auto" w:before="34"/>
        <w:ind w:right="1025" w:firstLine="420"/>
        <w:jc w:val="left"/>
      </w:pPr>
      <w:r>
        <w:rPr/>
        <w:t>于2019年12月31日，本公司对外提供财务担保的金额为4,080.00万元，财务担保合同的具体情况参见</w:t>
      </w:r>
      <w:r>
        <w:rPr>
          <w:w w:val="99"/>
        </w:rPr>
        <w:t> 附注九（五）。于2019年1月1日，本公司管理层评估了担保项下相关借款的逾期情况、相关借款人的财务</w:t>
      </w:r>
      <w:r>
        <w:rPr>
          <w:spacing w:val="-96"/>
          <w:w w:val="99"/>
        </w:rPr>
        <w:t> </w:t>
      </w:r>
      <w:r>
        <w:rPr>
          <w:spacing w:val="-96"/>
          <w:w w:val="99"/>
        </w:rPr>
      </w:r>
      <w:r>
        <w:rPr>
          <w:spacing w:val="-3"/>
        </w:rPr>
        <w:t>状况及其所处行业的经济形势，认为自该部分财务担保合同初始确认后，相关信用风险未显著增加。因此，</w:t>
      </w:r>
      <w:r>
        <w:rPr>
          <w:w w:val="99"/>
        </w:rPr>
        <w:t> </w:t>
      </w:r>
      <w:r>
        <w:rPr/>
        <w:t>本公司按照相当于上述财务担保合同未来12个月内预期信用损失的金额计量其减值准备。2019年度，本公</w:t>
      </w:r>
      <w:r>
        <w:rPr>
          <w:w w:val="99"/>
        </w:rPr>
        <w:t> </w:t>
      </w:r>
      <w:r>
        <w:rPr/>
        <w:t>司的评估方式与重大假设并未发生变化。根据本公司管理层的评估，相关财务担保无重大预期减值准备。</w:t>
      </w:r>
    </w:p>
    <w:p>
      <w:pPr>
        <w:pStyle w:val="BodyText"/>
        <w:spacing w:line="273" w:lineRule="auto"/>
        <w:ind w:right="1130" w:firstLine="420"/>
        <w:jc w:val="both"/>
      </w:pPr>
      <w:r>
        <w:rPr>
          <w:w w:val="95"/>
        </w:rPr>
        <w:t>本公司的主要客户为安徽省交通控股集团有限公司、贵州省公路开发有限责任公司、安徽皖通高速公</w:t>
      </w:r>
      <w:r>
        <w:rPr>
          <w:w w:val="99"/>
        </w:rPr>
        <w:t> </w:t>
      </w:r>
      <w:r>
        <w:rPr>
          <w:w w:val="95"/>
        </w:rPr>
        <w:t>路股份有限公司等，该等客户具有可靠及良好的信誉，因此，本公司认为该等客户并无重大信用风险。由</w:t>
      </w:r>
      <w:r>
        <w:rPr>
          <w:spacing w:val="44"/>
          <w:w w:val="95"/>
        </w:rPr>
        <w:t> </w:t>
      </w:r>
      <w:r>
        <w:rPr>
          <w:spacing w:val="44"/>
          <w:w w:val="95"/>
        </w:rPr>
      </w:r>
      <w:r>
        <w:rPr/>
        <w:t>于本公司的客户广泛，因此没有重大的信用集中风险。</w:t>
      </w:r>
    </w:p>
    <w:p>
      <w:pPr>
        <w:pStyle w:val="BodyText"/>
        <w:spacing w:line="273" w:lineRule="auto" w:before="163"/>
        <w:ind w:left="532" w:right="1120" w:firstLine="67"/>
        <w:jc w:val="left"/>
      </w:pPr>
      <w:r>
        <w:rPr>
          <w:rFonts w:ascii="宋体" w:hAnsi="宋体" w:cs="宋体" w:eastAsia="宋体" w:hint="default"/>
          <w:b/>
          <w:bCs/>
        </w:rPr>
        <w:t>流动性风险</w:t>
      </w:r>
      <w:r>
        <w:rPr>
          <w:rFonts w:ascii="宋体" w:hAnsi="宋体" w:cs="宋体" w:eastAsia="宋体" w:hint="default"/>
          <w:b/>
          <w:bCs/>
          <w:w w:val="99"/>
        </w:rPr>
        <w:t> </w:t>
      </w:r>
      <w:r>
        <w:rPr>
          <w:w w:val="95"/>
        </w:rPr>
        <w:t>流动性风险是指本公司在履行以交付现金或其他金融资产的方式结算的义务时发生资金短缺的风险。</w:t>
      </w:r>
      <w:r>
        <w:rPr/>
      </w:r>
    </w:p>
    <w:p>
      <w:pPr>
        <w:pStyle w:val="BodyText"/>
        <w:spacing w:line="273" w:lineRule="auto"/>
        <w:ind w:right="1112"/>
        <w:jc w:val="both"/>
      </w:pPr>
      <w:r>
        <w:rPr>
          <w:w w:val="95"/>
        </w:rPr>
        <w:t>本公司下属成员企业各自负责其现金流量预测。公司下属财务部门基于各成员企业的现金流量预测结果，</w:t>
      </w:r>
      <w:r>
        <w:rPr>
          <w:spacing w:val="61"/>
          <w:w w:val="95"/>
        </w:rPr>
        <w:t> </w:t>
      </w:r>
      <w:r>
        <w:rPr>
          <w:spacing w:val="61"/>
          <w:w w:val="95"/>
        </w:rPr>
      </w:r>
      <w:r>
        <w:rPr>
          <w:w w:val="95"/>
        </w:rPr>
        <w:t>在公司层面持续监控公司短期和长期的资金需求，以确保维持充裕的现金储备；同时持续监控是否符合借</w:t>
      </w:r>
      <w:r>
        <w:rPr>
          <w:spacing w:val="40"/>
          <w:w w:val="95"/>
        </w:rPr>
        <w:t> </w:t>
      </w:r>
      <w:r>
        <w:rPr>
          <w:spacing w:val="40"/>
          <w:w w:val="95"/>
        </w:rPr>
      </w:r>
      <w:r>
        <w:rPr>
          <w:w w:val="95"/>
        </w:rPr>
        <w:t>款协议的规定，从主要金融机构获得提供足够备用资金的承诺，以满足短期和长期的资金需求。此外，本</w:t>
      </w:r>
      <w:r>
        <w:rPr>
          <w:spacing w:val="43"/>
          <w:w w:val="95"/>
        </w:rPr>
        <w:t> </w:t>
      </w:r>
      <w:r>
        <w:rPr>
          <w:spacing w:val="43"/>
          <w:w w:val="95"/>
        </w:rPr>
      </w:r>
      <w:r>
        <w:rPr>
          <w:spacing w:val="4"/>
        </w:rPr>
        <w:t>公司与主要业务往来银行订立融资额度授信协议，为本公司履行与商业票据相关的义务提供支持。截止</w:t>
      </w:r>
      <w:r>
        <w:rPr>
          <w:w w:val="99"/>
        </w:rPr>
        <w:t> </w:t>
      </w:r>
      <w:r>
        <w:rPr>
          <w:w w:val="95"/>
        </w:rPr>
        <w:t>2019年12月31日，本公司已拥有国内多家银行提供的银行授信额度，金额8,000.00万元，其中：已使用授</w:t>
      </w:r>
      <w:r>
        <w:rPr>
          <w:spacing w:val="44"/>
          <w:w w:val="95"/>
        </w:rPr>
        <w:t> </w:t>
      </w:r>
      <w:r>
        <w:rPr>
          <w:spacing w:val="44"/>
          <w:w w:val="95"/>
        </w:rPr>
      </w:r>
      <w:r>
        <w:rPr/>
        <w:t>信金额为2,220.00万元。</w:t>
      </w:r>
    </w:p>
    <w:p>
      <w:pPr>
        <w:spacing w:after="0" w:line="273" w:lineRule="auto"/>
        <w:jc w:val="both"/>
        <w:sectPr>
          <w:footerReference w:type="default" r:id="rId37"/>
          <w:pgSz w:w="11910" w:h="16840"/>
          <w:pgMar w:footer="1016" w:header="919" w:top="1120" w:bottom="1200" w:left="1020" w:right="0"/>
          <w:pgNumType w:start="220"/>
        </w:sectPr>
      </w:pPr>
    </w:p>
    <w:p>
      <w:pPr>
        <w:spacing w:line="240" w:lineRule="auto" w:before="10"/>
        <w:rPr>
          <w:rFonts w:ascii="宋体" w:hAnsi="宋体" w:cs="宋体" w:eastAsia="宋体" w:hint="default"/>
          <w:sz w:val="19"/>
          <w:szCs w:val="19"/>
        </w:rPr>
      </w:pPr>
    </w:p>
    <w:p>
      <w:pPr>
        <w:pStyle w:val="BodyText"/>
        <w:spacing w:line="273" w:lineRule="auto" w:before="34"/>
        <w:ind w:right="1120" w:firstLine="420"/>
        <w:jc w:val="left"/>
      </w:pPr>
      <w:r>
        <w:rPr>
          <w:w w:val="95"/>
        </w:rPr>
        <w:t>截止2019年12月31日，本公司金融负债和表外担保项目以未折现的合同现金流量按合同剩余期限列示</w:t>
      </w:r>
      <w:r>
        <w:rPr>
          <w:w w:val="99"/>
        </w:rPr>
        <w:t> </w:t>
      </w:r>
      <w:r>
        <w:rPr/>
        <w:t>如下：单位：元</w:t>
      </w:r>
    </w:p>
    <w:tbl>
      <w:tblPr>
        <w:tblW w:w="0" w:type="auto"/>
        <w:jc w:val="left"/>
        <w:tblInd w:w="106" w:type="dxa"/>
        <w:tblLayout w:type="fixed"/>
        <w:tblCellMar>
          <w:top w:w="0" w:type="dxa"/>
          <w:left w:w="0" w:type="dxa"/>
          <w:bottom w:w="0" w:type="dxa"/>
          <w:right w:w="0" w:type="dxa"/>
        </w:tblCellMar>
        <w:tblLook w:val="01E0"/>
      </w:tblPr>
      <w:tblGrid>
        <w:gridCol w:w="1743"/>
        <w:gridCol w:w="1342"/>
        <w:gridCol w:w="1364"/>
        <w:gridCol w:w="1329"/>
        <w:gridCol w:w="1277"/>
        <w:gridCol w:w="1434"/>
      </w:tblGrid>
      <w:tr>
        <w:trPr>
          <w:trHeight w:val="354" w:hRule="exact"/>
        </w:trPr>
        <w:tc>
          <w:tcPr>
            <w:tcW w:w="1743" w:type="dxa"/>
            <w:vMerge w:val="restart"/>
            <w:tcBorders>
              <w:top w:val="single" w:sz="6" w:space="0" w:color="000000"/>
              <w:left w:val="single" w:sz="6"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6746"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743" w:type="dxa"/>
            <w:vMerge/>
            <w:tcBorders>
              <w:left w:val="single" w:sz="6" w:space="0" w:color="000000"/>
              <w:bottom w:val="single" w:sz="12" w:space="0" w:color="000000"/>
              <w:right w:val="single" w:sz="6" w:space="0" w:color="000000"/>
            </w:tcBorders>
          </w:tcPr>
          <w:p>
            <w:pP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48"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13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31" w:right="0"/>
              <w:jc w:val="left"/>
              <w:rPr>
                <w:rFonts w:ascii="宋体" w:hAnsi="宋体" w:cs="宋体" w:eastAsia="宋体" w:hint="default"/>
                <w:sz w:val="18"/>
                <w:szCs w:val="18"/>
              </w:rPr>
            </w:pPr>
            <w:r>
              <w:rPr>
                <w:rFonts w:ascii="宋体" w:hAnsi="宋体" w:cs="宋体" w:eastAsia="宋体" w:hint="default"/>
                <w:sz w:val="18"/>
                <w:szCs w:val="18"/>
              </w:rPr>
              <w:t>2-5年</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pacing w:val="-1"/>
                <w:sz w:val="18"/>
              </w:rPr>
              <w:t>30,832,688.50</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spacing w:val="-1"/>
                <w:sz w:val="18"/>
              </w:rPr>
              <w:t>30,832,688.50</w:t>
            </w:r>
          </w:p>
        </w:tc>
      </w:tr>
      <w:tr>
        <w:trPr>
          <w:trHeight w:val="362" w:hRule="exact"/>
        </w:trPr>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1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1"/>
              <w:jc w:val="right"/>
              <w:rPr>
                <w:rFonts w:ascii="宋体" w:hAnsi="宋体" w:cs="宋体" w:eastAsia="宋体" w:hint="default"/>
                <w:sz w:val="18"/>
                <w:szCs w:val="18"/>
              </w:rPr>
            </w:pPr>
            <w:r>
              <w:rPr>
                <w:rFonts w:ascii="宋体"/>
                <w:spacing w:val="-1"/>
                <w:sz w:val="18"/>
              </w:rPr>
              <w:t>127,301,131.32</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right"/>
              <w:rPr>
                <w:rFonts w:ascii="宋体" w:hAnsi="宋体" w:cs="宋体" w:eastAsia="宋体" w:hint="default"/>
                <w:sz w:val="18"/>
                <w:szCs w:val="18"/>
              </w:rPr>
            </w:pPr>
            <w:r>
              <w:rPr>
                <w:rFonts w:ascii="宋体"/>
                <w:spacing w:val="-1"/>
                <w:sz w:val="18"/>
              </w:rPr>
              <w:t>127,301,131.32</w:t>
            </w:r>
          </w:p>
        </w:tc>
      </w:tr>
      <w:tr>
        <w:trPr>
          <w:trHeight w:val="362" w:hRule="exact"/>
        </w:trPr>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539,863,482.15</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539,863,482.15</w:t>
            </w:r>
          </w:p>
        </w:tc>
      </w:tr>
      <w:tr>
        <w:trPr>
          <w:trHeight w:val="362" w:hRule="exact"/>
        </w:trPr>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52,894,369.40</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52,894,369.40</w:t>
            </w:r>
          </w:p>
        </w:tc>
      </w:tr>
      <w:tr>
        <w:trPr>
          <w:trHeight w:val="362" w:hRule="exact"/>
        </w:trPr>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750,891,671.37</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29"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spacing w:val="-1"/>
                <w:sz w:val="18"/>
              </w:rPr>
              <w:t>750,891,671.37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5"/>
        <w:spacing w:line="273" w:lineRule="auto" w:before="34"/>
        <w:ind w:right="9423" w:firstLine="487"/>
        <w:jc w:val="left"/>
        <w:rPr>
          <w:b w:val="0"/>
          <w:bCs w:val="0"/>
        </w:rPr>
      </w:pPr>
      <w:r>
        <w:rPr/>
        <w:t>市场风险</w:t>
      </w:r>
      <w:r>
        <w:rPr>
          <w:w w:val="99"/>
        </w:rPr>
        <w:t> </w:t>
      </w:r>
      <w:r>
        <w:rPr/>
        <w:t>汇率风险</w:t>
      </w:r>
      <w:r>
        <w:rPr>
          <w:b w:val="0"/>
          <w:bCs w:val="0"/>
        </w:rPr>
      </w:r>
    </w:p>
    <w:p>
      <w:pPr>
        <w:pStyle w:val="BodyText"/>
        <w:spacing w:line="273" w:lineRule="auto"/>
        <w:ind w:left="472" w:right="0" w:firstLine="420"/>
        <w:jc w:val="left"/>
      </w:pPr>
      <w:r>
        <w:rPr/>
        <w:t>本公司的主要经营位于中国境内，主要业务以人民币结算。但本公司已确认的外币资产和负债及</w:t>
      </w:r>
      <w:r>
        <w:rPr>
          <w:w w:val="99"/>
        </w:rPr>
        <w:t> </w:t>
      </w:r>
      <w:r>
        <w:rPr>
          <w:spacing w:val="-1"/>
          <w:w w:val="95"/>
        </w:rPr>
        <w:t>未来的外币交易依然存在汇率风险。本公司财务部门负责监控公司外币交易和外币资产及负债的规模，</w:t>
      </w:r>
      <w:r>
        <w:rPr>
          <w:spacing w:val="31"/>
          <w:w w:val="95"/>
        </w:rPr>
        <w:t> </w:t>
      </w:r>
      <w:r>
        <w:rPr>
          <w:spacing w:val="31"/>
          <w:w w:val="95"/>
        </w:rPr>
      </w:r>
      <w:r>
        <w:rPr/>
        <w:t>以最大程度降低面临的汇率风险。</w:t>
      </w:r>
    </w:p>
    <w:p>
      <w:pPr>
        <w:pStyle w:val="BodyText"/>
        <w:spacing w:line="240" w:lineRule="auto"/>
        <w:ind w:left="892" w:right="0"/>
        <w:jc w:val="left"/>
      </w:pPr>
      <w:r>
        <w:rPr/>
        <w:t>截止201</w:t>
      </w:r>
      <w:r>
        <w:rPr>
          <w:rFonts w:ascii="Times New Roman" w:hAnsi="Times New Roman" w:cs="Times New Roman" w:eastAsia="Times New Roman" w:hint="default"/>
        </w:rPr>
        <w:t>9</w:t>
      </w:r>
      <w:r>
        <w:rPr/>
        <w:t>年12月31日，本公司持有的外币金融资产和外币金融负债详见本报告六、注释51。</w:t>
      </w:r>
    </w:p>
    <w:p>
      <w:pPr>
        <w:pStyle w:val="Heading5"/>
        <w:spacing w:line="240" w:lineRule="auto" w:before="177"/>
        <w:ind w:right="2127"/>
        <w:jc w:val="left"/>
        <w:rPr>
          <w:b w:val="0"/>
          <w:bCs w:val="0"/>
        </w:rPr>
      </w:pPr>
      <w:r>
        <w:rPr/>
        <w:t>利率风险</w:t>
      </w:r>
      <w:r>
        <w:rPr>
          <w:b w:val="0"/>
          <w:bCs w:val="0"/>
        </w:rPr>
      </w:r>
    </w:p>
    <w:p>
      <w:pPr>
        <w:pStyle w:val="BodyText"/>
        <w:spacing w:line="273" w:lineRule="auto" w:before="37"/>
        <w:ind w:right="1132" w:firstLine="420"/>
        <w:jc w:val="both"/>
      </w:pPr>
      <w:r>
        <w:rPr>
          <w:w w:val="95"/>
        </w:rPr>
        <w:t>本公司的利率风险主要产生于银行借款等。浮动利率的金融负债使本公司面临现金流量利率风险，固</w:t>
      </w:r>
      <w:r>
        <w:rPr>
          <w:w w:val="99"/>
        </w:rPr>
        <w:t> </w:t>
      </w:r>
      <w:r>
        <w:rPr>
          <w:w w:val="95"/>
        </w:rPr>
        <w:t>定利率的金融负债使本公司面临公允价值利率风险。本公司根据当时的市场环境来决定固定利率及浮动利</w:t>
      </w:r>
      <w:r>
        <w:rPr>
          <w:spacing w:val="39"/>
          <w:w w:val="95"/>
        </w:rPr>
        <w:t> </w:t>
      </w:r>
      <w:r>
        <w:rPr>
          <w:spacing w:val="39"/>
          <w:w w:val="95"/>
        </w:rPr>
      </w:r>
      <w:r>
        <w:rPr/>
        <w:t>率合同的相对比例。</w:t>
      </w:r>
    </w:p>
    <w:p>
      <w:pPr>
        <w:pStyle w:val="BodyText"/>
        <w:spacing w:line="273" w:lineRule="auto"/>
        <w:ind w:right="1135" w:firstLine="420"/>
        <w:jc w:val="both"/>
      </w:pPr>
      <w:r>
        <w:rPr>
          <w:w w:val="95"/>
        </w:rPr>
        <w:t>本公司财务部门持续监控公司利率水平。利率上升会增加新增带息债务的成本以及本公司尚未付清的</w:t>
      </w:r>
      <w:r>
        <w:rPr>
          <w:w w:val="99"/>
        </w:rPr>
        <w:t> </w:t>
      </w:r>
      <w:r>
        <w:rPr>
          <w:w w:val="95"/>
        </w:rPr>
        <w:t>以浮动利率计息的带息债务的利息支出，并对本公司的财务业绩产生重大的不利影响，管理层会依据最新</w:t>
      </w:r>
      <w:r>
        <w:rPr>
          <w:spacing w:val="37"/>
          <w:w w:val="95"/>
        </w:rPr>
        <w:t> </w:t>
      </w:r>
      <w:r>
        <w:rPr>
          <w:spacing w:val="37"/>
          <w:w w:val="95"/>
        </w:rPr>
      </w:r>
      <w:r>
        <w:rPr/>
        <w:t>的市场状况及时做出调整。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2127"/>
        <w:jc w:val="left"/>
        <w:rPr>
          <w:b w:val="0"/>
          <w:bCs w:val="0"/>
        </w:rPr>
      </w:pPr>
      <w:bookmarkStart w:name="十一、公允价值的披露" w:id="475"/>
      <w:bookmarkEnd w:id="47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以公允价值计量的资产和负债的期末公允价值" w:id="476"/>
      <w:bookmarkEnd w:id="47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持续和非持续第一层次公允价值计量项目市价的确定依据" w:id="477"/>
      <w:bookmarkEnd w:id="47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3、持续和非持续第二层次公允价值计量项目，采用的估值技术和重要参数的定性及定量信" w:id="478"/>
      <w:bookmarkEnd w:id="47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4、持续和非持续第三层次公允价值计量项目，采用的估值技术和重要参数的定性及定量信" w:id="479"/>
      <w:bookmarkEnd w:id="47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80"/>
      <w:bookmarkEnd w:id="48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81"/>
      <w:bookmarkEnd w:id="48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7、本期内发生的估值技术变更及变更原因" w:id="482"/>
      <w:bookmarkEnd w:id="48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8、不以公允价值计量的金融资产和金融负债的公允价值情况" w:id="483"/>
      <w:bookmarkEnd w:id="48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8103" w:firstLine="0"/>
        <w:jc w:val="left"/>
        <w:rPr>
          <w:rFonts w:ascii="宋体" w:hAnsi="宋体" w:cs="宋体" w:eastAsia="宋体" w:hint="default"/>
          <w:sz w:val="21"/>
          <w:szCs w:val="21"/>
        </w:rPr>
      </w:pPr>
      <w:bookmarkStart w:name="9、其他" w:id="484"/>
      <w:bookmarkEnd w:id="48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85"/>
      <w:bookmarkEnd w:id="485"/>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86"/>
      <w:bookmarkEnd w:id="4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160"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2" w:right="162" w:hanging="92"/>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1"/>
              <w:jc w:val="left"/>
              <w:rPr>
                <w:rFonts w:ascii="宋体" w:hAnsi="宋体" w:cs="宋体" w:eastAsia="宋体" w:hint="default"/>
                <w:sz w:val="18"/>
                <w:szCs w:val="18"/>
              </w:rPr>
            </w:pPr>
            <w:r>
              <w:rPr>
                <w:rFonts w:ascii="宋体" w:hAnsi="宋体" w:cs="宋体" w:eastAsia="宋体" w:hint="default"/>
                <w:sz w:val="18"/>
                <w:szCs w:val="18"/>
              </w:rPr>
              <w:t>南方银谷科技有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43"/>
              <w:jc w:val="right"/>
              <w:rPr>
                <w:rFonts w:ascii="宋体" w:hAnsi="宋体" w:cs="宋体" w:eastAsia="宋体" w:hint="default"/>
                <w:sz w:val="18"/>
                <w:szCs w:val="18"/>
              </w:rPr>
            </w:pPr>
            <w:r>
              <w:rPr>
                <w:rFonts w:ascii="Times New Roman" w:hAnsi="Times New Roman" w:cs="Times New Roman" w:eastAsia="Times New Roman" w:hint="default"/>
                <w:sz w:val="18"/>
                <w:szCs w:val="18"/>
              </w:rPr>
              <w:t>8,522.45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7" w:right="0"/>
              <w:jc w:val="left"/>
              <w:rPr>
                <w:rFonts w:ascii="Times New Roman" w:hAnsi="Times New Roman" w:cs="Times New Roman" w:eastAsia="Times New Roman" w:hint="default"/>
                <w:sz w:val="18"/>
                <w:szCs w:val="18"/>
              </w:rPr>
            </w:pPr>
            <w:r>
              <w:rPr>
                <w:rFonts w:ascii="Times New Roman"/>
                <w:sz w:val="18"/>
              </w:rPr>
              <w:t>13.73%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18.73%</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本企业最终控制方是周发展。 其他说明：</w:t>
      </w:r>
    </w:p>
    <w:p>
      <w:pPr>
        <w:spacing w:line="240" w:lineRule="auto" w:before="3"/>
        <w:rPr>
          <w:rFonts w:ascii="宋体" w:hAnsi="宋体" w:cs="宋体" w:eastAsia="宋体" w:hint="default"/>
          <w:sz w:val="20"/>
          <w:szCs w:val="20"/>
        </w:rPr>
      </w:pPr>
    </w:p>
    <w:p>
      <w:pPr>
        <w:pStyle w:val="Heading5"/>
        <w:spacing w:line="240" w:lineRule="auto"/>
        <w:ind w:right="2127"/>
        <w:jc w:val="left"/>
        <w:rPr>
          <w:b w:val="0"/>
          <w:bCs w:val="0"/>
        </w:rPr>
      </w:pPr>
      <w:bookmarkStart w:name="2、本企业的子公司情况" w:id="487"/>
      <w:bookmarkEnd w:id="48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本企业子公司的情况详见附注七（一）在子公司中的权益。</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本企业合营和联营企业情况" w:id="488"/>
      <w:bookmarkEnd w:id="48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2294"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本企业重要的合营或联营企业详见附注七（二）在合营安排或联营企业中的权益。。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6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4、其他关联方情况" w:id="489"/>
      <w:bookmarkEnd w:id="48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102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南方银谷科技有限公司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11"/>
              <w:jc w:val="left"/>
              <w:rPr>
                <w:rFonts w:ascii="宋体" w:hAnsi="宋体" w:cs="宋体" w:eastAsia="宋体" w:hint="default"/>
                <w:sz w:val="18"/>
                <w:szCs w:val="18"/>
              </w:rPr>
            </w:pPr>
            <w:r>
              <w:rPr>
                <w:rFonts w:ascii="宋体" w:hAnsi="宋体" w:cs="宋体" w:eastAsia="宋体" w:hint="default"/>
                <w:sz w:val="18"/>
                <w:szCs w:val="18"/>
              </w:rPr>
              <w:t>持有本公司股份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13.73%</w:t>
            </w:r>
            <w:r>
              <w:rPr>
                <w:rFonts w:ascii="宋体" w:hAnsi="宋体" w:cs="宋体" w:eastAsia="宋体" w:hint="default"/>
                <w:sz w:val="18"/>
                <w:szCs w:val="18"/>
              </w:rPr>
              <w:t>，王中胜、杨世宁、杨新子又将所 持占公司总股本的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股份对应的表决权委托给南方银谷 行使。</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梁山、刘含、王亚东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三者于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  </w:t>
            </w:r>
            <w:r>
              <w:rPr>
                <w:rFonts w:ascii="宋体" w:hAnsi="宋体" w:cs="宋体" w:eastAsia="宋体" w:hint="default"/>
                <w:sz w:val="18"/>
                <w:szCs w:val="18"/>
              </w:rPr>
              <w:t>日签署</w:t>
            </w:r>
            <w:r>
              <w:rPr>
                <w:rFonts w:ascii="宋体" w:hAnsi="宋体" w:cs="宋体" w:eastAsia="宋体" w:hint="default"/>
                <w:spacing w:val="-34"/>
                <w:sz w:val="18"/>
                <w:szCs w:val="18"/>
              </w:rPr>
              <w:t>了</w:t>
            </w:r>
            <w:r>
              <w:rPr>
                <w:rFonts w:ascii="宋体" w:hAnsi="宋体" w:cs="宋体" w:eastAsia="宋体" w:hint="default"/>
                <w:sz w:val="18"/>
                <w:szCs w:val="18"/>
              </w:rPr>
              <w:t>《一致行动协议</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合计</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6.36%</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周发展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廖凯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易增辉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甄峰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李臻</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袁照云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汪博涵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潘大圣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深圳银谷建科网络有限公司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上海南方银谷科技有限公司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国信银谷科技（深圳）有限公司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深圳花生互娱科技有限公司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深圳哈德斯投资合伙企业（有限合伙）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周发展持股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20.01%</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深圳太坦投资合伙企业（有限合伙）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周发展持股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44.31%</w:t>
            </w:r>
            <w:r>
              <w:rPr>
                <w:rFonts w:ascii="宋体" w:hAnsi="宋体" w:cs="宋体" w:eastAsia="宋体" w:hint="default"/>
                <w:sz w:val="18"/>
                <w:szCs w:val="18"/>
              </w:rPr>
              <w:t>且为最大股东的参股公司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新余坚果资产管理中心（有限合伙）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周发展为实际控制人的公司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深圳柚子投资有限公司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周发展持股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安徽银古网络科技有限公司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周发展持股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深圳市视博威科技有限公司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广东电视地铁传播有限公司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深圳市视博威科技有限公司持股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广州乐途传媒有限公司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广东电视地铁传播有限公司持股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深圳市银豆动漫游戏文化有限公司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国信银谷科技（深圳）有限公司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的控股子公司</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天津津铁银谷科技发展有限公司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的控股子公司</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深圳市花生金石网络科技有限公司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深圳市花生兄弟网络科技有限公司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上海车鑫信息科技有限公司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广州趣连网络科技有限公司持股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点个车商业保理（福建平潭）有限公司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上海车鑫信息科技有限公司持股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的全资子公司</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中亿融投商业保理（福建）有限公司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深圳市花生兄弟网络科技有限公司持股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 司</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上海东方银谷科技有限公司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56"/>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，且周发展任法定代表人 的公司</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成都市西南银谷科技有限公司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，且为最大股东的参股公 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深圳市花生科技有限公司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花生谷（上海）数据服务有限公司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深圳市花生科技有限公司持股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广州银谷网络科技有限公司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深圳市花生科技有限公司持股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北京花生文化传媒有限公司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南方银谷科技有限公司全资子公司</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北京北部银谷科技有限公司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56"/>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，且为最大股东的参股公 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广州乐途网络科技有限公司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深圳市银谷动力投资发展有限公司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陕西丝路银谷科技有限公司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深圳市银谷科技有限公司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南方银谷科技有限公司全资子公司</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关联交易情况" w:id="490"/>
      <w:bookmarkEnd w:id="49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购销商品、提供和接受劳务的关联交易" w:id="491"/>
      <w:bookmarkEnd w:id="49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66"/>
              <w:jc w:val="left"/>
              <w:rPr>
                <w:rFonts w:ascii="宋体" w:hAnsi="宋体" w:cs="宋体" w:eastAsia="宋体" w:hint="default"/>
                <w:sz w:val="18"/>
                <w:szCs w:val="18"/>
              </w:rPr>
            </w:pPr>
            <w:r>
              <w:rPr>
                <w:rFonts w:ascii="宋体" w:hAnsi="宋体" w:cs="宋体" w:eastAsia="宋体" w:hint="default"/>
                <w:sz w:val="18"/>
                <w:szCs w:val="18"/>
              </w:rPr>
              <w:t>深圳银谷建科网 络有限公司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提供工程劳务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3,205,039.00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3,205,039.00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关联受托管理/承包及委托管理/出包情况" w:id="492"/>
      <w:bookmarkEnd w:id="49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2"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498" w:right="113" w:hanging="38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7" w:right="112"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38" w:right="112"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13" w:right="111" w:hanging="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19" w:footer="1016" w:top="1120" w:bottom="1200" w:left="1020" w:right="0"/>
        </w:sectPr>
      </w:pPr>
    </w:p>
    <w:p>
      <w:pPr>
        <w:spacing w:line="338" w:lineRule="auto" w:before="51"/>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2504" w:space="6326"/>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本期确认的托</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pStyle w:val="Heading5"/>
        <w:spacing w:line="240" w:lineRule="auto"/>
        <w:ind w:right="2127"/>
        <w:jc w:val="left"/>
        <w:rPr>
          <w:b w:val="0"/>
          <w:bCs w:val="0"/>
        </w:rPr>
      </w:pPr>
      <w:bookmarkStart w:name="（3）关联租赁情况" w:id="493"/>
      <w:bookmarkEnd w:id="49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4）关联担保情况" w:id="494"/>
      <w:bookmarkEnd w:id="49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9"/>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9"/>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73,950,000.00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200" w:left="1020" w:right="0"/>
        </w:sectPr>
      </w:pPr>
    </w:p>
    <w:p>
      <w:pPr>
        <w:spacing w:line="240" w:lineRule="auto" w:before="12"/>
        <w:rPr>
          <w:rFonts w:ascii="宋体" w:hAnsi="宋体" w:cs="宋体" w:eastAsia="宋体" w:hint="default"/>
          <w:sz w:val="20"/>
          <w:szCs w:val="20"/>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关联方资金拆借" w:id="495"/>
      <w:bookmarkEnd w:id="49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6）关联方资产转让、债务重组情况" w:id="496"/>
      <w:bookmarkEnd w:id="49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7）关键管理人员报酬" w:id="497"/>
      <w:bookmarkEnd w:id="49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5,292,300.00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3,509,900.00</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8）其他关联交易" w:id="498"/>
      <w:bookmarkEnd w:id="49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9"/>
          <w:szCs w:val="29"/>
        </w:rPr>
      </w:pPr>
    </w:p>
    <w:p>
      <w:pPr>
        <w:pStyle w:val="Heading5"/>
        <w:spacing w:line="240" w:lineRule="auto"/>
        <w:ind w:right="2127"/>
        <w:jc w:val="left"/>
        <w:rPr>
          <w:b w:val="0"/>
          <w:bCs w:val="0"/>
        </w:rPr>
      </w:pPr>
      <w:bookmarkStart w:name="6、关联方应收应付款项" w:id="499"/>
      <w:bookmarkEnd w:id="49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收项目" w:id="500"/>
      <w:bookmarkEnd w:id="50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应付项目" w:id="501"/>
      <w:bookmarkEnd w:id="50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深圳银谷建科网络科技有限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2,305,039.00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2,305,039.00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7、关联方承诺" w:id="502"/>
      <w:bookmarkEnd w:id="50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8751" w:firstLine="0"/>
        <w:jc w:val="left"/>
        <w:rPr>
          <w:rFonts w:ascii="宋体" w:hAnsi="宋体" w:cs="宋体" w:eastAsia="宋体" w:hint="default"/>
          <w:sz w:val="21"/>
          <w:szCs w:val="21"/>
        </w:rPr>
      </w:pPr>
      <w:bookmarkStart w:name="8、其他" w:id="503"/>
      <w:bookmarkEnd w:id="50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504"/>
      <w:bookmarkEnd w:id="504"/>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5"/>
      <w:bookmarkEnd w:id="50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7"/>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2,342,720.00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30"/>
              <w:jc w:val="left"/>
              <w:rPr>
                <w:rFonts w:ascii="宋体" w:hAnsi="宋体" w:cs="宋体" w:eastAsia="宋体" w:hint="default"/>
                <w:sz w:val="18"/>
                <w:szCs w:val="18"/>
              </w:rPr>
            </w:pPr>
            <w:r>
              <w:rPr>
                <w:rFonts w:ascii="宋体" w:hAnsi="宋体" w:cs="宋体" w:eastAsia="宋体" w:hint="default"/>
                <w:sz w:val="18"/>
                <w:szCs w:val="18"/>
              </w:rPr>
              <w:t>限制性股票行权价格为 </w:t>
            </w:r>
            <w:r>
              <w:rPr>
                <w:rFonts w:ascii="Times New Roman" w:hAnsi="Times New Roman" w:cs="Times New Roman" w:eastAsia="Times New Roman" w:hint="default"/>
                <w:sz w:val="18"/>
                <w:szCs w:val="18"/>
              </w:rPr>
              <w:t>4.98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元，合同剩余一年零 八个月</w:t>
            </w:r>
          </w:p>
        </w:tc>
      </w:tr>
    </w:tbl>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132" w:firstLine="420"/>
        <w:jc w:val="both"/>
      </w:pPr>
      <w:r>
        <w:rPr>
          <w:spacing w:val="2"/>
          <w:w w:val="95"/>
        </w:rPr>
        <w:t>（1）经公司于2018年2月9日召开的第四届董事会第十二次会议审议通过了《安徽皖通科技股份有限</w:t>
      </w:r>
      <w:r>
        <w:rPr>
          <w:spacing w:val="-91"/>
          <w:w w:val="95"/>
        </w:rPr>
        <w:t> </w:t>
      </w:r>
      <w:r>
        <w:rPr>
          <w:spacing w:val="-91"/>
          <w:w w:val="95"/>
        </w:rPr>
      </w:r>
      <w:r>
        <w:rPr>
          <w:spacing w:val="-2"/>
          <w:w w:val="99"/>
        </w:rPr>
        <w:t>公司第一期限制性股票激励计划(草案)及摘要》、《关于核实&lt;公司第一期限制性股票激励计划激励对象名</w:t>
      </w:r>
      <w:r>
        <w:rPr>
          <w:w w:val="99"/>
        </w:rPr>
        <w:t> </w:t>
      </w:r>
      <w:r>
        <w:rPr>
          <w:spacing w:val="-3"/>
          <w:w w:val="99"/>
        </w:rPr>
        <w:t>单&gt;的议案》。于2018年3月7日召开的2018年第二次临时股东大会审议通过了《安徽皖通科技股份有限公司</w:t>
      </w:r>
      <w:r>
        <w:rPr>
          <w:spacing w:val="-54"/>
          <w:w w:val="99"/>
        </w:rPr>
        <w:t> </w:t>
      </w:r>
      <w:r>
        <w:rPr>
          <w:spacing w:val="-54"/>
          <w:w w:val="99"/>
        </w:rPr>
      </w:r>
      <w:r>
        <w:rPr>
          <w:spacing w:val="-5"/>
          <w:w w:val="99"/>
        </w:rPr>
        <w:t>第一期限制性股票激励计划(草案)》、《安徽皖通科技股份有限公司第一期限制性股票激励计划实施考核管</w:t>
      </w:r>
      <w:r>
        <w:rPr>
          <w:spacing w:val="-72"/>
          <w:w w:val="99"/>
        </w:rPr>
        <w:t> </w:t>
      </w:r>
      <w:r>
        <w:rPr>
          <w:spacing w:val="-72"/>
          <w:w w:val="99"/>
        </w:rPr>
      </w:r>
      <w:r>
        <w:rPr>
          <w:spacing w:val="-2"/>
          <w:w w:val="99"/>
        </w:rPr>
        <w:t>理办法》、《关于提请公司股东大会授权董事会办理股权激励相关事宜的议案》等的相关规定，2018年4月</w:t>
      </w:r>
      <w:r>
        <w:rPr>
          <w:w w:val="99"/>
        </w:rPr>
        <w:t> </w:t>
      </w:r>
      <w:r>
        <w:rPr>
          <w:w w:val="95"/>
        </w:rPr>
        <w:t>23日第四届董事会第十四次会议审议通过了《关于调整公司第一期限制性股票激励计划激励对象名单和授</w:t>
      </w:r>
      <w:r>
        <w:rPr>
          <w:spacing w:val="36"/>
          <w:w w:val="95"/>
        </w:rPr>
        <w:t> </w:t>
      </w:r>
      <w:r>
        <w:rPr>
          <w:spacing w:val="36"/>
          <w:w w:val="95"/>
        </w:rPr>
      </w:r>
      <w:r>
        <w:rPr>
          <w:spacing w:val="-7"/>
          <w:w w:val="99"/>
        </w:rPr>
        <w:t>予数量的议案》、《关于向激励对象授予限制性股票的议案》，以2018年4月25日为授予日，向符合授予条件</w:t>
      </w:r>
      <w:r>
        <w:rPr>
          <w:spacing w:val="-60"/>
          <w:w w:val="99"/>
        </w:rPr>
        <w:t> </w:t>
      </w:r>
      <w:r>
        <w:rPr>
          <w:spacing w:val="-60"/>
          <w:w w:val="99"/>
        </w:rPr>
      </w:r>
      <w:r>
        <w:rPr/>
        <w:t>的345名激励对象授予595万股限制性股票，限制性股票的授予价格为4.98元/股。</w:t>
      </w:r>
    </w:p>
    <w:p>
      <w:pPr>
        <w:pStyle w:val="BodyText"/>
        <w:spacing w:line="273" w:lineRule="auto"/>
        <w:ind w:right="1135" w:firstLine="420"/>
        <w:jc w:val="both"/>
      </w:pPr>
      <w:r>
        <w:rPr/>
        <w:t>变更后注册资本为388,122,312.00元，其中新增注册资本5,919,800.00元（3名激励对象未认缴，涉</w:t>
      </w:r>
      <w:r>
        <w:rPr>
          <w:w w:val="99"/>
        </w:rPr>
        <w:t> </w:t>
      </w:r>
      <w:r>
        <w:rPr>
          <w:spacing w:val="-3"/>
          <w:w w:val="99"/>
        </w:rPr>
        <w:t>及股数为30,200股），新增资本公积23,560,804.00元。</w:t>
      </w:r>
      <w:r>
        <w:rPr>
          <w:spacing w:val="-3"/>
        </w:rPr>
      </w:r>
    </w:p>
    <w:p>
      <w:pPr>
        <w:pStyle w:val="BodyText"/>
        <w:spacing w:line="273" w:lineRule="auto"/>
        <w:ind w:right="1132" w:firstLine="420"/>
        <w:jc w:val="both"/>
      </w:pPr>
      <w:r>
        <w:rPr>
          <w:w w:val="95"/>
        </w:rPr>
        <w:t>根据计算，本公司向激励对象授予的权益工具公允价值总额为3,255.89万元，该等公允价值总额作为</w:t>
      </w:r>
      <w:r>
        <w:rPr>
          <w:w w:val="99"/>
        </w:rPr>
        <w:t> </w:t>
      </w:r>
      <w:r>
        <w:rPr>
          <w:w w:val="95"/>
        </w:rPr>
        <w:t>本次股权激励计划的总成本将在股权激励计划的实施过程中按照解除限售比例进行分期确认，应该摊销的</w:t>
      </w:r>
      <w:r>
        <w:rPr>
          <w:spacing w:val="39"/>
          <w:w w:val="95"/>
        </w:rPr>
        <w:t> </w:t>
      </w:r>
      <w:r>
        <w:rPr>
          <w:spacing w:val="39"/>
          <w:w w:val="95"/>
        </w:rPr>
      </w:r>
      <w:r>
        <w:rPr/>
        <w:t>股份支付费用具体摊销详见下表：  </w:t>
      </w:r>
      <w:r>
        <w:rPr>
          <w:spacing w:val="95"/>
        </w:rPr>
        <w:t> </w:t>
      </w:r>
      <w:r>
        <w:rPr/>
        <w:t>单位：万元</w:t>
      </w:r>
    </w:p>
    <w:tbl>
      <w:tblPr>
        <w:tblW w:w="0" w:type="auto"/>
        <w:jc w:val="left"/>
        <w:tblInd w:w="106" w:type="dxa"/>
        <w:tblLayout w:type="fixed"/>
        <w:tblCellMar>
          <w:top w:w="0" w:type="dxa"/>
          <w:left w:w="0" w:type="dxa"/>
          <w:bottom w:w="0" w:type="dxa"/>
          <w:right w:w="0" w:type="dxa"/>
        </w:tblCellMar>
        <w:tblLook w:val="01E0"/>
      </w:tblPr>
      <w:tblGrid>
        <w:gridCol w:w="2660"/>
        <w:gridCol w:w="1559"/>
        <w:gridCol w:w="1276"/>
        <w:gridCol w:w="1134"/>
        <w:gridCol w:w="992"/>
        <w:gridCol w:w="907"/>
      </w:tblGrid>
      <w:tr>
        <w:trPr>
          <w:trHeight w:val="354" w:hRule="exact"/>
        </w:trPr>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授予的限制性股票数量（万股）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需摊销的总费用</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3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241"/>
              <w:jc w:val="right"/>
              <w:rPr>
                <w:rFonts w:ascii="宋体" w:hAnsi="宋体" w:cs="宋体" w:eastAsia="宋体" w:hint="default"/>
                <w:sz w:val="18"/>
                <w:szCs w:val="18"/>
              </w:rPr>
            </w:pPr>
            <w:r>
              <w:rPr>
                <w:rFonts w:ascii="宋体" w:hAnsi="宋体" w:cs="宋体" w:eastAsia="宋体" w:hint="default"/>
                <w:sz w:val="18"/>
                <w:szCs w:val="18"/>
              </w:rPr>
              <w:t>2019 年</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9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2021 年</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591.98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3,255.89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70" w:right="0"/>
              <w:jc w:val="left"/>
              <w:rPr>
                <w:rFonts w:ascii="宋体" w:hAnsi="宋体" w:cs="宋体" w:eastAsia="宋体" w:hint="default"/>
                <w:sz w:val="18"/>
                <w:szCs w:val="18"/>
              </w:rPr>
            </w:pPr>
            <w:r>
              <w:rPr>
                <w:rFonts w:ascii="宋体"/>
                <w:sz w:val="18"/>
              </w:rPr>
              <w:t>1,410.89</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spacing w:val="-1"/>
                <w:sz w:val="18"/>
              </w:rPr>
              <w:t>1,248.09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488.38</w:t>
            </w:r>
          </w:p>
        </w:tc>
        <w:tc>
          <w:tcPr>
            <w:tcW w:w="9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sz w:val="18"/>
              </w:rPr>
              <w:t>108.53</w:t>
            </w:r>
          </w:p>
        </w:tc>
      </w:tr>
    </w:tbl>
    <w:p>
      <w:pPr>
        <w:pStyle w:val="BodyText"/>
        <w:spacing w:line="240" w:lineRule="auto" w:before="9"/>
        <w:ind w:left="532" w:right="2127"/>
        <w:jc w:val="left"/>
      </w:pPr>
      <w:r>
        <w:rPr/>
        <w:t>限制性股票的限售期安排：</w:t>
      </w:r>
    </w:p>
    <w:p>
      <w:pPr>
        <w:pStyle w:val="BodyText"/>
        <w:spacing w:line="273" w:lineRule="auto" w:before="37"/>
        <w:ind w:right="1130" w:firstLine="420"/>
        <w:jc w:val="both"/>
      </w:pPr>
      <w:r>
        <w:rPr/>
        <w:t>本激励计划授予限制性股票的限售期为自授予登记完成之日起12个月、 24个月、</w:t>
      </w:r>
      <w:r>
        <w:rPr>
          <w:spacing w:val="-36"/>
        </w:rPr>
        <w:t> </w:t>
      </w:r>
      <w:r>
        <w:rPr/>
        <w:t>36个月。激励对象</w:t>
      </w:r>
      <w:r>
        <w:rPr>
          <w:w w:val="99"/>
        </w:rPr>
        <w:t> </w:t>
      </w:r>
      <w:r>
        <w:rPr>
          <w:w w:val="95"/>
        </w:rPr>
        <w:t>根据本激励计划获授的限制性股票在解除限售前不得转让、用于担保或偿还债务。限售期满后，公司为满</w:t>
      </w:r>
      <w:r>
        <w:rPr>
          <w:spacing w:val="43"/>
          <w:w w:val="95"/>
        </w:rPr>
        <w:t> </w:t>
      </w:r>
      <w:r>
        <w:rPr>
          <w:spacing w:val="43"/>
          <w:w w:val="95"/>
        </w:rPr>
      </w:r>
      <w:r>
        <w:rPr>
          <w:w w:val="95"/>
        </w:rPr>
        <w:t>足解除限售条件的激励对象办理解除限售事宜，未满足解除限售条件的激励对象持有的限制性股票由公司</w:t>
      </w:r>
      <w:r>
        <w:rPr>
          <w:spacing w:val="39"/>
          <w:w w:val="95"/>
        </w:rPr>
        <w:t> </w:t>
      </w:r>
      <w:r>
        <w:rPr>
          <w:spacing w:val="39"/>
          <w:w w:val="95"/>
        </w:rPr>
      </w:r>
      <w:r>
        <w:rPr/>
        <w:t>回购注销。</w:t>
      </w:r>
    </w:p>
    <w:p>
      <w:pPr>
        <w:pStyle w:val="BodyText"/>
        <w:spacing w:line="240" w:lineRule="auto"/>
        <w:ind w:left="532" w:right="2127"/>
        <w:jc w:val="left"/>
      </w:pPr>
      <w:r>
        <w:rPr/>
        <w:t>本激励计划授予的限制性股票的解除限售期及各期解除限售时间安排如下表所示：</w:t>
      </w:r>
    </w:p>
    <w:p>
      <w:pPr>
        <w:spacing w:after="0" w:line="240" w:lineRule="auto"/>
        <w:jc w:val="left"/>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1740"/>
        <w:gridCol w:w="5456"/>
        <w:gridCol w:w="1099"/>
      </w:tblGrid>
      <w:tr>
        <w:trPr>
          <w:trHeight w:val="666" w:hRule="exact"/>
        </w:trPr>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20"/>
              <w:jc w:val="right"/>
              <w:rPr>
                <w:rFonts w:ascii="宋体" w:hAnsi="宋体" w:cs="宋体" w:eastAsia="宋体" w:hint="default"/>
                <w:sz w:val="18"/>
                <w:szCs w:val="18"/>
              </w:rPr>
            </w:pPr>
            <w:r>
              <w:rPr>
                <w:rFonts w:ascii="宋体" w:hAnsi="宋体" w:cs="宋体" w:eastAsia="宋体" w:hint="default"/>
                <w:sz w:val="18"/>
                <w:szCs w:val="18"/>
              </w:rPr>
              <w:t>解除限售安排</w:t>
            </w:r>
          </w:p>
        </w:tc>
        <w:tc>
          <w:tcPr>
            <w:tcW w:w="54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099"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51" w:right="98" w:hanging="360"/>
              <w:jc w:val="left"/>
              <w:rPr>
                <w:rFonts w:ascii="宋体" w:hAnsi="宋体" w:cs="宋体" w:eastAsia="宋体" w:hint="default"/>
                <w:sz w:val="18"/>
                <w:szCs w:val="18"/>
              </w:rPr>
            </w:pPr>
            <w:r>
              <w:rPr>
                <w:rFonts w:ascii="宋体" w:hAnsi="宋体" w:cs="宋体" w:eastAsia="宋体" w:hint="default"/>
                <w:sz w:val="18"/>
                <w:szCs w:val="18"/>
              </w:rPr>
              <w:t>解除限售比 例</w:t>
            </w:r>
          </w:p>
        </w:tc>
      </w:tr>
      <w:tr>
        <w:trPr>
          <w:trHeight w:val="674"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4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37"/>
              <w:jc w:val="left"/>
              <w:rPr>
                <w:rFonts w:ascii="宋体" w:hAnsi="宋体" w:cs="宋体" w:eastAsia="宋体" w:hint="default"/>
                <w:sz w:val="18"/>
                <w:szCs w:val="18"/>
              </w:rPr>
            </w:pPr>
            <w:r>
              <w:rPr>
                <w:rFonts w:ascii="宋体" w:hAnsi="宋体" w:cs="宋体" w:eastAsia="宋体" w:hint="default"/>
                <w:sz w:val="18"/>
                <w:szCs w:val="18"/>
              </w:rPr>
              <w:t>自限制性股票授予登记完成之日起12个月后的首个交易日起至限制性 股票授予登记完成之日起24个月内的最后一个交易日当日止</w:t>
            </w:r>
          </w:p>
        </w:tc>
        <w:tc>
          <w:tcPr>
            <w:tcW w:w="1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40%</w:t>
            </w:r>
          </w:p>
        </w:tc>
      </w:tr>
      <w:tr>
        <w:trPr>
          <w:trHeight w:val="674"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4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37"/>
              <w:jc w:val="left"/>
              <w:rPr>
                <w:rFonts w:ascii="宋体" w:hAnsi="宋体" w:cs="宋体" w:eastAsia="宋体" w:hint="default"/>
                <w:sz w:val="18"/>
                <w:szCs w:val="18"/>
              </w:rPr>
            </w:pPr>
            <w:r>
              <w:rPr>
                <w:rFonts w:ascii="宋体" w:hAnsi="宋体" w:cs="宋体" w:eastAsia="宋体" w:hint="default"/>
                <w:sz w:val="18"/>
                <w:szCs w:val="18"/>
              </w:rPr>
              <w:t>自限制性股票授予登记完成之日起24个月后的首个交易日起至限制性 股票授予登记完成之日起36个月内的最后一个交易日当日止</w:t>
            </w:r>
          </w:p>
        </w:tc>
        <w:tc>
          <w:tcPr>
            <w:tcW w:w="1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sz w:val="18"/>
              </w:rPr>
              <w:t>30%</w:t>
            </w:r>
          </w:p>
        </w:tc>
      </w:tr>
      <w:tr>
        <w:trPr>
          <w:trHeight w:val="674"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281"/>
              <w:jc w:val="righ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45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3"/>
              <w:ind w:left="3" w:right="37"/>
              <w:jc w:val="left"/>
              <w:rPr>
                <w:rFonts w:ascii="宋体" w:hAnsi="宋体" w:cs="宋体" w:eastAsia="宋体" w:hint="default"/>
                <w:sz w:val="18"/>
                <w:szCs w:val="18"/>
              </w:rPr>
            </w:pPr>
            <w:r>
              <w:rPr>
                <w:rFonts w:ascii="宋体" w:hAnsi="宋体" w:cs="宋体" w:eastAsia="宋体" w:hint="default"/>
                <w:sz w:val="18"/>
                <w:szCs w:val="18"/>
              </w:rPr>
              <w:t>自限制性股票授予登记完成之日起36个月后的首个交易日起至限制性 股票授予登记完成之日起48个月内的最后一个交易日当日止</w:t>
            </w:r>
          </w:p>
        </w:tc>
        <w:tc>
          <w:tcPr>
            <w:tcW w:w="10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宋体"/>
                <w:sz w:val="18"/>
              </w:rPr>
              <w:t>30%</w:t>
            </w:r>
          </w:p>
        </w:tc>
      </w:tr>
    </w:tbl>
    <w:p>
      <w:pPr>
        <w:pStyle w:val="BodyText"/>
        <w:spacing w:line="261" w:lineRule="exact" w:before="0"/>
        <w:ind w:right="0" w:firstLine="420"/>
        <w:jc w:val="left"/>
      </w:pPr>
      <w:r>
        <w:rPr/>
        <w:t>在上述约定期间内若根据本计划不能解除限售，则由公司收回。激励对象根据本激励计划获授的限制</w:t>
      </w:r>
    </w:p>
    <w:p>
      <w:pPr>
        <w:pStyle w:val="BodyText"/>
        <w:spacing w:line="273" w:lineRule="auto" w:before="37"/>
        <w:ind w:right="1130"/>
        <w:jc w:val="both"/>
      </w:pPr>
      <w:r>
        <w:rPr>
          <w:w w:val="95"/>
        </w:rPr>
        <w:t>性股票在解除限售前不得转让、用于担保或偿还债务。激励对象获授的限制性股票由于资本公积金转增股</w:t>
      </w:r>
      <w:r>
        <w:rPr>
          <w:spacing w:val="37"/>
          <w:w w:val="95"/>
        </w:rPr>
        <w:t> </w:t>
      </w:r>
      <w:r>
        <w:rPr>
          <w:spacing w:val="37"/>
          <w:w w:val="95"/>
        </w:rPr>
      </w:r>
      <w:r>
        <w:rPr>
          <w:w w:val="95"/>
        </w:rPr>
        <w:t>本、股票红利、股票拆细而取得的股份同时限售，不得在二级市场出售或以其他方式转让，该等股份的解</w:t>
      </w:r>
      <w:r>
        <w:rPr>
          <w:spacing w:val="44"/>
          <w:w w:val="95"/>
        </w:rPr>
        <w:t> </w:t>
      </w:r>
      <w:r>
        <w:rPr>
          <w:spacing w:val="44"/>
          <w:w w:val="95"/>
        </w:rPr>
      </w:r>
      <w:r>
        <w:rPr/>
        <w:t>除限售期与限制性股票解除限售期相同。</w:t>
      </w:r>
    </w:p>
    <w:p>
      <w:pPr>
        <w:pStyle w:val="BodyText"/>
        <w:spacing w:line="273" w:lineRule="auto"/>
        <w:ind w:right="0" w:firstLine="420"/>
        <w:jc w:val="left"/>
      </w:pPr>
      <w:r>
        <w:rPr>
          <w:w w:val="95"/>
        </w:rPr>
        <w:t>解除限售后，公司为满足解除限售条件的激励对象办理解除限售事宜，未满足解除限售条件的激励对</w:t>
      </w:r>
      <w:r>
        <w:rPr>
          <w:w w:val="99"/>
        </w:rPr>
        <w:t> </w:t>
      </w:r>
      <w:r>
        <w:rPr/>
        <w:t>象持有的限制性股票由公司回购注销。</w:t>
      </w:r>
    </w:p>
    <w:p>
      <w:pPr>
        <w:pStyle w:val="BodyText"/>
        <w:spacing w:line="240" w:lineRule="auto"/>
        <w:ind w:left="532" w:right="0"/>
        <w:jc w:val="left"/>
      </w:pPr>
      <w:r>
        <w:rPr/>
        <w:t>授予的限制性股票的解除限售需同时满足公司业绩考核要求和个人考核要求，具体如下：</w:t>
      </w:r>
    </w:p>
    <w:p>
      <w:pPr>
        <w:pStyle w:val="BodyText"/>
        <w:spacing w:line="273" w:lineRule="auto" w:before="37"/>
        <w:ind w:left="532" w:right="6764"/>
        <w:jc w:val="left"/>
      </w:pPr>
      <w:r>
        <w:rPr/>
        <w:t>①公司层面业绩考核要求</w:t>
      </w:r>
      <w:r>
        <w:rPr>
          <w:w w:val="99"/>
        </w:rPr>
        <w:t> </w:t>
      </w:r>
      <w:r>
        <w:rPr/>
        <w:t>财务业绩考核的指标：净利润增长率。</w:t>
      </w:r>
    </w:p>
    <w:p>
      <w:pPr>
        <w:pStyle w:val="BodyText"/>
        <w:spacing w:line="273" w:lineRule="auto"/>
        <w:ind w:right="1131" w:firstLine="420"/>
        <w:jc w:val="left"/>
      </w:pPr>
      <w:r>
        <w:rPr>
          <w:spacing w:val="2"/>
        </w:rPr>
        <w:t>本激励计划的解除限售考核年度为 </w:t>
      </w:r>
      <w:r>
        <w:rPr/>
        <w:t>2018-2020</w:t>
      </w:r>
      <w:r>
        <w:rPr>
          <w:spacing w:val="-10"/>
        </w:rPr>
        <w:t> </w:t>
      </w:r>
      <w:r>
        <w:rPr>
          <w:spacing w:val="2"/>
        </w:rPr>
        <w:t>年三个会计年度，每个会计年度考核一次，各年度业</w:t>
      </w:r>
      <w:r>
        <w:rPr>
          <w:w w:val="99"/>
        </w:rPr>
        <w:t> </w:t>
      </w:r>
      <w:r>
        <w:rPr/>
        <w:t>绩考核目标如下表所示：</w:t>
      </w:r>
    </w:p>
    <w:p>
      <w:pPr>
        <w:pStyle w:val="BodyText"/>
        <w:spacing w:line="240" w:lineRule="auto"/>
        <w:ind w:left="532" w:right="2127"/>
        <w:jc w:val="left"/>
      </w:pPr>
      <w:r>
        <w:rPr/>
        <w:t>在本激励计划有效期内，各年度财务业绩考核目标如下表所示：</w:t>
      </w: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710"/>
        <w:gridCol w:w="6585"/>
      </w:tblGrid>
      <w:tr>
        <w:trPr>
          <w:trHeight w:val="354" w:hRule="exact"/>
        </w:trPr>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解锁期</w:t>
            </w:r>
          </w:p>
        </w:tc>
        <w:tc>
          <w:tcPr>
            <w:tcW w:w="65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业绩考核指标</w:t>
            </w:r>
          </w:p>
        </w:tc>
      </w:tr>
      <w:tr>
        <w:trPr>
          <w:trHeight w:val="362" w:hRule="exact"/>
        </w:trPr>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65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 2017年公司净利润为基数，</w:t>
            </w:r>
            <w:r>
              <w:rPr>
                <w:rFonts w:ascii="宋体" w:hAnsi="宋体" w:cs="宋体" w:eastAsia="宋体" w:hint="default"/>
                <w:spacing w:val="-5"/>
                <w:sz w:val="18"/>
                <w:szCs w:val="18"/>
              </w:rPr>
              <w:t> </w:t>
            </w:r>
            <w:r>
              <w:rPr>
                <w:rFonts w:ascii="宋体" w:hAnsi="宋体" w:cs="宋体" w:eastAsia="宋体" w:hint="default"/>
                <w:sz w:val="18"/>
                <w:szCs w:val="18"/>
              </w:rPr>
              <w:t>2018年净利润增长率不低于10%；</w:t>
            </w:r>
          </w:p>
        </w:tc>
      </w:tr>
      <w:tr>
        <w:trPr>
          <w:trHeight w:val="362" w:hRule="exact"/>
        </w:trPr>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65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 2017年公司净利润为基数，</w:t>
            </w:r>
            <w:r>
              <w:rPr>
                <w:rFonts w:ascii="宋体" w:hAnsi="宋体" w:cs="宋体" w:eastAsia="宋体" w:hint="default"/>
                <w:spacing w:val="-5"/>
                <w:sz w:val="18"/>
                <w:szCs w:val="18"/>
              </w:rPr>
              <w:t> </w:t>
            </w:r>
            <w:r>
              <w:rPr>
                <w:rFonts w:ascii="宋体" w:hAnsi="宋体" w:cs="宋体" w:eastAsia="宋体" w:hint="default"/>
                <w:sz w:val="18"/>
                <w:szCs w:val="18"/>
              </w:rPr>
              <w:t>2019年净利润增长率不低于20%；</w:t>
            </w:r>
          </w:p>
        </w:tc>
      </w:tr>
      <w:tr>
        <w:trPr>
          <w:trHeight w:val="362" w:hRule="exact"/>
        </w:trPr>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65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 2017年公司净利润为基数，</w:t>
            </w:r>
            <w:r>
              <w:rPr>
                <w:rFonts w:ascii="宋体" w:hAnsi="宋体" w:cs="宋体" w:eastAsia="宋体" w:hint="default"/>
                <w:spacing w:val="-5"/>
                <w:sz w:val="18"/>
                <w:szCs w:val="18"/>
              </w:rPr>
              <w:t> </w:t>
            </w:r>
            <w:r>
              <w:rPr>
                <w:rFonts w:ascii="宋体" w:hAnsi="宋体" w:cs="宋体" w:eastAsia="宋体" w:hint="default"/>
                <w:sz w:val="18"/>
                <w:szCs w:val="18"/>
              </w:rPr>
              <w:t>2020年净利润增长率不低于30%。</w:t>
            </w:r>
          </w:p>
        </w:tc>
      </w:tr>
    </w:tbl>
    <w:p>
      <w:pPr>
        <w:pStyle w:val="BodyText"/>
        <w:spacing w:line="262" w:lineRule="exact" w:before="0"/>
        <w:ind w:left="532" w:right="0"/>
        <w:jc w:val="left"/>
      </w:pPr>
      <w:r>
        <w:rPr>
          <w:spacing w:val="2"/>
          <w:w w:val="99"/>
        </w:rPr>
        <w:t>注</w:t>
      </w:r>
      <w:r>
        <w:rPr>
          <w:spacing w:val="-5"/>
          <w:w w:val="99"/>
        </w:rPr>
        <w:t>：</w:t>
      </w:r>
      <w:r>
        <w:rPr>
          <w:spacing w:val="2"/>
          <w:w w:val="99"/>
        </w:rPr>
        <w:t>上</w:t>
      </w:r>
      <w:r>
        <w:rPr>
          <w:spacing w:val="-3"/>
          <w:w w:val="99"/>
        </w:rPr>
        <w:t>述</w:t>
      </w:r>
      <w:r>
        <w:rPr>
          <w:spacing w:val="-1"/>
          <w:w w:val="99"/>
        </w:rPr>
        <w:t>“</w:t>
      </w:r>
      <w:r>
        <w:rPr>
          <w:spacing w:val="2"/>
          <w:w w:val="99"/>
        </w:rPr>
        <w:t>净</w:t>
      </w:r>
      <w:r>
        <w:rPr>
          <w:spacing w:val="-1"/>
          <w:w w:val="99"/>
        </w:rPr>
        <w:t>利</w:t>
      </w:r>
      <w:r>
        <w:rPr>
          <w:spacing w:val="2"/>
          <w:w w:val="99"/>
        </w:rPr>
        <w:t>润</w:t>
      </w:r>
      <w:r>
        <w:rPr>
          <w:spacing w:val="-106"/>
          <w:w w:val="99"/>
        </w:rPr>
        <w:t>”、</w:t>
      </w:r>
      <w:r>
        <w:rPr>
          <w:spacing w:val="-1"/>
          <w:w w:val="99"/>
        </w:rPr>
        <w:t>“</w:t>
      </w:r>
      <w:r>
        <w:rPr>
          <w:spacing w:val="2"/>
          <w:w w:val="99"/>
        </w:rPr>
        <w:t>净</w:t>
      </w:r>
      <w:r>
        <w:rPr>
          <w:spacing w:val="-1"/>
          <w:w w:val="99"/>
        </w:rPr>
        <w:t>利</w:t>
      </w:r>
      <w:r>
        <w:rPr>
          <w:spacing w:val="2"/>
          <w:w w:val="99"/>
        </w:rPr>
        <w:t>润</w:t>
      </w:r>
      <w:r>
        <w:rPr>
          <w:spacing w:val="-1"/>
          <w:w w:val="99"/>
        </w:rPr>
        <w:t>增</w:t>
      </w:r>
      <w:r>
        <w:rPr>
          <w:spacing w:val="2"/>
          <w:w w:val="99"/>
        </w:rPr>
        <w:t>长</w:t>
      </w:r>
      <w:r>
        <w:rPr>
          <w:spacing w:val="-1"/>
          <w:w w:val="99"/>
        </w:rPr>
        <w:t>率</w:t>
      </w:r>
      <w:r>
        <w:rPr>
          <w:spacing w:val="-3"/>
          <w:w w:val="99"/>
        </w:rPr>
        <w:t>”</w:t>
      </w:r>
      <w:r>
        <w:rPr>
          <w:spacing w:val="2"/>
          <w:w w:val="99"/>
        </w:rPr>
        <w:t>指</w:t>
      </w:r>
      <w:r>
        <w:rPr>
          <w:spacing w:val="-1"/>
          <w:w w:val="99"/>
        </w:rPr>
        <w:t>标</w:t>
      </w:r>
      <w:r>
        <w:rPr>
          <w:spacing w:val="-3"/>
          <w:w w:val="99"/>
        </w:rPr>
        <w:t>，</w:t>
      </w:r>
      <w:r>
        <w:rPr>
          <w:spacing w:val="2"/>
          <w:w w:val="99"/>
        </w:rPr>
        <w:t>均</w:t>
      </w:r>
      <w:r>
        <w:rPr>
          <w:spacing w:val="-1"/>
          <w:w w:val="99"/>
        </w:rPr>
        <w:t>以</w:t>
      </w:r>
      <w:r>
        <w:rPr>
          <w:spacing w:val="2"/>
          <w:w w:val="99"/>
        </w:rPr>
        <w:t>未</w:t>
      </w:r>
      <w:r>
        <w:rPr>
          <w:spacing w:val="-1"/>
          <w:w w:val="99"/>
        </w:rPr>
        <w:t>扣</w:t>
      </w:r>
      <w:r>
        <w:rPr>
          <w:spacing w:val="2"/>
          <w:w w:val="99"/>
        </w:rPr>
        <w:t>除</w:t>
      </w:r>
      <w:r>
        <w:rPr>
          <w:spacing w:val="-1"/>
          <w:w w:val="99"/>
        </w:rPr>
        <w:t>本</w:t>
      </w:r>
      <w:r>
        <w:rPr>
          <w:spacing w:val="2"/>
          <w:w w:val="99"/>
        </w:rPr>
        <w:t>次</w:t>
      </w:r>
      <w:r>
        <w:rPr>
          <w:spacing w:val="-1"/>
          <w:w w:val="99"/>
        </w:rPr>
        <w:t>及</w:t>
      </w:r>
      <w:r>
        <w:rPr>
          <w:spacing w:val="2"/>
          <w:w w:val="99"/>
        </w:rPr>
        <w:t>其</w:t>
      </w:r>
      <w:r>
        <w:rPr>
          <w:spacing w:val="-1"/>
          <w:w w:val="99"/>
        </w:rPr>
        <w:t>他</w:t>
      </w:r>
      <w:r>
        <w:rPr>
          <w:spacing w:val="2"/>
          <w:w w:val="99"/>
        </w:rPr>
        <w:t>股</w:t>
      </w:r>
      <w:r>
        <w:rPr>
          <w:spacing w:val="-1"/>
          <w:w w:val="99"/>
        </w:rPr>
        <w:t>权</w:t>
      </w:r>
      <w:r>
        <w:rPr>
          <w:spacing w:val="2"/>
          <w:w w:val="99"/>
        </w:rPr>
        <w:t>激</w:t>
      </w:r>
      <w:r>
        <w:rPr>
          <w:spacing w:val="-1"/>
          <w:w w:val="99"/>
        </w:rPr>
        <w:t>励</w:t>
      </w:r>
      <w:r>
        <w:rPr>
          <w:spacing w:val="2"/>
          <w:w w:val="99"/>
        </w:rPr>
        <w:t>成</w:t>
      </w:r>
      <w:r>
        <w:rPr>
          <w:spacing w:val="-1"/>
          <w:w w:val="99"/>
        </w:rPr>
        <w:t>本</w:t>
      </w:r>
      <w:r>
        <w:rPr>
          <w:spacing w:val="2"/>
          <w:w w:val="99"/>
        </w:rPr>
        <w:t>前归</w:t>
      </w:r>
      <w:r>
        <w:rPr>
          <w:spacing w:val="-1"/>
          <w:w w:val="99"/>
        </w:rPr>
        <w:t>属</w:t>
      </w:r>
      <w:r>
        <w:rPr>
          <w:spacing w:val="2"/>
          <w:w w:val="99"/>
        </w:rPr>
        <w:t>于</w:t>
      </w:r>
      <w:r>
        <w:rPr>
          <w:spacing w:val="-1"/>
          <w:w w:val="99"/>
        </w:rPr>
        <w:t>上</w:t>
      </w:r>
      <w:r>
        <w:rPr>
          <w:spacing w:val="2"/>
          <w:w w:val="99"/>
        </w:rPr>
        <w:t>市</w:t>
      </w:r>
      <w:r>
        <w:rPr>
          <w:spacing w:val="-1"/>
          <w:w w:val="99"/>
        </w:rPr>
        <w:t>公</w:t>
      </w:r>
      <w:r>
        <w:rPr>
          <w:w w:val="99"/>
        </w:rPr>
        <w:t>司</w:t>
      </w:r>
      <w:r>
        <w:rPr/>
      </w:r>
    </w:p>
    <w:p>
      <w:pPr>
        <w:pStyle w:val="BodyText"/>
        <w:spacing w:line="273" w:lineRule="auto" w:before="37"/>
        <w:ind w:left="532" w:right="0" w:hanging="420"/>
        <w:jc w:val="left"/>
      </w:pPr>
      <w:r>
        <w:rPr/>
        <w:t>股东的净利润数值作为计算依据。</w:t>
      </w:r>
      <w:r>
        <w:rPr>
          <w:w w:val="99"/>
        </w:rPr>
        <w:t> </w:t>
      </w:r>
      <w:r>
        <w:rPr>
          <w:w w:val="95"/>
        </w:rPr>
        <w:t>公司未满足上述业绩考核目标的，所有激励对象对应考核当年可解除限售的限制性股票均不得解除限</w:t>
      </w:r>
      <w:r>
        <w:rPr/>
      </w:r>
    </w:p>
    <w:p>
      <w:pPr>
        <w:pStyle w:val="BodyText"/>
        <w:spacing w:line="240" w:lineRule="auto"/>
        <w:ind w:right="2127"/>
        <w:jc w:val="left"/>
      </w:pPr>
      <w:r>
        <w:rPr/>
        <w:t>售，由公司回购注销。</w:t>
      </w:r>
    </w:p>
    <w:p>
      <w:pPr>
        <w:pStyle w:val="BodyText"/>
        <w:spacing w:line="266" w:lineRule="auto" w:before="30"/>
        <w:ind w:left="532" w:right="1132" w:firstLine="21"/>
        <w:jc w:val="left"/>
      </w:pPr>
      <w:r>
        <w:rPr>
          <w:sz w:val="22"/>
          <w:szCs w:val="22"/>
        </w:rPr>
        <w:t>②</w:t>
      </w:r>
      <w:r>
        <w:rPr/>
        <w:t>个人层面绩效考核要求</w:t>
      </w:r>
      <w:r>
        <w:rPr>
          <w:w w:val="99"/>
        </w:rPr>
        <w:t> </w:t>
      </w:r>
      <w:r>
        <w:rPr>
          <w:spacing w:val="4"/>
        </w:rPr>
        <w:t>激励对象的个人层面的考核按照公司现行薪酬与考核的相关规定组织实施，个人层面解除限售比例</w:t>
      </w:r>
    </w:p>
    <w:p>
      <w:pPr>
        <w:pStyle w:val="BodyText"/>
        <w:spacing w:line="240" w:lineRule="auto" w:before="14"/>
        <w:ind w:right="2127"/>
        <w:jc w:val="left"/>
      </w:pPr>
      <w:r>
        <w:rPr/>
        <w:t>（N）按下表考核结果确定：</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000"/>
        <w:gridCol w:w="1361"/>
        <w:gridCol w:w="1417"/>
        <w:gridCol w:w="1418"/>
        <w:gridCol w:w="1417"/>
      </w:tblGrid>
      <w:tr>
        <w:trPr>
          <w:trHeight w:val="354" w:hRule="exact"/>
        </w:trPr>
        <w:tc>
          <w:tcPr>
            <w:tcW w:w="3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个人上一年度考核结果（M）</w:t>
            </w:r>
          </w:p>
        </w:tc>
        <w:tc>
          <w:tcPr>
            <w:tcW w:w="13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M≥90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90＞M≥80</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80＞M≥60</w:t>
            </w:r>
          </w:p>
        </w:tc>
        <w:tc>
          <w:tcPr>
            <w:tcW w:w="14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M＜60</w:t>
            </w:r>
          </w:p>
        </w:tc>
      </w:tr>
      <w:tr>
        <w:trPr>
          <w:trHeight w:val="362" w:hRule="exact"/>
        </w:trPr>
        <w:tc>
          <w:tcPr>
            <w:tcW w:w="3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评价标准</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优秀（A）</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良好（B）</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合格（C）</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不合格（D）</w:t>
            </w:r>
          </w:p>
        </w:tc>
      </w:tr>
      <w:tr>
        <w:trPr>
          <w:trHeight w:val="362" w:hRule="exact"/>
        </w:trPr>
        <w:tc>
          <w:tcPr>
            <w:tcW w:w="3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个人解除限售比例（N）</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80%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50%</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sz w:val="18"/>
              </w:rPr>
              <w:t>0</w:t>
            </w:r>
          </w:p>
        </w:tc>
      </w:tr>
    </w:tbl>
    <w:p>
      <w:pPr>
        <w:pStyle w:val="BodyText"/>
        <w:spacing w:line="273" w:lineRule="auto" w:before="0"/>
        <w:ind w:right="0" w:firstLine="420"/>
        <w:jc w:val="left"/>
      </w:pPr>
      <w:r>
        <w:rPr>
          <w:w w:val="95"/>
        </w:rPr>
        <w:t>若各年度公司层面业绩考核达标，激励对象个人当年实际解除限售额度＝个人当年可解除限售额度×</w:t>
      </w:r>
      <w:r>
        <w:rPr>
          <w:w w:val="99"/>
        </w:rPr>
        <w:t> </w:t>
      </w:r>
      <w:r>
        <w:rPr>
          <w:spacing w:val="-8"/>
          <w:w w:val="99"/>
        </w:rPr>
        <w:t>个人层面解除限售比例（N）。</w:t>
      </w:r>
      <w:r>
        <w:rPr>
          <w:spacing w:val="-8"/>
        </w:rPr>
      </w:r>
    </w:p>
    <w:p>
      <w:pPr>
        <w:pStyle w:val="BodyText"/>
        <w:spacing w:line="240" w:lineRule="auto"/>
        <w:ind w:left="532" w:right="2127"/>
        <w:jc w:val="left"/>
      </w:pPr>
      <w:r>
        <w:rPr/>
        <w:t>激励对象考核当年不能解除限售的限制性股票，由公司回购注销。</w:t>
      </w:r>
    </w:p>
    <w:p>
      <w:pPr>
        <w:pStyle w:val="BodyText"/>
        <w:spacing w:line="273" w:lineRule="auto" w:before="37"/>
        <w:ind w:right="0" w:firstLine="420"/>
        <w:jc w:val="left"/>
      </w:pPr>
      <w:r>
        <w:rPr>
          <w:w w:val="95"/>
        </w:rPr>
        <w:t>（2）本期因激励对象离职，由公司回购并注销限制性股票63,000.00股。注销后应该摊销的股份支付</w:t>
      </w:r>
      <w:r>
        <w:rPr>
          <w:spacing w:val="-97"/>
          <w:w w:val="95"/>
        </w:rPr>
        <w:t> </w:t>
      </w:r>
      <w:r>
        <w:rPr>
          <w:spacing w:val="-97"/>
          <w:w w:val="95"/>
        </w:rPr>
      </w:r>
      <w:r>
        <w:rPr/>
        <w:t>费用具体摊销详见下表：单位：万元</w:t>
      </w:r>
    </w:p>
    <w:tbl>
      <w:tblPr>
        <w:tblW w:w="0" w:type="auto"/>
        <w:jc w:val="left"/>
        <w:tblInd w:w="106" w:type="dxa"/>
        <w:tblLayout w:type="fixed"/>
        <w:tblCellMar>
          <w:top w:w="0" w:type="dxa"/>
          <w:left w:w="0" w:type="dxa"/>
          <w:bottom w:w="0" w:type="dxa"/>
          <w:right w:w="0" w:type="dxa"/>
        </w:tblCellMar>
        <w:tblLook w:val="01E0"/>
      </w:tblPr>
      <w:tblGrid>
        <w:gridCol w:w="1526"/>
        <w:gridCol w:w="992"/>
        <w:gridCol w:w="1496"/>
        <w:gridCol w:w="980"/>
        <w:gridCol w:w="926"/>
        <w:gridCol w:w="893"/>
        <w:gridCol w:w="876"/>
        <w:gridCol w:w="839"/>
      </w:tblGrid>
      <w:tr>
        <w:trPr>
          <w:trHeight w:val="659"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67"/>
              <w:jc w:val="left"/>
              <w:rPr>
                <w:rFonts w:ascii="宋体" w:hAnsi="宋体" w:cs="宋体" w:eastAsia="宋体" w:hint="default"/>
                <w:sz w:val="18"/>
                <w:szCs w:val="18"/>
              </w:rPr>
            </w:pPr>
            <w:r>
              <w:rPr>
                <w:rFonts w:ascii="宋体" w:hAnsi="宋体" w:cs="宋体" w:eastAsia="宋体" w:hint="default"/>
                <w:sz w:val="18"/>
                <w:szCs w:val="18"/>
              </w:rPr>
              <w:t>初始授予限制性股 票数量（万股）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已回购注销</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6"/>
              <w:jc w:val="left"/>
              <w:rPr>
                <w:rFonts w:ascii="宋体" w:hAnsi="宋体" w:cs="宋体" w:eastAsia="宋体" w:hint="default"/>
                <w:sz w:val="18"/>
                <w:szCs w:val="18"/>
              </w:rPr>
            </w:pPr>
            <w:r>
              <w:rPr>
                <w:rFonts w:ascii="宋体" w:hAnsi="宋体" w:cs="宋体" w:eastAsia="宋体" w:hint="default"/>
                <w:sz w:val="18"/>
                <w:szCs w:val="18"/>
              </w:rPr>
              <w:t>期末剩余限制性股 票数量（万股）</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1"/>
              <w:jc w:val="left"/>
              <w:rPr>
                <w:rFonts w:ascii="宋体" w:hAnsi="宋体" w:cs="宋体" w:eastAsia="宋体" w:hint="default"/>
                <w:sz w:val="18"/>
                <w:szCs w:val="18"/>
              </w:rPr>
            </w:pPr>
            <w:r>
              <w:rPr>
                <w:rFonts w:ascii="宋体" w:hAnsi="宋体" w:cs="宋体" w:eastAsia="宋体" w:hint="default"/>
                <w:sz w:val="18"/>
                <w:szCs w:val="18"/>
              </w:rPr>
              <w:t>需摊销的总 费用</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
                <w:sz w:val="18"/>
                <w:szCs w:val="18"/>
              </w:rPr>
              <w:t> </w:t>
            </w:r>
            <w:r>
              <w:rPr>
                <w:rFonts w:ascii="宋体" w:hAnsi="宋体" w:cs="宋体" w:eastAsia="宋体" w:hint="default"/>
                <w:sz w:val="18"/>
                <w:szCs w:val="18"/>
              </w:rPr>
              <w:t>年</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2020 年</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3"/>
                <w:sz w:val="18"/>
                <w:szCs w:val="18"/>
              </w:rPr>
              <w:t> </w:t>
            </w:r>
            <w:r>
              <w:rPr>
                <w:rFonts w:ascii="宋体" w:hAnsi="宋体" w:cs="宋体" w:eastAsia="宋体" w:hint="default"/>
                <w:sz w:val="18"/>
                <w:szCs w:val="18"/>
              </w:rPr>
              <w:t>年</w:t>
            </w:r>
          </w:p>
        </w:tc>
      </w:tr>
      <w:tr>
        <w:trPr>
          <w:trHeight w:val="347" w:hRule="exact"/>
        </w:trPr>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85" w:right="0"/>
              <w:jc w:val="left"/>
              <w:rPr>
                <w:rFonts w:ascii="宋体" w:hAnsi="宋体" w:cs="宋体" w:eastAsia="宋体" w:hint="default"/>
                <w:sz w:val="18"/>
                <w:szCs w:val="18"/>
              </w:rPr>
            </w:pPr>
            <w:r>
              <w:rPr>
                <w:rFonts w:ascii="宋体"/>
                <w:sz w:val="18"/>
              </w:rPr>
              <w:t>591.98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08" w:right="0"/>
              <w:jc w:val="left"/>
              <w:rPr>
                <w:rFonts w:ascii="宋体" w:hAnsi="宋体" w:cs="宋体" w:eastAsia="宋体" w:hint="default"/>
                <w:sz w:val="18"/>
                <w:szCs w:val="18"/>
              </w:rPr>
            </w:pPr>
            <w:r>
              <w:rPr>
                <w:rFonts w:ascii="宋体"/>
                <w:sz w:val="18"/>
              </w:rPr>
              <w:t>6.30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71" w:right="0"/>
              <w:jc w:val="left"/>
              <w:rPr>
                <w:rFonts w:ascii="宋体" w:hAnsi="宋体" w:cs="宋体" w:eastAsia="宋体" w:hint="default"/>
                <w:sz w:val="18"/>
                <w:szCs w:val="18"/>
              </w:rPr>
            </w:pPr>
            <w:r>
              <w:rPr>
                <w:rFonts w:ascii="宋体"/>
                <w:sz w:val="18"/>
              </w:rPr>
              <w:t>585.68</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sz w:val="18"/>
              </w:rPr>
              <w:t>3,221.24</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95" w:right="0"/>
              <w:jc w:val="left"/>
              <w:rPr>
                <w:rFonts w:ascii="宋体" w:hAnsi="宋体" w:cs="宋体" w:eastAsia="宋体" w:hint="default"/>
                <w:sz w:val="18"/>
                <w:szCs w:val="18"/>
              </w:rPr>
            </w:pPr>
            <w:r>
              <w:rPr>
                <w:rFonts w:ascii="宋体"/>
                <w:sz w:val="18"/>
              </w:rPr>
              <w:t>1,410.89</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1,219.79</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483.19</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107.37</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34"/>
        <w:ind w:right="2127"/>
        <w:jc w:val="left"/>
        <w:rPr>
          <w:b w:val="0"/>
          <w:bCs w:val="0"/>
        </w:rPr>
      </w:pPr>
      <w:bookmarkStart w:name="2、以权益结算的股份支付情况" w:id="506"/>
      <w:bookmarkEnd w:id="50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授予日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日收盘价</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合同约定的转股数量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26,307,611.51</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12,198,754.84</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3、以现金结算的股份支付情况" w:id="507"/>
      <w:bookmarkEnd w:id="50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股份支付的修改、终止情况" w:id="508"/>
      <w:bookmarkEnd w:id="50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spacing w:line="487" w:lineRule="auto" w:before="0"/>
        <w:ind w:left="112" w:right="8344" w:firstLine="0"/>
        <w:jc w:val="left"/>
        <w:rPr>
          <w:rFonts w:ascii="宋体" w:hAnsi="宋体" w:cs="宋体" w:eastAsia="宋体" w:hint="default"/>
          <w:sz w:val="21"/>
          <w:szCs w:val="21"/>
        </w:rPr>
      </w:pPr>
      <w:bookmarkStart w:name="5、其他" w:id="509"/>
      <w:bookmarkEnd w:id="50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510"/>
      <w:bookmarkEnd w:id="510"/>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11"/>
      <w:bookmarkEnd w:id="5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7"/>
        <w:ind w:left="112" w:right="2127"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2"/>
        <w:ind w:right="2127"/>
        <w:jc w:val="left"/>
      </w:pPr>
      <w:r>
        <w:rPr/>
        <w:t>本公司不存在需要披露的重要承诺事项。</w:t>
      </w:r>
    </w:p>
    <w:p>
      <w:pPr>
        <w:spacing w:line="240" w:lineRule="auto" w:before="10"/>
        <w:rPr>
          <w:rFonts w:ascii="宋体" w:hAnsi="宋体" w:cs="宋体" w:eastAsia="宋体" w:hint="default"/>
          <w:sz w:val="25"/>
          <w:szCs w:val="25"/>
        </w:rPr>
      </w:pPr>
    </w:p>
    <w:p>
      <w:pPr>
        <w:pStyle w:val="Heading5"/>
        <w:spacing w:line="240" w:lineRule="auto"/>
        <w:ind w:right="2127"/>
        <w:jc w:val="left"/>
        <w:rPr>
          <w:b w:val="0"/>
          <w:bCs w:val="0"/>
        </w:rPr>
      </w:pPr>
      <w:bookmarkStart w:name="2、或有事项" w:id="512"/>
      <w:bookmarkEnd w:id="512"/>
      <w:r>
        <w:rPr>
          <w:b w:val="0"/>
          <w:bCs w:val="0"/>
        </w:rPr>
      </w:r>
      <w:r>
        <w:rPr>
          <w:rFonts w:ascii="Times New Roman" w:hAnsi="Times New Roman" w:cs="Times New Roman" w:eastAsia="Times New Roman" w:hint="default"/>
        </w:rPr>
        <w:t>2</w:t>
      </w:r>
      <w:r>
        <w:rPr/>
        <w:t>、或有事项</w:t>
      </w:r>
      <w:r>
        <w:rPr>
          <w:b w:val="0"/>
          <w:bCs w:val="0"/>
        </w:rPr>
      </w:r>
    </w:p>
    <w:p>
      <w:pPr>
        <w:pStyle w:val="Heading5"/>
        <w:spacing w:line="590" w:lineRule="atLeast" w:before="24"/>
        <w:ind w:right="7065"/>
        <w:jc w:val="left"/>
        <w:rPr>
          <w:b w:val="0"/>
          <w:bCs w:val="0"/>
        </w:rPr>
      </w:pPr>
      <w:bookmarkStart w:name="（1）资产负债表日存在的重要或有事项" w:id="513"/>
      <w:bookmarkEnd w:id="513"/>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t>开出保函、信用证</w:t>
      </w:r>
      <w:r>
        <w:rPr>
          <w:b w:val="0"/>
          <w:bCs w:val="0"/>
        </w:rPr>
      </w:r>
    </w:p>
    <w:p>
      <w:pPr>
        <w:pStyle w:val="BodyText"/>
        <w:spacing w:line="273" w:lineRule="auto" w:before="37"/>
        <w:ind w:right="1216" w:firstLine="420"/>
        <w:jc w:val="both"/>
      </w:pPr>
      <w:r>
        <w:rPr>
          <w:w w:val="95"/>
        </w:rPr>
        <w:t>（1）本公司开立银行承兑汇票金额112,952,805.34元；银行保函金额170,108,707.27元，其中：履</w:t>
      </w:r>
      <w:r>
        <w:rPr>
          <w:spacing w:val="-85"/>
          <w:w w:val="95"/>
        </w:rPr>
        <w:t> </w:t>
      </w:r>
      <w:r>
        <w:rPr>
          <w:spacing w:val="-85"/>
          <w:w w:val="95"/>
        </w:rPr>
      </w:r>
      <w:r>
        <w:rPr>
          <w:w w:val="95"/>
        </w:rPr>
        <w:t>约保函金额117,322,103.65元，预付款保函金额27,471,077.30元，投标保函金额8,100,000.00元，信贷</w:t>
      </w:r>
      <w:r>
        <w:rPr>
          <w:spacing w:val="56"/>
          <w:w w:val="95"/>
        </w:rPr>
        <w:t> </w:t>
      </w:r>
      <w:r>
        <w:rPr>
          <w:spacing w:val="56"/>
          <w:w w:val="95"/>
        </w:rPr>
      </w:r>
      <w:r>
        <w:rPr/>
        <w:t>保函15,000,000.00元，质量保函2,215,526.32元。</w:t>
      </w:r>
    </w:p>
    <w:p>
      <w:pPr>
        <w:pStyle w:val="BodyText"/>
        <w:spacing w:line="273" w:lineRule="auto"/>
        <w:ind w:right="2127" w:firstLine="420"/>
        <w:jc w:val="left"/>
      </w:pPr>
      <w:r>
        <w:rPr>
          <w:w w:val="95"/>
        </w:rPr>
        <w:t>（2）子公司烟台华东电子软件技术有限公司开立履约保函金额892,817.27元，质量保函金额</w:t>
      </w:r>
      <w:r>
        <w:rPr>
          <w:w w:val="99"/>
        </w:rPr>
        <w:t> </w:t>
      </w:r>
      <w:r>
        <w:rPr/>
        <w:t>832,897.85元，预付款保函金额11,603,660.00元。</w:t>
      </w:r>
    </w:p>
    <w:p>
      <w:pPr>
        <w:pStyle w:val="BodyText"/>
        <w:spacing w:line="273" w:lineRule="auto"/>
        <w:ind w:right="0" w:firstLine="420"/>
        <w:jc w:val="left"/>
      </w:pPr>
      <w:r>
        <w:rPr>
          <w:w w:val="95"/>
        </w:rPr>
        <w:t>（3）子公司安徽汉高信息科技有限公司开立银行承兑汇票金额14,615,025.98元；履约保函金额</w:t>
      </w:r>
      <w:r>
        <w:rPr>
          <w:w w:val="99"/>
        </w:rPr>
        <w:t> </w:t>
      </w:r>
      <w:r>
        <w:rPr/>
        <w:t>26,931,303.07元，投标保函金额为16,550,000.00元，质量保函金额为1,500,000.00元。</w:t>
      </w:r>
    </w:p>
    <w:p>
      <w:pPr>
        <w:pStyle w:val="BodyText"/>
        <w:spacing w:line="240" w:lineRule="auto"/>
        <w:ind w:left="532" w:right="0"/>
        <w:jc w:val="left"/>
      </w:pPr>
      <w:r>
        <w:rPr/>
        <w:t>除存在上述或有事项外，截止2019年12月31日，本公司无其他应披露未披露的重要或有事项。</w:t>
      </w:r>
    </w:p>
    <w:p>
      <w:pPr>
        <w:spacing w:after="0" w:line="240" w:lineRule="auto"/>
        <w:jc w:val="left"/>
        <w:sectPr>
          <w:pgSz w:w="11910" w:h="16840"/>
          <w:pgMar w:header="919" w:footer="1016" w:top="112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34"/>
        <w:ind w:right="2127"/>
        <w:jc w:val="left"/>
        <w:rPr>
          <w:b w:val="0"/>
          <w:bCs w:val="0"/>
        </w:rPr>
      </w:pPr>
      <w:bookmarkStart w:name="（2）公司没有需要披露的重要或有事项，也应予以说明" w:id="514"/>
      <w:bookmarkEnd w:id="51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7"/>
        <w:ind w:left="11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515"/>
      <w:bookmarkEnd w:id="51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16"/>
      <w:bookmarkEnd w:id="516"/>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Heading5"/>
        <w:spacing w:line="240" w:lineRule="auto"/>
        <w:ind w:right="2127"/>
        <w:jc w:val="left"/>
        <w:rPr>
          <w:b w:val="0"/>
          <w:bCs w:val="0"/>
        </w:rPr>
      </w:pPr>
      <w:bookmarkStart w:name="1、重要的非调整事项" w:id="517"/>
      <w:bookmarkEnd w:id="51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2、利润分配情况" w:id="518"/>
      <w:bookmarkEnd w:id="51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28,845,072.83</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28,845,072.83</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3、销售退回" w:id="519"/>
      <w:bookmarkEnd w:id="51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4、其他资产负债表日后事项说明" w:id="520"/>
      <w:bookmarkEnd w:id="52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2" w:firstLine="420"/>
        <w:jc w:val="both"/>
      </w:pPr>
      <w:r>
        <w:rPr>
          <w:spacing w:val="2"/>
          <w:w w:val="95"/>
        </w:rPr>
        <w:t>（1）新型冠状病毒感染的肺炎疫情爆发以来，本公司密切关注肺炎疫情发展情况，评估和积极应对</w:t>
      </w:r>
      <w:r>
        <w:rPr>
          <w:spacing w:val="-84"/>
          <w:w w:val="95"/>
        </w:rPr>
        <w:t> </w:t>
      </w:r>
      <w:r>
        <w:rPr>
          <w:spacing w:val="-84"/>
          <w:w w:val="95"/>
        </w:rPr>
      </w:r>
      <w:r>
        <w:rPr>
          <w:w w:val="95"/>
        </w:rPr>
        <w:t>其对本公司财务状况、经营成果等方面的影响。本公司预计此次疫情将对本公司的生产和经营造成一定的</w:t>
      </w:r>
      <w:r>
        <w:rPr>
          <w:spacing w:val="40"/>
          <w:w w:val="95"/>
        </w:rPr>
        <w:t> </w:t>
      </w:r>
      <w:r>
        <w:rPr>
          <w:spacing w:val="40"/>
          <w:w w:val="95"/>
        </w:rPr>
      </w:r>
      <w:r>
        <w:rPr>
          <w:w w:val="95"/>
        </w:rPr>
        <w:t>暂时性影响，影响程度取决于疫情防控的进展情况、持续时间以及各地防控政策的实施情况。截止至本报</w:t>
      </w:r>
      <w:r>
        <w:rPr>
          <w:spacing w:val="40"/>
          <w:w w:val="95"/>
        </w:rPr>
        <w:t> </w:t>
      </w:r>
      <w:r>
        <w:rPr>
          <w:spacing w:val="40"/>
          <w:w w:val="95"/>
        </w:rPr>
      </w:r>
      <w:r>
        <w:rPr/>
        <w:t>告公告日，尚未发现重大不利影响。</w:t>
      </w:r>
    </w:p>
    <w:p>
      <w:pPr>
        <w:pStyle w:val="BodyText"/>
        <w:spacing w:line="408" w:lineRule="auto" w:before="46"/>
        <w:ind w:right="1129" w:firstLine="420"/>
        <w:jc w:val="both"/>
      </w:pPr>
      <w:r>
        <w:rPr/>
        <w:t>（2）2020</w:t>
      </w:r>
      <w:r>
        <w:rPr>
          <w:spacing w:val="-52"/>
        </w:rPr>
        <w:t> </w:t>
      </w:r>
      <w:r>
        <w:rPr/>
        <w:t>年</w:t>
      </w:r>
      <w:r>
        <w:rPr>
          <w:spacing w:val="-48"/>
        </w:rPr>
        <w:t> </w:t>
      </w:r>
      <w:r>
        <w:rPr/>
        <w:t>3</w:t>
      </w:r>
      <w:r>
        <w:rPr>
          <w:spacing w:val="-50"/>
        </w:rPr>
        <w:t> </w:t>
      </w:r>
      <w:r>
        <w:rPr/>
        <w:t>月</w:t>
      </w:r>
      <w:r>
        <w:rPr>
          <w:spacing w:val="-48"/>
        </w:rPr>
        <w:t> </w:t>
      </w:r>
      <w:r>
        <w:rPr/>
        <w:t>4</w:t>
      </w:r>
      <w:r>
        <w:rPr>
          <w:spacing w:val="-52"/>
        </w:rPr>
        <w:t> </w:t>
      </w:r>
      <w:r>
        <w:rPr/>
        <w:t>日公司第五届董事会第二次会议审议通过《关于罢免公司第五届董事会董事长周</w:t>
      </w:r>
      <w:r>
        <w:rPr>
          <w:w w:val="99"/>
        </w:rPr>
        <w:t> 发展先生的议案》</w:t>
      </w:r>
      <w:r>
        <w:rPr>
          <w:spacing w:val="5"/>
          <w:w w:val="99"/>
        </w:rPr>
        <w:t> </w:t>
      </w:r>
      <w:r>
        <w:rPr>
          <w:w w:val="99"/>
        </w:rPr>
        <w:t>和</w:t>
      </w:r>
      <w:r>
        <w:rPr>
          <w:spacing w:val="5"/>
          <w:w w:val="99"/>
        </w:rPr>
        <w:t> </w:t>
      </w:r>
      <w:r>
        <w:rPr>
          <w:spacing w:val="-4"/>
          <w:w w:val="99"/>
        </w:rPr>
        <w:t>《关于选举李臻先生为公司第五届董事会副董事长的议案》。同月</w:t>
      </w:r>
      <w:r>
        <w:rPr>
          <w:spacing w:val="-48"/>
          <w:w w:val="99"/>
        </w:rPr>
        <w:t> </w:t>
      </w:r>
      <w:r>
        <w:rPr>
          <w:w w:val="99"/>
        </w:rPr>
        <w:t>10</w:t>
      </w:r>
      <w:r>
        <w:rPr>
          <w:spacing w:val="-47"/>
          <w:w w:val="99"/>
        </w:rPr>
        <w:t> </w:t>
      </w:r>
      <w:r>
        <w:rPr>
          <w:spacing w:val="-1"/>
          <w:w w:val="99"/>
        </w:rPr>
        <w:t>日，公司第五</w:t>
      </w:r>
      <w:r>
        <w:rPr>
          <w:spacing w:val="-102"/>
          <w:w w:val="99"/>
        </w:rPr>
        <w:t> </w:t>
      </w:r>
      <w:r>
        <w:rPr>
          <w:spacing w:val="-102"/>
          <w:w w:val="99"/>
        </w:rPr>
      </w:r>
      <w:r>
        <w:rPr>
          <w:spacing w:val="-4"/>
          <w:w w:val="99"/>
        </w:rPr>
        <w:t>届董事会第三次会议审计通过《关于选举廖凯先生为公司第五届董事会董事长的议案》。</w:t>
      </w:r>
      <w:r>
        <w:rPr>
          <w:spacing w:val="-31"/>
          <w:w w:val="99"/>
        </w:rPr>
        <w:t> </w:t>
      </w:r>
      <w:r>
        <w:rPr>
          <w:w w:val="99"/>
        </w:rPr>
        <w:t>2020</w:t>
      </w:r>
      <w:r>
        <w:rPr>
          <w:spacing w:val="7"/>
          <w:w w:val="99"/>
        </w:rPr>
        <w:t> </w:t>
      </w:r>
      <w:r>
        <w:rPr>
          <w:w w:val="99"/>
        </w:rPr>
        <w:t>年</w:t>
      </w:r>
      <w:r>
        <w:rPr>
          <w:spacing w:val="10"/>
          <w:w w:val="99"/>
        </w:rPr>
        <w:t> </w:t>
      </w:r>
      <w:r>
        <w:rPr>
          <w:w w:val="99"/>
        </w:rPr>
        <w:t>3</w:t>
      </w:r>
      <w:r>
        <w:rPr>
          <w:spacing w:val="-50"/>
          <w:w w:val="99"/>
        </w:rPr>
        <w:t> </w:t>
      </w:r>
      <w:r>
        <w:rPr>
          <w:w w:val="99"/>
        </w:rPr>
        <w:t>月</w:t>
      </w:r>
      <w:r>
        <w:rPr>
          <w:spacing w:val="10"/>
          <w:w w:val="99"/>
        </w:rPr>
        <w:t> </w:t>
      </w:r>
      <w:r>
        <w:rPr>
          <w:w w:val="99"/>
        </w:rPr>
        <w:t>20</w:t>
      </w:r>
      <w:r>
        <w:rPr>
          <w:spacing w:val="-103"/>
          <w:w w:val="99"/>
        </w:rPr>
        <w:t> </w:t>
      </w:r>
      <w:r>
        <w:rPr>
          <w:spacing w:val="-103"/>
          <w:w w:val="99"/>
        </w:rPr>
      </w:r>
      <w:r>
        <w:rPr>
          <w:w w:val="99"/>
        </w:rPr>
        <w:t>日完成了工商变更登记手续，并取得了合肥市市场监督管理局换发的《营业执照》，公司法定代表人由周</w:t>
      </w:r>
      <w:r>
        <w:rPr>
          <w:spacing w:val="-97"/>
          <w:w w:val="99"/>
        </w:rPr>
        <w:t> </w:t>
      </w:r>
      <w:r>
        <w:rPr>
          <w:spacing w:val="-97"/>
          <w:w w:val="99"/>
        </w:rPr>
      </w:r>
      <w:r>
        <w:rPr/>
        <w:t>发展变更为廖凯。</w:t>
      </w:r>
    </w:p>
    <w:p>
      <w:pPr>
        <w:pStyle w:val="BodyText"/>
        <w:spacing w:line="240" w:lineRule="auto" w:before="46"/>
        <w:ind w:left="532" w:right="0"/>
        <w:jc w:val="left"/>
      </w:pPr>
      <w:r>
        <w:rPr>
          <w:spacing w:val="-3"/>
        </w:rPr>
        <w:t>（3）2019</w:t>
      </w:r>
      <w:r>
        <w:rPr>
          <w:spacing w:val="-64"/>
        </w:rPr>
        <w:t> </w:t>
      </w:r>
      <w:r>
        <w:rPr/>
        <w:t>年</w:t>
      </w:r>
      <w:r>
        <w:rPr>
          <w:spacing w:val="-63"/>
        </w:rPr>
        <w:t> </w:t>
      </w:r>
      <w:r>
        <w:rPr/>
        <w:t>12</w:t>
      </w:r>
      <w:r>
        <w:rPr>
          <w:spacing w:val="-62"/>
        </w:rPr>
        <w:t> </w:t>
      </w:r>
      <w:r>
        <w:rPr/>
        <w:t>月</w:t>
      </w:r>
      <w:r>
        <w:rPr>
          <w:spacing w:val="-63"/>
        </w:rPr>
        <w:t> </w:t>
      </w:r>
      <w:r>
        <w:rPr/>
        <w:t>16</w:t>
      </w:r>
      <w:r>
        <w:rPr>
          <w:spacing w:val="-64"/>
        </w:rPr>
        <w:t> </w:t>
      </w:r>
      <w:r>
        <w:rPr/>
        <w:t>日，公司与法智金信息技术有限责任公司签署合作框架意向协议，并于</w:t>
      </w:r>
      <w:r>
        <w:rPr>
          <w:spacing w:val="-63"/>
        </w:rPr>
        <w:t> </w:t>
      </w:r>
      <w:r>
        <w:rPr/>
        <w:t>2020</w:t>
      </w:r>
      <w:r>
        <w:rPr>
          <w:spacing w:val="-64"/>
        </w:rPr>
        <w:t> </w:t>
      </w:r>
      <w:r>
        <w:rPr/>
        <w:t>年</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w w:val="99"/>
        </w:rPr>
        <w:t>1</w:t>
      </w:r>
      <w:r>
        <w:rPr>
          <w:spacing w:val="-52"/>
        </w:rPr>
        <w:t> </w:t>
      </w:r>
      <w:r>
        <w:rPr>
          <w:spacing w:val="2"/>
          <w:w w:val="99"/>
        </w:rPr>
        <w:t>月签</w:t>
      </w:r>
      <w:r>
        <w:rPr>
          <w:spacing w:val="-1"/>
          <w:w w:val="99"/>
        </w:rPr>
        <w:t>订</w:t>
      </w:r>
      <w:r>
        <w:rPr>
          <w:spacing w:val="2"/>
          <w:w w:val="99"/>
        </w:rPr>
        <w:t>了《基于</w:t>
      </w:r>
      <w:r>
        <w:rPr>
          <w:spacing w:val="-1"/>
          <w:w w:val="99"/>
        </w:rPr>
        <w:t>联</w:t>
      </w:r>
      <w:r>
        <w:rPr>
          <w:spacing w:val="2"/>
          <w:w w:val="99"/>
        </w:rPr>
        <w:t>盟链的物</w:t>
      </w:r>
      <w:r>
        <w:rPr>
          <w:spacing w:val="-1"/>
          <w:w w:val="99"/>
        </w:rPr>
        <w:t>联</w:t>
      </w:r>
      <w:r>
        <w:rPr>
          <w:spacing w:val="2"/>
          <w:w w:val="99"/>
        </w:rPr>
        <w:t>网解决方案</w:t>
      </w:r>
      <w:r>
        <w:rPr>
          <w:spacing w:val="-104"/>
          <w:w w:val="99"/>
        </w:rPr>
        <w:t>》</w:t>
      </w:r>
      <w:r>
        <w:rPr>
          <w:spacing w:val="2"/>
          <w:w w:val="99"/>
        </w:rPr>
        <w:t>《运</w:t>
      </w:r>
      <w:r>
        <w:rPr>
          <w:spacing w:val="-1"/>
          <w:w w:val="99"/>
        </w:rPr>
        <w:t>力</w:t>
      </w:r>
      <w:r>
        <w:rPr>
          <w:spacing w:val="2"/>
          <w:w w:val="99"/>
        </w:rPr>
        <w:t>交易平台</w:t>
      </w:r>
      <w:r>
        <w:rPr>
          <w:spacing w:val="-1"/>
          <w:w w:val="99"/>
        </w:rPr>
        <w:t>开</w:t>
      </w:r>
      <w:r>
        <w:rPr>
          <w:spacing w:val="2"/>
          <w:w w:val="99"/>
        </w:rPr>
        <w:t>发协议》</w:t>
      </w:r>
      <w:r>
        <w:rPr>
          <w:spacing w:val="-1"/>
          <w:w w:val="99"/>
        </w:rPr>
        <w:t>两</w:t>
      </w:r>
      <w:r>
        <w:rPr>
          <w:spacing w:val="2"/>
          <w:w w:val="99"/>
        </w:rPr>
        <w:t>份合同，</w:t>
      </w:r>
      <w:r>
        <w:rPr>
          <w:spacing w:val="-1"/>
          <w:w w:val="99"/>
        </w:rPr>
        <w:t>价</w:t>
      </w:r>
      <w:r>
        <w:rPr>
          <w:spacing w:val="2"/>
          <w:w w:val="99"/>
        </w:rPr>
        <w:t>款合</w:t>
      </w:r>
      <w:r>
        <w:rPr>
          <w:w w:val="99"/>
        </w:rPr>
        <w:t>计</w:t>
      </w:r>
      <w:r>
        <w:rPr>
          <w:spacing w:val="-53"/>
        </w:rPr>
        <w:t> </w:t>
      </w:r>
      <w:r>
        <w:rPr>
          <w:spacing w:val="1"/>
          <w:w w:val="99"/>
        </w:rPr>
        <w:t>166</w:t>
      </w:r>
      <w:r>
        <w:rPr>
          <w:w w:val="99"/>
        </w:rPr>
        <w:t>0</w:t>
      </w:r>
      <w:r>
        <w:rPr>
          <w:spacing w:val="-52"/>
        </w:rPr>
        <w:t> </w:t>
      </w:r>
      <w:r>
        <w:rPr>
          <w:spacing w:val="2"/>
          <w:w w:val="99"/>
        </w:rPr>
        <w:t>万元</w:t>
      </w:r>
      <w:r>
        <w:rPr>
          <w:w w:val="99"/>
        </w:rPr>
        <w:t>。</w:t>
      </w:r>
      <w:r>
        <w:rPr/>
      </w:r>
    </w:p>
    <w:p>
      <w:pPr>
        <w:spacing w:line="240" w:lineRule="auto" w:before="10"/>
        <w:rPr>
          <w:rFonts w:ascii="宋体" w:hAnsi="宋体" w:cs="宋体" w:eastAsia="宋体" w:hint="default"/>
          <w:sz w:val="14"/>
          <w:szCs w:val="14"/>
        </w:rPr>
      </w:pPr>
    </w:p>
    <w:p>
      <w:pPr>
        <w:pStyle w:val="BodyText"/>
        <w:spacing w:line="240" w:lineRule="auto" w:before="0"/>
        <w:ind w:right="2127"/>
        <w:jc w:val="left"/>
      </w:pPr>
      <w:r>
        <w:rPr/>
        <w:t>合同服务的有效期自合同签订之日起生效，到</w:t>
      </w:r>
      <w:r>
        <w:rPr>
          <w:spacing w:val="-53"/>
        </w:rPr>
        <w:t> </w:t>
      </w:r>
      <w:r>
        <w:rPr/>
        <w:t>2020</w:t>
      </w:r>
      <w:r>
        <w:rPr>
          <w:spacing w:val="-57"/>
        </w:rPr>
        <w:t> </w:t>
      </w:r>
      <w:r>
        <w:rPr/>
        <w:t>年</w:t>
      </w:r>
      <w:r>
        <w:rPr>
          <w:spacing w:val="-56"/>
        </w:rPr>
        <w:t> </w:t>
      </w:r>
      <w:r>
        <w:rPr/>
        <w:t>12</w:t>
      </w:r>
      <w:r>
        <w:rPr>
          <w:spacing w:val="-55"/>
        </w:rPr>
        <w:t> </w:t>
      </w:r>
      <w:r>
        <w:rPr/>
        <w:t>月</w:t>
      </w:r>
      <w:r>
        <w:rPr>
          <w:spacing w:val="-56"/>
        </w:rPr>
        <w:t> </w:t>
      </w:r>
      <w:r>
        <w:rPr/>
        <w:t>31</w:t>
      </w:r>
      <w:r>
        <w:rPr>
          <w:spacing w:val="-55"/>
        </w:rPr>
        <w:t> </w:t>
      </w:r>
      <w:r>
        <w:rPr/>
        <w:t>日止。</w:t>
      </w:r>
    </w:p>
    <w:p>
      <w:pPr>
        <w:spacing w:after="0" w:line="240" w:lineRule="auto"/>
        <w:jc w:val="left"/>
        <w:sectPr>
          <w:footerReference w:type="default" r:id="rId38"/>
          <w:pgSz w:w="11910" w:h="16840"/>
          <w:pgMar w:footer="1016" w:header="919" w:top="1120" w:bottom="1200" w:left="1020" w:right="0"/>
          <w:pgNumType w:start="230"/>
        </w:sectPr>
      </w:pPr>
    </w:p>
    <w:p>
      <w:pPr>
        <w:spacing w:line="240" w:lineRule="auto" w:before="8"/>
        <w:rPr>
          <w:rFonts w:ascii="宋体" w:hAnsi="宋体" w:cs="宋体" w:eastAsia="宋体" w:hint="default"/>
          <w:sz w:val="25"/>
          <w:szCs w:val="25"/>
        </w:rPr>
      </w:pPr>
    </w:p>
    <w:p>
      <w:pPr>
        <w:pStyle w:val="BodyText"/>
        <w:spacing w:line="408" w:lineRule="auto" w:before="34"/>
        <w:ind w:right="0" w:firstLine="420"/>
        <w:jc w:val="left"/>
      </w:pPr>
      <w:r>
        <w:rPr>
          <w:w w:val="95"/>
        </w:rPr>
        <w:t>除存在上述资产负债表日后事项外，截至财务报告批准报出日止，本公司无其他应披露未披露的重大</w:t>
      </w:r>
      <w:r>
        <w:rPr>
          <w:w w:val="99"/>
        </w:rPr>
        <w:t> </w:t>
      </w:r>
      <w:r>
        <w:rPr/>
        <w:t>资产负债表日后事项。</w:t>
      </w:r>
    </w:p>
    <w:p>
      <w:pPr>
        <w:spacing w:line="240" w:lineRule="auto" w:before="11"/>
        <w:rPr>
          <w:rFonts w:ascii="宋体" w:hAnsi="宋体" w:cs="宋体" w:eastAsia="宋体" w:hint="default"/>
          <w:sz w:val="18"/>
          <w:szCs w:val="18"/>
        </w:rPr>
      </w:pPr>
    </w:p>
    <w:p>
      <w:pPr>
        <w:pStyle w:val="Heading4"/>
        <w:spacing w:line="240" w:lineRule="auto"/>
        <w:ind w:right="2127"/>
        <w:jc w:val="left"/>
        <w:rPr>
          <w:b w:val="0"/>
          <w:bCs w:val="0"/>
        </w:rPr>
      </w:pPr>
      <w:bookmarkStart w:name="十六、其他重要事项" w:id="521"/>
      <w:bookmarkEnd w:id="521"/>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前期会计差错更正" w:id="522"/>
      <w:bookmarkEnd w:id="52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追溯重述法" w:id="523"/>
      <w:bookmarkEnd w:id="52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未来适用法" w:id="524"/>
      <w:bookmarkEnd w:id="52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5"/>
        <w:spacing w:line="240" w:lineRule="auto" w:before="34"/>
        <w:ind w:right="2127"/>
        <w:jc w:val="left"/>
        <w:rPr>
          <w:b w:val="0"/>
          <w:bCs w:val="0"/>
        </w:rPr>
      </w:pPr>
      <w:bookmarkStart w:name="2、债务重组" w:id="525"/>
      <w:bookmarkEnd w:id="52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3、资产置换" w:id="526"/>
      <w:bookmarkEnd w:id="52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非货币性资产交换" w:id="527"/>
      <w:bookmarkEnd w:id="52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2）其他资产置换" w:id="528"/>
      <w:bookmarkEnd w:id="52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4、年金计划" w:id="529"/>
      <w:bookmarkEnd w:id="52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5、终止经营" w:id="530"/>
      <w:bookmarkEnd w:id="53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归属于母公司</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所有者的终止</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经营利润</w:t>
            </w:r>
          </w:p>
        </w:tc>
      </w:tr>
    </w:tbl>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2127"/>
        <w:jc w:val="left"/>
        <w:rPr>
          <w:b w:val="0"/>
          <w:bCs w:val="0"/>
        </w:rPr>
      </w:pPr>
      <w:bookmarkStart w:name="6、分部信息" w:id="531"/>
      <w:bookmarkEnd w:id="531"/>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32" w:right="0" w:hanging="420"/>
        <w:jc w:val="left"/>
        <w:rPr>
          <w:rFonts w:ascii="宋体" w:hAnsi="宋体" w:cs="宋体" w:eastAsia="宋体" w:hint="default"/>
          <w:sz w:val="21"/>
          <w:szCs w:val="21"/>
        </w:rPr>
      </w:pPr>
      <w:bookmarkStart w:name="（1）报告分部的确定依据与会计政策" w:id="532"/>
      <w:bookmarkEnd w:id="5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w w:val="95"/>
          <w:sz w:val="21"/>
          <w:szCs w:val="21"/>
        </w:rPr>
        <w:t>本公司以内部组织结构、管理要求、内部报告制度为依据确定经营分部。本公司的经营分部是指同时</w:t>
      </w:r>
      <w:r>
        <w:rPr>
          <w:rFonts w:ascii="宋体" w:hAnsi="宋体" w:cs="宋体" w:eastAsia="宋体" w:hint="default"/>
          <w:sz w:val="21"/>
          <w:szCs w:val="21"/>
        </w:rPr>
      </w:r>
    </w:p>
    <w:p>
      <w:pPr>
        <w:pStyle w:val="BodyText"/>
        <w:spacing w:line="273" w:lineRule="auto" w:before="37"/>
        <w:ind w:right="5430"/>
        <w:jc w:val="left"/>
      </w:pPr>
      <w:r>
        <w:rPr/>
        <w:t>满足下列条件的组成部分：</w:t>
      </w:r>
      <w:r>
        <w:rPr>
          <w:w w:val="99"/>
        </w:rPr>
        <w:t> </w:t>
      </w:r>
      <w:r>
        <w:rPr>
          <w:w w:val="95"/>
        </w:rPr>
        <w:t>该组成部分能够在日常活动中产生收入、发生费用；</w:t>
      </w:r>
      <w:r>
        <w:rPr/>
      </w:r>
    </w:p>
    <w:p>
      <w:pPr>
        <w:pStyle w:val="BodyText"/>
        <w:spacing w:line="240" w:lineRule="auto"/>
        <w:ind w:right="2127"/>
        <w:jc w:val="left"/>
      </w:pPr>
      <w:r>
        <w:rPr/>
        <w:t>管理层能够定期评价该组成部分的经营成果，以决定向其配置资源、评价其业绩；</w:t>
      </w:r>
    </w:p>
    <w:p>
      <w:pPr>
        <w:spacing w:after="0" w:line="240" w:lineRule="auto"/>
        <w:jc w:val="left"/>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BodyText"/>
        <w:spacing w:line="273" w:lineRule="auto" w:before="34"/>
        <w:ind w:left="532" w:right="2127" w:hanging="420"/>
        <w:jc w:val="left"/>
      </w:pPr>
      <w:r>
        <w:rPr/>
        <w:t>能够取得该组成部分的财务状况、经营成果和现金流量等有关会计信息。</w:t>
      </w:r>
      <w:r>
        <w:rPr>
          <w:w w:val="99"/>
        </w:rPr>
        <w:t> </w:t>
      </w:r>
      <w:r>
        <w:rPr>
          <w:w w:val="95"/>
        </w:rPr>
        <w:t>本公司以经营分部为基础确定报告分部，满足下列条件之一的经营分部确定为报告分部：</w:t>
      </w:r>
      <w:r>
        <w:rPr/>
      </w:r>
    </w:p>
    <w:p>
      <w:pPr>
        <w:pStyle w:val="BodyText"/>
        <w:spacing w:line="273" w:lineRule="auto"/>
        <w:ind w:right="0"/>
        <w:jc w:val="left"/>
      </w:pPr>
      <w:r>
        <w:rPr/>
        <w:t>该经营分部的分部收入占所有分部收入合计的10%或者以上；</w:t>
      </w:r>
      <w:r>
        <w:rPr>
          <w:w w:val="99"/>
        </w:rPr>
        <w:t> </w:t>
      </w:r>
      <w:r>
        <w:rPr>
          <w:w w:val="95"/>
        </w:rPr>
        <w:t>该分部的分部利润（亏损）的绝对额，占所有盈利分部利润合计额或者所有亏损分部亏损合计额的绝对额</w:t>
      </w:r>
      <w:r>
        <w:rPr/>
      </w:r>
    </w:p>
    <w:p>
      <w:pPr>
        <w:pStyle w:val="BodyText"/>
        <w:spacing w:line="273" w:lineRule="auto"/>
        <w:ind w:left="532" w:right="0" w:hanging="60"/>
        <w:jc w:val="left"/>
      </w:pPr>
      <w:r>
        <w:rPr/>
        <w:t>两者中较大者的10%或者以上。</w:t>
      </w:r>
      <w:r>
        <w:rPr>
          <w:w w:val="99"/>
        </w:rPr>
        <w:t> </w:t>
      </w:r>
      <w:r>
        <w:rPr>
          <w:spacing w:val="7"/>
          <w:w w:val="95"/>
        </w:rPr>
        <w:t>按上述会计政策确定的报告分部的经营分部的对外交易收入合计额占合并总收入的比重未达到75%</w:t>
      </w:r>
      <w:r>
        <w:rPr>
          <w:spacing w:val="7"/>
        </w:rPr>
      </w:r>
    </w:p>
    <w:p>
      <w:pPr>
        <w:pStyle w:val="BodyText"/>
        <w:spacing w:line="273" w:lineRule="auto"/>
        <w:ind w:right="1120"/>
        <w:jc w:val="left"/>
      </w:pPr>
      <w:r>
        <w:rPr>
          <w:w w:val="95"/>
        </w:rPr>
        <w:t>时，增加报告分部的数量，按下述规定将其他未作为报告分部的经营分部纳入报告分部的范围，直到该比</w:t>
      </w:r>
      <w:r>
        <w:rPr>
          <w:spacing w:val="43"/>
          <w:w w:val="95"/>
        </w:rPr>
        <w:t> </w:t>
      </w:r>
      <w:r>
        <w:rPr>
          <w:spacing w:val="43"/>
          <w:w w:val="95"/>
        </w:rPr>
      </w:r>
      <w:r>
        <w:rPr/>
        <w:t>重达到75%：</w:t>
      </w:r>
    </w:p>
    <w:p>
      <w:pPr>
        <w:pStyle w:val="BodyText"/>
        <w:spacing w:line="273" w:lineRule="auto"/>
        <w:ind w:right="0"/>
        <w:jc w:val="left"/>
      </w:pPr>
      <w:r>
        <w:rPr/>
        <w:t>将管理层认为披露该经营分部信息对会计信息使用者有用的经营分部确定为报告分部；</w:t>
      </w:r>
      <w:r>
        <w:rPr>
          <w:w w:val="99"/>
        </w:rPr>
        <w:t> </w:t>
      </w:r>
      <w:r>
        <w:rPr>
          <w:w w:val="95"/>
        </w:rPr>
        <w:t>将该经营分部与一个或一个以上的具有相似经济特征、满足经营分部合并条件的其他经营分部合并，作为</w:t>
      </w:r>
      <w:r>
        <w:rPr/>
      </w:r>
    </w:p>
    <w:p>
      <w:pPr>
        <w:pStyle w:val="BodyText"/>
        <w:spacing w:line="273" w:lineRule="auto"/>
        <w:ind w:left="532" w:right="1120" w:hanging="60"/>
        <w:jc w:val="left"/>
      </w:pPr>
      <w:r>
        <w:rPr/>
        <w:t>一个报告分部。</w:t>
      </w:r>
      <w:r>
        <w:rPr>
          <w:w w:val="99"/>
        </w:rPr>
        <w:t> </w:t>
      </w:r>
      <w:r>
        <w:rPr>
          <w:w w:val="95"/>
        </w:rPr>
        <w:t>分部间转移价格参照市场价格确定，与各分部共同使用的资产、相关的费用按照收入比例在不同的分</w:t>
      </w:r>
      <w:r>
        <w:rPr/>
      </w:r>
    </w:p>
    <w:p>
      <w:pPr>
        <w:pStyle w:val="Heading5"/>
        <w:spacing w:line="273" w:lineRule="auto" w:before="7"/>
        <w:ind w:left="472" w:right="4491" w:hanging="360"/>
        <w:jc w:val="left"/>
        <w:rPr>
          <w:b w:val="0"/>
          <w:bCs w:val="0"/>
        </w:rPr>
      </w:pPr>
      <w:r>
        <w:rPr>
          <w:rFonts w:ascii="宋体" w:hAnsi="宋体" w:cs="宋体" w:eastAsia="宋体" w:hint="default"/>
          <w:b w:val="0"/>
          <w:bCs w:val="0"/>
        </w:rPr>
        <w:t>部之间分配。</w:t>
      </w:r>
      <w:r>
        <w:rPr>
          <w:rFonts w:ascii="宋体" w:hAnsi="宋体" w:cs="宋体" w:eastAsia="宋体" w:hint="default"/>
          <w:b w:val="0"/>
          <w:bCs w:val="0"/>
          <w:w w:val="99"/>
        </w:rPr>
        <w:t> </w:t>
      </w:r>
      <w:r>
        <w:rPr/>
        <w:t>本公司确定报告分部考虑的因素、报告分部的产品和劳务的类型</w:t>
      </w:r>
      <w:r>
        <w:rPr>
          <w:b w:val="0"/>
          <w:bCs w:val="0"/>
        </w:rPr>
      </w:r>
    </w:p>
    <w:p>
      <w:pPr>
        <w:pStyle w:val="BodyText"/>
        <w:spacing w:line="273" w:lineRule="auto"/>
        <w:ind w:right="1112" w:firstLine="420"/>
        <w:jc w:val="both"/>
      </w:pPr>
      <w:r>
        <w:rPr>
          <w:w w:val="95"/>
        </w:rPr>
        <w:t>本公司的报告分部都是提供不同产品和劳务的业务单元。由于各种业务需要不同的技术和市场战略，</w:t>
      </w:r>
      <w:r>
        <w:rPr>
          <w:spacing w:val="-79"/>
          <w:w w:val="95"/>
        </w:rPr>
        <w:t> </w:t>
      </w:r>
      <w:r>
        <w:rPr>
          <w:spacing w:val="-79"/>
          <w:w w:val="95"/>
        </w:rPr>
      </w:r>
      <w:r>
        <w:rPr>
          <w:w w:val="95"/>
        </w:rPr>
        <w:t>因此本公司分别独立管理各个报告分部的生产经营活动，分别评价其经营成果，以决定向其配置资源、评</w:t>
      </w:r>
      <w:r>
        <w:rPr>
          <w:spacing w:val="43"/>
          <w:w w:val="95"/>
        </w:rPr>
        <w:t> </w:t>
      </w:r>
      <w:r>
        <w:rPr>
          <w:spacing w:val="43"/>
          <w:w w:val="95"/>
        </w:rPr>
      </w:r>
      <w:r>
        <w:rPr/>
        <w:t>价其业绩。</w:t>
      </w:r>
    </w:p>
    <w:p>
      <w:pPr>
        <w:pStyle w:val="BodyText"/>
        <w:spacing w:line="273" w:lineRule="auto" w:before="8"/>
        <w:ind w:right="1134" w:firstLine="420"/>
        <w:jc w:val="both"/>
      </w:pPr>
      <w:r>
        <w:rPr>
          <w:spacing w:val="2"/>
          <w:w w:val="95"/>
        </w:rPr>
        <w:t>本公司有2个报告分部：技术工程施工分部、其他分部。技术工程施工分部分部负责工程施工，其他</w:t>
      </w:r>
      <w:r>
        <w:rPr>
          <w:spacing w:val="-82"/>
          <w:w w:val="95"/>
        </w:rPr>
        <w:t> </w:t>
      </w:r>
      <w:r>
        <w:rPr>
          <w:spacing w:val="-82"/>
          <w:w w:val="95"/>
        </w:rPr>
      </w:r>
      <w:r>
        <w:rPr/>
        <w:t>分部主要负责互联网运营业务。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27"/>
        <w:jc w:val="left"/>
        <w:rPr>
          <w:b w:val="0"/>
          <w:bCs w:val="0"/>
        </w:rPr>
      </w:pPr>
      <w:bookmarkStart w:name="（2）报告分部的财务信息" w:id="533"/>
      <w:bookmarkEnd w:id="53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技术工程施工分部</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1,325,446,689.12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135,360,558.29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-1,189,012.86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1,459,618,234.55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1,324,257,689.12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135,360,558.29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1,324,257,689.12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-1,189,000.00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营业费用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208,401,013.69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56,279,924.30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-168,116.80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264,512,821.19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0"/>
              <w:jc w:val="left"/>
              <w:rPr>
                <w:rFonts w:ascii="宋体" w:hAnsi="宋体" w:cs="宋体" w:eastAsia="宋体" w:hint="default"/>
                <w:sz w:val="18"/>
                <w:szCs w:val="18"/>
              </w:rPr>
            </w:pPr>
            <w:r>
              <w:rPr>
                <w:rFonts w:ascii="宋体" w:hAnsi="宋体" w:cs="宋体" w:eastAsia="宋体" w:hint="default"/>
                <w:sz w:val="18"/>
                <w:szCs w:val="18"/>
              </w:rPr>
              <w:t>其中：折旧费和摊销 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33,866,643.29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7,729,020.81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-98,013.72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41,497,650.38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34"/>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对联营和合营企业 的投资收益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1,675,453.13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1,675,453.13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信用减值损失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-22,441,281.44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4,454,521.56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-17,986,759.88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资产减值损失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-159,719.10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-159,719.10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175,996,338.20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30,476,069.47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98,013.72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206,570,421.39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w:t>
            </w: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24,013,051.29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6,973,331.32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30,986,382.61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151,983,286.91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23,502,738.15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98,013.72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175,584,038.78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2,788,100,902.54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443,258,349.72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-2,753,978.39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3,230,024,954.47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w:t>
            </w: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868,020,359.53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100,244,031.54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-1,590,438.18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966,673,952.89</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公司无报告分部的，或者不能披露各报告分部的资产总额和负债总额的，应说明原因" w:id="534"/>
      <w:bookmarkEnd w:id="53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4）其他说明" w:id="535"/>
      <w:bookmarkEnd w:id="53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7、其他对投资者决策有影响的重要交易和事项" w:id="536"/>
      <w:bookmarkEnd w:id="53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6899" w:firstLine="0"/>
        <w:jc w:val="left"/>
        <w:rPr>
          <w:rFonts w:ascii="宋体" w:hAnsi="宋体" w:cs="宋体" w:eastAsia="宋体" w:hint="default"/>
          <w:sz w:val="21"/>
          <w:szCs w:val="21"/>
        </w:rPr>
      </w:pPr>
      <w:bookmarkStart w:name="8、其他" w:id="537"/>
      <w:bookmarkEnd w:id="53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38"/>
      <w:bookmarkEnd w:id="538"/>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9"/>
      <w:bookmarkEnd w:id="5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1"/>
        <w:ind w:right="2127"/>
        <w:jc w:val="left"/>
        <w:rPr>
          <w:b w:val="0"/>
          <w:bCs w:val="0"/>
        </w:rPr>
      </w:pPr>
      <w:bookmarkStart w:name="（1）应收账款分类披露" w:id="540"/>
      <w:bookmarkEnd w:id="5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8" w:right="11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1"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8,133,1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43.18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8,133,1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43.18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3,999,1</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74.00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3,999,1</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74.00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263,31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7,299.2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97.00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19,590,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753.56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7.44%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6,545.6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2,821.0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17,521,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389.77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175,991,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431.30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261"/>
              <w:jc w:val="left"/>
              <w:rPr>
                <w:rFonts w:ascii="宋体" w:hAnsi="宋体" w:cs="宋体" w:eastAsia="宋体" w:hint="default"/>
                <w:sz w:val="18"/>
                <w:szCs w:val="18"/>
              </w:rPr>
            </w:pPr>
            <w:r>
              <w:rPr>
                <w:rFonts w:ascii="宋体" w:hAnsi="宋体" w:cs="宋体" w:eastAsia="宋体" w:hint="default"/>
                <w:sz w:val="18"/>
                <w:szCs w:val="18"/>
              </w:rPr>
              <w:t>按账龄分析法组 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w w:val="95"/>
                <w:sz w:val="18"/>
              </w:rPr>
              <w:t>262,11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7,299.2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96.56</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19,590,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753.56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7.47%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242,52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6,545.6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2,821.0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17,521,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389.77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175,991,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431.30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61"/>
              <w:jc w:val="left"/>
              <w:rPr>
                <w:rFonts w:ascii="宋体" w:hAnsi="宋体" w:cs="宋体" w:eastAsia="宋体" w:hint="default"/>
                <w:sz w:val="18"/>
                <w:szCs w:val="18"/>
              </w:rPr>
            </w:pPr>
            <w:r>
              <w:rPr>
                <w:rFonts w:ascii="宋体" w:hAnsi="宋体" w:cs="宋体" w:eastAsia="宋体" w:hint="default"/>
                <w:sz w:val="18"/>
                <w:szCs w:val="18"/>
              </w:rPr>
              <w:t>按合并范围内关 联方组合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0.44%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69" w:right="0"/>
              <w:jc w:val="center"/>
              <w:rPr>
                <w:rFonts w:ascii="Times New Roman" w:hAnsi="Times New Roman" w:cs="Times New Roman" w:eastAsia="Times New Roman" w:hint="default"/>
                <w:sz w:val="18"/>
                <w:szCs w:val="18"/>
              </w:rPr>
            </w:pPr>
            <w:r>
              <w:rPr>
                <w:rFonts w:ascii="Times New Roman"/>
                <w:sz w:val="18"/>
              </w:rPr>
              <w:t>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3,060,9</w:t>
            </w:r>
          </w:p>
          <w:p>
            <w:pPr>
              <w:pStyle w:val="TableParagraph"/>
              <w:spacing w:line="240" w:lineRule="auto" w:before="105"/>
              <w:ind w:left="157" w:right="0"/>
              <w:jc w:val="center"/>
              <w:rPr>
                <w:rFonts w:ascii="Times New Roman" w:hAnsi="Times New Roman" w:cs="Times New Roman" w:eastAsia="Times New Roman" w:hint="default"/>
                <w:sz w:val="18"/>
                <w:szCs w:val="18"/>
              </w:rPr>
            </w:pPr>
            <w:r>
              <w:rPr>
                <w:rFonts w:ascii="Times New Roman"/>
                <w:sz w:val="18"/>
              </w:rPr>
              <w:t>68.64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3,060,96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8.64</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271,45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0,442.4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27,723,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896.74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243,72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6,545.6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Times New Roman" w:hAnsi="Times New Roman" w:cs="Times New Roman" w:eastAsia="Times New Roman" w:hint="default"/>
                <w:sz w:val="18"/>
                <w:szCs w:val="18"/>
              </w:rPr>
            </w:pPr>
            <w:r>
              <w:rPr>
                <w:rFonts w:ascii="Times New Roman"/>
                <w:spacing w:val="-1"/>
                <w:sz w:val="18"/>
              </w:rPr>
              <w:t>197,51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1,995.0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21,520,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563.77</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175,991,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431.30</w:t>
            </w:r>
          </w:p>
        </w:tc>
      </w:tr>
    </w:tbl>
    <w:p>
      <w:pPr>
        <w:spacing w:before="51"/>
        <w:ind w:left="112" w:right="21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8,133,143.18</w:t>
      </w:r>
    </w:p>
    <w:p>
      <w:pPr>
        <w:spacing w:before="10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9"/>
              <w:jc w:val="left"/>
              <w:rPr>
                <w:rFonts w:ascii="宋体" w:hAnsi="宋体" w:cs="宋体" w:eastAsia="宋体" w:hint="default"/>
                <w:sz w:val="18"/>
                <w:szCs w:val="18"/>
              </w:rPr>
            </w:pPr>
            <w:r>
              <w:rPr>
                <w:rFonts w:ascii="宋体" w:hAnsi="宋体" w:cs="宋体" w:eastAsia="宋体" w:hint="default"/>
                <w:sz w:val="18"/>
                <w:szCs w:val="18"/>
              </w:rPr>
              <w:t>中电科技电子信息系 统有限公司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7" w:right="0"/>
              <w:jc w:val="left"/>
              <w:rPr>
                <w:rFonts w:ascii="Times New Roman" w:hAnsi="Times New Roman" w:cs="Times New Roman" w:eastAsia="Times New Roman" w:hint="default"/>
                <w:sz w:val="18"/>
                <w:szCs w:val="18"/>
              </w:rPr>
            </w:pPr>
            <w:r>
              <w:rPr>
                <w:rFonts w:ascii="Times New Roman"/>
                <w:sz w:val="18"/>
              </w:rPr>
              <w:t>4,133,969.18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4,133,969.18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北京星纪开元科技发 展有限公司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8,133,143.18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8,133,143.18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2"/>
        <w:ind w:left="112" w:right="212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262,117,299.25</w:t>
      </w:r>
    </w:p>
    <w:p>
      <w:pPr>
        <w:spacing w:before="101"/>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172,373,792.58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744,926.68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157,475,258.98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14,898,533.60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744,926.68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37,034,603.33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3,703,460.33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31,511,424.18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6,302,284.84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14,996,183.08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4,498,854.92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3,100,115.49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1,240,046.20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3,101,180.59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3,101,180.59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262,117,299.25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19,590,753.56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9" w:footer="1016" w:top="1120" w:bottom="1200" w:left="1020" w:right="0"/>
        </w:sectPr>
      </w:pPr>
    </w:p>
    <w:p>
      <w:pPr>
        <w:spacing w:line="360" w:lineRule="auto"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2093" w:space="673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50"/>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5"/>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按账龄披露</w:t>
      </w:r>
    </w:p>
    <w:p>
      <w:pPr>
        <w:spacing w:before="2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173,573,792.58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158,675,258.98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14,898,533.60</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37,034,603.33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31,511,424.18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29,330,622.34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1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14,996,183.08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7,234,084.67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13"/>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7,100,354.59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271,450,442.43</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2）本期计提、收回或转回的坏账准备情况" w:id="541"/>
      <w:bookmarkEnd w:id="5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both"/>
              <w:rPr>
                <w:rFonts w:ascii="宋体" w:hAnsi="宋体" w:cs="宋体" w:eastAsia="宋体" w:hint="default"/>
                <w:sz w:val="18"/>
                <w:szCs w:val="18"/>
              </w:rPr>
            </w:pPr>
            <w:r>
              <w:rPr>
                <w:rFonts w:ascii="宋体" w:hAnsi="宋体" w:cs="宋体" w:eastAsia="宋体" w:hint="default"/>
                <w:sz w:val="18"/>
                <w:szCs w:val="18"/>
              </w:rPr>
              <w:t>单项计提预期 信用损失的应 收账款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3,999,174.00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4,133,969.18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8,133,143.18</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5"/>
              <w:jc w:val="both"/>
              <w:rPr>
                <w:rFonts w:ascii="宋体" w:hAnsi="宋体" w:cs="宋体" w:eastAsia="宋体" w:hint="default"/>
                <w:sz w:val="18"/>
                <w:szCs w:val="18"/>
              </w:rPr>
            </w:pPr>
            <w:r>
              <w:rPr>
                <w:rFonts w:ascii="宋体" w:hAnsi="宋体" w:cs="宋体" w:eastAsia="宋体" w:hint="default"/>
                <w:sz w:val="18"/>
                <w:szCs w:val="18"/>
              </w:rPr>
              <w:t>按组合计提预 期信用损失的 应收账款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5"/>
              <w:jc w:val="left"/>
              <w:rPr>
                <w:rFonts w:ascii="宋体" w:hAnsi="宋体" w:cs="宋体" w:eastAsia="宋体" w:hint="default"/>
                <w:sz w:val="18"/>
                <w:szCs w:val="18"/>
              </w:rPr>
            </w:pPr>
            <w:r>
              <w:rPr>
                <w:rFonts w:ascii="宋体" w:hAnsi="宋体" w:cs="宋体" w:eastAsia="宋体" w:hint="default"/>
                <w:sz w:val="18"/>
                <w:szCs w:val="18"/>
              </w:rPr>
              <w:t>其中：按账龄 分析法组合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17,521,389.77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2,069,363.79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19,590,753.56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21,520,563.77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6,203,332.97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27,723,896.74</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3）本期实际核销的应收账款情况" w:id="542"/>
      <w:bookmarkEnd w:id="54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2d2d2"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4）按欠款方归集的期末余额前五名的应收账款情况" w:id="543"/>
      <w:bookmarkEnd w:id="54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2" w:right="109"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32,495,568.78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23,049,762.10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17,444,299.38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9,786,791.45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1,957,358.29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9,336,274.64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1,768,779.36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92,112,696.35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33.94%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5）因金融资产转移而终止确认的应收账款" w:id="544"/>
      <w:bookmarkEnd w:id="54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6）转移应收账款且继续涉入形成的资产、负债金额" w:id="545"/>
      <w:bookmarkEnd w:id="54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其他应收款" w:id="546"/>
      <w:bookmarkEnd w:id="54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57,576,195.37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83,650,428.47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57,576,195.37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83,650,428.47</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1）应收利息" w:id="547"/>
      <w:bookmarkEnd w:id="54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收利息分类" w:id="548"/>
      <w:bookmarkEnd w:id="548"/>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2）重要逾期利息" w:id="549"/>
      <w:bookmarkEnd w:id="549"/>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3）坏账准备计提情况" w:id="550"/>
      <w:bookmarkEnd w:id="55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2）应收股利" w:id="551"/>
      <w:bookmarkEnd w:id="55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1）应收股利分类" w:id="552"/>
      <w:bookmarkEnd w:id="552"/>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2）重要的账龄超过1年的应收股利" w:id="553"/>
      <w:bookmarkEnd w:id="553"/>
      <w:r>
        <w:rPr>
          <w:b w:val="0"/>
          <w:bCs w:val="0"/>
        </w:rPr>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年的应收股利</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13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3）坏账准备计提情况" w:id="554"/>
      <w:bookmarkEnd w:id="55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9224" w:firstLine="0"/>
        <w:jc w:val="left"/>
        <w:rPr>
          <w:rFonts w:ascii="宋体" w:hAnsi="宋体" w:cs="宋体" w:eastAsia="宋体" w:hint="default"/>
          <w:sz w:val="18"/>
          <w:szCs w:val="18"/>
        </w:rPr>
      </w:pPr>
      <w:r>
        <w:rPr>
          <w:rFonts w:ascii="宋体" w:hAnsi="宋体" w:cs="宋体" w:eastAsia="宋体" w:hint="default"/>
          <w:sz w:val="18"/>
          <w:szCs w:val="18"/>
        </w:rPr>
        <w:t>□ 适用 √ 不适用 其他说明：</w:t>
      </w:r>
    </w:p>
    <w:p>
      <w:pPr>
        <w:spacing w:line="240" w:lineRule="auto" w:before="2"/>
        <w:rPr>
          <w:rFonts w:ascii="宋体" w:hAnsi="宋体" w:cs="宋体" w:eastAsia="宋体" w:hint="default"/>
          <w:sz w:val="20"/>
          <w:szCs w:val="20"/>
        </w:rPr>
      </w:pPr>
    </w:p>
    <w:p>
      <w:pPr>
        <w:pStyle w:val="Heading5"/>
        <w:spacing w:line="240" w:lineRule="auto"/>
        <w:ind w:right="2127"/>
        <w:jc w:val="left"/>
        <w:rPr>
          <w:b w:val="0"/>
          <w:bCs w:val="0"/>
        </w:rPr>
      </w:pPr>
      <w:bookmarkStart w:name="（3）其他应收款" w:id="555"/>
      <w:bookmarkEnd w:id="55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其他应收款按款项性质分类情况" w:id="556"/>
      <w:bookmarkEnd w:id="55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65,514,514.97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76,737,115.55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5,250,360.63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3,408,666.21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15,933,037.50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236,388.41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73,801,264.01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96,078,819.26</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2）坏账准备计提情况" w:id="557"/>
      <w:bookmarkEnd w:id="55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61" w:right="142" w:hanging="31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 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5" w:right="144"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1" w:right="0"/>
              <w:jc w:val="left"/>
              <w:rPr>
                <w:rFonts w:ascii="Times New Roman" w:hAnsi="Times New Roman" w:cs="Times New Roman" w:eastAsia="Times New Roman" w:hint="default"/>
                <w:sz w:val="18"/>
                <w:szCs w:val="18"/>
              </w:rPr>
            </w:pPr>
            <w:r>
              <w:rPr>
                <w:rFonts w:ascii="Times New Roman"/>
                <w:sz w:val="18"/>
              </w:rPr>
              <w:t>12,028,390.79</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400,000.00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6" w:right="0"/>
              <w:jc w:val="left"/>
              <w:rPr>
                <w:rFonts w:ascii="Times New Roman" w:hAnsi="Times New Roman" w:cs="Times New Roman" w:eastAsia="Times New Roman" w:hint="default"/>
                <w:sz w:val="18"/>
                <w:szCs w:val="18"/>
              </w:rPr>
            </w:pPr>
            <w:r>
              <w:rPr>
                <w:rFonts w:ascii="Times New Roman"/>
                <w:sz w:val="18"/>
              </w:rPr>
              <w:t>12,428,390.79</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0" w:right="0"/>
              <w:jc w:val="left"/>
              <w:rPr>
                <w:rFonts w:ascii="Times New Roman" w:hAnsi="Times New Roman" w:cs="Times New Roman" w:eastAsia="Times New Roman" w:hint="default"/>
                <w:sz w:val="18"/>
                <w:szCs w:val="18"/>
              </w:rPr>
            </w:pPr>
            <w:r>
              <w:rPr>
                <w:rFonts w:ascii="Times New Roman"/>
                <w:sz w:val="18"/>
              </w:rPr>
              <w:t>-2,118,055.90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2,118,055.90</w:t>
            </w: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3,796,677.85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3,796,677.85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3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 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13,707,012.74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41" w:right="0"/>
              <w:jc w:val="left"/>
              <w:rPr>
                <w:rFonts w:ascii="Times New Roman" w:hAnsi="Times New Roman" w:cs="Times New Roman" w:eastAsia="Times New Roman" w:hint="default"/>
                <w:sz w:val="18"/>
                <w:szCs w:val="18"/>
              </w:rPr>
            </w:pPr>
            <w:r>
              <w:rPr>
                <w:rFonts w:ascii="Times New Roman"/>
                <w:sz w:val="18"/>
              </w:rPr>
              <w:t>2,518,055.90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16,225,068.64</w:t>
            </w:r>
          </w:p>
        </w:tc>
      </w:tr>
    </w:tbl>
    <w:p>
      <w:pPr>
        <w:spacing w:after="0" w:line="240" w:lineRule="auto"/>
        <w:jc w:val="right"/>
        <w:rPr>
          <w:rFonts w:ascii="Times New Roman" w:hAnsi="Times New Roman" w:cs="Times New Roman" w:eastAsia="Times New Roman" w:hint="default"/>
          <w:sz w:val="18"/>
          <w:szCs w:val="18"/>
        </w:rPr>
        <w:sectPr>
          <w:pgSz w:w="11910" w:h="16840"/>
          <w:pgMar w:header="919" w:footer="1016" w:top="1120" w:bottom="1200" w:left="1020" w:right="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7"/>
        <w:ind w:left="112" w:right="2230" w:firstLine="0"/>
        <w:jc w:val="left"/>
        <w:rPr>
          <w:rFonts w:ascii="宋体" w:hAnsi="宋体" w:cs="宋体" w:eastAsia="宋体" w:hint="default"/>
          <w:sz w:val="18"/>
          <w:szCs w:val="18"/>
        </w:rPr>
      </w:pPr>
      <w:r>
        <w:rPr>
          <w:rFonts w:ascii="宋体" w:hAnsi="宋体" w:cs="宋体" w:eastAsia="宋体" w:hint="default"/>
          <w:sz w:val="18"/>
          <w:szCs w:val="18"/>
        </w:rPr>
        <w:t>□ 适用 √ 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20" w:bottom="1200" w:left="1020" w:right="0"/>
          <w:cols w:num="2" w:equalWidth="0">
            <w:col w:w="3893" w:space="493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24,329,906.74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22,156,537.51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2,173,369.23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9,476,122.43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24,310,190.30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15,685,044.54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5,643,082.79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2,780,227.85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7,261,733.90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73,801,264.01</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3）本期计提、收回或转回的坏账准备情况" w:id="558"/>
      <w:bookmarkEnd w:id="55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79"/>
        <w:gridCol w:w="1087"/>
        <w:gridCol w:w="1332"/>
        <w:gridCol w:w="1330"/>
        <w:gridCol w:w="1089"/>
        <w:gridCol w:w="1577"/>
        <w:gridCol w:w="1575"/>
      </w:tblGrid>
      <w:tr>
        <w:trPr>
          <w:trHeight w:val="402" w:hRule="exact"/>
        </w:trPr>
        <w:tc>
          <w:tcPr>
            <w:tcW w:w="15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9"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05"/>
              <w:jc w:val="both"/>
              <w:rPr>
                <w:rFonts w:ascii="宋体" w:hAnsi="宋体" w:cs="宋体" w:eastAsia="宋体" w:hint="default"/>
                <w:sz w:val="18"/>
                <w:szCs w:val="18"/>
              </w:rPr>
            </w:pPr>
            <w:r>
              <w:rPr>
                <w:rFonts w:ascii="宋体" w:hAnsi="宋体" w:cs="宋体" w:eastAsia="宋体" w:hint="default"/>
                <w:sz w:val="18"/>
                <w:szCs w:val="18"/>
              </w:rPr>
              <w:t>单项计提预期信 用损失的其他应 收款</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400,000.00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2,118,055.90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2,518,055.90</w:t>
            </w:r>
          </w:p>
        </w:tc>
      </w:tr>
      <w:tr>
        <w:trPr>
          <w:trHeight w:val="1026"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05"/>
              <w:jc w:val="both"/>
              <w:rPr>
                <w:rFonts w:ascii="宋体" w:hAnsi="宋体" w:cs="宋体" w:eastAsia="宋体" w:hint="default"/>
                <w:sz w:val="18"/>
                <w:szCs w:val="18"/>
              </w:rPr>
            </w:pPr>
            <w:r>
              <w:rPr>
                <w:rFonts w:ascii="宋体" w:hAnsi="宋体" w:cs="宋体" w:eastAsia="宋体" w:hint="default"/>
                <w:sz w:val="18"/>
                <w:szCs w:val="18"/>
              </w:rPr>
              <w:t>按组合计提预期 信用损失的其他 应收款</w:t>
            </w:r>
          </w:p>
        </w:tc>
        <w:tc>
          <w:tcPr>
            <w:tcW w:w="108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10"/>
                <w:sz w:val="18"/>
                <w:szCs w:val="18"/>
              </w:rPr>
              <w:t>其中：按账龄分析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法组合</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12,028,390.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3,796,677.85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-2,118,055.90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13,707,012.74</w:t>
            </w:r>
          </w:p>
        </w:tc>
      </w:tr>
      <w:tr>
        <w:trPr>
          <w:trHeight w:val="714" w:hRule="exact"/>
        </w:trPr>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12,428,390.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3,796,677.85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16,225,068.64</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4）本期实际核销的其他应收款情况" w:id="559"/>
      <w:bookmarkEnd w:id="55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2"/>
        <w:ind w:left="112" w:right="212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2" w:right="172"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5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5）按欠款方归集的期末余额前五名的其他应收款情况" w:id="560"/>
      <w:bookmarkEnd w:id="56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19,827,227.02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3,965,445.40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2,936,000.00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684" w:type="dxa"/>
            <w:tcBorders>
              <w:top w:val="single" w:sz="4" w:space="0" w:color="000000"/>
              <w:left w:val="single" w:sz="4" w:space="0" w:color="000000"/>
              <w:bottom w:val="nil" w:sz="6" w:space="0" w:color="auto"/>
              <w:right w:val="single" w:sz="4" w:space="0" w:color="000000"/>
            </w:tcBorders>
          </w:tcPr>
          <w:p>
            <w:pPr/>
          </w:p>
        </w:tc>
        <w:tc>
          <w:tcPr>
            <w:tcW w:w="1551"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
        </w:tc>
        <w:tc>
          <w:tcPr>
            <w:tcW w:w="1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2,406,816.00</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1,019,831.00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3.26%</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620,061.70</w:t>
            </w:r>
          </w:p>
        </w:tc>
      </w:tr>
      <w:tr>
        <w:trPr>
          <w:trHeight w:val="353" w:hRule="exact"/>
        </w:trPr>
        <w:tc>
          <w:tcPr>
            <w:tcW w:w="1684" w:type="dxa"/>
            <w:tcBorders>
              <w:top w:val="nil" w:sz="6" w:space="0" w:color="auto"/>
              <w:left w:val="single" w:sz="4" w:space="0" w:color="000000"/>
              <w:bottom w:val="single" w:sz="4" w:space="0" w:color="000000"/>
              <w:right w:val="single" w:sz="4" w:space="0" w:color="000000"/>
            </w:tcBorders>
          </w:tcPr>
          <w:p>
            <w:pPr/>
          </w:p>
        </w:tc>
        <w:tc>
          <w:tcPr>
            <w:tcW w:w="1551"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
        </w:tc>
        <w:tc>
          <w:tcPr>
            <w:tcW w:w="1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1,386,985.00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1615"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2,118,055.90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2,118,055.90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1,880,000.00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2.55%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29,168,098.92</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6,703,563.00</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6）涉及政府补助的应收款项" w:id="561"/>
      <w:bookmarkEnd w:id="56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7" w:right="100"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line="240" w:lineRule="auto" w:before="2"/>
        <w:rPr>
          <w:rFonts w:ascii="宋体" w:hAnsi="宋体" w:cs="宋体" w:eastAsia="宋体" w:hint="default"/>
          <w:sz w:val="19"/>
          <w:szCs w:val="19"/>
        </w:rPr>
      </w:pPr>
    </w:p>
    <w:p>
      <w:pPr>
        <w:pStyle w:val="Heading5"/>
        <w:spacing w:line="240" w:lineRule="auto" w:before="34"/>
        <w:ind w:right="2127"/>
        <w:jc w:val="left"/>
        <w:rPr>
          <w:b w:val="0"/>
          <w:bCs w:val="0"/>
        </w:rPr>
      </w:pPr>
      <w:bookmarkStart w:name="7）因金融资产转移而终止确认的其他应收款" w:id="562"/>
      <w:bookmarkEnd w:id="56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27"/>
        <w:jc w:val="left"/>
        <w:rPr>
          <w:b w:val="0"/>
          <w:bCs w:val="0"/>
        </w:rPr>
      </w:pPr>
      <w:bookmarkStart w:name="8）转移其他应收款且继续涉入形成的资产、负债金额" w:id="563"/>
      <w:bookmarkEnd w:id="56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19" w:footer="1016" w:top="1120" w:bottom="1200" w:left="1020" w:right="0"/>
        </w:sectPr>
      </w:pPr>
    </w:p>
    <w:p>
      <w:pPr>
        <w:spacing w:line="240" w:lineRule="auto" w:before="10"/>
        <w:rPr>
          <w:rFonts w:ascii="宋体" w:hAnsi="宋体" w:cs="宋体" w:eastAsia="宋体" w:hint="default"/>
          <w:sz w:val="19"/>
          <w:szCs w:val="19"/>
        </w:rPr>
      </w:pPr>
    </w:p>
    <w:p>
      <w:pPr>
        <w:pStyle w:val="Heading5"/>
        <w:spacing w:line="240" w:lineRule="auto" w:before="34"/>
        <w:ind w:right="2127"/>
        <w:jc w:val="left"/>
        <w:rPr>
          <w:b w:val="0"/>
          <w:bCs w:val="0"/>
        </w:rPr>
      </w:pPr>
      <w:bookmarkStart w:name="3、长期股权投资" w:id="564"/>
      <w:bookmarkEnd w:id="56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912,054,163.36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912,054,163.36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793,041,781.69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793,041,781.69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Times New Roman" w:hAnsi="Times New Roman" w:cs="Times New Roman" w:eastAsia="Times New Roman" w:hint="default"/>
                <w:sz w:val="18"/>
                <w:szCs w:val="18"/>
              </w:rPr>
            </w:pPr>
            <w:r>
              <w:rPr>
                <w:rFonts w:ascii="Times New Roman"/>
                <w:sz w:val="18"/>
              </w:rPr>
              <w:t>912,054,163.36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912,054,163.36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793,041,781.69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793,041,781.69</w:t>
            </w:r>
          </w:p>
        </w:tc>
      </w:tr>
    </w:tbl>
    <w:p>
      <w:pPr>
        <w:spacing w:line="240" w:lineRule="auto" w:before="3"/>
        <w:rPr>
          <w:rFonts w:ascii="宋体" w:hAnsi="宋体" w:cs="宋体" w:eastAsia="宋体" w:hint="default"/>
          <w:sz w:val="19"/>
          <w:szCs w:val="19"/>
        </w:rPr>
      </w:pPr>
    </w:p>
    <w:p>
      <w:pPr>
        <w:pStyle w:val="Heading5"/>
        <w:spacing w:line="240" w:lineRule="auto" w:before="34"/>
        <w:ind w:right="2127"/>
        <w:jc w:val="left"/>
        <w:rPr>
          <w:b w:val="0"/>
          <w:bCs w:val="0"/>
        </w:rPr>
      </w:pPr>
      <w:bookmarkStart w:name="（1）对子公司投资" w:id="565"/>
      <w:bookmarkEnd w:id="56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0" w:lineRule="auto"/>
              <w:ind w:left="302" w:right="11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2"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7" w:right="127" w:hanging="360"/>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天津市金飞 博光通讯技 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4,027,343.90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4,027,343.90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3"/>
              <w:jc w:val="both"/>
              <w:rPr>
                <w:rFonts w:ascii="宋体" w:hAnsi="宋体" w:cs="宋体" w:eastAsia="宋体" w:hint="default"/>
                <w:sz w:val="18"/>
                <w:szCs w:val="18"/>
              </w:rPr>
            </w:pPr>
            <w:r>
              <w:rPr>
                <w:rFonts w:ascii="宋体" w:hAnsi="宋体" w:cs="宋体" w:eastAsia="宋体" w:hint="default"/>
                <w:sz w:val="18"/>
                <w:szCs w:val="18"/>
              </w:rPr>
              <w:t>天津市天安 怡和信息技 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46,378,020.4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366,006.67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46,744,027.1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重庆皖通科 技有限责任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2,850,000.00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2,850,000.00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3"/>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22,007,166.6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864,416.68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22,871,583.3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烟台华东电 子软件技术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333,080,597.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2,519,458.32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335,600,055.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39</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3"/>
              <w:jc w:val="both"/>
              <w:rPr>
                <w:rFonts w:ascii="宋体" w:hAnsi="宋体" w:cs="宋体" w:eastAsia="宋体" w:hint="default"/>
                <w:sz w:val="18"/>
                <w:szCs w:val="18"/>
              </w:rPr>
            </w:pPr>
            <w:r>
              <w:rPr>
                <w:rFonts w:ascii="宋体" w:hAnsi="宋体" w:cs="宋体" w:eastAsia="宋体" w:hint="default"/>
                <w:sz w:val="18"/>
                <w:szCs w:val="18"/>
              </w:rPr>
              <w:t>安徽皖通城 市智能交通 科技有限公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5,100,000.00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5,100,000.00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安徽行云天 下科技有限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53"/>
              <w:jc w:val="left"/>
              <w:rPr>
                <w:rFonts w:ascii="宋体" w:hAnsi="宋体" w:cs="宋体" w:eastAsia="宋体" w:hint="default"/>
                <w:sz w:val="18"/>
                <w:szCs w:val="18"/>
              </w:rPr>
            </w:pPr>
            <w:r>
              <w:rPr>
                <w:rFonts w:ascii="宋体" w:hAnsi="宋体" w:cs="宋体" w:eastAsia="宋体" w:hint="default"/>
                <w:sz w:val="18"/>
                <w:szCs w:val="18"/>
              </w:rPr>
              <w:t>成都赛英科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345,598,653.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113,162,500.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458,761,153.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61</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left"/>
              <w:rPr>
                <w:rFonts w:ascii="宋体" w:hAnsi="宋体" w:cs="宋体" w:eastAsia="宋体" w:hint="default"/>
                <w:sz w:val="18"/>
                <w:szCs w:val="18"/>
              </w:rPr>
            </w:pPr>
            <w:r>
              <w:rPr>
                <w:rFonts w:ascii="宋体" w:hAnsi="宋体" w:cs="宋体" w:eastAsia="宋体" w:hint="default"/>
                <w:sz w:val="18"/>
                <w:szCs w:val="18"/>
              </w:rPr>
              <w:t>陕西皖通科 技有限责任</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2,100,000.00</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1016" w:header="919" w:top="1120" w:bottom="1200" w:left="1020" w:right="0"/>
          <w:pgNumType w:start="24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267"/>
        <w:gridCol w:w="1166"/>
        <w:gridCol w:w="1166"/>
        <w:gridCol w:w="1166"/>
        <w:gridCol w:w="1166"/>
        <w:gridCol w:w="1213"/>
        <w:gridCol w:w="1213"/>
        <w:gridCol w:w="1213"/>
      </w:tblGrid>
      <w:tr>
        <w:trPr>
          <w:trHeight w:val="36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793,041,781.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119,012,381.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912,054,163.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36</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4"/>
        <w:ind w:right="2127"/>
        <w:jc w:val="left"/>
        <w:rPr>
          <w:b w:val="0"/>
          <w:bCs w:val="0"/>
        </w:rPr>
      </w:pPr>
      <w:bookmarkStart w:name="（2）对联营、合营企业投资" w:id="566"/>
      <w:bookmarkEnd w:id="56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0" w:hRule="exact"/>
        </w:trPr>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4" w:right="0" w:hanging="63"/>
              <w:jc w:val="both"/>
              <w:rPr>
                <w:rFonts w:ascii="宋体" w:hAnsi="宋体" w:cs="宋体" w:eastAsia="宋体" w:hint="default"/>
                <w:sz w:val="18"/>
                <w:szCs w:val="18"/>
              </w:rPr>
            </w:pPr>
            <w:r>
              <w:rPr>
                <w:rFonts w:ascii="宋体" w:hAnsi="宋体" w:cs="宋体" w:eastAsia="宋体" w:hint="default"/>
                <w:sz w:val="18"/>
                <w:szCs w:val="18"/>
              </w:rPr>
              <w:t>期初余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185" w:right="0" w:hanging="60"/>
              <w:jc w:val="both"/>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309" w:lineRule="auto" w:before="76"/>
              <w:ind w:left="213" w:right="183" w:hanging="29"/>
              <w:jc w:val="both"/>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1"/>
              <w:ind w:left="124"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武汉宏</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途科技</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5"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武汉宏</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途科技</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5"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3）其他说明" w:id="567"/>
      <w:bookmarkEnd w:id="56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4、营业收入和营业成本" w:id="568"/>
      <w:bookmarkEnd w:id="56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784,927,347.70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588,248,482.65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598,980,633.77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462,857,853.02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17,600.20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158,600.32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784,944,947.90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588,248,482.65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599,139,234.09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462,857,853.02</w:t>
            </w:r>
          </w:p>
        </w:tc>
      </w:tr>
    </w:tbl>
    <w:p>
      <w:pPr>
        <w:spacing w:before="49"/>
        <w:ind w:left="112" w:right="212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0"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是 √ 否 其他说明：</w:t>
      </w:r>
    </w:p>
    <w:p>
      <w:pPr>
        <w:spacing w:line="240" w:lineRule="auto" w:before="12"/>
        <w:rPr>
          <w:rFonts w:ascii="宋体" w:hAnsi="宋体" w:cs="宋体" w:eastAsia="宋体" w:hint="default"/>
          <w:sz w:val="19"/>
          <w:szCs w:val="19"/>
        </w:rPr>
      </w:pPr>
    </w:p>
    <w:p>
      <w:pPr>
        <w:pStyle w:val="Heading5"/>
        <w:spacing w:line="240" w:lineRule="auto"/>
        <w:ind w:right="2127"/>
        <w:jc w:val="left"/>
        <w:rPr>
          <w:b w:val="0"/>
          <w:bCs w:val="0"/>
        </w:rPr>
      </w:pPr>
      <w:bookmarkStart w:name="5、投资收益" w:id="569"/>
      <w:bookmarkEnd w:id="56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60,302,000.00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5,794,875.00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4,923,778.71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 利收入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18,396.99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469,511.14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处置其他债权投资取得的投资收益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2,270,536.45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65,244,175.70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8,534,922.59</w:t>
            </w:r>
          </w:p>
        </w:tc>
      </w:tr>
    </w:tbl>
    <w:p>
      <w:pPr>
        <w:spacing w:line="240" w:lineRule="auto" w:before="4"/>
        <w:rPr>
          <w:rFonts w:ascii="宋体" w:hAnsi="宋体" w:cs="宋体" w:eastAsia="宋体" w:hint="default"/>
          <w:sz w:val="19"/>
          <w:szCs w:val="19"/>
        </w:rPr>
      </w:pPr>
    </w:p>
    <w:p>
      <w:pPr>
        <w:pStyle w:val="Heading5"/>
        <w:spacing w:line="240" w:lineRule="auto" w:before="34"/>
        <w:ind w:right="2127"/>
        <w:jc w:val="left"/>
        <w:rPr>
          <w:b w:val="0"/>
          <w:bCs w:val="0"/>
        </w:rPr>
      </w:pPr>
      <w:bookmarkStart w:name="6、其他" w:id="570"/>
      <w:bookmarkEnd w:id="570"/>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4"/>
          <w:szCs w:val="24"/>
        </w:rPr>
      </w:pPr>
    </w:p>
    <w:p>
      <w:pPr>
        <w:pStyle w:val="Heading5"/>
        <w:tabs>
          <w:tab w:pos="7281" w:val="left" w:leader="none"/>
        </w:tabs>
        <w:spacing w:line="240" w:lineRule="auto"/>
        <w:ind w:right="2127"/>
        <w:jc w:val="left"/>
        <w:rPr>
          <w:b w:val="0"/>
          <w:bCs w:val="0"/>
        </w:rPr>
      </w:pPr>
      <w:r>
        <w:rPr>
          <w:w w:val="95"/>
        </w:rPr>
        <w:t>当期非经常性损益明细表</w:t>
        <w:tab/>
      </w:r>
      <w:r>
        <w:rPr/>
        <w:t>单位：元</w:t>
      </w:r>
      <w:r>
        <w:rPr>
          <w:b w:val="0"/>
          <w:bCs w:val="0"/>
        </w:rPr>
      </w:r>
    </w:p>
    <w:p>
      <w:pPr>
        <w:spacing w:line="240" w:lineRule="auto" w:before="12"/>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5840"/>
        <w:gridCol w:w="2552"/>
      </w:tblGrid>
      <w:tr>
        <w:trPr>
          <w:trHeight w:val="354" w:hRule="exact"/>
        </w:trPr>
        <w:tc>
          <w:tcPr>
            <w:tcW w:w="5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4,696,183.51</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6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 或定量享受的政府补助除外）</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9"/>
              <w:jc w:val="right"/>
              <w:rPr>
                <w:rFonts w:ascii="宋体" w:hAnsi="宋体" w:cs="宋体" w:eastAsia="宋体" w:hint="default"/>
                <w:sz w:val="18"/>
                <w:szCs w:val="18"/>
              </w:rPr>
            </w:pPr>
            <w:r>
              <w:rPr>
                <w:rFonts w:ascii="宋体"/>
                <w:spacing w:val="-1"/>
                <w:sz w:val="18"/>
              </w:rPr>
              <w:t>10,497,765.80</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61"/>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 被投资单位可辨认净资产公允价值产生的收益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4,923,778.71</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986"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2"/>
              <w:ind w:left="3" w:right="6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交易性金融负债产生的公允价值变动损益，以及处置交易性金融资产、交 易性金融负债、债权投资和其他债权投资取得的投资收益</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674"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6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 益的影响</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552"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169,746.26</w:t>
            </w:r>
          </w:p>
        </w:tc>
      </w:tr>
    </w:tbl>
    <w:p>
      <w:pPr>
        <w:spacing w:after="0" w:line="240" w:lineRule="auto"/>
        <w:jc w:val="right"/>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6" w:type="dxa"/>
        <w:tblLayout w:type="fixed"/>
        <w:tblCellMar>
          <w:top w:w="0" w:type="dxa"/>
          <w:left w:w="0" w:type="dxa"/>
          <w:bottom w:w="0" w:type="dxa"/>
          <w:right w:w="0" w:type="dxa"/>
        </w:tblCellMar>
        <w:tblLook w:val="01E0"/>
      </w:tblPr>
      <w:tblGrid>
        <w:gridCol w:w="5840"/>
        <w:gridCol w:w="2552"/>
      </w:tblGrid>
      <w:tr>
        <w:trPr>
          <w:trHeight w:val="369" w:hRule="exact"/>
        </w:trPr>
        <w:tc>
          <w:tcPr>
            <w:tcW w:w="5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5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9"/>
              <w:jc w:val="right"/>
              <w:rPr>
                <w:rFonts w:ascii="宋体" w:hAnsi="宋体" w:cs="宋体" w:eastAsia="宋体" w:hint="default"/>
                <w:sz w:val="18"/>
                <w:szCs w:val="18"/>
              </w:rPr>
            </w:pPr>
            <w:r>
              <w:rPr>
                <w:rFonts w:ascii="宋体"/>
                <w:spacing w:val="-1"/>
                <w:sz w:val="18"/>
              </w:rPr>
              <w:t>61,523.05</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3,648,215.76</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right"/>
              <w:rPr>
                <w:rFonts w:ascii="宋体" w:hAnsi="宋体" w:cs="宋体" w:eastAsia="宋体" w:hint="default"/>
                <w:sz w:val="18"/>
                <w:szCs w:val="18"/>
              </w:rPr>
            </w:pPr>
            <w:r>
              <w:rPr>
                <w:rFonts w:ascii="宋体"/>
                <w:spacing w:val="-1"/>
                <w:sz w:val="18"/>
              </w:rPr>
              <w:t>589,107.49</w:t>
            </w:r>
          </w:p>
        </w:tc>
      </w:tr>
      <w:tr>
        <w:trPr>
          <w:trHeight w:val="362" w:hRule="exact"/>
        </w:trPr>
        <w:tc>
          <w:tcPr>
            <w:tcW w:w="5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9"/>
              <w:jc w:val="right"/>
              <w:rPr>
                <w:rFonts w:ascii="宋体" w:hAnsi="宋体" w:cs="宋体" w:eastAsia="宋体" w:hint="default"/>
                <w:sz w:val="18"/>
                <w:szCs w:val="18"/>
              </w:rPr>
            </w:pPr>
            <w:r>
              <w:rPr>
                <w:rFonts w:ascii="宋体"/>
                <w:spacing w:val="-1"/>
                <w:sz w:val="18"/>
              </w:rPr>
              <w:t>16,111,674.08</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Heading5"/>
        <w:tabs>
          <w:tab w:pos="7598" w:val="left" w:leader="none"/>
        </w:tabs>
        <w:spacing w:line="240" w:lineRule="auto" w:before="34"/>
        <w:ind w:right="2127"/>
        <w:jc w:val="left"/>
        <w:rPr>
          <w:b w:val="0"/>
          <w:bCs w:val="0"/>
        </w:rPr>
      </w:pPr>
      <w:r>
        <w:rPr>
          <w:w w:val="95"/>
        </w:rPr>
        <w:t>2.净资产收益率及每股收益</w:t>
        <w:tab/>
      </w:r>
      <w:r>
        <w:rPr/>
        <w:t>单位：元</w:t>
      </w:r>
      <w:r>
        <w:rPr>
          <w:b w:val="0"/>
          <w:bCs w:val="0"/>
        </w:rPr>
      </w:r>
    </w:p>
    <w:p>
      <w:pPr>
        <w:spacing w:line="240" w:lineRule="auto" w:before="11"/>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3125"/>
        <w:gridCol w:w="2177"/>
        <w:gridCol w:w="1522"/>
        <w:gridCol w:w="1546"/>
      </w:tblGrid>
      <w:tr>
        <w:trPr>
          <w:trHeight w:val="354" w:hRule="exact"/>
        </w:trPr>
        <w:tc>
          <w:tcPr>
            <w:tcW w:w="3125"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val="restart"/>
            <w:tcBorders>
              <w:top w:val="single" w:sz="6" w:space="0" w:color="000000"/>
              <w:left w:val="single" w:sz="6" w:space="0" w:color="000000"/>
              <w:right w:val="single" w:sz="6" w:space="0" w:color="000000"/>
            </w:tcBorders>
          </w:tcPr>
          <w:p>
            <w:pPr>
              <w:pStyle w:val="TableParagraph"/>
              <w:spacing w:line="316" w:lineRule="auto" w:before="21"/>
              <w:ind w:left="315" w:right="315" w:firstLine="405"/>
              <w:jc w:val="left"/>
              <w:rPr>
                <w:rFonts w:ascii="宋体" w:hAnsi="宋体" w:cs="宋体" w:eastAsia="宋体" w:hint="default"/>
                <w:sz w:val="18"/>
                <w:szCs w:val="18"/>
              </w:rPr>
            </w:pPr>
            <w:r>
              <w:rPr>
                <w:rFonts w:ascii="宋体" w:hAnsi="宋体" w:cs="宋体" w:eastAsia="宋体" w:hint="default"/>
                <w:sz w:val="18"/>
                <w:szCs w:val="18"/>
              </w:rPr>
              <w:t>加权平均 净资产收益率（%）</w:t>
            </w:r>
          </w:p>
        </w:tc>
        <w:tc>
          <w:tcPr>
            <w:tcW w:w="306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62" w:hRule="exact"/>
        </w:trPr>
        <w:tc>
          <w:tcPr>
            <w:tcW w:w="3125" w:type="dxa"/>
            <w:vMerge/>
            <w:tcBorders>
              <w:left w:val="single" w:sz="6" w:space="0" w:color="000000"/>
              <w:bottom w:val="single" w:sz="12" w:space="0" w:color="000000"/>
              <w:right w:val="single" w:sz="6" w:space="0" w:color="000000"/>
            </w:tcBorders>
          </w:tcPr>
          <w:p>
            <w:pPr/>
          </w:p>
        </w:tc>
        <w:tc>
          <w:tcPr>
            <w:tcW w:w="2177" w:type="dxa"/>
            <w:vMerge/>
            <w:tcBorders>
              <w:left w:val="single" w:sz="6" w:space="0" w:color="000000"/>
              <w:bottom w:val="single" w:sz="12" w:space="0" w:color="000000"/>
              <w:right w:val="single" w:sz="6" w:space="0" w:color="000000"/>
            </w:tcBorders>
          </w:tcPr>
          <w:p>
            <w:pP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1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62" w:hRule="exact"/>
        </w:trPr>
        <w:tc>
          <w:tcPr>
            <w:tcW w:w="31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z w:val="18"/>
              </w:rPr>
              <w:t>8.01</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right"/>
              <w:rPr>
                <w:rFonts w:ascii="宋体" w:hAnsi="宋体" w:cs="宋体" w:eastAsia="宋体" w:hint="default"/>
                <w:sz w:val="18"/>
                <w:szCs w:val="18"/>
              </w:rPr>
            </w:pPr>
            <w:r>
              <w:rPr>
                <w:rFonts w:ascii="宋体"/>
                <w:spacing w:val="-1"/>
                <w:sz w:val="18"/>
              </w:rPr>
              <w:t>0.4091</w:t>
            </w:r>
          </w:p>
        </w:tc>
        <w:tc>
          <w:tcPr>
            <w:tcW w:w="15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3"/>
              <w:ind w:right="6"/>
              <w:jc w:val="right"/>
              <w:rPr>
                <w:rFonts w:ascii="宋体" w:hAnsi="宋体" w:cs="宋体" w:eastAsia="宋体" w:hint="default"/>
                <w:sz w:val="18"/>
                <w:szCs w:val="18"/>
              </w:rPr>
            </w:pPr>
            <w:r>
              <w:rPr>
                <w:rFonts w:ascii="宋体"/>
                <w:spacing w:val="-1"/>
                <w:sz w:val="18"/>
              </w:rPr>
              <w:t>0.4091</w:t>
            </w:r>
          </w:p>
        </w:tc>
      </w:tr>
      <w:tr>
        <w:trPr>
          <w:trHeight w:val="674" w:hRule="exact"/>
        </w:trPr>
        <w:tc>
          <w:tcPr>
            <w:tcW w:w="312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4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7.24</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0.3700</w:t>
            </w:r>
          </w:p>
        </w:tc>
        <w:tc>
          <w:tcPr>
            <w:tcW w:w="15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right"/>
              <w:rPr>
                <w:rFonts w:ascii="宋体" w:hAnsi="宋体" w:cs="宋体" w:eastAsia="宋体" w:hint="default"/>
                <w:sz w:val="18"/>
                <w:szCs w:val="18"/>
              </w:rPr>
            </w:pPr>
            <w:r>
              <w:rPr>
                <w:rFonts w:ascii="宋体"/>
                <w:spacing w:val="-1"/>
                <w:sz w:val="18"/>
              </w:rPr>
              <w:t>0.3700</w:t>
            </w:r>
          </w:p>
        </w:tc>
      </w:tr>
    </w:tbl>
    <w:p>
      <w:pPr>
        <w:spacing w:line="240" w:lineRule="auto" w:before="2"/>
        <w:rPr>
          <w:rFonts w:ascii="宋体" w:hAnsi="宋体" w:cs="宋体" w:eastAsia="宋体" w:hint="default"/>
          <w:b/>
          <w:bCs/>
          <w:sz w:val="18"/>
          <w:szCs w:val="18"/>
        </w:rPr>
      </w:pPr>
    </w:p>
    <w:p>
      <w:pPr>
        <w:pStyle w:val="Heading4"/>
        <w:spacing w:line="240" w:lineRule="auto" w:before="26"/>
        <w:ind w:right="2127"/>
        <w:jc w:val="left"/>
        <w:rPr>
          <w:b w:val="0"/>
          <w:bCs w:val="0"/>
        </w:rPr>
      </w:pPr>
      <w:bookmarkStart w:name="十八、补充资料" w:id="571"/>
      <w:bookmarkEnd w:id="571"/>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2127"/>
        <w:jc w:val="left"/>
        <w:rPr>
          <w:b w:val="0"/>
          <w:bCs w:val="0"/>
        </w:rPr>
      </w:pPr>
      <w:bookmarkStart w:name="1、当期非经常性损益明细表" w:id="572"/>
      <w:bookmarkEnd w:id="57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4,696,183.51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10,497,765.80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4,923,778.71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169,746.26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61,523.05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3,648,215.76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589,107.49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16,111,674.08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3"/>
        <w:ind w:left="112"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净资产收益率及每股收益" w:id="573"/>
      <w:bookmarkEnd w:id="57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3826"/>
      </w:tblGrid>
      <w:tr>
        <w:trPr>
          <w:trHeight w:val="4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919" w:footer="1016" w:top="1120" w:bottom="1200" w:left="1020" w:right="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0.4091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0.3700</w:t>
            </w:r>
          </w:p>
        </w:tc>
      </w:tr>
    </w:tbl>
    <w:p>
      <w:pPr>
        <w:spacing w:line="240" w:lineRule="auto" w:before="4"/>
        <w:rPr>
          <w:rFonts w:ascii="宋体" w:hAnsi="宋体" w:cs="宋体" w:eastAsia="宋体" w:hint="default"/>
          <w:b/>
          <w:bCs/>
          <w:sz w:val="19"/>
          <w:szCs w:val="19"/>
        </w:rPr>
      </w:pPr>
    </w:p>
    <w:p>
      <w:pPr>
        <w:pStyle w:val="Heading5"/>
        <w:spacing w:line="240" w:lineRule="auto" w:before="34"/>
        <w:ind w:right="2127"/>
        <w:jc w:val="left"/>
        <w:rPr>
          <w:b w:val="0"/>
          <w:bCs w:val="0"/>
        </w:rPr>
      </w:pPr>
      <w:bookmarkStart w:name="3、境内外会计准则下会计数据差异" w:id="574"/>
      <w:bookmarkEnd w:id="57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27"/>
        <w:jc w:val="left"/>
        <w:rPr>
          <w:b w:val="0"/>
          <w:bCs w:val="0"/>
        </w:rPr>
      </w:pPr>
      <w:bookmarkStart w:name="（1）同时按照国际会计准则与按中国会计准则披露的财务报告中净利润和净资产差异情况" w:id="575"/>
      <w:bookmarkEnd w:id="57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2127"/>
        <w:jc w:val="left"/>
        <w:rPr>
          <w:b w:val="0"/>
          <w:bCs w:val="0"/>
        </w:rPr>
      </w:pPr>
      <w:bookmarkStart w:name="（2）同时按照境外会计准则与按中国会计准则披露的财务报告中净利润和净资产差异情况" w:id="576"/>
      <w:bookmarkEnd w:id="57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12" w:right="212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59" w:lineRule="auto"/>
        <w:ind w:right="0"/>
        <w:jc w:val="left"/>
        <w:rPr>
          <w:b w:val="0"/>
          <w:bCs w:val="0"/>
        </w:rPr>
      </w:pPr>
      <w:bookmarkStart w:name="（3）境内外会计准则下会计数据差异原因说明，对已经境外审计机构审计的数据进行差异" w:id="577"/>
      <w:bookmarkEnd w:id="577"/>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5"/>
        <w:spacing w:line="240" w:lineRule="auto"/>
        <w:ind w:right="2127"/>
        <w:jc w:val="left"/>
        <w:rPr>
          <w:b w:val="0"/>
          <w:bCs w:val="0"/>
        </w:rPr>
      </w:pPr>
      <w:bookmarkStart w:name="4、其他" w:id="578"/>
      <w:bookmarkEnd w:id="57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19" w:footer="1016" w:top="1120" w:bottom="1200" w:left="1020" w:right="0"/>
        </w:sectPr>
      </w:pPr>
    </w:p>
    <w:p>
      <w:pPr>
        <w:spacing w:line="240" w:lineRule="auto" w:before="7"/>
        <w:rPr>
          <w:rFonts w:ascii="宋体" w:hAnsi="宋体" w:cs="宋体" w:eastAsia="宋体" w:hint="default"/>
          <w:b/>
          <w:bCs/>
          <w:sz w:val="27"/>
          <w:szCs w:val="27"/>
        </w:rPr>
      </w:pPr>
    </w:p>
    <w:p>
      <w:pPr>
        <w:pStyle w:val="Heading1"/>
        <w:spacing w:line="240" w:lineRule="auto"/>
        <w:ind w:left="3247" w:right="2127"/>
        <w:jc w:val="left"/>
        <w:rPr>
          <w:b w:val="0"/>
          <w:bCs w:val="0"/>
        </w:rPr>
      </w:pPr>
      <w:bookmarkStart w:name="第十三节 备查文件目录" w:id="579"/>
      <w:bookmarkEnd w:id="579"/>
      <w:r>
        <w:rPr>
          <w:b w:val="0"/>
          <w:bCs w:val="0"/>
        </w:rPr>
      </w:r>
      <w:bookmarkStart w:name="_bookmark12" w:id="580"/>
      <w:bookmarkEnd w:id="580"/>
      <w:r>
        <w:rPr>
          <w:b w:val="0"/>
          <w:bCs w:val="0"/>
        </w:rPr>
      </w:r>
      <w:r>
        <w:rPr/>
        <w:t>第十三节</w:t>
      </w:r>
      <w:r>
        <w:rPr>
          <w:spacing w:val="-10"/>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08" w:lineRule="auto" w:before="263"/>
        <w:ind w:right="1120"/>
        <w:jc w:val="left"/>
      </w:pPr>
      <w:r>
        <w:rPr/>
        <w:t>一、载有公司法定代表人签名的公司2019年年度报告全文；</w:t>
      </w:r>
      <w:r>
        <w:rPr>
          <w:w w:val="99"/>
        </w:rPr>
        <w:t> </w:t>
      </w:r>
      <w:r>
        <w:rPr/>
        <w:t>二、载有公司法定代表人、主管会计工作负责人、会计机构负责人签名并盖章的财务报告文本；</w:t>
      </w:r>
      <w:r>
        <w:rPr>
          <w:w w:val="99"/>
        </w:rPr>
        <w:t> </w:t>
      </w:r>
      <w:r>
        <w:rPr>
          <w:spacing w:val="-7"/>
          <w:w w:val="99"/>
        </w:rPr>
        <w:t>三、报告期内在《证券时报》、《中国证券报》、巨潮资讯网上公开披露过的所有公司文件的正本及公告的</w:t>
      </w:r>
      <w:r>
        <w:rPr>
          <w:spacing w:val="-68"/>
          <w:w w:val="99"/>
        </w:rPr>
        <w:t> </w:t>
      </w:r>
      <w:r>
        <w:rPr>
          <w:spacing w:val="-68"/>
          <w:w w:val="99"/>
        </w:rPr>
      </w:r>
      <w:r>
        <w:rPr/>
        <w:t>原稿；</w:t>
      </w:r>
    </w:p>
    <w:p>
      <w:pPr>
        <w:pStyle w:val="BodyText"/>
        <w:spacing w:line="240" w:lineRule="auto" w:before="46"/>
        <w:ind w:right="2127"/>
        <w:jc w:val="left"/>
      </w:pPr>
      <w:r>
        <w:rPr/>
        <w:t>四、以上备查文件备置地点：公司董事会办公室。</w:t>
      </w:r>
    </w:p>
    <w:sectPr>
      <w:pgSz w:w="11910" w:h="16840"/>
      <w:pgMar w:header="919" w:footer="1016" w:top="112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648" type="#_x0000_t75" stroked="false">
          <v:imagedata r:id="rId1" o:title=""/>
        </v:shape>
      </w:pict>
    </w:r>
    <w:r>
      <w:rPr/>
      <w:pict>
        <v:shape style="position:absolute;margin-left:293.440002pt;margin-top:780.087952pt;width:8.5pt;height:11pt;mso-position-horizontal-relative:page;mso-position-vertical-relative:page;z-index:-132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216" type="#_x0000_t75" stroked="false">
          <v:imagedata r:id="rId1" o:title=""/>
        </v:shape>
      </w:pict>
    </w:r>
    <w:r>
      <w:rPr/>
      <w:pict>
        <v:shape style="position:absolute;margin-left:291.158997pt;margin-top:780.087952pt;width:13.1pt;height:11pt;mso-position-horizontal-relative:page;mso-position-vertical-relative:page;z-index:-1321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168" type="#_x0000_t75" stroked="false">
          <v:imagedata r:id="rId1" o:title=""/>
        </v:shape>
      </w:pict>
    </w:r>
    <w:r>
      <w:rPr/>
      <w:pict>
        <v:shape style="position:absolute;margin-left:288.880005pt;margin-top:780.087952pt;width:17.5pt;height:11pt;mso-position-horizontal-relative:page;mso-position-vertical-relative:page;z-index:-132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120" type="#_x0000_t75" stroked="false">
          <v:imagedata r:id="rId1" o:title=""/>
        </v:shape>
      </w:pict>
    </w:r>
    <w:r>
      <w:rPr/>
      <w:pict>
        <v:shape style="position:absolute;margin-left:289pt;margin-top:780.087952pt;width:17.3pt;height:11pt;mso-position-horizontal-relative:page;mso-position-vertical-relative:page;z-index:-132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072" type="#_x0000_t75" stroked="false">
          <v:imagedata r:id="rId1" o:title=""/>
        </v:shape>
      </w:pict>
    </w:r>
    <w:r>
      <w:rPr/>
      <w:pict>
        <v:shape style="position:absolute;margin-left:288.880005pt;margin-top:780.087952pt;width:17.5pt;height:11pt;mso-position-horizontal-relative:page;mso-position-vertical-relative:page;z-index:-1321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024" type="#_x0000_t75" stroked="false">
          <v:imagedata r:id="rId1" o:title=""/>
        </v:shape>
      </w:pict>
    </w:r>
    <w:r>
      <w:rPr/>
      <w:pict>
        <v:shape style="position:absolute;margin-left:288.880005pt;margin-top:780.087952pt;width:17.5pt;height:11pt;mso-position-horizontal-relative:page;mso-position-vertical-relative:page;z-index:-132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976" type="#_x0000_t75" stroked="false">
          <v:imagedata r:id="rId1" o:title=""/>
        </v:shape>
      </w:pict>
    </w:r>
    <w:r>
      <w:rPr/>
      <w:pict>
        <v:shape style="position:absolute;margin-left:288.880005pt;margin-top:780.087952pt;width:17.5pt;height:11pt;mso-position-horizontal-relative:page;mso-position-vertical-relative:page;z-index:-1320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928" type="#_x0000_t75" stroked="false">
          <v:imagedata r:id="rId1" o:title=""/>
        </v:shape>
      </w:pict>
    </w:r>
    <w:r>
      <w:rPr/>
      <w:pict>
        <v:shape style="position:absolute;margin-left:288.880005pt;margin-top:780.087952pt;width:17.5pt;height:11pt;mso-position-horizontal-relative:page;mso-position-vertical-relative:page;z-index:-1320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880" type="#_x0000_t75" stroked="false">
          <v:imagedata r:id="rId1" o:title=""/>
        </v:shape>
      </w:pict>
    </w:r>
    <w:r>
      <w:rPr/>
      <w:pict>
        <v:shape style="position:absolute;margin-left:288.880005pt;margin-top:780.087952pt;width:17.5pt;height:11pt;mso-position-horizontal-relative:page;mso-position-vertical-relative:page;z-index:-1320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832" type="#_x0000_t75" stroked="false">
          <v:imagedata r:id="rId1" o:title=""/>
        </v:shape>
      </w:pict>
    </w:r>
    <w:r>
      <w:rPr/>
      <w:pict>
        <v:shape style="position:absolute;margin-left:288.880005pt;margin-top:780.087952pt;width:17.5pt;height:11pt;mso-position-horizontal-relative:page;mso-position-vertical-relative:page;z-index:-1320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784" type="#_x0000_t75" stroked="false">
          <v:imagedata r:id="rId1" o:title=""/>
        </v:shape>
      </w:pict>
    </w:r>
    <w:r>
      <w:rPr/>
      <w:pict>
        <v:shape style="position:absolute;margin-left:288.880005pt;margin-top:780.087952pt;width:17.5pt;height:11pt;mso-position-horizontal-relative:page;mso-position-vertical-relative:page;z-index:-1320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600" type="#_x0000_t75" stroked="false">
          <v:imagedata r:id="rId1" o:title=""/>
        </v:shape>
      </w:pict>
    </w:r>
    <w:r>
      <w:rPr/>
      <w:pict>
        <v:shape style="position:absolute;margin-left:291.158997pt;margin-top:780.087952pt;width:13.1pt;height:11pt;mso-position-horizontal-relative:page;mso-position-vertical-relative:page;z-index:-132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736" type="#_x0000_t75" stroked="false">
          <v:imagedata r:id="rId1" o:title=""/>
        </v:shape>
      </w:pict>
    </w:r>
    <w:r>
      <w:rPr/>
      <w:pict>
        <v:shape style="position:absolute;margin-left:288.880005pt;margin-top:780.087952pt;width:17.5pt;height:11pt;mso-position-horizontal-relative:page;mso-position-vertical-relative:page;z-index:-1320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688" type="#_x0000_t75" stroked="false">
          <v:imagedata r:id="rId1" o:title=""/>
        </v:shape>
      </w:pict>
    </w:r>
    <w:r>
      <w:rPr/>
      <w:pict>
        <v:shape style="position:absolute;margin-left:288.880005pt;margin-top:780.087952pt;width:17.5pt;height:11pt;mso-position-horizontal-relative:page;mso-position-vertical-relative:page;z-index:-1320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640" type="#_x0000_t75" stroked="false">
          <v:imagedata r:id="rId1" o:title=""/>
        </v:shape>
      </w:pict>
    </w:r>
    <w:r>
      <w:rPr/>
      <w:pict>
        <v:shape style="position:absolute;margin-left:288.880005pt;margin-top:780.087952pt;width:17.5pt;height:11pt;mso-position-horizontal-relative:page;mso-position-vertical-relative:page;z-index:-1320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592" type="#_x0000_t75" stroked="false">
          <v:imagedata r:id="rId1" o:title=""/>
        </v:shape>
      </w:pict>
    </w:r>
    <w:r>
      <w:rPr/>
      <w:pict>
        <v:shape style="position:absolute;margin-left:288.880005pt;margin-top:780.087952pt;width:17.5pt;height:11pt;mso-position-horizontal-relative:page;mso-position-vertical-relative:page;z-index:-1320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544" type="#_x0000_t75" stroked="false">
          <v:imagedata r:id="rId1" o:title=""/>
        </v:shape>
      </w:pict>
    </w:r>
    <w:r>
      <w:rPr/>
      <w:pict>
        <v:shape style="position:absolute;margin-left:288.880005pt;margin-top:780.087952pt;width:17.5pt;height:11pt;mso-position-horizontal-relative:page;mso-position-vertical-relative:page;z-index:-1320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0496" type="#_x0000_t75" stroked="false">
          <v:imagedata r:id="rId1" o:title=""/>
        </v:shape>
      </w:pict>
    </w:r>
    <w:r>
      <w:rPr/>
      <w:pict>
        <v:shape style="position:absolute;margin-left:288.880005pt;margin-top:780.087952pt;width:17.5pt;height:11pt;mso-position-horizontal-relative:page;mso-position-vertical-relative:page;z-index:-1320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552" type="#_x0000_t75" stroked="false">
          <v:imagedata r:id="rId1" o:title=""/>
        </v:shape>
      </w:pict>
    </w:r>
    <w:r>
      <w:rPr/>
      <w:pict>
        <v:shape style="position:absolute;margin-left:291.158997pt;margin-top:780.087952pt;width:13.1pt;height:11pt;mso-position-horizontal-relative:page;mso-position-vertical-relative:page;z-index:-1321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504" type="#_x0000_t75" stroked="false">
          <v:imagedata r:id="rId1" o:title=""/>
        </v:shape>
      </w:pict>
    </w:r>
    <w:r>
      <w:rPr/>
      <w:pict>
        <v:shape style="position:absolute;margin-left:291.158997pt;margin-top:780.087952pt;width:13.1pt;height:11pt;mso-position-horizontal-relative:page;mso-position-vertical-relative:page;z-index:-132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456" type="#_x0000_t75" stroked="false">
          <v:imagedata r:id="rId1" o:title=""/>
        </v:shape>
      </w:pict>
    </w:r>
    <w:r>
      <w:rPr/>
      <w:pict>
        <v:shape style="position:absolute;margin-left:291.158997pt;margin-top:780.087952pt;width:13.1pt;height:11pt;mso-position-horizontal-relative:page;mso-position-vertical-relative:page;z-index:-1321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408" type="#_x0000_t75" stroked="false">
          <v:imagedata r:id="rId1" o:title=""/>
        </v:shape>
      </w:pict>
    </w:r>
    <w:r>
      <w:rPr/>
      <w:pict>
        <v:shape style="position:absolute;margin-left:291.158997pt;margin-top:780.087952pt;width:13.1pt;height:11pt;mso-position-horizontal-relative:page;mso-position-vertical-relative:page;z-index:-1321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360" type="#_x0000_t75" stroked="false">
          <v:imagedata r:id="rId1" o:title=""/>
        </v:shape>
      </w:pict>
    </w:r>
    <w:r>
      <w:rPr/>
      <w:pict>
        <v:shape style="position:absolute;margin-left:291.158997pt;margin-top:780.087952pt;width:13.1pt;height:11pt;mso-position-horizontal-relative:page;mso-position-vertical-relative:page;z-index:-132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312" type="#_x0000_t75" stroked="false">
          <v:imagedata r:id="rId1" o:title=""/>
        </v:shape>
      </w:pict>
    </w:r>
    <w:r>
      <w:rPr/>
      <w:pict>
        <v:shape style="position:absolute;margin-left:291.158997pt;margin-top:780.087952pt;width:13.1pt;height:11pt;mso-position-horizontal-relative:page;mso-position-vertical-relative:page;z-index:-1321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321264" type="#_x0000_t75" stroked="false">
          <v:imagedata r:id="rId1" o:title=""/>
        </v:shape>
      </w:pict>
    </w:r>
    <w:r>
      <w:rPr/>
      <w:pict>
        <v:shape style="position:absolute;margin-left:291.158997pt;margin-top:780.087952pt;width:13.1pt;height:11pt;mso-position-horizontal-relative:page;mso-position-vertical-relative:page;z-index:-132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6.440025pt;width:481.9pt;height:.1pt;mso-position-horizontal-relative:page;mso-position-vertical-relative:page;z-index:-1321696" coordorigin="1134,1129" coordsize="9638,2">
          <v:shape style="position:absolute;left:1134;top:1129;width:9638;height:2" coordorigin="1134,1129" coordsize="9638,0" path="m1134,1129l10772,1129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119995pt;margin-top:44.95565pt;width:195.45pt;height:11.4pt;mso-position-horizontal-relative:page;mso-position-vertical-relative:page;z-index:-1321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112"/>
    </w:pPr>
    <w:rPr>
      <w:rFonts w:ascii="宋体" w:hAnsi="宋体" w:eastAsia="宋体"/>
      <w:b/>
      <w:bCs/>
      <w:sz w:val="24"/>
      <w:szCs w:val="24"/>
    </w:rPr>
  </w:style>
  <w:style w:styleId="BodyText" w:type="paragraph">
    <w:name w:val="Body Text"/>
    <w:basedOn w:val="Normal"/>
    <w:uiPriority w:val="1"/>
    <w:qFormat/>
    <w:pPr>
      <w:spacing w:before="7"/>
      <w:ind w:left="11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spacing w:before="61"/>
      <w:ind w:left="112" w:firstLine="561"/>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wantong-tech.net/" TargetMode="External"/><Relationship Id="rId9" Type="http://schemas.openxmlformats.org/officeDocument/2006/relationships/hyperlink" Target="mailto:wtkj@wantong-tech.net" TargetMode="External"/><Relationship Id="rId10" Type="http://schemas.openxmlformats.org/officeDocument/2006/relationships/hyperlink" Target="mailto:dspan@wantong-tech.net"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hyperlink" Target="http://www.chinaports.com/" TargetMode="External"/><Relationship Id="rId14" Type="http://schemas.openxmlformats.org/officeDocument/2006/relationships/hyperlink" Target="http://www.boyunscm.co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3.jpeg"/><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image" Target="media/image4.png"/><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2020-05-19T12:48:48Z</dcterms:created>
  <dcterms:modified xsi:type="dcterms:W3CDTF">2020-05-19T12:48:48Z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WPS 文字</vt:lpwstr>
  </property>
  <property fmtid="{D5CDD505-2E9C-101B-9397-08002B2CF9AE}" pid="4" name="LastSaved">
    <vt:filetime>2020-05-19T00:00:00Z</vt:filetime>
  </property>
</Properties>
</file>