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line="635" w:lineRule="exact" w:before="0"/>
        <w:ind w:left="111" w:right="124"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马鞍山鼎泰稀土新材料股份有限公司</w:t>
      </w:r>
      <w:r>
        <w:rPr>
          <w:rFonts w:ascii="Microsoft JhengHei" w:hAnsi="Microsoft JhengHei" w:cs="Microsoft JhengHei" w:eastAsia="Microsoft JhengHei" w:hint="default"/>
          <w:sz w:val="48"/>
          <w:szCs w:val="48"/>
        </w:rPr>
      </w:r>
    </w:p>
    <w:p>
      <w:pPr>
        <w:spacing w:line="240" w:lineRule="auto" w:before="4"/>
        <w:rPr>
          <w:rFonts w:ascii="Microsoft JhengHei" w:hAnsi="Microsoft JhengHei" w:cs="Microsoft JhengHei" w:eastAsia="Microsoft JhengHei" w:hint="default"/>
          <w:b/>
          <w:bCs/>
          <w:sz w:val="61"/>
          <w:szCs w:val="61"/>
        </w:rPr>
      </w:pPr>
    </w:p>
    <w:p>
      <w:pPr>
        <w:spacing w:before="0"/>
        <w:ind w:left="123" w:right="124" w:firstLine="0"/>
        <w:jc w:val="center"/>
        <w:rPr>
          <w:rFonts w:ascii="宋体" w:hAnsi="宋体" w:cs="宋体" w:eastAsia="宋体" w:hint="default"/>
          <w:sz w:val="36"/>
          <w:szCs w:val="36"/>
        </w:rPr>
      </w:pPr>
      <w:r>
        <w:rPr>
          <w:rFonts w:ascii="宋体" w:hAnsi="宋体" w:cs="宋体" w:eastAsia="宋体" w:hint="default"/>
          <w:sz w:val="36"/>
          <w:szCs w:val="36"/>
        </w:rPr>
        <w:t>(安徽省马鞍山市当涂经济开发区)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2805" w:lineRule="exact"/>
        <w:ind w:left="2863"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1790317" cy="1781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90317" cy="178117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line="589" w:lineRule="exact" w:before="0"/>
        <w:ind w:left="126" w:right="124"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2010</w:t>
      </w:r>
      <w:r>
        <w:rPr>
          <w:rFonts w:ascii="Microsoft JhengHei" w:hAnsi="Microsoft JhengHei" w:cs="Microsoft JhengHei" w:eastAsia="Microsoft JhengHei" w:hint="default"/>
          <w:b/>
          <w:bCs/>
          <w:spacing w:val="7"/>
          <w:w w:val="95"/>
          <w:sz w:val="44"/>
          <w:szCs w:val="44"/>
        </w:rPr>
        <w:t> </w:t>
      </w:r>
      <w:r>
        <w:rPr>
          <w:rFonts w:ascii="Microsoft JhengHei" w:hAnsi="Microsoft JhengHei" w:cs="Microsoft JhengHei" w:eastAsia="Microsoft JhengHei" w:hint="default"/>
          <w:b/>
          <w:bCs/>
          <w:w w:val="95"/>
          <w:sz w:val="44"/>
          <w:szCs w:val="44"/>
        </w:rPr>
        <w:t>年年度报告</w:t>
      </w:r>
      <w:r>
        <w:rPr>
          <w:rFonts w:ascii="Microsoft JhengHei" w:hAnsi="Microsoft JhengHei" w:cs="Microsoft JhengHei" w:eastAsia="Microsoft JhengHei" w:hint="default"/>
          <w:sz w:val="44"/>
          <w:szCs w:val="44"/>
        </w:rPr>
      </w:r>
    </w:p>
    <w:p>
      <w:pPr>
        <w:spacing w:line="240" w:lineRule="auto" w:before="16"/>
        <w:rPr>
          <w:rFonts w:ascii="Microsoft JhengHei" w:hAnsi="Microsoft JhengHei" w:cs="Microsoft JhengHei" w:eastAsia="Microsoft JhengHei" w:hint="default"/>
          <w:b/>
          <w:bCs/>
          <w:sz w:val="44"/>
          <w:szCs w:val="44"/>
        </w:rPr>
      </w:pPr>
    </w:p>
    <w:p>
      <w:pPr>
        <w:pStyle w:val="Heading2"/>
        <w:spacing w:line="240" w:lineRule="auto"/>
        <w:ind w:left="122" w:right="124"/>
        <w:jc w:val="center"/>
      </w:pPr>
      <w:r>
        <w:rPr/>
        <w:t>二○一一年三月</w:t>
      </w:r>
    </w:p>
    <w:p>
      <w:pPr>
        <w:spacing w:after="0" w:line="240" w:lineRule="auto"/>
        <w:jc w:val="center"/>
        <w:sectPr>
          <w:headerReference w:type="default" r:id="rId5"/>
          <w:footerReference w:type="default" r:id="rId6"/>
          <w:type w:val="continuous"/>
          <w:pgSz w:w="11910" w:h="16840"/>
          <w:pgMar w:header="206" w:footer="738" w:top="940" w:bottom="920" w:left="1680" w:right="1680"/>
          <w:pgNumType w:start="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539" w:lineRule="exact" w:before="0"/>
        <w:ind w:left="123" w:right="124" w:firstLine="0"/>
        <w:jc w:val="center"/>
        <w:rPr>
          <w:rFonts w:ascii="宋体" w:hAnsi="宋体" w:cs="宋体" w:eastAsia="宋体" w:hint="default"/>
          <w:sz w:val="44"/>
          <w:szCs w:val="44"/>
        </w:rPr>
      </w:pPr>
      <w:r>
        <w:rPr>
          <w:rFonts w:ascii="宋体" w:hAnsi="宋体" w:cs="宋体" w:eastAsia="宋体" w:hint="default"/>
          <w:sz w:val="44"/>
          <w:szCs w:val="44"/>
        </w:rPr>
        <w:t>重要提示</w:t>
      </w:r>
    </w:p>
    <w:p>
      <w:pPr>
        <w:spacing w:line="240" w:lineRule="auto" w:before="0"/>
        <w:rPr>
          <w:rFonts w:ascii="宋体" w:hAnsi="宋体" w:cs="宋体" w:eastAsia="宋体" w:hint="default"/>
          <w:sz w:val="44"/>
          <w:szCs w:val="44"/>
        </w:rPr>
      </w:pPr>
    </w:p>
    <w:p>
      <w:pPr>
        <w:spacing w:line="240" w:lineRule="auto" w:before="6"/>
        <w:rPr>
          <w:rFonts w:ascii="宋体" w:hAnsi="宋体" w:cs="宋体" w:eastAsia="宋体" w:hint="default"/>
          <w:sz w:val="52"/>
          <w:szCs w:val="52"/>
        </w:rPr>
      </w:pPr>
    </w:p>
    <w:p>
      <w:pPr>
        <w:pStyle w:val="BodyText"/>
        <w:spacing w:line="463" w:lineRule="auto"/>
        <w:ind w:right="109"/>
        <w:jc w:val="left"/>
      </w:pPr>
      <w:r>
        <w:rPr>
          <w:rFonts w:ascii="Times New Roman" w:hAnsi="Times New Roman" w:cs="Times New Roman" w:eastAsia="Times New Roman" w:hint="default"/>
        </w:rPr>
        <w:t>1</w:t>
      </w:r>
      <w:r>
        <w:rPr/>
        <w:t>、本公司董事会、监事会及董事、监事、高级管理人员保证本报告所载资料不存在任何虚</w:t>
      </w:r>
      <w:r>
        <w:rPr>
          <w:w w:val="99"/>
        </w:rPr>
        <w:t> </w:t>
      </w:r>
      <w:r>
        <w:rPr>
          <w:spacing w:val="-2"/>
          <w:w w:val="95"/>
        </w:rPr>
        <w:t>假记载、误导性陈述或者重大遗漏，并对其内容的真实性、准确性和完整性承担个别及连带</w:t>
      </w:r>
      <w:r>
        <w:rPr>
          <w:spacing w:val="92"/>
          <w:w w:val="95"/>
        </w:rPr>
        <w:t> </w:t>
      </w:r>
      <w:r>
        <w:rPr>
          <w:spacing w:val="92"/>
          <w:w w:val="95"/>
        </w:rPr>
      </w:r>
      <w:r>
        <w:rPr/>
        <w:t>责任。</w:t>
      </w:r>
      <w:r>
        <w:rPr>
          <w:w w:val="99"/>
        </w:rPr>
        <w:t> </w:t>
      </w:r>
      <w:r>
        <w:rPr>
          <w:rFonts w:ascii="Times New Roman" w:hAnsi="Times New Roman" w:cs="Times New Roman" w:eastAsia="Times New Roman" w:hint="default"/>
        </w:rPr>
        <w:t>2</w:t>
      </w:r>
      <w:r>
        <w:rPr/>
        <w:t>、没有董事、监事、高级管理人员对年度报告内容的真实性、准确性、完整性无法保证或</w:t>
      </w:r>
      <w:r>
        <w:rPr>
          <w:w w:val="99"/>
        </w:rPr>
        <w:t> </w:t>
      </w:r>
      <w:r>
        <w:rPr/>
        <w:t>存在异议。</w:t>
      </w:r>
    </w:p>
    <w:p>
      <w:pPr>
        <w:pStyle w:val="BodyText"/>
        <w:spacing w:line="240" w:lineRule="auto" w:before="77"/>
        <w:ind w:right="109"/>
        <w:jc w:val="left"/>
      </w:pPr>
      <w:r>
        <w:rPr>
          <w:rFonts w:ascii="Times New Roman" w:hAnsi="Times New Roman" w:cs="Times New Roman" w:eastAsia="Times New Roman" w:hint="default"/>
        </w:rPr>
        <w:t>3</w:t>
      </w:r>
      <w:r>
        <w:rPr/>
        <w:t>、公司全体董事均亲自出席了本次审议年度报告的董事会。</w:t>
      </w:r>
    </w:p>
    <w:p>
      <w:pPr>
        <w:spacing w:line="240" w:lineRule="auto" w:before="5"/>
        <w:rPr>
          <w:rFonts w:ascii="宋体" w:hAnsi="宋体" w:cs="宋体" w:eastAsia="宋体" w:hint="default"/>
          <w:sz w:val="19"/>
          <w:szCs w:val="19"/>
        </w:rPr>
      </w:pPr>
    </w:p>
    <w:p>
      <w:pPr>
        <w:pStyle w:val="BodyText"/>
        <w:spacing w:line="240" w:lineRule="auto"/>
        <w:ind w:right="109"/>
        <w:jc w:val="left"/>
      </w:pPr>
      <w:r>
        <w:rPr>
          <w:rFonts w:ascii="Times New Roman" w:hAnsi="Times New Roman" w:cs="Times New Roman" w:eastAsia="Times New Roman" w:hint="default"/>
        </w:rPr>
        <w:t>4</w:t>
      </w:r>
      <w:r>
        <w:rPr/>
        <w:t>、深圳市鹏城会计师事务所有限公司为本公司出具了标准无保留意见的审计报告。</w:t>
      </w:r>
    </w:p>
    <w:p>
      <w:pPr>
        <w:spacing w:line="240" w:lineRule="auto" w:before="3"/>
        <w:rPr>
          <w:rFonts w:ascii="宋体" w:hAnsi="宋体" w:cs="宋体" w:eastAsia="宋体" w:hint="default"/>
          <w:sz w:val="19"/>
          <w:szCs w:val="19"/>
        </w:rPr>
      </w:pPr>
    </w:p>
    <w:p>
      <w:pPr>
        <w:pStyle w:val="BodyText"/>
        <w:spacing w:line="448" w:lineRule="auto"/>
        <w:ind w:right="109"/>
        <w:jc w:val="left"/>
      </w:pPr>
      <w:r>
        <w:rPr>
          <w:rFonts w:ascii="Times New Roman" w:hAnsi="Times New Roman" w:cs="Times New Roman" w:eastAsia="Times New Roman" w:hint="default"/>
        </w:rPr>
        <w:t>5</w:t>
      </w:r>
      <w:r>
        <w:rPr/>
        <w:t>、公司负责人刘冀鲁、主管会计工作负责人、会计机构负责人（会计主管人员）黄学春声</w:t>
      </w:r>
      <w:r>
        <w:rPr>
          <w:w w:val="99"/>
        </w:rPr>
        <w:t> </w:t>
      </w:r>
      <w:r>
        <w:rPr/>
        <w:t>明：保证年度报告中财务报告的真实、完整。</w:t>
      </w:r>
    </w:p>
    <w:p>
      <w:pPr>
        <w:spacing w:after="0" w:line="448"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539" w:lineRule="exact" w:before="0"/>
        <w:ind w:left="123" w:right="124" w:firstLine="0"/>
        <w:jc w:val="center"/>
        <w:rPr>
          <w:rFonts w:ascii="宋体" w:hAnsi="宋体" w:cs="宋体" w:eastAsia="宋体" w:hint="default"/>
          <w:sz w:val="44"/>
          <w:szCs w:val="44"/>
        </w:rPr>
      </w:pPr>
      <w:r>
        <w:rPr>
          <w:rFonts w:ascii="宋体" w:hAnsi="宋体" w:cs="宋体" w:eastAsia="宋体" w:hint="default"/>
          <w:sz w:val="44"/>
          <w:szCs w:val="44"/>
        </w:rPr>
        <w:t>目</w:t>
      </w:r>
      <w:r>
        <w:rPr>
          <w:rFonts w:ascii="宋体" w:hAnsi="宋体" w:cs="宋体" w:eastAsia="宋体" w:hint="default"/>
          <w:spacing w:val="-2"/>
          <w:sz w:val="44"/>
          <w:szCs w:val="44"/>
        </w:rPr>
        <w:t> </w:t>
      </w:r>
      <w:r>
        <w:rPr>
          <w:rFonts w:ascii="宋体" w:hAnsi="宋体" w:cs="宋体" w:eastAsia="宋体" w:hint="default"/>
          <w:sz w:val="44"/>
          <w:szCs w:val="44"/>
        </w:rPr>
        <w:t>录</w:t>
      </w:r>
    </w:p>
    <w:p>
      <w:pPr>
        <w:spacing w:line="240" w:lineRule="auto" w:before="0"/>
        <w:rPr>
          <w:rFonts w:ascii="宋体" w:hAnsi="宋体" w:cs="宋体" w:eastAsia="宋体" w:hint="default"/>
          <w:sz w:val="44"/>
          <w:szCs w:val="44"/>
        </w:rPr>
      </w:pPr>
    </w:p>
    <w:p>
      <w:pPr>
        <w:spacing w:line="240" w:lineRule="auto" w:before="12"/>
        <w:rPr>
          <w:rFonts w:ascii="宋体" w:hAnsi="宋体" w:cs="宋体" w:eastAsia="宋体" w:hint="default"/>
          <w:sz w:val="33"/>
          <w:szCs w:val="33"/>
        </w:rPr>
      </w:pPr>
    </w:p>
    <w:sdt>
      <w:sdtPr>
        <w:docPartObj>
          <w:docPartGallery w:val="Table of Contents"/>
          <w:docPartUnique/>
        </w:docPartObj>
      </w:sdtPr>
      <w:sdtEndPr/>
      <w:sdtContent>
        <w:p>
          <w:pPr>
            <w:pStyle w:val="TOC1"/>
            <w:tabs>
              <w:tab w:pos="8207" w:val="left" w:leader="dot"/>
            </w:tabs>
            <w:spacing w:line="240" w:lineRule="auto" w:before="0"/>
            <w:ind w:right="109"/>
            <w:jc w:val="left"/>
            <w:rPr>
              <w:rFonts w:ascii="Times New Roman" w:hAnsi="Times New Roman" w:cs="Times New Roman" w:eastAsia="Times New Roman" w:hint="default"/>
            </w:rPr>
          </w:pPr>
          <w:hyperlink w:history="true" w:anchor="_TOC_250009">
            <w:r>
              <w:rPr/>
              <w:t>第一节</w:t>
            </w:r>
            <w:r>
              <w:rPr>
                <w:spacing w:val="-1"/>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8207" w:val="left" w:leader="dot"/>
            </w:tabs>
            <w:spacing w:line="240" w:lineRule="auto"/>
            <w:ind w:right="109"/>
            <w:jc w:val="left"/>
            <w:rPr>
              <w:rFonts w:ascii="Times New Roman" w:hAnsi="Times New Roman" w:cs="Times New Roman" w:eastAsia="Times New Roman" w:hint="default"/>
            </w:rPr>
          </w:pPr>
          <w:hyperlink w:history="true" w:anchor="_TOC_250008">
            <w:r>
              <w:rPr/>
              <w:t>第二节</w:t>
            </w:r>
            <w:r>
              <w:rPr>
                <w:spacing w:val="-2"/>
              </w:rPr>
              <w:t> </w:t>
            </w:r>
            <w:r>
              <w:rPr/>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8207" w:val="left" w:leader="dot"/>
            </w:tabs>
            <w:spacing w:line="240" w:lineRule="auto"/>
            <w:ind w:right="109"/>
            <w:jc w:val="left"/>
            <w:rPr>
              <w:rFonts w:ascii="Times New Roman" w:hAnsi="Times New Roman" w:cs="Times New Roman" w:eastAsia="Times New Roman" w:hint="default"/>
            </w:rPr>
          </w:pPr>
          <w:hyperlink w:history="true" w:anchor="_TOC_250007">
            <w:r>
              <w:rPr/>
              <w:t>第三节</w:t>
            </w:r>
            <w:r>
              <w:rPr>
                <w:spacing w:val="-2"/>
              </w:rPr>
              <w:t> </w:t>
            </w:r>
            <w:r>
              <w:rPr/>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8207" w:val="left" w:leader="dot"/>
            </w:tabs>
            <w:spacing w:line="240" w:lineRule="auto"/>
            <w:ind w:right="0"/>
            <w:jc w:val="left"/>
            <w:rPr>
              <w:rFonts w:ascii="Times New Roman" w:hAnsi="Times New Roman" w:cs="Times New Roman" w:eastAsia="Times New Roman" w:hint="default"/>
            </w:rPr>
          </w:pPr>
          <w:r>
            <w:rPr/>
            <w:t>第四节</w:t>
          </w:r>
          <w:r>
            <w:rPr>
              <w:spacing w:val="-4"/>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w:t>
          </w:r>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6">
            <w:r>
              <w:rPr/>
              <w:t>第五节 公司治理结构</w:t>
            </w:r>
            <w:r>
              <w:rPr>
                <w:rFonts w:ascii="Times New Roman" w:hAnsi="Times New Roman" w:cs="Times New Roman" w:eastAsia="Times New Roman" w:hint="default"/>
              </w:rPr>
              <w:tab/>
            </w:r>
            <w:r>
              <w:rPr>
                <w:rFonts w:ascii="Times New Roman" w:hAnsi="Times New Roman" w:cs="Times New Roman" w:eastAsia="Times New Roman" w:hint="default"/>
              </w:rPr>
              <w:t>17</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1"/>
              </w:rPr>
              <w:t> </w:t>
            </w:r>
            <w:r>
              <w:rPr/>
              <w:t>股东大会情况简介</w:t>
            </w:r>
            <w:r>
              <w:rPr>
                <w:rFonts w:ascii="Times New Roman" w:hAnsi="Times New Roman" w:cs="Times New Roman" w:eastAsia="Times New Roman" w:hint="default"/>
              </w:rPr>
              <w:tab/>
            </w:r>
            <w:r>
              <w:rPr>
                <w:rFonts w:ascii="Times New Roman" w:hAnsi="Times New Roman" w:cs="Times New Roman" w:eastAsia="Times New Roman" w:hint="default"/>
              </w:rPr>
              <w:t>22</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25</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监事会报告</w:t>
            </w:r>
            <w:r>
              <w:rPr>
                <w:rFonts w:ascii="Times New Roman" w:hAnsi="Times New Roman" w:cs="Times New Roman" w:eastAsia="Times New Roman" w:hint="default"/>
              </w:rPr>
              <w:tab/>
            </w:r>
            <w:r>
              <w:rPr>
                <w:rFonts w:ascii="Times New Roman" w:hAnsi="Times New Roman" w:cs="Times New Roman" w:eastAsia="Times New Roman" w:hint="default"/>
              </w:rPr>
              <w:t>43</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2">
            <w:r>
              <w:rPr/>
              <w:t>第九节 重要事项</w:t>
            </w:r>
            <w:r>
              <w:rPr>
                <w:rFonts w:ascii="Times New Roman" w:hAnsi="Times New Roman" w:cs="Times New Roman" w:eastAsia="Times New Roman" w:hint="default"/>
              </w:rPr>
              <w:tab/>
            </w:r>
            <w:r>
              <w:rPr>
                <w:rFonts w:ascii="Times New Roman" w:hAnsi="Times New Roman" w:cs="Times New Roman" w:eastAsia="Times New Roman" w:hint="default"/>
              </w:rPr>
              <w:t>46</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r>
            <w:r>
              <w:rPr>
                <w:rFonts w:ascii="Times New Roman" w:hAnsi="Times New Roman" w:cs="Times New Roman" w:eastAsia="Times New Roman" w:hint="default"/>
              </w:rPr>
              <w:t>50</w:t>
            </w:r>
          </w:hyperlink>
        </w:p>
        <w:p>
          <w:pPr>
            <w:pStyle w:val="TOC1"/>
            <w:tabs>
              <w:tab w:pos="8102" w:val="lef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3"/>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132</w:t>
            </w:r>
          </w:hyperlink>
        </w:p>
      </w:sdtContent>
    </w:sdt>
    <w:p>
      <w:pPr>
        <w:spacing w:after="0" w:line="240" w:lineRule="auto"/>
        <w:jc w:val="left"/>
        <w:rPr>
          <w:rFonts w:ascii="Times New Roman" w:hAnsi="Times New Roman" w:cs="Times New Roman" w:eastAsia="Times New Roman" w:hint="default"/>
        </w:rPr>
        <w:sectPr>
          <w:pgSz w:w="11910" w:h="16840"/>
          <w:pgMar w:header="206" w:footer="738" w:top="940" w:bottom="920" w:left="1680" w:right="1680"/>
        </w:sectPr>
      </w:pPr>
    </w:p>
    <w:p>
      <w:pPr>
        <w:spacing w:line="240" w:lineRule="auto" w:before="9"/>
        <w:rPr>
          <w:rFonts w:ascii="Times New Roman" w:hAnsi="Times New Roman" w:cs="Times New Roman" w:eastAsia="Times New Roman" w:hint="default"/>
          <w:sz w:val="36"/>
          <w:szCs w:val="36"/>
        </w:rPr>
      </w:pPr>
    </w:p>
    <w:p>
      <w:pPr>
        <w:pStyle w:val="Heading1"/>
        <w:tabs>
          <w:tab w:pos="3932" w:val="left" w:leader="none"/>
        </w:tabs>
        <w:spacing w:line="240" w:lineRule="auto"/>
        <w:ind w:left="2173" w:right="229"/>
        <w:jc w:val="left"/>
      </w:pPr>
      <w:bookmarkStart w:name="_TOC_250009" w:id="1"/>
      <w:r>
        <w:rPr>
          <w:w w:val="95"/>
        </w:rPr>
        <w:t>第一节</w:t>
        <w:tab/>
      </w:r>
      <w:bookmarkEnd w:id="1"/>
      <w:r>
        <w:rPr/>
        <w:t>公司基本情况简介</w:t>
      </w:r>
    </w:p>
    <w:p>
      <w:pPr>
        <w:spacing w:line="240" w:lineRule="auto" w:before="8"/>
        <w:rPr>
          <w:rFonts w:ascii="宋体" w:hAnsi="宋体" w:cs="宋体" w:eastAsia="宋体" w:hint="default"/>
          <w:sz w:val="51"/>
          <w:szCs w:val="51"/>
        </w:rPr>
      </w:pPr>
    </w:p>
    <w:p>
      <w:pPr>
        <w:spacing w:line="348" w:lineRule="auto" w:before="0"/>
        <w:ind w:left="222" w:right="229" w:firstLine="0"/>
        <w:jc w:val="left"/>
        <w:rPr>
          <w:rFonts w:ascii="宋体" w:hAnsi="宋体" w:cs="宋体" w:eastAsia="宋体" w:hint="default"/>
          <w:sz w:val="21"/>
          <w:szCs w:val="21"/>
        </w:rPr>
      </w:pPr>
      <w:r>
        <w:rPr>
          <w:rFonts w:ascii="宋体" w:hAnsi="宋体" w:cs="宋体" w:eastAsia="宋体" w:hint="default"/>
          <w:sz w:val="24"/>
          <w:szCs w:val="24"/>
        </w:rPr>
        <w:t>一、公司法定中文名称：马鞍山鼎泰稀土新材料股份有限公司 </w:t>
      </w:r>
      <w:r>
        <w:rPr>
          <w:rFonts w:ascii="宋体" w:hAnsi="宋体" w:cs="宋体" w:eastAsia="宋体" w:hint="default"/>
          <w:sz w:val="21"/>
          <w:szCs w:val="21"/>
        </w:rPr>
        <w:t>公司法定英文名称：</w:t>
      </w:r>
      <w:r>
        <w:rPr>
          <w:rFonts w:ascii="Times New Roman" w:hAnsi="Times New Roman" w:cs="Times New Roman" w:eastAsia="Times New Roman" w:hint="default"/>
          <w:sz w:val="21"/>
          <w:szCs w:val="21"/>
        </w:rPr>
        <w:t>Maanshan Dingtai Rare Earth &amp; New Material Co.,</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公司中文名称缩写：鼎泰新材</w:t>
      </w:r>
    </w:p>
    <w:p>
      <w:pPr>
        <w:pStyle w:val="BodyText"/>
        <w:spacing w:line="240" w:lineRule="auto" w:before="38"/>
        <w:ind w:left="222" w:right="229"/>
        <w:jc w:val="left"/>
        <w:rPr>
          <w:rFonts w:ascii="Times New Roman" w:hAnsi="Times New Roman" w:cs="Times New Roman" w:eastAsia="Times New Roman" w:hint="default"/>
        </w:rPr>
      </w:pPr>
      <w:r>
        <w:rPr/>
        <w:t>公司英文名称缩写：</w:t>
      </w:r>
      <w:r>
        <w:rPr>
          <w:rFonts w:ascii="Times New Roman" w:hAnsi="Times New Roman" w:cs="Times New Roman" w:eastAsia="Times New Roman" w:hint="default"/>
        </w:rPr>
        <w:t>DINGTAI</w:t>
      </w:r>
    </w:p>
    <w:p>
      <w:pPr>
        <w:spacing w:line="240" w:lineRule="auto" w:before="0"/>
        <w:rPr>
          <w:rFonts w:ascii="Times New Roman" w:hAnsi="Times New Roman" w:cs="Times New Roman" w:eastAsia="Times New Roman" w:hint="default"/>
          <w:sz w:val="22"/>
          <w:szCs w:val="22"/>
        </w:rPr>
      </w:pPr>
    </w:p>
    <w:p>
      <w:pPr>
        <w:spacing w:line="240" w:lineRule="auto" w:before="4"/>
        <w:rPr>
          <w:rFonts w:ascii="Times New Roman" w:hAnsi="Times New Roman" w:cs="Times New Roman" w:eastAsia="Times New Roman" w:hint="default"/>
          <w:sz w:val="19"/>
          <w:szCs w:val="19"/>
        </w:rPr>
      </w:pPr>
    </w:p>
    <w:p>
      <w:pPr>
        <w:pStyle w:val="Heading3"/>
        <w:spacing w:line="240" w:lineRule="auto"/>
        <w:ind w:left="222" w:right="229"/>
        <w:jc w:val="left"/>
      </w:pPr>
      <w:r>
        <w:rPr/>
        <w:t>二、公司股票上市交易所：深圳证券交易所</w:t>
      </w:r>
    </w:p>
    <w:p>
      <w:pPr>
        <w:pStyle w:val="BodyText"/>
        <w:spacing w:line="357" w:lineRule="auto" w:before="155"/>
        <w:ind w:left="222" w:right="4994"/>
        <w:jc w:val="left"/>
        <w:rPr>
          <w:rFonts w:ascii="Times New Roman" w:hAnsi="Times New Roman" w:cs="Times New Roman" w:eastAsia="Times New Roman" w:hint="default"/>
        </w:rPr>
      </w:pPr>
      <w:r>
        <w:rPr/>
        <w:t>股票简称：鼎泰新材</w:t>
      </w:r>
      <w:r>
        <w:rPr>
          <w:w w:val="99"/>
        </w:rPr>
        <w:t> </w:t>
      </w:r>
      <w:r>
        <w:rPr/>
        <w:t>股票代码：</w:t>
      </w:r>
      <w:r>
        <w:rPr>
          <w:rFonts w:ascii="Times New Roman" w:hAnsi="Times New Roman" w:cs="Times New Roman" w:eastAsia="Times New Roman" w:hint="default"/>
        </w:rPr>
        <w:t>002352</w:t>
      </w:r>
    </w:p>
    <w:p>
      <w:pPr>
        <w:spacing w:line="240" w:lineRule="auto" w:before="5"/>
        <w:rPr>
          <w:rFonts w:ascii="Times New Roman" w:hAnsi="Times New Roman" w:cs="Times New Roman" w:eastAsia="Times New Roman" w:hint="default"/>
          <w:sz w:val="31"/>
          <w:szCs w:val="31"/>
        </w:rPr>
      </w:pPr>
    </w:p>
    <w:p>
      <w:pPr>
        <w:pStyle w:val="Heading3"/>
        <w:spacing w:line="240" w:lineRule="auto"/>
        <w:ind w:left="222" w:right="229"/>
        <w:jc w:val="left"/>
      </w:pPr>
      <w:r>
        <w:rPr/>
        <w:t>三、公司法定代表人：刘冀鲁</w:t>
      </w:r>
    </w:p>
    <w:p>
      <w:pPr>
        <w:spacing w:line="240" w:lineRule="auto" w:before="0"/>
        <w:rPr>
          <w:rFonts w:ascii="宋体" w:hAnsi="宋体" w:cs="宋体" w:eastAsia="宋体" w:hint="default"/>
          <w:sz w:val="24"/>
          <w:szCs w:val="24"/>
        </w:rPr>
      </w:pPr>
    </w:p>
    <w:p>
      <w:pPr>
        <w:pStyle w:val="Heading3"/>
        <w:spacing w:line="240" w:lineRule="auto" w:before="200"/>
        <w:ind w:left="222" w:right="229"/>
        <w:jc w:val="left"/>
      </w:pPr>
      <w:r>
        <w:rPr/>
        <w:t>四、公司注册及办公地址：安徽省马鞍山市当涂经济开发区</w:t>
      </w:r>
    </w:p>
    <w:p>
      <w:pPr>
        <w:pStyle w:val="BodyText"/>
        <w:spacing w:line="336" w:lineRule="auto" w:before="157"/>
        <w:ind w:left="222" w:right="4994"/>
        <w:jc w:val="left"/>
        <w:rPr>
          <w:rFonts w:ascii="Times New Roman" w:hAnsi="Times New Roman" w:cs="Times New Roman" w:eastAsia="Times New Roman" w:hint="default"/>
        </w:rPr>
      </w:pPr>
      <w:r>
        <w:rPr/>
        <w:t>邮政编码：</w:t>
      </w:r>
      <w:r>
        <w:rPr>
          <w:rFonts w:ascii="Times New Roman" w:hAnsi="Times New Roman" w:cs="Times New Roman" w:eastAsia="Times New Roman" w:hint="default"/>
        </w:rPr>
        <w:t>243100</w:t>
      </w:r>
      <w:r>
        <w:rPr>
          <w:rFonts w:ascii="Times New Roman" w:hAnsi="Times New Roman" w:cs="Times New Roman" w:eastAsia="Times New Roman" w:hint="default"/>
          <w:w w:val="99"/>
        </w:rPr>
        <w:t> </w:t>
      </w:r>
      <w:r>
        <w:rPr/>
        <w:t>公司互联网网址：</w:t>
      </w:r>
      <w:hyperlink r:id="rId8">
        <w:r>
          <w:rPr>
            <w:rFonts w:ascii="Times New Roman" w:hAnsi="Times New Roman" w:cs="Times New Roman" w:eastAsia="Times New Roman" w:hint="default"/>
          </w:rPr>
          <w:t>www.dingtaicn.com</w:t>
        </w:r>
      </w:hyperlink>
      <w:r>
        <w:rPr>
          <w:rFonts w:ascii="Times New Roman" w:hAnsi="Times New Roman" w:cs="Times New Roman" w:eastAsia="Times New Roman" w:hint="default"/>
          <w:w w:val="99"/>
        </w:rPr>
        <w:t> </w:t>
      </w:r>
      <w:r>
        <w:rPr/>
        <w:t>公司电子信箱：</w:t>
      </w:r>
      <w:r>
        <w:rPr>
          <w:spacing w:val="-12"/>
        </w:rPr>
        <w:t> </w:t>
      </w:r>
      <w:hyperlink r:id="rId9">
        <w:r>
          <w:rPr>
            <w:rFonts w:ascii="Times New Roman" w:hAnsi="Times New Roman" w:cs="Times New Roman" w:eastAsia="Times New Roman" w:hint="default"/>
          </w:rPr>
          <w:t>dtxc@dingtaicn.com</w:t>
        </w:r>
      </w:hyperlink>
    </w:p>
    <w:p>
      <w:pPr>
        <w:spacing w:line="240" w:lineRule="auto" w:before="0"/>
        <w:rPr>
          <w:rFonts w:ascii="Times New Roman" w:hAnsi="Times New Roman" w:cs="Times New Roman" w:eastAsia="Times New Roman" w:hint="default"/>
          <w:sz w:val="22"/>
          <w:szCs w:val="22"/>
        </w:rPr>
      </w:pPr>
    </w:p>
    <w:p>
      <w:pPr>
        <w:pStyle w:val="Heading3"/>
        <w:spacing w:line="240" w:lineRule="auto" w:before="130"/>
        <w:ind w:left="222" w:right="229"/>
        <w:jc w:val="left"/>
      </w:pPr>
      <w:r>
        <w:rPr/>
        <w:t>五、公司董事会秘书、证券事务代表</w:t>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531"/>
        <w:gridCol w:w="3809"/>
        <w:gridCol w:w="3182"/>
      </w:tblGrid>
      <w:tr>
        <w:trPr>
          <w:trHeight w:val="419" w:hRule="exact"/>
        </w:trPr>
        <w:tc>
          <w:tcPr>
            <w:tcW w:w="1531" w:type="dxa"/>
            <w:tcBorders>
              <w:top w:val="single" w:sz="4" w:space="0" w:color="000000"/>
              <w:left w:val="single" w:sz="4" w:space="0" w:color="000000"/>
              <w:bottom w:val="single" w:sz="4" w:space="0" w:color="000000"/>
              <w:right w:val="single" w:sz="4" w:space="0" w:color="000000"/>
            </w:tcBorders>
          </w:tcPr>
          <w:p>
            <w:pP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2"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姓</w:t>
              <w:tab/>
              <w:t>名</w:t>
            </w:r>
            <w:r>
              <w:rPr>
                <w:rFonts w:ascii="宋体" w:hAnsi="宋体" w:cs="宋体" w:eastAsia="宋体" w:hint="default"/>
                <w:sz w:val="21"/>
                <w:szCs w:val="21"/>
              </w:rPr>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杨涛</w:t>
            </w:r>
          </w:p>
        </w:tc>
      </w:tr>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1" w:lineRule="exact"/>
              <w:ind w:right="103"/>
              <w:jc w:val="right"/>
              <w:rPr>
                <w:rFonts w:ascii="宋体" w:hAnsi="宋体" w:cs="宋体" w:eastAsia="宋体" w:hint="default"/>
                <w:sz w:val="21"/>
                <w:szCs w:val="21"/>
              </w:rPr>
            </w:pPr>
            <w:r>
              <w:rPr>
                <w:rFonts w:ascii="宋体" w:hAnsi="宋体" w:cs="宋体" w:eastAsia="宋体" w:hint="default"/>
                <w:w w:val="95"/>
                <w:sz w:val="21"/>
                <w:szCs w:val="21"/>
              </w:rPr>
              <w:t>电</w:t>
              <w:tab/>
              <w:t>话</w:t>
            </w:r>
            <w:r>
              <w:rPr>
                <w:rFonts w:ascii="宋体" w:hAnsi="宋体" w:cs="宋体" w:eastAsia="宋体" w:hint="default"/>
                <w:sz w:val="21"/>
                <w:szCs w:val="21"/>
              </w:rPr>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0555-6615924</w:t>
            </w:r>
          </w:p>
        </w:tc>
      </w:tr>
      <w:tr>
        <w:trPr>
          <w:trHeight w:val="420"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联 系 地 </w:t>
            </w:r>
            <w:r>
              <w:rPr>
                <w:rFonts w:ascii="宋体" w:hAnsi="宋体" w:cs="宋体" w:eastAsia="宋体" w:hint="default"/>
                <w:spacing w:val="49"/>
                <w:sz w:val="21"/>
                <w:szCs w:val="21"/>
              </w:rPr>
              <w:t> </w:t>
            </w:r>
            <w:r>
              <w:rPr>
                <w:rFonts w:ascii="宋体" w:hAnsi="宋体" w:cs="宋体" w:eastAsia="宋体" w:hint="default"/>
                <w:sz w:val="21"/>
                <w:szCs w:val="21"/>
              </w:rPr>
              <w:t>址</w:t>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9" w:right="0"/>
              <w:jc w:val="left"/>
              <w:rPr>
                <w:rFonts w:ascii="宋体" w:hAnsi="宋体" w:cs="宋体" w:eastAsia="宋体" w:hint="default"/>
                <w:sz w:val="21"/>
                <w:szCs w:val="21"/>
              </w:rPr>
            </w:pPr>
            <w:r>
              <w:rPr>
                <w:rFonts w:ascii="宋体" w:hAnsi="宋体" w:cs="宋体" w:eastAsia="宋体" w:hint="default"/>
                <w:sz w:val="21"/>
                <w:szCs w:val="21"/>
              </w:rPr>
              <w:t>安徽省马鞍山市当涂工业园</w:t>
            </w:r>
          </w:p>
        </w:tc>
      </w:tr>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1" w:lineRule="exact"/>
              <w:ind w:right="103"/>
              <w:jc w:val="right"/>
              <w:rPr>
                <w:rFonts w:ascii="宋体" w:hAnsi="宋体" w:cs="宋体" w:eastAsia="宋体" w:hint="default"/>
                <w:sz w:val="21"/>
                <w:szCs w:val="21"/>
              </w:rPr>
            </w:pPr>
            <w:r>
              <w:rPr>
                <w:rFonts w:ascii="宋体" w:hAnsi="宋体" w:cs="宋体" w:eastAsia="宋体" w:hint="default"/>
                <w:w w:val="95"/>
                <w:sz w:val="21"/>
                <w:szCs w:val="21"/>
              </w:rPr>
              <w:t>传</w:t>
              <w:tab/>
              <w:t>真</w:t>
            </w:r>
            <w:r>
              <w:rPr>
                <w:rFonts w:ascii="宋体" w:hAnsi="宋体" w:cs="宋体" w:eastAsia="宋体" w:hint="default"/>
                <w:sz w:val="21"/>
                <w:szCs w:val="21"/>
              </w:rPr>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0555-2916511</w:t>
            </w:r>
          </w:p>
        </w:tc>
      </w:tr>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电 子 邮 </w:t>
            </w:r>
            <w:r>
              <w:rPr>
                <w:rFonts w:ascii="宋体" w:hAnsi="宋体" w:cs="宋体" w:eastAsia="宋体" w:hint="default"/>
                <w:spacing w:val="49"/>
                <w:sz w:val="21"/>
                <w:szCs w:val="21"/>
              </w:rPr>
              <w:t> </w:t>
            </w:r>
            <w:r>
              <w:rPr>
                <w:rFonts w:ascii="宋体" w:hAnsi="宋体" w:cs="宋体" w:eastAsia="宋体" w:hint="default"/>
                <w:sz w:val="21"/>
                <w:szCs w:val="21"/>
              </w:rPr>
              <w:t>箱</w:t>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21"/>
                <w:szCs w:val="21"/>
              </w:rPr>
            </w:pPr>
            <w:hyperlink r:id="rId9">
              <w:r>
                <w:rPr>
                  <w:rFonts w:ascii="Times New Roman"/>
                  <w:sz w:val="21"/>
                </w:rPr>
                <w:t>dtxc@dingtaicn.com</w:t>
              </w:r>
            </w:hyperlink>
          </w:p>
        </w:tc>
      </w:tr>
    </w:tbl>
    <w:p>
      <w:pPr>
        <w:spacing w:line="240" w:lineRule="auto" w:before="13"/>
        <w:rPr>
          <w:rFonts w:ascii="宋体" w:hAnsi="宋体" w:cs="宋体" w:eastAsia="宋体" w:hint="default"/>
          <w:sz w:val="22"/>
          <w:szCs w:val="22"/>
        </w:rPr>
      </w:pPr>
    </w:p>
    <w:p>
      <w:pPr>
        <w:spacing w:line="348" w:lineRule="auto" w:before="26"/>
        <w:ind w:left="222" w:right="229" w:firstLine="0"/>
        <w:jc w:val="left"/>
        <w:rPr>
          <w:rFonts w:ascii="宋体" w:hAnsi="宋体" w:cs="宋体" w:eastAsia="宋体" w:hint="default"/>
          <w:sz w:val="21"/>
          <w:szCs w:val="21"/>
        </w:rPr>
      </w:pPr>
      <w:r>
        <w:rPr>
          <w:rFonts w:ascii="宋体" w:hAnsi="宋体" w:cs="宋体" w:eastAsia="宋体" w:hint="default"/>
          <w:spacing w:val="-6"/>
          <w:sz w:val="24"/>
          <w:szCs w:val="24"/>
        </w:rPr>
        <w:t>六、公司选定的信息披露报纸：《证券时报》</w:t>
      </w:r>
      <w:r>
        <w:rPr>
          <w:rFonts w:ascii="宋体" w:hAnsi="宋体" w:cs="宋体" w:eastAsia="宋体" w:hint="default"/>
          <w:sz w:val="24"/>
          <w:szCs w:val="24"/>
        </w:rPr>
        <w:t> </w:t>
      </w:r>
      <w:r>
        <w:rPr>
          <w:rFonts w:ascii="宋体" w:hAnsi="宋体" w:cs="宋体" w:eastAsia="宋体" w:hint="default"/>
          <w:w w:val="95"/>
          <w:sz w:val="21"/>
          <w:szCs w:val="21"/>
        </w:rPr>
        <w:t>登载公司年度报告的中国证监会指定互联网网址：</w:t>
      </w:r>
      <w:hyperlink r:id="rId10">
        <w:r>
          <w:rPr>
            <w:rFonts w:ascii="Times New Roman" w:hAnsi="Times New Roman" w:cs="Times New Roman" w:eastAsia="Times New Roman" w:hint="default"/>
            <w:w w:val="95"/>
            <w:sz w:val="21"/>
            <w:szCs w:val="21"/>
          </w:rPr>
          <w:t>www.cninfo.com.cn</w:t>
        </w:r>
      </w:hyperlink>
      <w:r>
        <w:rPr>
          <w:rFonts w:ascii="Times New Roman" w:hAnsi="Times New Roman" w:cs="Times New Roman" w:eastAsia="Times New Roman" w:hint="default"/>
          <w:spacing w:val="38"/>
          <w:w w:val="95"/>
          <w:sz w:val="21"/>
          <w:szCs w:val="21"/>
        </w:rPr>
        <w:t> </w:t>
      </w:r>
      <w:r>
        <w:rPr>
          <w:rFonts w:ascii="Times New Roman" w:hAnsi="Times New Roman" w:cs="Times New Roman" w:eastAsia="Times New Roman" w:hint="default"/>
          <w:spacing w:val="38"/>
          <w:w w:val="95"/>
          <w:sz w:val="21"/>
          <w:szCs w:val="21"/>
        </w:rPr>
      </w:r>
      <w:r>
        <w:rPr>
          <w:rFonts w:ascii="宋体" w:hAnsi="宋体" w:cs="宋体" w:eastAsia="宋体" w:hint="default"/>
          <w:sz w:val="21"/>
          <w:szCs w:val="21"/>
        </w:rPr>
        <w:t>公司年度报告备置地点：公司证券事务部</w:t>
      </w:r>
    </w:p>
    <w:p>
      <w:pPr>
        <w:spacing w:line="240" w:lineRule="auto" w:before="0"/>
        <w:rPr>
          <w:rFonts w:ascii="宋体" w:hAnsi="宋体" w:cs="宋体" w:eastAsia="宋体" w:hint="default"/>
          <w:sz w:val="20"/>
          <w:szCs w:val="20"/>
        </w:rPr>
      </w:pPr>
    </w:p>
    <w:p>
      <w:pPr>
        <w:pStyle w:val="BodyText"/>
        <w:spacing w:line="348" w:lineRule="auto" w:before="135"/>
        <w:ind w:left="222" w:right="3904"/>
        <w:jc w:val="left"/>
      </w:pPr>
      <w:r>
        <w:rPr>
          <w:rFonts w:ascii="宋体" w:hAnsi="宋体" w:cs="宋体" w:eastAsia="宋体" w:hint="default"/>
          <w:sz w:val="24"/>
          <w:szCs w:val="24"/>
        </w:rPr>
        <w:t>七、其他有关资料 </w:t>
      </w:r>
      <w:r>
        <w:rPr/>
        <w:t>公司最近一次变更注册登记日期：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w:t>
      </w:r>
      <w:r>
        <w:rPr>
          <w:w w:val="99"/>
        </w:rPr>
        <w:t> </w:t>
      </w:r>
      <w:r>
        <w:rPr/>
        <w:t>公司注册登记地点：安徽省马鞍山市当涂工业园</w:t>
      </w:r>
    </w:p>
    <w:p>
      <w:pPr>
        <w:spacing w:after="0" w:line="348" w:lineRule="auto"/>
        <w:jc w:val="left"/>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6" w:lineRule="auto"/>
        <w:ind w:right="2541"/>
        <w:jc w:val="left"/>
      </w:pPr>
      <w:r>
        <w:rPr/>
        <w:t>税务登记号码：</w:t>
      </w:r>
      <w:r>
        <w:rPr>
          <w:rFonts w:ascii="Times New Roman" w:hAnsi="Times New Roman" w:cs="Times New Roman" w:eastAsia="Times New Roman" w:hint="default"/>
        </w:rPr>
        <w:t>340521150660397</w:t>
      </w:r>
      <w:r>
        <w:rPr>
          <w:rFonts w:ascii="Times New Roman" w:hAnsi="Times New Roman" w:cs="Times New Roman" w:eastAsia="Times New Roman" w:hint="default"/>
          <w:w w:val="99"/>
        </w:rPr>
        <w:t> </w:t>
      </w:r>
      <w:r>
        <w:rPr/>
        <w:t>企业法人营业执照号：</w:t>
      </w:r>
      <w:r>
        <w:rPr>
          <w:rFonts w:ascii="Times New Roman" w:hAnsi="Times New Roman" w:cs="Times New Roman" w:eastAsia="Times New Roman" w:hint="default"/>
        </w:rPr>
        <w:t>340521000002878</w:t>
      </w:r>
      <w:r>
        <w:rPr>
          <w:rFonts w:ascii="Times New Roman" w:hAnsi="Times New Roman" w:cs="Times New Roman" w:eastAsia="Times New Roman" w:hint="default"/>
          <w:w w:val="99"/>
        </w:rPr>
        <w:t> </w:t>
      </w:r>
      <w:r>
        <w:rPr/>
        <w:t>组织机构代码证：</w:t>
      </w:r>
      <w:r>
        <w:rPr>
          <w:rFonts w:ascii="Times New Roman" w:hAnsi="Times New Roman" w:cs="Times New Roman" w:eastAsia="Times New Roman" w:hint="default"/>
        </w:rPr>
        <w:t>15066039-7</w:t>
      </w:r>
      <w:r>
        <w:rPr>
          <w:rFonts w:ascii="Times New Roman" w:hAnsi="Times New Roman" w:cs="Times New Roman" w:eastAsia="Times New Roman" w:hint="default"/>
          <w:w w:val="99"/>
        </w:rPr>
        <w:t> </w:t>
      </w:r>
      <w:r>
        <w:rPr/>
        <w:t>公司聘请的会计事务所名称：深圳市鹏城会计师事务所有限公司</w:t>
      </w:r>
    </w:p>
    <w:p>
      <w:pPr>
        <w:pStyle w:val="BodyText"/>
        <w:spacing w:line="240" w:lineRule="auto" w:before="49"/>
        <w:ind w:right="109"/>
        <w:jc w:val="left"/>
      </w:pPr>
      <w:r>
        <w:rPr/>
        <w:t>会计师事务所办公地址：深圳市福田区滨河大道</w:t>
      </w:r>
      <w:r>
        <w:rPr>
          <w:spacing w:val="-55"/>
        </w:rPr>
        <w:t> </w:t>
      </w:r>
      <w:r>
        <w:rPr>
          <w:rFonts w:ascii="Times New Roman" w:hAnsi="Times New Roman" w:cs="Times New Roman" w:eastAsia="Times New Roman" w:hint="default"/>
        </w:rPr>
        <w:t>5022</w:t>
      </w:r>
      <w:r>
        <w:rPr>
          <w:rFonts w:ascii="Times New Roman" w:hAnsi="Times New Roman" w:cs="Times New Roman" w:eastAsia="Times New Roman" w:hint="default"/>
          <w:spacing w:val="-1"/>
        </w:rPr>
        <w:t> </w:t>
      </w:r>
      <w:r>
        <w:rPr/>
        <w:t>号联合广场</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座</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楼</w:t>
      </w:r>
    </w:p>
    <w:p>
      <w:pPr>
        <w:spacing w:after="0" w:line="240"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539" w:lineRule="exact"/>
        <w:ind w:left="1702" w:right="0"/>
        <w:jc w:val="left"/>
      </w:pPr>
      <w:bookmarkStart w:name="_TOC_250008" w:id="2"/>
      <w:r>
        <w:rPr/>
        <w:t>第二节</w:t>
      </w:r>
      <w:r>
        <w:rPr>
          <w:spacing w:val="-9"/>
        </w:rPr>
        <w:t> </w:t>
      </w:r>
      <w:bookmarkEnd w:id="2"/>
      <w:r>
        <w:rPr/>
        <w:t>会计数据和业务数据摘要</w:t>
      </w:r>
    </w:p>
    <w:p>
      <w:pPr>
        <w:spacing w:line="240" w:lineRule="auto" w:before="0"/>
        <w:rPr>
          <w:rFonts w:ascii="宋体" w:hAnsi="宋体" w:cs="宋体" w:eastAsia="宋体" w:hint="default"/>
          <w:sz w:val="44"/>
          <w:szCs w:val="44"/>
        </w:rPr>
      </w:pPr>
    </w:p>
    <w:p>
      <w:pPr>
        <w:spacing w:line="240" w:lineRule="auto" w:before="6"/>
        <w:rPr>
          <w:rFonts w:ascii="宋体" w:hAnsi="宋体" w:cs="宋体" w:eastAsia="宋体" w:hint="default"/>
          <w:sz w:val="35"/>
          <w:szCs w:val="35"/>
        </w:rPr>
      </w:pPr>
    </w:p>
    <w:p>
      <w:pPr>
        <w:pStyle w:val="Heading3"/>
        <w:spacing w:line="240" w:lineRule="auto"/>
        <w:ind w:left="742" w:right="0"/>
        <w:jc w:val="left"/>
      </w:pPr>
      <w:r>
        <w:rPr/>
        <w:t>一、 主要会计数据</w:t>
      </w:r>
    </w:p>
    <w:p>
      <w:pPr>
        <w:pStyle w:val="BodyText"/>
        <w:spacing w:line="240" w:lineRule="auto" w:before="155"/>
        <w:ind w:left="0" w:right="10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55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472,930,472.50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414,234,630.60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14.17%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392,935,737.87</w:t>
            </w:r>
            <w:r>
              <w:rPr>
                <w:rFonts w:ascii="Times New Roman"/>
                <w:sz w:val="21"/>
              </w:rPr>
            </w:r>
          </w:p>
        </w:tc>
      </w:tr>
      <w:tr>
        <w:trPr>
          <w:trHeight w:val="28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20"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27,620,489.80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48,864,260.04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-43.48%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45,242,270.43</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23,757,246.77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-42.99%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41,584,215.35</w:t>
            </w:r>
            <w:r>
              <w:rPr>
                <w:rFonts w:ascii="Times New Roman"/>
                <w:sz w:val="21"/>
              </w:rPr>
            </w:r>
          </w:p>
        </w:tc>
      </w:tr>
      <w:tr>
        <w:trPr>
          <w:trHeight w:val="109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20" w:right="115"/>
              <w:jc w:val="center"/>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w w:val="99"/>
                <w:sz w:val="21"/>
                <w:szCs w:val="21"/>
              </w:rPr>
              <w:t> </w:t>
            </w:r>
            <w:r>
              <w:rPr>
                <w:rFonts w:ascii="宋体" w:hAnsi="宋体" w:cs="宋体" w:eastAsia="宋体" w:hint="default"/>
                <w:sz w:val="21"/>
                <w:szCs w:val="21"/>
              </w:rPr>
              <w:t>常性损益的净利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23,956,788.53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41,511,275.48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-42.29%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37,806,786.07</w:t>
            </w:r>
            <w:r>
              <w:rPr>
                <w:rFonts w:ascii="Times New Roman"/>
                <w:sz w:val="21"/>
              </w:rPr>
            </w:r>
          </w:p>
        </w:tc>
      </w:tr>
      <w:tr>
        <w:trPr>
          <w:trHeight w:val="82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-78,828,157.21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11,786,159.37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-768.82%</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21,479,426.09</w:t>
            </w:r>
            <w:r>
              <w:rPr>
                <w:rFonts w:ascii="Times New Roman"/>
                <w:sz w:val="21"/>
              </w:rPr>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810,843,968.47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370,050,922.38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w w:val="95"/>
                <w:sz w:val="21"/>
              </w:rPr>
              <w:t>119.12%</w:t>
            </w:r>
            <w:r>
              <w:rPr>
                <w:rFonts w:ascii="Times New Roman"/>
                <w:spacing w:val="-1"/>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268,622,151.30</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434" w:right="115"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w w:val="99"/>
                <w:sz w:val="21"/>
                <w:szCs w:val="21"/>
              </w:rPr>
              <w:t> </w:t>
            </w:r>
            <w:r>
              <w:rPr>
                <w:rFonts w:ascii="宋体" w:hAnsi="宋体" w:cs="宋体" w:eastAsia="宋体" w:hint="default"/>
                <w:sz w:val="21"/>
                <w:szCs w:val="21"/>
              </w:rPr>
              <w:t>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716,051,579.41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156,488,916.78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357.57%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126,480,809.89</w:t>
            </w:r>
            <w:r>
              <w:rPr>
                <w:rFonts w:ascii="Times New Roman"/>
                <w:sz w:val="21"/>
              </w:rPr>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8" w:lineRule="exact"/>
              <w:ind w:left="328"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33.43%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before="26"/>
        <w:ind w:left="742" w:right="0"/>
        <w:jc w:val="left"/>
      </w:pPr>
      <w:r>
        <w:rPr/>
        <w:t>二、 主要财务指标</w:t>
      </w:r>
    </w:p>
    <w:p>
      <w:pPr>
        <w:spacing w:line="240" w:lineRule="auto" w:before="6"/>
        <w:rPr>
          <w:rFonts w:ascii="宋体" w:hAnsi="宋体" w:cs="宋体" w:eastAsia="宋体" w:hint="default"/>
          <w:sz w:val="9"/>
          <w:szCs w:val="9"/>
        </w:rPr>
      </w:pPr>
    </w:p>
    <w:p>
      <w:pPr>
        <w:pStyle w:val="BodyText"/>
        <w:spacing w:line="240" w:lineRule="auto" w:before="34"/>
        <w:ind w:left="0" w:right="10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287"/>
        <w:gridCol w:w="1925"/>
        <w:gridCol w:w="1922"/>
        <w:gridCol w:w="1769"/>
        <w:gridCol w:w="1925"/>
      </w:tblGrid>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w w:val="95"/>
                <w:sz w:val="21"/>
                <w:szCs w:val="21"/>
              </w:rPr>
              <w:t>基本每股收益（元</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-54.93%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w w:val="95"/>
                <w:sz w:val="21"/>
                <w:szCs w:val="21"/>
              </w:rPr>
              <w:t>稀释每股收益（元</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-54.93%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r>
      <w:tr>
        <w:trPr>
          <w:trHeight w:val="827"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3" w:right="223"/>
              <w:jc w:val="left"/>
              <w:rPr>
                <w:rFonts w:ascii="宋体" w:hAnsi="宋体" w:cs="宋体" w:eastAsia="宋体" w:hint="default"/>
                <w:sz w:val="21"/>
                <w:szCs w:val="21"/>
              </w:rPr>
            </w:pPr>
            <w:r>
              <w:rPr>
                <w:rFonts w:ascii="宋体" w:hAnsi="宋体" w:cs="宋体" w:eastAsia="宋体" w:hint="default"/>
                <w:sz w:val="21"/>
                <w:szCs w:val="21"/>
              </w:rPr>
              <w:t>的基本每股收益（元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-54.93%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0.65</w:t>
            </w:r>
            <w:r>
              <w:rPr>
                <w:rFonts w:ascii="Times New Roman"/>
                <w:sz w:val="21"/>
              </w:rPr>
            </w: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3.74%</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30.29%</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-26.55%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39.35%</w:t>
            </w:r>
            <w:r>
              <w:rPr>
                <w:rFonts w:ascii="Times New Roman"/>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的加权平均净资产收</w:t>
            </w:r>
            <w:r>
              <w:rPr>
                <w:rFonts w:ascii="宋体" w:hAnsi="宋体" w:cs="宋体" w:eastAsia="宋体" w:hint="default"/>
                <w:w w:val="99"/>
                <w:sz w:val="21"/>
                <w:szCs w:val="21"/>
              </w:rPr>
              <w:t> </w:t>
            </w: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3.77%</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30.17%</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-26.40%</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35.77%</w:t>
            </w:r>
            <w:r>
              <w:rPr>
                <w:rFonts w:ascii="Times New Roman"/>
                <w:sz w:val="21"/>
              </w:rPr>
            </w: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-1.01</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0.20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-605.00%</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0.37</w:t>
            </w:r>
            <w:r>
              <w:rPr>
                <w:rFonts w:ascii="Times New Roman"/>
                <w:sz w:val="21"/>
              </w:rPr>
            </w:r>
          </w:p>
        </w:tc>
      </w:tr>
      <w:tr>
        <w:trPr>
          <w:trHeight w:val="28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w w:val="95"/>
                <w:sz w:val="21"/>
                <w:szCs w:val="21"/>
              </w:rPr>
              <w:t>本年末比上年末</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bl>
    <w:p>
      <w:pPr>
        <w:spacing w:after="0" w:line="257" w:lineRule="exact"/>
        <w:jc w:val="left"/>
        <w:rPr>
          <w:rFonts w:ascii="宋体" w:hAnsi="宋体" w:cs="宋体" w:eastAsia="宋体" w:hint="default"/>
          <w:sz w:val="21"/>
          <w:szCs w:val="21"/>
        </w:rPr>
        <w:sectPr>
          <w:pgSz w:w="11910" w:h="16840"/>
          <w:pgMar w:header="206" w:footer="738" w:top="940" w:bottom="920" w:left="1060" w:right="7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287"/>
        <w:gridCol w:w="1925"/>
        <w:gridCol w:w="1922"/>
        <w:gridCol w:w="1769"/>
        <w:gridCol w:w="1925"/>
      </w:tblGrid>
      <w:tr>
        <w:trPr>
          <w:trHeight w:val="281"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9.20</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2.68</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04" w:right="0"/>
              <w:jc w:val="left"/>
              <w:rPr>
                <w:rFonts w:ascii="Times New Roman" w:hAnsi="Times New Roman" w:cs="Times New Roman" w:eastAsia="Times New Roman" w:hint="default"/>
                <w:sz w:val="21"/>
                <w:szCs w:val="21"/>
              </w:rPr>
            </w:pPr>
            <w:r>
              <w:rPr>
                <w:rFonts w:ascii="Times New Roman"/>
                <w:sz w:val="21"/>
              </w:rPr>
              <w:t>243.28%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2.17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before="26"/>
        <w:ind w:left="742" w:right="0"/>
        <w:jc w:val="left"/>
      </w:pPr>
      <w:r>
        <w:rPr/>
        <w:t>三、 非经常性损益项目</w:t>
      </w:r>
    </w:p>
    <w:p>
      <w:pPr>
        <w:spacing w:line="240" w:lineRule="auto" w:before="6"/>
        <w:rPr>
          <w:rFonts w:ascii="宋体" w:hAnsi="宋体" w:cs="宋体" w:eastAsia="宋体" w:hint="default"/>
          <w:sz w:val="9"/>
          <w:szCs w:val="9"/>
        </w:rPr>
      </w:pPr>
    </w:p>
    <w:p>
      <w:pPr>
        <w:pStyle w:val="BodyText"/>
        <w:spacing w:line="240" w:lineRule="auto" w:before="34"/>
        <w:ind w:left="0" w:right="10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5201"/>
        <w:gridCol w:w="2599"/>
        <w:gridCol w:w="2028"/>
      </w:tblGrid>
      <w:tr>
        <w:trPr>
          <w:trHeight w:val="418"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5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3"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w:t>
            </w:r>
          </w:p>
          <w:p>
            <w:pPr>
              <w:pStyle w:val="TableParagraph"/>
              <w:spacing w:line="272" w:lineRule="exact" w:before="26"/>
              <w:ind w:left="105" w:right="101"/>
              <w:jc w:val="left"/>
              <w:rPr>
                <w:rFonts w:ascii="宋体" w:hAnsi="宋体" w:cs="宋体" w:eastAsia="宋体" w:hint="default"/>
                <w:sz w:val="21"/>
                <w:szCs w:val="21"/>
              </w:rPr>
            </w:pPr>
            <w:r>
              <w:rPr>
                <w:rFonts w:ascii="宋体" w:hAnsi="宋体" w:cs="宋体" w:eastAsia="宋体" w:hint="default"/>
                <w:spacing w:val="-2"/>
                <w:w w:val="95"/>
                <w:sz w:val="21"/>
                <w:szCs w:val="21"/>
              </w:rPr>
              <w:t>相关，符合国家政策规定、按照一定标准定额或定量持</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续享受的政府补助除外</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-485,951.80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35,213.25</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-199,541.76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206" w:footer="738" w:top="940" w:bottom="920" w:left="106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4072" w:val="left" w:leader="none"/>
        </w:tabs>
        <w:spacing w:line="539" w:lineRule="exact"/>
        <w:ind w:left="2313" w:right="0"/>
        <w:jc w:val="left"/>
      </w:pPr>
      <w:bookmarkStart w:name="_TOC_250007" w:id="3"/>
      <w:r>
        <w:rPr>
          <w:w w:val="95"/>
        </w:rPr>
        <w:t>第三节</w:t>
        <w:tab/>
      </w:r>
      <w:bookmarkEnd w:id="3"/>
      <w:r>
        <w:rPr/>
        <w:t>股本变动及股东情况</w:t>
      </w:r>
    </w:p>
    <w:p>
      <w:pPr>
        <w:spacing w:line="240" w:lineRule="auto" w:before="8"/>
        <w:rPr>
          <w:rFonts w:ascii="宋体" w:hAnsi="宋体" w:cs="宋体" w:eastAsia="宋体" w:hint="default"/>
          <w:sz w:val="51"/>
          <w:szCs w:val="51"/>
        </w:rPr>
      </w:pPr>
    </w:p>
    <w:p>
      <w:pPr>
        <w:pStyle w:val="Heading3"/>
        <w:spacing w:line="240" w:lineRule="auto"/>
        <w:ind w:left="1022" w:right="0"/>
        <w:jc w:val="left"/>
      </w:pPr>
      <w:r>
        <w:rPr/>
        <w:t>一、报告期内股本变动情况</w:t>
      </w:r>
    </w:p>
    <w:p>
      <w:pPr>
        <w:spacing w:line="240" w:lineRule="auto" w:before="6"/>
        <w:rPr>
          <w:rFonts w:ascii="宋体" w:hAnsi="宋体" w:cs="宋体" w:eastAsia="宋体" w:hint="default"/>
          <w:sz w:val="9"/>
          <w:szCs w:val="9"/>
        </w:rPr>
      </w:pPr>
    </w:p>
    <w:p>
      <w:pPr>
        <w:pStyle w:val="BodyText"/>
        <w:spacing w:line="240" w:lineRule="auto" w:before="34"/>
        <w:ind w:left="1442" w:right="0"/>
        <w:jc w:val="left"/>
      </w:pPr>
      <w:r>
        <w:rPr/>
        <w:t>1、股份变动情况表：</w:t>
      </w:r>
    </w:p>
    <w:p>
      <w:pPr>
        <w:pStyle w:val="BodyText"/>
        <w:spacing w:line="240" w:lineRule="auto" w:before="133"/>
        <w:ind w:left="0" w:right="808"/>
        <w:jc w:val="right"/>
      </w:pPr>
      <w:r>
        <w:rPr>
          <w:w w:val="95"/>
        </w:rPr>
        <w:t>（单位：股）</w:t>
      </w:r>
      <w:r>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639"/>
        <w:gridCol w:w="910"/>
        <w:gridCol w:w="910"/>
        <w:gridCol w:w="910"/>
        <w:gridCol w:w="910"/>
        <w:gridCol w:w="910"/>
        <w:gridCol w:w="912"/>
        <w:gridCol w:w="910"/>
        <w:gridCol w:w="910"/>
        <w:gridCol w:w="910"/>
      </w:tblGrid>
      <w:tr>
        <w:trPr>
          <w:trHeight w:val="283" w:hRule="exact"/>
        </w:trPr>
        <w:tc>
          <w:tcPr>
            <w:tcW w:w="1639" w:type="dxa"/>
            <w:vMerge w:val="restart"/>
            <w:tcBorders>
              <w:top w:val="single" w:sz="4" w:space="0" w:color="000000"/>
              <w:left w:val="single" w:sz="4" w:space="0" w:color="000000"/>
              <w:right w:val="single" w:sz="4" w:space="0" w:color="000000"/>
            </w:tcBorders>
            <w:shd w:val="clear" w:color="auto" w:fill="DBDBDB"/>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2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9" w:type="dxa"/>
            <w:vMerge/>
            <w:tcBorders>
              <w:left w:val="single" w:sz="4" w:space="0" w:color="000000"/>
              <w:bottom w:val="single" w:sz="4" w:space="0" w:color="000000"/>
              <w:right w:val="single" w:sz="4" w:space="0" w:color="000000"/>
            </w:tcBorders>
            <w:shd w:val="clear" w:color="auto" w:fill="DBDBDB"/>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一、有限售条件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9" w:right="0"/>
              <w:jc w:val="center"/>
              <w:rPr>
                <w:rFonts w:ascii="Times New Roman" w:hAnsi="Times New Roman" w:cs="Times New Roman" w:eastAsia="Times New Roman" w:hint="default"/>
                <w:sz w:val="21"/>
                <w:szCs w:val="21"/>
              </w:rPr>
            </w:pPr>
            <w:r>
              <w:rPr>
                <w:rFonts w:ascii="Times New Roman"/>
                <w:sz w:val="21"/>
              </w:rPr>
              <w:t>74.95%</w:t>
            </w: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9" w:right="0"/>
              <w:jc w:val="center"/>
              <w:rPr>
                <w:rFonts w:ascii="Times New Roman" w:hAnsi="Times New Roman" w:cs="Times New Roman" w:eastAsia="Times New Roman" w:hint="default"/>
                <w:sz w:val="21"/>
                <w:szCs w:val="21"/>
              </w:rPr>
            </w:pPr>
            <w:r>
              <w:rPr>
                <w:rFonts w:ascii="Times New Roman"/>
                <w:sz w:val="21"/>
              </w:rPr>
              <w:t>74.95%</w:t>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0" w:lineRule="auto" w:before="1"/>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9" w:right="0"/>
              <w:jc w:val="center"/>
              <w:rPr>
                <w:rFonts w:ascii="Times New Roman" w:hAnsi="Times New Roman" w:cs="Times New Roman" w:eastAsia="Times New Roman" w:hint="default"/>
                <w:sz w:val="21"/>
                <w:szCs w:val="21"/>
              </w:rPr>
            </w:pPr>
            <w:r>
              <w:rPr>
                <w:rFonts w:ascii="Times New Roman"/>
                <w:sz w:val="21"/>
              </w:rPr>
              <w:t>74.95%</w:t>
            </w: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28"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二、无限售条件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0"/>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0"/>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0"/>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9" w:right="0"/>
              <w:jc w:val="center"/>
              <w:rPr>
                <w:rFonts w:ascii="Times New Roman" w:hAnsi="Times New Roman" w:cs="Times New Roman" w:eastAsia="Times New Roman" w:hint="default"/>
                <w:sz w:val="21"/>
                <w:szCs w:val="21"/>
              </w:rPr>
            </w:pPr>
            <w:r>
              <w:rPr>
                <w:rFonts w:ascii="Times New Roman"/>
                <w:sz w:val="21"/>
              </w:rPr>
              <w:t>25.05%</w:t>
            </w:r>
          </w:p>
        </w:tc>
      </w:tr>
      <w:tr>
        <w:trPr>
          <w:trHeight w:val="55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9" w:right="0"/>
              <w:jc w:val="center"/>
              <w:rPr>
                <w:rFonts w:ascii="Times New Roman" w:hAnsi="Times New Roman" w:cs="Times New Roman" w:eastAsia="Times New Roman" w:hint="default"/>
                <w:sz w:val="21"/>
                <w:szCs w:val="21"/>
              </w:rPr>
            </w:pPr>
            <w:r>
              <w:rPr>
                <w:rFonts w:ascii="Times New Roman"/>
                <w:sz w:val="21"/>
              </w:rPr>
              <w:t>25.05%</w:t>
            </w:r>
          </w:p>
        </w:tc>
      </w:tr>
      <w:tr>
        <w:trPr>
          <w:trHeight w:val="55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68" w:right="0"/>
              <w:jc w:val="left"/>
              <w:rPr>
                <w:rFonts w:ascii="Times New Roman" w:hAnsi="Times New Roman" w:cs="Times New Roman" w:eastAsia="Times New Roman" w:hint="default"/>
                <w:sz w:val="21"/>
                <w:szCs w:val="21"/>
              </w:rPr>
            </w:pPr>
            <w:r>
              <w:rPr>
                <w:rFonts w:ascii="Times New Roman"/>
                <w:sz w:val="21"/>
              </w:rPr>
              <w:t>58,330,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68" w:right="0"/>
              <w:jc w:val="left"/>
              <w:rPr>
                <w:rFonts w:ascii="Times New Roman" w:hAnsi="Times New Roman" w:cs="Times New Roman" w:eastAsia="Times New Roman" w:hint="default"/>
                <w:sz w:val="21"/>
                <w:szCs w:val="21"/>
              </w:rPr>
            </w:pPr>
            <w:r>
              <w:rPr>
                <w:rFonts w:ascii="Times New Roman"/>
                <w:sz w:val="21"/>
              </w:rPr>
              <w:t>19,500,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left="168" w:right="0"/>
              <w:jc w:val="left"/>
              <w:rPr>
                <w:rFonts w:ascii="Times New Roman" w:hAnsi="Times New Roman" w:cs="Times New Roman" w:eastAsia="Times New Roman" w:hint="default"/>
                <w:sz w:val="21"/>
                <w:szCs w:val="21"/>
              </w:rPr>
            </w:pPr>
            <w:r>
              <w:rPr>
                <w:rFonts w:ascii="Times New Roman"/>
                <w:sz w:val="21"/>
              </w:rPr>
              <w:t>77,830,</w:t>
            </w:r>
          </w:p>
          <w:p>
            <w:pPr>
              <w:pStyle w:val="TableParagraph"/>
              <w:spacing w:line="241" w:lineRule="exact"/>
              <w:ind w:left="482" w:right="0"/>
              <w:jc w:val="left"/>
              <w:rPr>
                <w:rFonts w:ascii="Times New Roman" w:hAnsi="Times New Roman" w:cs="Times New Roman" w:eastAsia="Times New Roman" w:hint="default"/>
                <w:sz w:val="21"/>
                <w:szCs w:val="21"/>
              </w:rPr>
            </w:pPr>
            <w:r>
              <w:rPr>
                <w:rFonts w:ascii="Times New Roman"/>
                <w:sz w:val="21"/>
              </w:rPr>
              <w:t>780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42" w:right="0"/>
        <w:jc w:val="left"/>
      </w:pPr>
      <w:r>
        <w:rPr/>
        <w:t>2、限售股份变动情况表</w:t>
      </w:r>
    </w:p>
    <w:p>
      <w:pPr>
        <w:pStyle w:val="BodyText"/>
        <w:spacing w:line="240" w:lineRule="auto" w:before="133"/>
        <w:ind w:left="0" w:right="901"/>
        <w:jc w:val="right"/>
      </w:pPr>
      <w:r>
        <w:rPr>
          <w:w w:val="95"/>
        </w:rPr>
        <w:t>（单位：股）</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307" w:type="dxa"/>
        <w:tblLayout w:type="fixed"/>
        <w:tblCellMar>
          <w:top w:w="0" w:type="dxa"/>
          <w:left w:w="0" w:type="dxa"/>
          <w:bottom w:w="0" w:type="dxa"/>
          <w:right w:w="0" w:type="dxa"/>
        </w:tblCellMar>
        <w:tblLook w:val="01E0"/>
      </w:tblPr>
      <w:tblGrid>
        <w:gridCol w:w="1366"/>
        <w:gridCol w:w="1546"/>
        <w:gridCol w:w="1183"/>
        <w:gridCol w:w="1291"/>
        <w:gridCol w:w="1380"/>
        <w:gridCol w:w="1334"/>
        <w:gridCol w:w="1694"/>
      </w:tblGrid>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1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53"/>
              <w:jc w:val="right"/>
              <w:rPr>
                <w:rFonts w:ascii="宋体" w:hAnsi="宋体" w:cs="宋体" w:eastAsia="宋体" w:hint="default"/>
                <w:sz w:val="21"/>
                <w:szCs w:val="21"/>
              </w:rPr>
            </w:pPr>
            <w:r>
              <w:rPr>
                <w:rFonts w:ascii="宋体" w:hAnsi="宋体" w:cs="宋体" w:eastAsia="宋体" w:hint="default"/>
                <w:w w:val="95"/>
                <w:sz w:val="21"/>
                <w:szCs w:val="21"/>
              </w:rPr>
              <w:t>年末限售股数</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sz w:val="21"/>
              </w:rPr>
              <w:t>35,908,113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w w:val="95"/>
                <w:sz w:val="21"/>
              </w:rPr>
              <w:t>35,908,113</w:t>
            </w:r>
            <w:r>
              <w:rPr>
                <w:rFonts w:ascii="Times New Roman"/>
                <w:spacing w:val="-1"/>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1910" w:h="16840"/>
          <w:pgMar w:header="206" w:footer="738" w:top="940" w:bottom="920" w:left="7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47" w:type="dxa"/>
        <w:tblLayout w:type="fixed"/>
        <w:tblCellMar>
          <w:top w:w="0" w:type="dxa"/>
          <w:left w:w="0" w:type="dxa"/>
          <w:bottom w:w="0" w:type="dxa"/>
          <w:right w:w="0" w:type="dxa"/>
        </w:tblCellMar>
        <w:tblLook w:val="01E0"/>
      </w:tblPr>
      <w:tblGrid>
        <w:gridCol w:w="1366"/>
        <w:gridCol w:w="1543"/>
        <w:gridCol w:w="1186"/>
        <w:gridCol w:w="1291"/>
        <w:gridCol w:w="1380"/>
        <w:gridCol w:w="1334"/>
        <w:gridCol w:w="1694"/>
      </w:tblGrid>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喻</w:t>
              <w:tab/>
            </w:r>
            <w:r>
              <w:rPr>
                <w:rFonts w:ascii="宋体" w:hAnsi="宋体" w:cs="宋体" w:eastAsia="宋体" w:hint="default"/>
                <w:sz w:val="21"/>
                <w:szCs w:val="21"/>
              </w:rPr>
              <w:t>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2"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赵</w:t>
              <w:tab/>
            </w:r>
            <w:r>
              <w:rPr>
                <w:rFonts w:ascii="宋体" w:hAnsi="宋体" w:cs="宋体" w:eastAsia="宋体" w:hint="default"/>
                <w:sz w:val="21"/>
                <w:szCs w:val="21"/>
              </w:rPr>
              <w:t>明</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陆</w:t>
              <w:tab/>
            </w:r>
            <w:r>
              <w:rPr>
                <w:rFonts w:ascii="宋体" w:hAnsi="宋体" w:cs="宋体" w:eastAsia="宋体" w:hint="default"/>
                <w:sz w:val="21"/>
                <w:szCs w:val="21"/>
              </w:rPr>
              <w:t>江</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58,330,780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58,330,780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pStyle w:val="Heading3"/>
        <w:spacing w:line="240" w:lineRule="auto" w:before="185"/>
        <w:ind w:left="862" w:right="0"/>
        <w:jc w:val="left"/>
      </w:pPr>
      <w:r>
        <w:rPr/>
        <w:t>二、证券发行与上市情况</w:t>
      </w:r>
    </w:p>
    <w:p>
      <w:pPr>
        <w:pStyle w:val="BodyText"/>
        <w:spacing w:line="338" w:lineRule="auto" w:before="155"/>
        <w:ind w:left="1282"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、到报告期末为止的前</w:t>
      </w:r>
      <w:r>
        <w:rPr>
          <w:rFonts w:ascii="Times New Roman" w:hAnsi="Times New Roman" w:cs="Times New Roman" w:eastAsia="Times New Roman" w:hint="default"/>
        </w:rPr>
        <w:t>3</w:t>
      </w:r>
      <w:r>
        <w:rPr/>
        <w:t>年历次证券发行情况</w:t>
      </w:r>
      <w:r>
        <w:rPr>
          <w:w w:val="99"/>
        </w:rPr>
        <w:t> </w:t>
      </w:r>
      <w:r>
        <w:rPr>
          <w:spacing w:val="3"/>
        </w:rPr>
        <w:t>经中国证券监督管理委员会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[2010]41</w:t>
      </w:r>
      <w:r>
        <w:rPr>
          <w:spacing w:val="3"/>
        </w:rPr>
        <w:t>号</w:t>
      </w:r>
      <w:r>
        <w:rPr>
          <w:rFonts w:ascii="Times New Roman" w:hAnsi="Times New Roman" w:cs="Times New Roman" w:eastAsia="Times New Roman" w:hint="default"/>
          <w:spacing w:val="3"/>
        </w:rPr>
        <w:t>”</w:t>
      </w:r>
      <w:r>
        <w:rPr>
          <w:spacing w:val="3"/>
        </w:rPr>
        <w:t>文核准，本公司首次公开发行</w:t>
      </w:r>
      <w:r>
        <w:rPr>
          <w:spacing w:val="-99"/>
        </w:rPr>
        <w:t> </w:t>
      </w:r>
      <w:r>
        <w:rPr>
          <w:rFonts w:ascii="Times New Roman" w:hAnsi="Times New Roman" w:cs="Times New Roman" w:eastAsia="Times New Roman" w:hint="default"/>
        </w:rPr>
        <w:t>1,950</w:t>
      </w:r>
    </w:p>
    <w:p>
      <w:pPr>
        <w:pStyle w:val="BodyText"/>
        <w:spacing w:line="355" w:lineRule="auto" w:before="22"/>
        <w:ind w:left="1282" w:right="0" w:hanging="420"/>
        <w:jc w:val="left"/>
      </w:pPr>
      <w:r>
        <w:rPr/>
        <w:t>万股人民币普通股股票。</w:t>
      </w:r>
      <w:r>
        <w:rPr>
          <w:w w:val="99"/>
        </w:rPr>
        <w:t> </w:t>
      </w:r>
      <w:r>
        <w:rPr>
          <w:spacing w:val="-1"/>
          <w:w w:val="95"/>
        </w:rPr>
        <w:t>本次发行采用网下向配售对象询价配售（以下简称</w:t>
      </w:r>
      <w:r>
        <w:rPr>
          <w:rFonts w:ascii="Times New Roman" w:hAnsi="Times New Roman" w:cs="Times New Roman" w:eastAsia="Times New Roman" w:hint="default"/>
          <w:spacing w:val="-1"/>
          <w:w w:val="95"/>
        </w:rPr>
        <w:t>“</w:t>
      </w:r>
      <w:r>
        <w:rPr>
          <w:spacing w:val="-1"/>
          <w:w w:val="95"/>
        </w:rPr>
        <w:t>网下发行</w:t>
      </w:r>
      <w:r>
        <w:rPr>
          <w:rFonts w:ascii="Times New Roman" w:hAnsi="Times New Roman" w:cs="Times New Roman" w:eastAsia="Times New Roman" w:hint="default"/>
          <w:spacing w:val="-1"/>
          <w:w w:val="95"/>
        </w:rPr>
        <w:t>”</w:t>
      </w:r>
      <w:r>
        <w:rPr>
          <w:spacing w:val="-1"/>
          <w:w w:val="95"/>
        </w:rPr>
        <w:t>）与网上资金申购定价发</w:t>
      </w:r>
      <w:r>
        <w:rPr>
          <w:spacing w:val="-1"/>
        </w:rPr>
      </w:r>
    </w:p>
    <w:p>
      <w:pPr>
        <w:pStyle w:val="BodyText"/>
        <w:spacing w:line="336" w:lineRule="auto" w:before="5"/>
        <w:ind w:left="862" w:right="0"/>
        <w:jc w:val="left"/>
      </w:pPr>
      <w:r>
        <w:rPr>
          <w:w w:val="95"/>
        </w:rPr>
        <w:t>行（以下简称</w:t>
      </w:r>
      <w:r>
        <w:rPr>
          <w:rFonts w:ascii="Times New Roman" w:hAnsi="Times New Roman" w:cs="Times New Roman" w:eastAsia="Times New Roman" w:hint="default"/>
          <w:w w:val="95"/>
        </w:rPr>
        <w:t>“</w:t>
      </w:r>
      <w:r>
        <w:rPr>
          <w:w w:val="95"/>
        </w:rPr>
        <w:t>网上发行</w:t>
      </w:r>
      <w:r>
        <w:rPr>
          <w:rFonts w:ascii="Times New Roman" w:hAnsi="Times New Roman" w:cs="Times New Roman" w:eastAsia="Times New Roman" w:hint="default"/>
          <w:w w:val="95"/>
        </w:rPr>
        <w:t>”</w:t>
      </w:r>
      <w:r>
        <w:rPr>
          <w:w w:val="95"/>
        </w:rPr>
        <w:t>）相结合的方式，其中，网下配售</w:t>
      </w:r>
      <w:r>
        <w:rPr>
          <w:rFonts w:ascii="Times New Roman" w:hAnsi="Times New Roman" w:cs="Times New Roman" w:eastAsia="Times New Roman" w:hint="default"/>
          <w:w w:val="95"/>
        </w:rPr>
        <w:t>390</w:t>
      </w:r>
      <w:r>
        <w:rPr>
          <w:w w:val="95"/>
        </w:rPr>
        <w:t>万股，网上发行</w:t>
      </w:r>
      <w:r>
        <w:rPr>
          <w:rFonts w:ascii="Times New Roman" w:hAnsi="Times New Roman" w:cs="Times New Roman" w:eastAsia="Times New Roman" w:hint="default"/>
          <w:w w:val="95"/>
        </w:rPr>
        <w:t>1,560</w:t>
      </w:r>
      <w:r>
        <w:rPr>
          <w:w w:val="95"/>
        </w:rPr>
        <w:t>万股，</w:t>
      </w:r>
      <w:r>
        <w:rPr>
          <w:spacing w:val="81"/>
          <w:w w:val="95"/>
        </w:rPr>
        <w:t> </w:t>
      </w:r>
      <w:r>
        <w:rPr>
          <w:spacing w:val="81"/>
          <w:w w:val="95"/>
        </w:rPr>
      </w:r>
      <w:r>
        <w:rPr/>
        <w:t>发行价格为</w:t>
      </w:r>
      <w:r>
        <w:rPr>
          <w:rFonts w:ascii="Times New Roman" w:hAnsi="Times New Roman" w:cs="Times New Roman" w:eastAsia="Times New Roman" w:hint="default"/>
        </w:rPr>
        <w:t>32.00</w:t>
      </w:r>
      <w:r>
        <w:rPr/>
        <w:t>元</w:t>
      </w:r>
      <w:r>
        <w:rPr>
          <w:rFonts w:ascii="Times New Roman" w:hAnsi="Times New Roman" w:cs="Times New Roman" w:eastAsia="Times New Roman" w:hint="default"/>
        </w:rPr>
        <w:t>/</w:t>
      </w:r>
      <w:r>
        <w:rPr/>
        <w:t>股。本次发行股票于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w:t>
      </w:r>
    </w:p>
    <w:p>
      <w:pPr>
        <w:pStyle w:val="BodyText"/>
        <w:spacing w:line="343" w:lineRule="auto" w:before="24"/>
        <w:ind w:left="862" w:right="897" w:firstLine="420"/>
        <w:jc w:val="both"/>
      </w:pPr>
      <w:r>
        <w:rPr>
          <w:spacing w:val="-2"/>
          <w:w w:val="95"/>
        </w:rPr>
        <w:t>公司首次公开发行股票完成后，经深圳证券交易所《关于马鞍山鼎泰稀土新材料股份有</w:t>
      </w:r>
      <w:r>
        <w:rPr>
          <w:w w:val="99"/>
        </w:rPr>
        <w:t> </w:t>
      </w:r>
      <w:r>
        <w:rPr>
          <w:spacing w:val="-1"/>
          <w:w w:val="99"/>
        </w:rPr>
        <w:t>限公司人民币普通股股票上市的通知》（深证上</w:t>
      </w:r>
      <w:r>
        <w:rPr>
          <w:rFonts w:ascii="Times New Roman" w:hAnsi="Times New Roman" w:cs="Times New Roman" w:eastAsia="Times New Roman" w:hint="default"/>
          <w:spacing w:val="-1"/>
          <w:w w:val="99"/>
        </w:rPr>
        <w:t>[2010]44</w:t>
      </w:r>
      <w:r>
        <w:rPr>
          <w:spacing w:val="-1"/>
          <w:w w:val="99"/>
        </w:rPr>
        <w:t>号文）同意，本公司发行的人民币</w:t>
      </w:r>
      <w:r>
        <w:rPr>
          <w:spacing w:val="-72"/>
          <w:w w:val="99"/>
        </w:rPr>
        <w:t> </w:t>
      </w:r>
      <w:r>
        <w:rPr>
          <w:spacing w:val="-72"/>
          <w:w w:val="99"/>
        </w:rPr>
      </w:r>
      <w:r>
        <w:rPr>
          <w:spacing w:val="-1"/>
          <w:w w:val="95"/>
        </w:rPr>
        <w:t>普通股股票在深圳证券交易所上市，股票简称</w:t>
      </w:r>
      <w:r>
        <w:rPr>
          <w:rFonts w:ascii="Times New Roman" w:hAnsi="Times New Roman" w:cs="Times New Roman" w:eastAsia="Times New Roman" w:hint="default"/>
          <w:spacing w:val="-1"/>
          <w:w w:val="95"/>
        </w:rPr>
        <w:t>“</w:t>
      </w:r>
      <w:r>
        <w:rPr>
          <w:spacing w:val="-1"/>
          <w:w w:val="95"/>
        </w:rPr>
        <w:t>鼎泰新材</w:t>
      </w:r>
      <w:r>
        <w:rPr>
          <w:rFonts w:ascii="Times New Roman" w:hAnsi="Times New Roman" w:cs="Times New Roman" w:eastAsia="Times New Roman" w:hint="default"/>
          <w:spacing w:val="-1"/>
          <w:w w:val="95"/>
        </w:rPr>
        <w:t>”</w:t>
      </w:r>
      <w:r>
        <w:rPr>
          <w:spacing w:val="-1"/>
          <w:w w:val="95"/>
        </w:rPr>
        <w:t>，股票代码</w:t>
      </w:r>
      <w:r>
        <w:rPr>
          <w:rFonts w:ascii="Times New Roman" w:hAnsi="Times New Roman" w:cs="Times New Roman" w:eastAsia="Times New Roman" w:hint="default"/>
          <w:spacing w:val="-1"/>
          <w:w w:val="95"/>
        </w:rPr>
        <w:t>“002352”</w:t>
      </w:r>
      <w:r>
        <w:rPr>
          <w:spacing w:val="-1"/>
          <w:w w:val="95"/>
        </w:rPr>
        <w:t>；其中，本次</w:t>
      </w:r>
      <w:r>
        <w:rPr>
          <w:spacing w:val="2"/>
          <w:w w:val="95"/>
        </w:rPr>
        <w:t> </w:t>
      </w:r>
      <w:r>
        <w:rPr>
          <w:spacing w:val="2"/>
          <w:w w:val="95"/>
        </w:rPr>
      </w:r>
      <w:r>
        <w:rPr/>
        <w:t>公开发行中网上发行的</w:t>
      </w:r>
      <w:r>
        <w:rPr>
          <w:rFonts w:ascii="Times New Roman" w:hAnsi="Times New Roman" w:cs="Times New Roman" w:eastAsia="Times New Roman" w:hint="default"/>
        </w:rPr>
        <w:t>1,560</w:t>
      </w:r>
      <w:r>
        <w:rPr/>
        <w:t>万股股票于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日起上市交易。</w:t>
      </w:r>
    </w:p>
    <w:p>
      <w:pPr>
        <w:pStyle w:val="BodyText"/>
        <w:spacing w:line="336" w:lineRule="auto" w:before="19"/>
        <w:ind w:left="862" w:right="901" w:firstLine="420"/>
        <w:jc w:val="both"/>
      </w:pPr>
      <w:r>
        <w:rPr>
          <w:spacing w:val="-2"/>
          <w:w w:val="99"/>
        </w:rPr>
        <w:t>公司首次公开发行股票并上市后，公司总股份由</w:t>
      </w:r>
      <w:r>
        <w:rPr>
          <w:rFonts w:ascii="Times New Roman" w:hAnsi="Times New Roman" w:cs="Times New Roman" w:eastAsia="Times New Roman" w:hint="default"/>
          <w:spacing w:val="-2"/>
          <w:w w:val="99"/>
        </w:rPr>
        <w:t>5,833.078</w:t>
      </w:r>
      <w:r>
        <w:rPr>
          <w:spacing w:val="-2"/>
          <w:w w:val="99"/>
        </w:rPr>
        <w:t>万股增加到</w:t>
      </w:r>
      <w:r>
        <w:rPr>
          <w:rFonts w:ascii="Times New Roman" w:hAnsi="Times New Roman" w:cs="Times New Roman" w:eastAsia="Times New Roman" w:hint="default"/>
          <w:spacing w:val="-2"/>
          <w:w w:val="99"/>
        </w:rPr>
        <w:t>7,783.078</w:t>
      </w:r>
      <w:r>
        <w:rPr>
          <w:spacing w:val="-2"/>
          <w:w w:val="99"/>
        </w:rPr>
        <w:t>万股，其</w:t>
      </w:r>
      <w:r>
        <w:rPr>
          <w:w w:val="99"/>
        </w:rPr>
        <w:t> </w:t>
      </w:r>
      <w:r>
        <w:rPr/>
        <w:t>中，无限售条件的股份数为</w:t>
      </w:r>
      <w:r>
        <w:rPr>
          <w:rFonts w:ascii="Times New Roman" w:hAnsi="Times New Roman" w:cs="Times New Roman" w:eastAsia="Times New Roman" w:hint="default"/>
        </w:rPr>
        <w:t>1,560</w:t>
      </w:r>
      <w:r>
        <w:rPr/>
        <w:t>万股，自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日起在深圳证券交易所中小企业板上</w:t>
      </w:r>
      <w:r>
        <w:rPr>
          <w:spacing w:val="-71"/>
        </w:rPr>
        <w:t> </w:t>
      </w:r>
      <w:r>
        <w:rPr>
          <w:spacing w:val="-71"/>
        </w:rPr>
      </w:r>
      <w:r>
        <w:rPr>
          <w:spacing w:val="2"/>
        </w:rPr>
        <w:t>市交易，占总股本的</w:t>
      </w:r>
      <w:r>
        <w:rPr>
          <w:rFonts w:ascii="Times New Roman" w:hAnsi="Times New Roman" w:cs="Times New Roman" w:eastAsia="Times New Roman" w:hint="default"/>
          <w:spacing w:val="2"/>
        </w:rPr>
        <w:t>20.05%</w:t>
      </w:r>
      <w:r>
        <w:rPr>
          <w:spacing w:val="2"/>
        </w:rPr>
        <w:t>；有限售条件的股份总数为</w:t>
      </w:r>
      <w:r>
        <w:rPr>
          <w:spacing w:val="-90"/>
        </w:rPr>
        <w:t> </w:t>
      </w:r>
      <w:r>
        <w:rPr>
          <w:rFonts w:ascii="Times New Roman" w:hAnsi="Times New Roman" w:cs="Times New Roman" w:eastAsia="Times New Roman" w:hint="default"/>
        </w:rPr>
        <w:t>6,223.078</w:t>
      </w:r>
      <w:r>
        <w:rPr/>
        <w:t>万股，其中向询价对象配</w:t>
      </w:r>
      <w:r>
        <w:rPr>
          <w:w w:val="99"/>
        </w:rPr>
        <w:t> </w:t>
      </w:r>
      <w:r>
        <w:rPr/>
        <w:t>售的</w:t>
      </w:r>
      <w:r>
        <w:rPr>
          <w:rFonts w:ascii="Times New Roman" w:hAnsi="Times New Roman" w:cs="Times New Roman" w:eastAsia="Times New Roman" w:hint="default"/>
        </w:rPr>
        <w:t>390</w:t>
      </w:r>
      <w:r>
        <w:rPr/>
        <w:t>万股限售三个月，于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日上市交易。</w:t>
      </w:r>
    </w:p>
    <w:p>
      <w:pPr>
        <w:spacing w:line="240" w:lineRule="auto" w:before="7"/>
        <w:rPr>
          <w:rFonts w:ascii="宋体" w:hAnsi="宋体" w:cs="宋体" w:eastAsia="宋体" w:hint="default"/>
          <w:sz w:val="29"/>
          <w:szCs w:val="29"/>
        </w:rPr>
      </w:pPr>
    </w:p>
    <w:p>
      <w:pPr>
        <w:pStyle w:val="BodyText"/>
        <w:spacing w:line="240" w:lineRule="auto"/>
        <w:ind w:left="1282" w:right="0"/>
        <w:jc w:val="left"/>
      </w:pPr>
      <w:r>
        <w:rPr>
          <w:rFonts w:ascii="Times New Roman" w:hAnsi="Times New Roman" w:cs="Times New Roman" w:eastAsia="Times New Roman" w:hint="default"/>
        </w:rPr>
        <w:t>2</w:t>
      </w:r>
      <w:r>
        <w:rPr/>
        <w:t>、公司无内部职工股。</w:t>
      </w:r>
    </w:p>
    <w:p>
      <w:pPr>
        <w:spacing w:line="240" w:lineRule="auto" w:before="0"/>
        <w:rPr>
          <w:rFonts w:ascii="宋体" w:hAnsi="宋体" w:cs="宋体" w:eastAsia="宋体" w:hint="default"/>
          <w:sz w:val="22"/>
          <w:szCs w:val="22"/>
        </w:rPr>
      </w:pPr>
    </w:p>
    <w:p>
      <w:pPr>
        <w:pStyle w:val="Heading3"/>
        <w:spacing w:line="240" w:lineRule="auto" w:before="190"/>
        <w:ind w:left="862" w:right="0"/>
        <w:jc w:val="left"/>
      </w:pPr>
      <w:r>
        <w:rPr/>
        <w:t>三、股东和实际控制人情况</w:t>
      </w:r>
    </w:p>
    <w:p>
      <w:pPr>
        <w:spacing w:line="240" w:lineRule="auto" w:before="3"/>
        <w:rPr>
          <w:rFonts w:ascii="宋体" w:hAnsi="宋体" w:cs="宋体" w:eastAsia="宋体" w:hint="default"/>
          <w:sz w:val="9"/>
          <w:szCs w:val="9"/>
        </w:rPr>
      </w:pPr>
    </w:p>
    <w:p>
      <w:pPr>
        <w:pStyle w:val="BodyText"/>
        <w:spacing w:line="240" w:lineRule="auto" w:before="34"/>
        <w:ind w:left="1282" w:right="0"/>
        <w:jc w:val="left"/>
      </w:pPr>
      <w:r>
        <w:rPr>
          <w:rFonts w:ascii="Times New Roman" w:hAnsi="Times New Roman" w:cs="Times New Roman" w:eastAsia="Times New Roman" w:hint="default"/>
        </w:rPr>
        <w:t>1</w:t>
      </w:r>
      <w:r>
        <w:rPr/>
        <w:t>、股东情况</w:t>
      </w:r>
    </w:p>
    <w:p>
      <w:pPr>
        <w:pStyle w:val="BodyText"/>
        <w:spacing w:line="240" w:lineRule="auto" w:before="117"/>
        <w:ind w:left="0" w:right="901"/>
        <w:jc w:val="right"/>
      </w:pPr>
      <w:r>
        <w:rPr>
          <w:w w:val="95"/>
        </w:rPr>
        <w:t>（单位：股）</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340"/>
        <w:gridCol w:w="1301"/>
        <w:gridCol w:w="1301"/>
        <w:gridCol w:w="1298"/>
        <w:gridCol w:w="1822"/>
        <w:gridCol w:w="1766"/>
      </w:tblGrid>
      <w:tr>
        <w:trPr>
          <w:trHeight w:val="283"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743"/>
              <w:jc w:val="right"/>
              <w:rPr>
                <w:rFonts w:ascii="宋体" w:hAnsi="宋体" w:cs="宋体" w:eastAsia="宋体" w:hint="default"/>
                <w:sz w:val="21"/>
                <w:szCs w:val="21"/>
              </w:rPr>
            </w:pPr>
            <w:r>
              <w:rPr>
                <w:rFonts w:ascii="宋体" w:hAnsi="宋体" w:cs="宋体" w:eastAsia="宋体" w:hint="default"/>
                <w:w w:val="95"/>
                <w:sz w:val="21"/>
                <w:szCs w:val="21"/>
              </w:rPr>
              <w:t>股东总数</w:t>
            </w:r>
            <w:r>
              <w:rPr>
                <w:rFonts w:ascii="宋体" w:hAnsi="宋体" w:cs="宋体" w:eastAsia="宋体" w:hint="default"/>
                <w:sz w:val="21"/>
                <w:szCs w:val="21"/>
              </w:rPr>
            </w:r>
          </w:p>
        </w:tc>
        <w:tc>
          <w:tcPr>
            <w:tcW w:w="74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10,547</w:t>
            </w:r>
            <w:r>
              <w:rPr>
                <w:rFonts w:ascii="Times New Roman"/>
                <w:sz w:val="21"/>
              </w:rPr>
            </w:r>
          </w:p>
        </w:tc>
      </w:tr>
      <w:tr>
        <w:trPr>
          <w:trHeight w:val="281"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743"/>
              <w:jc w:val="right"/>
              <w:rPr>
                <w:rFonts w:ascii="宋体" w:hAnsi="宋体" w:cs="宋体" w:eastAsia="宋体" w:hint="default"/>
                <w:sz w:val="21"/>
                <w:szCs w:val="21"/>
              </w:rPr>
            </w:pPr>
            <w:r>
              <w:rPr>
                <w:rFonts w:ascii="宋体" w:hAnsi="宋体" w:cs="宋体" w:eastAsia="宋体" w:hint="default"/>
                <w:w w:val="95"/>
                <w:sz w:val="21"/>
                <w:szCs w:val="21"/>
              </w:rPr>
              <w:t>股东名称</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2" w:right="0"/>
              <w:jc w:val="left"/>
              <w:rPr>
                <w:rFonts w:ascii="Times New Roman" w:hAnsi="Times New Roman" w:cs="Times New Roman" w:eastAsia="Times New Roman" w:hint="default"/>
                <w:sz w:val="21"/>
                <w:szCs w:val="21"/>
              </w:rPr>
            </w:pPr>
            <w:r>
              <w:rPr>
                <w:rFonts w:ascii="Times New Roman"/>
                <w:sz w:val="21"/>
              </w:rPr>
              <w:t>46.14%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52" w:right="0"/>
              <w:jc w:val="left"/>
              <w:rPr>
                <w:rFonts w:ascii="Times New Roman" w:hAnsi="Times New Roman" w:cs="Times New Roman" w:eastAsia="Times New Roman" w:hint="default"/>
                <w:sz w:val="21"/>
                <w:szCs w:val="21"/>
              </w:rPr>
            </w:pPr>
            <w:r>
              <w:rPr>
                <w:rFonts w:ascii="Times New Roman"/>
                <w:sz w:val="21"/>
              </w:rPr>
              <w:t>35,908,113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72" w:right="0"/>
              <w:jc w:val="left"/>
              <w:rPr>
                <w:rFonts w:ascii="Times New Roman" w:hAnsi="Times New Roman" w:cs="Times New Roman" w:eastAsia="Times New Roman" w:hint="default"/>
                <w:sz w:val="21"/>
                <w:szCs w:val="21"/>
              </w:rPr>
            </w:pPr>
            <w:r>
              <w:rPr>
                <w:rFonts w:ascii="Times New Roman"/>
                <w:sz w:val="21"/>
              </w:rPr>
              <w:t>35,908,113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206" w:footer="738" w:top="940" w:bottom="920" w:left="94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340"/>
        <w:gridCol w:w="1301"/>
        <w:gridCol w:w="1301"/>
        <w:gridCol w:w="1298"/>
        <w:gridCol w:w="521"/>
        <w:gridCol w:w="1301"/>
        <w:gridCol w:w="1766"/>
      </w:tblGrid>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9.54%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7,428,235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喻琴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5.55%</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4,320,000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4.37%</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3,401,070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3.72%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68" w:right="0"/>
              <w:jc w:val="left"/>
              <w:rPr>
                <w:rFonts w:ascii="Times New Roman" w:hAnsi="Times New Roman" w:cs="Times New Roman" w:eastAsia="Times New Roman" w:hint="default"/>
                <w:sz w:val="21"/>
                <w:szCs w:val="21"/>
              </w:rPr>
            </w:pPr>
            <w:r>
              <w:rPr>
                <w:rFonts w:ascii="Times New Roman"/>
                <w:sz w:val="21"/>
              </w:rPr>
              <w:t>2,891,705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2.18%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1,700,535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1,061,009</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1.09%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7" w:right="0"/>
              <w:jc w:val="left"/>
              <w:rPr>
                <w:rFonts w:ascii="Times New Roman" w:hAnsi="Times New Roman" w:cs="Times New Roman" w:eastAsia="Times New Roman" w:hint="default"/>
                <w:sz w:val="21"/>
                <w:szCs w:val="21"/>
              </w:rPr>
            </w:pPr>
            <w:r>
              <w:rPr>
                <w:rFonts w:ascii="Times New Roman"/>
                <w:sz w:val="21"/>
              </w:rPr>
              <w:t>850,267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7" w:right="0"/>
              <w:jc w:val="left"/>
              <w:rPr>
                <w:rFonts w:ascii="Times New Roman" w:hAnsi="Times New Roman" w:cs="Times New Roman" w:eastAsia="Times New Roman" w:hint="default"/>
                <w:sz w:val="21"/>
                <w:szCs w:val="21"/>
              </w:rPr>
            </w:pPr>
            <w:r>
              <w:rPr>
                <w:rFonts w:ascii="Times New Roman"/>
                <w:sz w:val="21"/>
              </w:rPr>
              <w:t>850,267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9"/>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0.68%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7" w:right="0"/>
              <w:jc w:val="left"/>
              <w:rPr>
                <w:rFonts w:ascii="Times New Roman" w:hAnsi="Times New Roman" w:cs="Times New Roman" w:eastAsia="Times New Roman" w:hint="default"/>
                <w:sz w:val="21"/>
                <w:szCs w:val="21"/>
              </w:rPr>
            </w:pPr>
            <w:r>
              <w:rPr>
                <w:rFonts w:ascii="Times New Roman"/>
                <w:sz w:val="21"/>
              </w:rPr>
              <w:t>530,588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1,061,009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北京市东方时尚机动车驾驶学校</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234,900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倪进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155,700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于信海</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深圳市金安顺商贸有限公司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143,300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林雁</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130,000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梁仕根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120,069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西安中露食品有限责任公司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105,000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东方汇理银行</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95,300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徐伟文</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93,529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537" w:right="110"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99"/>
                <w:sz w:val="21"/>
                <w:szCs w:val="21"/>
              </w:rPr>
              <w:t> </w:t>
            </w:r>
            <w:r>
              <w:rPr>
                <w:rFonts w:ascii="宋体" w:hAnsi="宋体" w:cs="宋体" w:eastAsia="宋体" w:hint="default"/>
                <w:sz w:val="21"/>
                <w:szCs w:val="21"/>
              </w:rPr>
              <w:t>致行动的说明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董</w:t>
            </w:r>
            <w:r>
              <w:rPr>
                <w:rFonts w:ascii="宋体" w:hAnsi="宋体" w:cs="宋体" w:eastAsia="宋体" w:hint="default"/>
                <w:w w:val="99"/>
                <w:sz w:val="21"/>
                <w:szCs w:val="21"/>
              </w:rPr>
              <w:t>事</w:t>
            </w:r>
            <w:r>
              <w:rPr>
                <w:rFonts w:ascii="宋体" w:hAnsi="宋体" w:cs="宋体" w:eastAsia="宋体" w:hint="default"/>
                <w:spacing w:val="2"/>
                <w:w w:val="99"/>
                <w:sz w:val="21"/>
                <w:szCs w:val="21"/>
              </w:rPr>
              <w:t>长</w:t>
            </w:r>
            <w:r>
              <w:rPr>
                <w:rFonts w:ascii="宋体" w:hAnsi="宋体" w:cs="宋体" w:eastAsia="宋体" w:hint="default"/>
                <w:w w:val="99"/>
                <w:sz w:val="21"/>
                <w:szCs w:val="21"/>
              </w:rPr>
              <w:t>刘</w:t>
            </w:r>
            <w:r>
              <w:rPr>
                <w:rFonts w:ascii="宋体" w:hAnsi="宋体" w:cs="宋体" w:eastAsia="宋体" w:hint="default"/>
                <w:spacing w:val="2"/>
                <w:w w:val="99"/>
                <w:sz w:val="21"/>
                <w:szCs w:val="21"/>
              </w:rPr>
              <w:t>冀</w:t>
            </w:r>
            <w:r>
              <w:rPr>
                <w:rFonts w:ascii="宋体" w:hAnsi="宋体" w:cs="宋体" w:eastAsia="宋体" w:hint="default"/>
                <w:w w:val="99"/>
                <w:sz w:val="21"/>
                <w:szCs w:val="21"/>
              </w:rPr>
              <w:t>鲁</w:t>
            </w:r>
            <w:r>
              <w:rPr>
                <w:rFonts w:ascii="宋体" w:hAnsi="宋体" w:cs="宋体" w:eastAsia="宋体" w:hint="default"/>
                <w:spacing w:val="2"/>
                <w:w w:val="99"/>
                <w:sz w:val="21"/>
                <w:szCs w:val="21"/>
              </w:rPr>
              <w:t>与</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总</w:t>
            </w:r>
            <w:r>
              <w:rPr>
                <w:rFonts w:ascii="宋体" w:hAnsi="宋体" w:cs="宋体" w:eastAsia="宋体" w:hint="default"/>
                <w:spacing w:val="2"/>
                <w:w w:val="99"/>
                <w:sz w:val="21"/>
                <w:szCs w:val="21"/>
              </w:rPr>
              <w:t>经</w:t>
            </w:r>
            <w:r>
              <w:rPr>
                <w:rFonts w:ascii="宋体" w:hAnsi="宋体" w:cs="宋体" w:eastAsia="宋体" w:hint="default"/>
                <w:w w:val="99"/>
                <w:sz w:val="21"/>
                <w:szCs w:val="21"/>
              </w:rPr>
              <w:t>理</w:t>
            </w:r>
            <w:r>
              <w:rPr>
                <w:rFonts w:ascii="宋体" w:hAnsi="宋体" w:cs="宋体" w:eastAsia="宋体" w:hint="default"/>
                <w:spacing w:val="2"/>
                <w:w w:val="99"/>
                <w:sz w:val="21"/>
                <w:szCs w:val="21"/>
              </w:rPr>
              <w:t>刘</w:t>
            </w:r>
            <w:r>
              <w:rPr>
                <w:rFonts w:ascii="宋体" w:hAnsi="宋体" w:cs="宋体" w:eastAsia="宋体" w:hint="default"/>
                <w:w w:val="99"/>
                <w:sz w:val="21"/>
                <w:szCs w:val="21"/>
              </w:rPr>
              <w:t>凌</w:t>
            </w:r>
            <w:r>
              <w:rPr>
                <w:rFonts w:ascii="宋体" w:hAnsi="宋体" w:cs="宋体" w:eastAsia="宋体" w:hint="default"/>
                <w:spacing w:val="2"/>
                <w:w w:val="99"/>
                <w:sz w:val="21"/>
                <w:szCs w:val="21"/>
              </w:rPr>
              <w:t>云</w:t>
            </w:r>
            <w:r>
              <w:rPr>
                <w:rFonts w:ascii="宋体" w:hAnsi="宋体" w:cs="宋体" w:eastAsia="宋体" w:hint="default"/>
                <w:w w:val="99"/>
                <w:sz w:val="21"/>
                <w:szCs w:val="21"/>
              </w:rPr>
              <w:t>系</w:t>
            </w:r>
            <w:r>
              <w:rPr>
                <w:rFonts w:ascii="宋体" w:hAnsi="宋体" w:cs="宋体" w:eastAsia="宋体" w:hint="default"/>
                <w:spacing w:val="2"/>
                <w:w w:val="99"/>
                <w:sz w:val="21"/>
                <w:szCs w:val="21"/>
              </w:rPr>
              <w:t>父</w:t>
            </w:r>
            <w:r>
              <w:rPr>
                <w:rFonts w:ascii="宋体" w:hAnsi="宋体" w:cs="宋体" w:eastAsia="宋体" w:hint="default"/>
                <w:w w:val="99"/>
                <w:sz w:val="21"/>
                <w:szCs w:val="21"/>
              </w:rPr>
              <w:t>女</w:t>
            </w:r>
            <w:r>
              <w:rPr>
                <w:rFonts w:ascii="宋体" w:hAnsi="宋体" w:cs="宋体" w:eastAsia="宋体" w:hint="default"/>
                <w:spacing w:val="2"/>
                <w:w w:val="99"/>
                <w:sz w:val="21"/>
                <w:szCs w:val="21"/>
              </w:rPr>
              <w:t>关</w:t>
            </w:r>
            <w:r>
              <w:rPr>
                <w:rFonts w:ascii="宋体" w:hAnsi="宋体" w:cs="宋体" w:eastAsia="宋体" w:hint="default"/>
                <w:w w:val="99"/>
                <w:sz w:val="21"/>
                <w:szCs w:val="21"/>
              </w:rPr>
              <w:t>系</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前</w:t>
            </w:r>
            <w:r>
              <w:rPr>
                <w:rFonts w:ascii="宋体" w:hAnsi="宋体" w:cs="宋体" w:eastAsia="宋体" w:hint="default"/>
                <w:w w:val="99"/>
                <w:sz w:val="21"/>
                <w:szCs w:val="21"/>
              </w:rPr>
              <w:t>十</w:t>
            </w:r>
            <w:r>
              <w:rPr>
                <w:rFonts w:ascii="宋体" w:hAnsi="宋体" w:cs="宋体" w:eastAsia="宋体" w:hint="default"/>
                <w:spacing w:val="2"/>
                <w:w w:val="99"/>
                <w:sz w:val="21"/>
                <w:szCs w:val="21"/>
              </w:rPr>
              <w:t>名</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中</w:t>
            </w:r>
            <w:r>
              <w:rPr>
                <w:rFonts w:ascii="宋体" w:hAnsi="宋体" w:cs="宋体" w:eastAsia="宋体" w:hint="default"/>
                <w:spacing w:val="2"/>
                <w:w w:val="99"/>
                <w:sz w:val="21"/>
                <w:szCs w:val="21"/>
              </w:rPr>
              <w:t>持</w:t>
            </w:r>
            <w:r>
              <w:rPr>
                <w:rFonts w:ascii="宋体" w:hAnsi="宋体" w:cs="宋体" w:eastAsia="宋体" w:hint="default"/>
                <w:w w:val="99"/>
                <w:sz w:val="21"/>
                <w:szCs w:val="21"/>
              </w:rPr>
              <w:t>股</w:t>
            </w:r>
            <w:r>
              <w:rPr>
                <w:rFonts w:ascii="宋体" w:hAnsi="宋体" w:cs="宋体" w:eastAsia="宋体" w:hint="default"/>
                <w:spacing w:val="-77"/>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spacing w:val="-2"/>
                <w:w w:val="99"/>
                <w:sz w:val="21"/>
                <w:szCs w:val="21"/>
              </w:rPr>
              <w:t>6</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0</w:t>
            </w:r>
            <w:r>
              <w:rPr>
                <w:rFonts w:ascii="Times New Roman" w:hAnsi="Times New Roman" w:cs="Times New Roman" w:eastAsia="Times New Roman" w:hint="default"/>
                <w:spacing w:val="-2"/>
                <w:w w:val="99"/>
                <w:sz w:val="21"/>
                <w:szCs w:val="21"/>
              </w:rPr>
              <w:t>0</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z w:val="21"/>
                <w:szCs w:val="21"/>
              </w:rPr>
            </w:r>
          </w:p>
          <w:p>
            <w:pPr>
              <w:pStyle w:val="TableParagraph"/>
              <w:spacing w:line="274" w:lineRule="exact" w:before="16"/>
              <w:ind w:left="105" w:right="101"/>
              <w:jc w:val="left"/>
              <w:rPr>
                <w:rFonts w:ascii="宋体" w:hAnsi="宋体" w:cs="宋体" w:eastAsia="宋体" w:hint="default"/>
                <w:sz w:val="21"/>
                <w:szCs w:val="21"/>
              </w:rPr>
            </w:pPr>
            <w:r>
              <w:rPr>
                <w:rFonts w:ascii="宋体" w:hAnsi="宋体" w:cs="宋体" w:eastAsia="宋体" w:hint="default"/>
                <w:sz w:val="21"/>
                <w:szCs w:val="21"/>
              </w:rPr>
              <w:t>股的赵明与公司历任副总经理持股</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530,588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股的赵明系重名，非同一自然人；未</w:t>
            </w:r>
            <w:r>
              <w:rPr>
                <w:rFonts w:ascii="宋体" w:hAnsi="宋体" w:cs="宋体" w:eastAsia="宋体" w:hint="default"/>
                <w:w w:val="99"/>
                <w:sz w:val="21"/>
                <w:szCs w:val="21"/>
              </w:rPr>
              <w:t> </w:t>
            </w:r>
            <w:r>
              <w:rPr>
                <w:rFonts w:ascii="宋体" w:hAnsi="宋体" w:cs="宋体" w:eastAsia="宋体" w:hint="default"/>
                <w:sz w:val="21"/>
                <w:szCs w:val="21"/>
              </w:rPr>
              <w:t>知其他股东之间是否存在关联关系，是否属于一致行动人。</w:t>
            </w:r>
          </w:p>
        </w:tc>
      </w:tr>
    </w:tbl>
    <w:p>
      <w:pPr>
        <w:spacing w:line="240" w:lineRule="auto" w:before="9"/>
        <w:rPr>
          <w:rFonts w:ascii="宋体" w:hAnsi="宋体" w:cs="宋体" w:eastAsia="宋体" w:hint="default"/>
          <w:sz w:val="22"/>
          <w:szCs w:val="22"/>
        </w:rPr>
      </w:pPr>
    </w:p>
    <w:p>
      <w:pPr>
        <w:pStyle w:val="BodyText"/>
        <w:spacing w:line="336" w:lineRule="auto" w:before="34"/>
        <w:ind w:left="1282" w:right="869"/>
        <w:jc w:val="left"/>
      </w:pPr>
      <w:r>
        <w:rPr>
          <w:rFonts w:ascii="Times New Roman" w:hAnsi="Times New Roman" w:cs="Times New Roman" w:eastAsia="Times New Roman" w:hint="default"/>
        </w:rPr>
        <w:t>2</w:t>
      </w:r>
      <w:r>
        <w:rPr/>
        <w:t>、控股股东及实际控制人情况</w:t>
      </w:r>
      <w:r>
        <w:rPr>
          <w:w w:val="99"/>
        </w:rPr>
        <w:t> </w:t>
      </w:r>
      <w:r>
        <w:rPr>
          <w:spacing w:val="-2"/>
          <w:w w:val="95"/>
        </w:rPr>
        <w:t>报告期内，本公司控股股东及实际控制人未发生变更，仍为刘冀鲁先生，其持有的股份</w:t>
      </w:r>
      <w:r>
        <w:rPr>
          <w:spacing w:val="-2"/>
        </w:rPr>
      </w:r>
    </w:p>
    <w:p>
      <w:pPr>
        <w:pStyle w:val="BodyText"/>
        <w:spacing w:line="355" w:lineRule="auto" w:before="49"/>
        <w:ind w:left="1282" w:right="869" w:hanging="420"/>
        <w:jc w:val="left"/>
      </w:pPr>
      <w:r>
        <w:rPr/>
        <w:t>未发生质押、冻结或托管等情况。具体情况如下：</w:t>
      </w:r>
      <w:r>
        <w:rPr>
          <w:w w:val="99"/>
        </w:rPr>
        <w:t> </w:t>
      </w:r>
      <w:r>
        <w:rPr/>
        <w:t>刘冀鲁先生：中国国籍，男，</w:t>
      </w:r>
      <w:r>
        <w:rPr>
          <w:rFonts w:ascii="Times New Roman" w:hAnsi="Times New Roman" w:cs="Times New Roman" w:eastAsia="Times New Roman" w:hint="default"/>
        </w:rPr>
        <w:t>1947</w:t>
      </w:r>
      <w:r>
        <w:rPr/>
        <w:t>年</w:t>
      </w:r>
      <w:r>
        <w:rPr>
          <w:rFonts w:ascii="Times New Roman" w:hAnsi="Times New Roman" w:cs="Times New Roman" w:eastAsia="Times New Roman" w:hint="default"/>
        </w:rPr>
        <w:t>1</w:t>
      </w:r>
      <w:r>
        <w:rPr/>
        <w:t>月出生，中共党员，大学学历，工程师，安徽省</w:t>
      </w:r>
    </w:p>
    <w:p>
      <w:pPr>
        <w:pStyle w:val="BodyText"/>
        <w:spacing w:line="355" w:lineRule="auto" w:before="8"/>
        <w:ind w:left="862" w:right="882"/>
        <w:jc w:val="both"/>
      </w:pPr>
      <w:r>
        <w:rPr>
          <w:spacing w:val="-2"/>
          <w:w w:val="95"/>
        </w:rPr>
        <w:t>优秀民营企业家，安徽省非公有制企业优秀经营管理者，重庆安徽商会副会长。曾任马鞍山</w:t>
      </w:r>
      <w:r>
        <w:rPr>
          <w:spacing w:val="90"/>
          <w:w w:val="95"/>
        </w:rPr>
        <w:t> </w:t>
      </w:r>
      <w:r>
        <w:rPr>
          <w:spacing w:val="90"/>
          <w:w w:val="95"/>
        </w:rPr>
      </w:r>
      <w:r>
        <w:rPr>
          <w:spacing w:val="-2"/>
          <w:w w:val="95"/>
        </w:rPr>
        <w:t>市鼎泰金属制品公司总经理，马鞍山市鼎泰科技有限责任公司董事长兼总经理，现任本公司</w:t>
      </w:r>
      <w:r>
        <w:rPr>
          <w:spacing w:val="92"/>
          <w:w w:val="95"/>
        </w:rPr>
        <w:t> </w:t>
      </w:r>
      <w:r>
        <w:rPr>
          <w:spacing w:val="92"/>
          <w:w w:val="95"/>
        </w:rPr>
      </w:r>
      <w:r>
        <w:rPr/>
        <w:t>董事长、党委书记。</w:t>
      </w:r>
    </w:p>
    <w:p>
      <w:pPr>
        <w:pStyle w:val="BodyText"/>
        <w:spacing w:line="338" w:lineRule="auto" w:before="32"/>
        <w:ind w:left="862" w:right="869" w:firstLine="420"/>
        <w:jc w:val="left"/>
      </w:pPr>
      <w:r>
        <w:rPr/>
        <w:t>本公司控股股东及实际控制人均为刘冀鲁先生，持有公司股份</w:t>
      </w:r>
      <w:r>
        <w:rPr>
          <w:rFonts w:ascii="Times New Roman" w:hAnsi="Times New Roman" w:cs="Times New Roman" w:eastAsia="Times New Roman" w:hint="default"/>
        </w:rPr>
        <w:t>3,590.8113</w:t>
      </w:r>
      <w:r>
        <w:rPr/>
        <w:t>万股，占公司</w:t>
      </w:r>
      <w:r>
        <w:rPr>
          <w:w w:val="99"/>
        </w:rPr>
        <w:t> </w:t>
      </w:r>
      <w:r>
        <w:rPr/>
        <w:t>发行后股份总数的</w:t>
      </w:r>
      <w:r>
        <w:rPr>
          <w:rFonts w:ascii="Times New Roman" w:hAnsi="Times New Roman" w:cs="Times New Roman" w:eastAsia="Times New Roman" w:hint="default"/>
        </w:rPr>
        <w:t>46.14%</w:t>
      </w:r>
      <w:r>
        <w:rPr/>
        <w:t>。除本公司外，刘冀鲁先生无其他对外投资。</w:t>
      </w:r>
    </w:p>
    <w:p>
      <w:pPr>
        <w:spacing w:line="590" w:lineRule="exact"/>
        <w:ind w:left="4380"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63pt;height:29.55pt;mso-position-horizontal-relative:char;mso-position-vertical-relative:line" type="#_x0000_t202" filled="false" stroked="true" strokeweight=".72pt" strokecolor="#000000">
            <w10:anchorlock/>
            <v:textbox inset="0,0,0,0">
              <w:txbxContent>
                <w:p>
                  <w:pPr>
                    <w:pStyle w:val="BodyText"/>
                    <w:spacing w:line="240" w:lineRule="auto" w:before="33"/>
                    <w:ind w:left="309" w:right="0"/>
                    <w:jc w:val="left"/>
                  </w:pPr>
                  <w:r>
                    <w:rPr/>
                    <w:t>刘冀鲁</w:t>
                  </w:r>
                </w:p>
              </w:txbxContent>
            </v:textbox>
          </v:shape>
        </w:pict>
      </w:r>
      <w:r>
        <w:rPr>
          <w:rFonts w:ascii="宋体" w:hAnsi="宋体" w:cs="宋体" w:eastAsia="宋体" w:hint="default"/>
          <w:position w:val="-11"/>
          <w:sz w:val="20"/>
          <w:szCs w:val="20"/>
        </w:rPr>
      </w:r>
    </w:p>
    <w:p>
      <w:pPr>
        <w:spacing w:line="240" w:lineRule="auto" w:before="0"/>
        <w:rPr>
          <w:rFonts w:ascii="宋体" w:hAnsi="宋体" w:cs="宋体" w:eastAsia="宋体" w:hint="default"/>
          <w:sz w:val="14"/>
          <w:szCs w:val="14"/>
        </w:rPr>
      </w:pPr>
    </w:p>
    <w:p>
      <w:pPr>
        <w:pStyle w:val="BodyText"/>
        <w:spacing w:line="240" w:lineRule="auto" w:before="72"/>
        <w:ind w:left="5245" w:right="4112"/>
        <w:jc w:val="center"/>
        <w:rPr>
          <w:rFonts w:ascii="Times New Roman" w:hAnsi="Times New Roman" w:cs="Times New Roman" w:eastAsia="Times New Roman" w:hint="default"/>
        </w:rPr>
      </w:pPr>
      <w:r>
        <w:rPr/>
        <w:pict>
          <v:group style="position:absolute;margin-left:294.540009pt;margin-top:-8.857277pt;width:6.15pt;height:38.9pt;mso-position-horizontal-relative:page;mso-position-vertical-relative:paragraph;z-index:-686584" coordorigin="5891,-177" coordsize="123,778">
            <v:group style="position:absolute;left:5892;top:-176;width:120;height:776" coordorigin="5892,-176" coordsize="120,776">
              <v:shape style="position:absolute;left:5892;top:-176;width:120;height:776" coordorigin="5892,-176" coordsize="120,776" path="m5959,508l5945,508,5950,-176,5964,-176,5959,508xe" filled="true" fillcolor="#000000" stroked="false">
                <v:path arrowok="t"/>
                <v:fill type="solid"/>
              </v:shape>
              <v:shape style="position:absolute;left:5892;top:-176;width:120;height:776" coordorigin="5892,-176" coordsize="120,776" path="m5952,599l5892,479,5945,479,5945,508,5998,508,5952,599xe" filled="true" fillcolor="#000000" stroked="false">
                <v:path arrowok="t"/>
                <v:fill type="solid"/>
              </v:shape>
              <v:shape style="position:absolute;left:5892;top:-176;width:120;height:776" coordorigin="5892,-176" coordsize="120,776" path="m5998,508l5959,508,5959,479,6012,479,5998,508xe" filled="true" fillcolor="#000000" stroked="false">
                <v:path arrowok="t"/>
                <v:fill type="solid"/>
              </v:shape>
            </v:group>
            <v:group style="position:absolute;left:5945;top:-176;width:20;height:684" coordorigin="5945,-176" coordsize="20,684">
              <v:shape style="position:absolute;left:5945;top:-176;width:20;height:684" coordorigin="5945,-176" coordsize="20,684" path="m5950,-176l5945,508,5959,508,5964,-176,5950,-176xe" filled="false" stroked="true" strokeweight=".12pt" strokecolor="#000000">
                <v:path arrowok="t"/>
              </v:shape>
            </v:group>
            <v:group style="position:absolute;left:5892;top:479;width:120;height:120" coordorigin="5892,479" coordsize="120,120">
              <v:shape style="position:absolute;left:5892;top:479;width:120;height:120" coordorigin="5892,479" coordsize="120,120" path="m6012,479l5952,479,5892,479,5952,599,6012,479xe" filled="false" stroked="true" strokeweight=".12pt" strokecolor="#000000">
                <v:path arrowok="t"/>
              </v:shape>
            </v:group>
            <w10:wrap type="none"/>
          </v:group>
        </w:pict>
      </w:r>
      <w:r>
        <w:rPr>
          <w:rFonts w:ascii="Times New Roman"/>
        </w:rPr>
        <w:t>46.14%</w:t>
      </w:r>
    </w:p>
    <w:p>
      <w:pPr>
        <w:spacing w:line="240" w:lineRule="auto" w:before="3"/>
        <w:rPr>
          <w:rFonts w:ascii="Times New Roman" w:hAnsi="Times New Roman" w:cs="Times New Roman" w:eastAsia="Times New Roman" w:hint="default"/>
          <w:sz w:val="24"/>
          <w:szCs w:val="24"/>
        </w:rPr>
      </w:pPr>
    </w:p>
    <w:p>
      <w:pPr>
        <w:spacing w:line="888" w:lineRule="exact"/>
        <w:ind w:left="257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shape style="width:242.3pt;height:44.4pt;mso-position-horizontal-relative:char;mso-position-vertical-relative:line" type="#_x0000_t202" filled="false" stroked="true" strokeweight=".72pt" strokecolor="#000000">
            <w10:anchorlock/>
            <v:textbox inset="0,0,0,0">
              <w:txbxContent>
                <w:p>
                  <w:pPr>
                    <w:pStyle w:val="BodyText"/>
                    <w:spacing w:line="240" w:lineRule="auto" w:before="162"/>
                    <w:ind w:left="751" w:right="0"/>
                    <w:jc w:val="left"/>
                  </w:pPr>
                  <w:r>
                    <w:rPr/>
                    <w:t>马鞍山鼎泰稀土新材料股份有限公司</w:t>
                  </w:r>
                </w:p>
              </w:txbxContent>
            </v:textbox>
          </v:shape>
        </w:pict>
      </w:r>
      <w:r>
        <w:rPr>
          <w:rFonts w:ascii="Times New Roman" w:hAnsi="Times New Roman" w:cs="Times New Roman" w:eastAsia="Times New Roman" w:hint="default"/>
          <w:position w:val="-17"/>
          <w:sz w:val="20"/>
          <w:szCs w:val="20"/>
        </w:rPr>
      </w:r>
    </w:p>
    <w:p>
      <w:pPr>
        <w:pStyle w:val="BodyText"/>
        <w:spacing w:line="240" w:lineRule="auto" w:before="52"/>
        <w:ind w:left="1282" w:right="869"/>
        <w:jc w:val="left"/>
      </w:pPr>
      <w:r>
        <w:rPr/>
        <w:t>报告期内，公司未有其他持股在</w:t>
      </w:r>
      <w:r>
        <w:rPr>
          <w:spacing w:val="-60"/>
        </w:rPr>
        <w:t> </w:t>
      </w:r>
      <w:r>
        <w:rPr>
          <w:rFonts w:ascii="Times New Roman" w:hAnsi="Times New Roman" w:cs="Times New Roman" w:eastAsia="Times New Roman" w:hint="default"/>
        </w:rPr>
        <w:t>10%</w:t>
      </w:r>
      <w:r>
        <w:rPr/>
        <w:t>以上的法人股东。</w:t>
      </w:r>
    </w:p>
    <w:p>
      <w:pPr>
        <w:spacing w:after="0" w:line="240" w:lineRule="auto"/>
        <w:jc w:val="left"/>
        <w:sectPr>
          <w:pgSz w:w="11910" w:h="16840"/>
          <w:pgMar w:header="206" w:footer="738" w:top="940" w:bottom="920" w:left="94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1761" w:val="left" w:leader="none"/>
        </w:tabs>
        <w:spacing w:line="539" w:lineRule="exact" w:before="0"/>
        <w:ind w:left="0" w:right="4" w:firstLine="0"/>
        <w:jc w:val="center"/>
        <w:rPr>
          <w:rFonts w:ascii="宋体" w:hAnsi="宋体" w:cs="宋体" w:eastAsia="宋体" w:hint="default"/>
          <w:sz w:val="44"/>
          <w:szCs w:val="44"/>
        </w:rPr>
      </w:pPr>
      <w:r>
        <w:rPr>
          <w:rFonts w:ascii="宋体" w:hAnsi="宋体" w:cs="宋体" w:eastAsia="宋体" w:hint="default"/>
          <w:w w:val="95"/>
          <w:sz w:val="44"/>
          <w:szCs w:val="44"/>
        </w:rPr>
        <w:t>第四节</w:t>
        <w:tab/>
      </w:r>
      <w:r>
        <w:rPr>
          <w:rFonts w:ascii="宋体" w:hAnsi="宋体" w:cs="宋体" w:eastAsia="宋体" w:hint="default"/>
          <w:spacing w:val="-4"/>
          <w:sz w:val="44"/>
          <w:szCs w:val="44"/>
        </w:rPr>
        <w:t>董事、监事、高级管理人员和员工</w:t>
      </w:r>
    </w:p>
    <w:p>
      <w:pPr>
        <w:spacing w:before="278"/>
        <w:ind w:left="0" w:right="1" w:firstLine="0"/>
        <w:jc w:val="center"/>
        <w:rPr>
          <w:rFonts w:ascii="宋体" w:hAnsi="宋体" w:cs="宋体" w:eastAsia="宋体" w:hint="default"/>
          <w:sz w:val="44"/>
          <w:szCs w:val="44"/>
        </w:rPr>
      </w:pPr>
      <w:r>
        <w:rPr>
          <w:rFonts w:ascii="宋体" w:hAnsi="宋体" w:cs="宋体" w:eastAsia="宋体" w:hint="default"/>
          <w:sz w:val="44"/>
          <w:szCs w:val="44"/>
        </w:rPr>
        <w:t>情况</w:t>
      </w:r>
    </w:p>
    <w:p>
      <w:pPr>
        <w:spacing w:line="240" w:lineRule="auto" w:before="4"/>
        <w:rPr>
          <w:rFonts w:ascii="宋体" w:hAnsi="宋体" w:cs="宋体" w:eastAsia="宋体" w:hint="default"/>
          <w:sz w:val="55"/>
          <w:szCs w:val="55"/>
        </w:rPr>
      </w:pPr>
    </w:p>
    <w:p>
      <w:pPr>
        <w:pStyle w:val="Heading3"/>
        <w:spacing w:line="240" w:lineRule="auto"/>
        <w:ind w:left="1062" w:right="0"/>
        <w:jc w:val="left"/>
      </w:pPr>
      <w:r>
        <w:rPr/>
        <w:t>一、董事、监事、高级管理人员情况</w:t>
      </w:r>
    </w:p>
    <w:p>
      <w:pPr>
        <w:pStyle w:val="BodyText"/>
        <w:spacing w:line="240" w:lineRule="auto" w:before="155"/>
        <w:ind w:left="1482" w:right="0"/>
        <w:jc w:val="left"/>
      </w:pPr>
      <w:r>
        <w:rPr>
          <w:rFonts w:ascii="Times New Roman" w:hAnsi="Times New Roman" w:cs="Times New Roman" w:eastAsia="Times New Roman" w:hint="default"/>
        </w:rPr>
        <w:t>1</w:t>
      </w:r>
      <w:r>
        <w:rPr/>
        <w:t>、报告期内，董事、监事和高级管理人员持股变动及报酬情况</w:t>
      </w:r>
    </w:p>
    <w:tbl>
      <w:tblPr>
        <w:tblW w:w="0" w:type="auto"/>
        <w:jc w:val="left"/>
        <w:tblInd w:w="107" w:type="dxa"/>
        <w:tblLayout w:type="fixed"/>
        <w:tblCellMar>
          <w:top w:w="0" w:type="dxa"/>
          <w:left w:w="0" w:type="dxa"/>
          <w:bottom w:w="0" w:type="dxa"/>
          <w:right w:w="0" w:type="dxa"/>
        </w:tblCellMar>
        <w:tblLook w:val="01E0"/>
      </w:tblPr>
      <w:tblGrid>
        <w:gridCol w:w="854"/>
        <w:gridCol w:w="1162"/>
        <w:gridCol w:w="518"/>
        <w:gridCol w:w="521"/>
        <w:gridCol w:w="1169"/>
        <w:gridCol w:w="1171"/>
        <w:gridCol w:w="1176"/>
        <w:gridCol w:w="1214"/>
        <w:gridCol w:w="547"/>
        <w:gridCol w:w="953"/>
        <w:gridCol w:w="900"/>
      </w:tblGrid>
      <w:tr>
        <w:trPr>
          <w:trHeight w:val="1916" w:hRule="exact"/>
        </w:trPr>
        <w:tc>
          <w:tcPr>
            <w:tcW w:w="8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51" w:right="146"/>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51" w:right="14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72" w:right="156"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72" w:right="156"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117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77" w:right="161"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12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96" w:right="180"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54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65" w:right="161"/>
              <w:jc w:val="both"/>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w w:val="99"/>
                <w:sz w:val="21"/>
                <w:szCs w:val="21"/>
              </w:rPr>
              <w:t> </w:t>
            </w:r>
            <w:r>
              <w:rPr>
                <w:rFonts w:ascii="宋体" w:hAnsi="宋体" w:cs="宋体" w:eastAsia="宋体" w:hint="default"/>
                <w:sz w:val="21"/>
                <w:szCs w:val="21"/>
              </w:rPr>
              <w:t>动</w:t>
            </w:r>
            <w:r>
              <w:rPr>
                <w:rFonts w:ascii="宋体" w:hAnsi="宋体" w:cs="宋体" w:eastAsia="宋体" w:hint="default"/>
                <w:w w:val="99"/>
                <w:sz w:val="21"/>
                <w:szCs w:val="21"/>
              </w:rPr>
              <w:t> </w:t>
            </w:r>
            <w:r>
              <w:rPr>
                <w:rFonts w:ascii="宋体" w:hAnsi="宋体" w:cs="宋体" w:eastAsia="宋体" w:hint="default"/>
                <w:sz w:val="21"/>
                <w:szCs w:val="21"/>
              </w:rPr>
              <w:t>原</w:t>
            </w:r>
            <w:r>
              <w:rPr>
                <w:rFonts w:ascii="宋体" w:hAnsi="宋体" w:cs="宋体" w:eastAsia="宋体" w:hint="default"/>
                <w:w w:val="99"/>
                <w:sz w:val="21"/>
                <w:szCs w:val="21"/>
              </w:rPr>
              <w:t> </w:t>
            </w:r>
            <w:r>
              <w:rPr>
                <w:rFonts w:ascii="宋体" w:hAnsi="宋体" w:cs="宋体" w:eastAsia="宋体" w:hint="default"/>
                <w:sz w:val="21"/>
                <w:szCs w:val="21"/>
              </w:rPr>
              <w:t>因</w:t>
            </w:r>
          </w:p>
        </w:tc>
        <w:tc>
          <w:tcPr>
            <w:tcW w:w="9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103" w:right="101" w:firstLine="2"/>
              <w:jc w:val="center"/>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w w:val="99"/>
                <w:sz w:val="21"/>
                <w:szCs w:val="21"/>
              </w:rPr>
              <w:t> </w:t>
            </w:r>
            <w:r>
              <w:rPr>
                <w:rFonts w:ascii="宋体" w:hAnsi="宋体" w:cs="宋体" w:eastAsia="宋体" w:hint="default"/>
                <w:sz w:val="21"/>
                <w:szCs w:val="21"/>
              </w:rPr>
              <w:t>司领取</w:t>
            </w:r>
            <w:r>
              <w:rPr>
                <w:rFonts w:ascii="宋体" w:hAnsi="宋体" w:cs="宋体" w:eastAsia="宋体" w:hint="default"/>
                <w:w w:val="99"/>
                <w:sz w:val="21"/>
                <w:szCs w:val="21"/>
              </w:rPr>
              <w:t> </w:t>
            </w:r>
            <w:r>
              <w:rPr>
                <w:rFonts w:ascii="宋体" w:hAnsi="宋体" w:cs="宋体" w:eastAsia="宋体" w:hint="default"/>
                <w:sz w:val="21"/>
                <w:szCs w:val="21"/>
              </w:rPr>
              <w:t>的报酬</w:t>
            </w:r>
            <w:r>
              <w:rPr>
                <w:rFonts w:ascii="宋体" w:hAnsi="宋体" w:cs="宋体" w:eastAsia="宋体" w:hint="default"/>
                <w:w w:val="99"/>
                <w:sz w:val="21"/>
                <w:szCs w:val="21"/>
              </w:rPr>
              <w:t> </w:t>
            </w:r>
            <w:r>
              <w:rPr>
                <w:rFonts w:ascii="宋体" w:hAnsi="宋体" w:cs="宋体" w:eastAsia="宋体" w:hint="default"/>
                <w:spacing w:val="-26"/>
                <w:w w:val="99"/>
                <w:sz w:val="21"/>
                <w:szCs w:val="21"/>
              </w:rPr>
              <w:t>总额（万</w:t>
            </w:r>
            <w:r>
              <w:rPr>
                <w:rFonts w:ascii="宋体" w:hAnsi="宋体" w:cs="宋体" w:eastAsia="宋体" w:hint="default"/>
                <w:w w:val="99"/>
                <w:sz w:val="21"/>
                <w:szCs w:val="21"/>
              </w:rPr>
              <w:t> </w:t>
            </w:r>
            <w:r>
              <w:rPr>
                <w:rFonts w:ascii="宋体" w:hAnsi="宋体" w:cs="宋体" w:eastAsia="宋体" w:hint="default"/>
                <w:spacing w:val="-26"/>
                <w:w w:val="99"/>
                <w:sz w:val="21"/>
                <w:szCs w:val="21"/>
              </w:rPr>
              <w:t>元）（税</w:t>
            </w:r>
            <w:r>
              <w:rPr>
                <w:rFonts w:ascii="宋体" w:hAnsi="宋体" w:cs="宋体" w:eastAsia="宋体" w:hint="default"/>
                <w:w w:val="99"/>
                <w:sz w:val="21"/>
                <w:szCs w:val="21"/>
              </w:rPr>
              <w:t> </w:t>
            </w:r>
            <w:r>
              <w:rPr>
                <w:rFonts w:ascii="宋体" w:hAnsi="宋体" w:cs="宋体" w:eastAsia="宋体" w:hint="default"/>
                <w:sz w:val="21"/>
                <w:szCs w:val="21"/>
              </w:rPr>
              <w:t>前）</w:t>
            </w:r>
          </w:p>
        </w:tc>
        <w:tc>
          <w:tcPr>
            <w:tcW w:w="9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29" w:right="131"/>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w w:val="99"/>
                <w:sz w:val="21"/>
                <w:szCs w:val="21"/>
              </w:rPr>
              <w:t> </w:t>
            </w:r>
            <w:r>
              <w:rPr>
                <w:rFonts w:ascii="宋体" w:hAnsi="宋体" w:cs="宋体" w:eastAsia="宋体" w:hint="default"/>
                <w:sz w:val="21"/>
                <w:szCs w:val="21"/>
              </w:rPr>
              <w:t>股东单</w:t>
            </w:r>
            <w:r>
              <w:rPr>
                <w:rFonts w:ascii="宋体" w:hAnsi="宋体" w:cs="宋体" w:eastAsia="宋体" w:hint="default"/>
                <w:w w:val="99"/>
                <w:sz w:val="21"/>
                <w:szCs w:val="21"/>
              </w:rPr>
              <w:t> </w:t>
            </w:r>
            <w:r>
              <w:rPr>
                <w:rFonts w:ascii="宋体" w:hAnsi="宋体" w:cs="宋体" w:eastAsia="宋体" w:hint="default"/>
                <w:sz w:val="21"/>
                <w:szCs w:val="21"/>
              </w:rPr>
              <w:t>位或其</w:t>
            </w:r>
            <w:r>
              <w:rPr>
                <w:rFonts w:ascii="宋体" w:hAnsi="宋体" w:cs="宋体" w:eastAsia="宋体" w:hint="default"/>
                <w:w w:val="99"/>
                <w:sz w:val="21"/>
                <w:szCs w:val="21"/>
              </w:rPr>
              <w:t> </w:t>
            </w:r>
            <w:r>
              <w:rPr>
                <w:rFonts w:ascii="宋体" w:hAnsi="宋体" w:cs="宋体" w:eastAsia="宋体" w:hint="default"/>
                <w:sz w:val="21"/>
                <w:szCs w:val="21"/>
              </w:rPr>
              <w:t>他关联</w:t>
            </w:r>
            <w:r>
              <w:rPr>
                <w:rFonts w:ascii="宋体" w:hAnsi="宋体" w:cs="宋体" w:eastAsia="宋体" w:hint="default"/>
                <w:w w:val="99"/>
                <w:sz w:val="21"/>
                <w:szCs w:val="21"/>
              </w:rPr>
              <w:t> </w:t>
            </w:r>
            <w:r>
              <w:rPr>
                <w:rFonts w:ascii="宋体" w:hAnsi="宋体" w:cs="宋体" w:eastAsia="宋体" w:hint="default"/>
                <w:sz w:val="21"/>
                <w:szCs w:val="21"/>
              </w:rPr>
              <w:t>单位领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55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95"/>
                <w:sz w:val="21"/>
              </w:rPr>
              <w:t>64</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w w:val="95"/>
                <w:sz w:val="21"/>
              </w:rPr>
              <w:t>35,908,113</w:t>
            </w:r>
            <w:r>
              <w:rPr>
                <w:rFonts w:ascii="Times New Roman"/>
                <w:spacing w:val="-1"/>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35,908,113</w:t>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8.2</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5"/>
                <w:sz w:val="21"/>
              </w:rPr>
              <w:t>54</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5.8</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陈诗君</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95"/>
                <w:sz w:val="21"/>
              </w:rPr>
              <w:t>57</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司徒伟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廉</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63</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陈炬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5"/>
                <w:sz w:val="21"/>
              </w:rPr>
              <w:t>55</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5"/>
                <w:sz w:val="21"/>
              </w:rPr>
              <w:t>56</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6.1</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5"/>
                <w:sz w:val="21"/>
              </w:rPr>
              <w:t>36</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赵增祺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5"/>
                <w:sz w:val="21"/>
              </w:rPr>
              <w:t>56</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戴新民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5"/>
                <w:sz w:val="21"/>
              </w:rPr>
              <w:t>49</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戴卫星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w w:val="95"/>
                <w:sz w:val="21"/>
              </w:rPr>
              <w:t>55</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5"/>
                <w:sz w:val="21"/>
              </w:rPr>
              <w:t>47</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5.1</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马作民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54</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3.3</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35</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48</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秘</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财</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44</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5.9</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41</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830,588</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830,588</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8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40</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5.8</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2" w:lineRule="exact"/>
        <w:jc w:val="right"/>
        <w:rPr>
          <w:rFonts w:ascii="宋体" w:hAnsi="宋体" w:cs="宋体" w:eastAsia="宋体" w:hint="default"/>
          <w:sz w:val="21"/>
          <w:szCs w:val="21"/>
        </w:rPr>
        <w:sectPr>
          <w:pgSz w:w="11910" w:h="16840"/>
          <w:pgMar w:header="206" w:footer="738" w:top="940" w:bottom="920" w:left="740" w:right="7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854"/>
        <w:gridCol w:w="1162"/>
        <w:gridCol w:w="518"/>
        <w:gridCol w:w="521"/>
        <w:gridCol w:w="1169"/>
        <w:gridCol w:w="1171"/>
        <w:gridCol w:w="1176"/>
        <w:gridCol w:w="1214"/>
        <w:gridCol w:w="547"/>
        <w:gridCol w:w="953"/>
        <w:gridCol w:w="900"/>
      </w:tblGrid>
      <w:tr>
        <w:trPr>
          <w:trHeight w:val="281" w:hRule="exact"/>
        </w:trPr>
        <w:tc>
          <w:tcPr>
            <w:tcW w:w="85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4"/>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9" w:right="0"/>
              <w:jc w:val="left"/>
              <w:rPr>
                <w:rFonts w:ascii="Times New Roman" w:hAnsi="Times New Roman" w:cs="Times New Roman" w:eastAsia="Times New Roman" w:hint="default"/>
                <w:sz w:val="21"/>
                <w:szCs w:val="21"/>
              </w:rPr>
            </w:pPr>
            <w:r>
              <w:rPr>
                <w:rFonts w:ascii="Times New Roman"/>
                <w:sz w:val="21"/>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5.7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99" w:right="0"/>
              <w:jc w:val="left"/>
              <w:rPr>
                <w:rFonts w:ascii="Times New Roman" w:hAnsi="Times New Roman" w:cs="Times New Roman" w:eastAsia="Times New Roman" w:hint="default"/>
                <w:sz w:val="21"/>
                <w:szCs w:val="21"/>
              </w:rPr>
            </w:pPr>
            <w:r>
              <w:rPr>
                <w:rFonts w:ascii="Times New Roman"/>
                <w:sz w:val="21"/>
              </w:rPr>
              <w:t>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6.0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83" w:hRule="exact"/>
        </w:trPr>
        <w:tc>
          <w:tcPr>
            <w:tcW w:w="8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0"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54,310,780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28"/>
              <w:jc w:val="right"/>
              <w:rPr>
                <w:rFonts w:ascii="Times New Roman" w:hAnsi="Times New Roman" w:cs="Times New Roman" w:eastAsia="Times New Roman" w:hint="default"/>
                <w:sz w:val="21"/>
                <w:szCs w:val="21"/>
              </w:rPr>
            </w:pPr>
            <w:r>
              <w:rPr>
                <w:rFonts w:ascii="Times New Roman"/>
                <w:w w:val="95"/>
                <w:sz w:val="21"/>
              </w:rPr>
              <w:t>54,310,780</w:t>
            </w:r>
            <w:r>
              <w:rPr>
                <w:rFonts w:ascii="Times New Roman"/>
                <w:sz w:val="21"/>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98</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482" w:right="0"/>
        <w:jc w:val="left"/>
      </w:pPr>
      <w:r>
        <w:rPr>
          <w:rFonts w:ascii="Times New Roman" w:hAnsi="Times New Roman" w:cs="Times New Roman" w:eastAsia="Times New Roman" w:hint="default"/>
        </w:rPr>
        <w:t>2</w:t>
      </w:r>
      <w:r>
        <w:rPr/>
        <w:t>、现任董事、监事、高级管理人员的主要工作经历</w:t>
      </w:r>
    </w:p>
    <w:p>
      <w:pPr>
        <w:pStyle w:val="BodyText"/>
        <w:spacing w:line="240" w:lineRule="auto" w:before="117"/>
        <w:ind w:left="1482" w:right="0"/>
        <w:jc w:val="left"/>
      </w:pPr>
      <w:r>
        <w:rPr/>
        <w:t>（</w:t>
      </w:r>
      <w:r>
        <w:rPr>
          <w:rFonts w:ascii="Times New Roman" w:hAnsi="Times New Roman" w:cs="Times New Roman" w:eastAsia="Times New Roman" w:hint="default"/>
        </w:rPr>
        <w:t>1</w:t>
      </w:r>
      <w:r>
        <w:rPr/>
        <w:t>）董事</w:t>
      </w:r>
    </w:p>
    <w:p>
      <w:pPr>
        <w:pStyle w:val="BodyText"/>
        <w:spacing w:line="350" w:lineRule="auto" w:before="117"/>
        <w:ind w:left="1062" w:right="1056" w:firstLine="420"/>
        <w:jc w:val="both"/>
      </w:pPr>
      <w:r>
        <w:rPr>
          <w:w w:val="95"/>
        </w:rPr>
        <w:t>刘冀鲁先生，中国国籍，无境外永久居留权。</w:t>
      </w:r>
      <w:r>
        <w:rPr>
          <w:rFonts w:ascii="Times New Roman" w:hAnsi="Times New Roman" w:cs="Times New Roman" w:eastAsia="Times New Roman" w:hint="default"/>
          <w:w w:val="95"/>
        </w:rPr>
        <w:t>1947 </w:t>
      </w:r>
      <w:r>
        <w:rPr>
          <w:w w:val="95"/>
        </w:rPr>
        <w:t>年 </w:t>
      </w:r>
      <w:r>
        <w:rPr>
          <w:rFonts w:ascii="Times New Roman" w:hAnsi="Times New Roman" w:cs="Times New Roman" w:eastAsia="Times New Roman" w:hint="default"/>
          <w:w w:val="95"/>
        </w:rPr>
        <w:t>1</w:t>
      </w:r>
      <w:r>
        <w:rPr>
          <w:rFonts w:ascii="Times New Roman" w:hAnsi="Times New Roman" w:cs="Times New Roman" w:eastAsia="Times New Roman" w:hint="default"/>
          <w:spacing w:val="16"/>
          <w:w w:val="95"/>
        </w:rPr>
        <w:t> </w:t>
      </w:r>
      <w:r>
        <w:rPr>
          <w:w w:val="95"/>
        </w:rPr>
        <w:t>月出生，中共党员，大学学历，</w:t>
      </w:r>
      <w:r>
        <w:rPr>
          <w:w w:val="49"/>
        </w:rPr>
        <w:t> </w:t>
      </w:r>
      <w:r>
        <w:rPr>
          <w:spacing w:val="-2"/>
          <w:w w:val="95"/>
        </w:rPr>
        <w:t>工程师，安徽省优秀民营企业家，安徽省非公有制企业优秀经营管理者，重庆安徽商会副会</w:t>
      </w:r>
      <w:r>
        <w:rPr>
          <w:spacing w:val="92"/>
          <w:w w:val="95"/>
        </w:rPr>
        <w:t> </w:t>
      </w:r>
      <w:r>
        <w:rPr>
          <w:spacing w:val="92"/>
          <w:w w:val="95"/>
        </w:rPr>
      </w:r>
      <w:r>
        <w:rPr>
          <w:spacing w:val="-2"/>
          <w:w w:val="95"/>
        </w:rPr>
        <w:t>长。曾任马鞍山市鼎泰金属制品公司总经理，马鞍山市鼎泰科技有限责任公司董事长兼总经</w:t>
      </w:r>
      <w:r>
        <w:rPr>
          <w:spacing w:val="93"/>
          <w:w w:val="95"/>
        </w:rPr>
        <w:t> </w:t>
      </w:r>
      <w:r>
        <w:rPr>
          <w:spacing w:val="93"/>
          <w:w w:val="95"/>
        </w:rPr>
      </w:r>
      <w:r>
        <w:rPr/>
        <w:t>理。现任本公司董事长、党委书记。</w:t>
      </w:r>
    </w:p>
    <w:p>
      <w:pPr>
        <w:pStyle w:val="BodyText"/>
        <w:spacing w:line="348" w:lineRule="auto" w:before="36"/>
        <w:ind w:left="1062" w:right="1056" w:firstLine="420"/>
        <w:jc w:val="both"/>
      </w:pPr>
      <w:r>
        <w:rPr>
          <w:w w:val="95"/>
        </w:rPr>
        <w:t>唐成宽先生，中国国籍，无境外永久居留权。</w:t>
      </w:r>
      <w:r>
        <w:rPr>
          <w:rFonts w:ascii="Times New Roman" w:hAnsi="Times New Roman" w:cs="Times New Roman" w:eastAsia="Times New Roman" w:hint="default"/>
          <w:w w:val="95"/>
        </w:rPr>
        <w:t>1957 </w:t>
      </w:r>
      <w:r>
        <w:rPr>
          <w:w w:val="95"/>
        </w:rPr>
        <w:t>年 </w:t>
      </w:r>
      <w:r>
        <w:rPr>
          <w:rFonts w:ascii="Times New Roman" w:hAnsi="Times New Roman" w:cs="Times New Roman" w:eastAsia="Times New Roman" w:hint="default"/>
          <w:w w:val="95"/>
        </w:rPr>
        <w:t>4</w:t>
      </w:r>
      <w:r>
        <w:rPr>
          <w:rFonts w:ascii="Times New Roman" w:hAnsi="Times New Roman" w:cs="Times New Roman" w:eastAsia="Times New Roman" w:hint="default"/>
          <w:spacing w:val="16"/>
          <w:w w:val="95"/>
        </w:rPr>
        <w:t> </w:t>
      </w:r>
      <w:r>
        <w:rPr>
          <w:w w:val="95"/>
        </w:rPr>
        <w:t>月出生，中共党员，大学学历，</w:t>
      </w:r>
      <w:r>
        <w:rPr>
          <w:w w:val="49"/>
        </w:rPr>
        <w:t> </w:t>
      </w:r>
      <w:r>
        <w:rPr>
          <w:spacing w:val="-2"/>
          <w:w w:val="95"/>
        </w:rPr>
        <w:t>工程师。曾任马鞍山市鼎泰科技有限责任公司副总经理。现任本公司董事兼全资子公司重庆</w:t>
      </w:r>
      <w:r>
        <w:rPr>
          <w:spacing w:val="91"/>
          <w:w w:val="95"/>
        </w:rPr>
        <w:t> </w:t>
      </w:r>
      <w:r>
        <w:rPr>
          <w:spacing w:val="91"/>
          <w:w w:val="95"/>
        </w:rPr>
      </w:r>
      <w:r>
        <w:rPr/>
        <w:t>市隆泰稀土新材料有限责任公司总经理。</w:t>
      </w:r>
    </w:p>
    <w:p>
      <w:pPr>
        <w:pStyle w:val="BodyText"/>
        <w:spacing w:line="345" w:lineRule="auto" w:before="38"/>
        <w:ind w:left="1062" w:right="1058" w:firstLine="420"/>
        <w:jc w:val="both"/>
      </w:pPr>
      <w:r>
        <w:rPr>
          <w:spacing w:val="-3"/>
          <w:w w:val="95"/>
        </w:rPr>
        <w:t>吴翠华女士，中国国籍，无境外永久居留权。</w:t>
      </w:r>
      <w:r>
        <w:rPr>
          <w:rFonts w:ascii="Times New Roman" w:hAnsi="Times New Roman" w:cs="Times New Roman" w:eastAsia="Times New Roman" w:hint="default"/>
          <w:spacing w:val="-3"/>
          <w:w w:val="95"/>
        </w:rPr>
        <w:t>1955 </w:t>
      </w:r>
      <w:r>
        <w:rPr>
          <w:w w:val="95"/>
        </w:rPr>
        <w:t>年 </w:t>
      </w:r>
      <w:r>
        <w:rPr>
          <w:rFonts w:ascii="Times New Roman" w:hAnsi="Times New Roman" w:cs="Times New Roman" w:eastAsia="Times New Roman" w:hint="default"/>
          <w:w w:val="95"/>
        </w:rPr>
        <w:t>11</w:t>
      </w:r>
      <w:r>
        <w:rPr>
          <w:rFonts w:ascii="Times New Roman" w:hAnsi="Times New Roman" w:cs="Times New Roman" w:eastAsia="Times New Roman" w:hint="default"/>
          <w:spacing w:val="3"/>
          <w:w w:val="95"/>
        </w:rPr>
        <w:t> </w:t>
      </w:r>
      <w:r>
        <w:rPr>
          <w:spacing w:val="-4"/>
          <w:w w:val="95"/>
        </w:rPr>
        <w:t>月出生，中共党员，中专学历。</w:t>
      </w:r>
      <w:r>
        <w:rPr>
          <w:w w:val="49"/>
        </w:rPr>
        <w:t> </w:t>
      </w:r>
      <w:r>
        <w:rPr>
          <w:spacing w:val="-2"/>
          <w:w w:val="99"/>
        </w:rPr>
        <w:t>曾担任马鞍山市鼎泰金属制品公司财务主管，马鞍山鼎泰科技有限责任公司工会主席兼重庆</w:t>
      </w:r>
      <w:r>
        <w:rPr>
          <w:spacing w:val="-84"/>
          <w:w w:val="99"/>
        </w:rPr>
        <w:t> </w:t>
      </w:r>
      <w:r>
        <w:rPr>
          <w:spacing w:val="-84"/>
          <w:w w:val="99"/>
        </w:rPr>
      </w:r>
      <w:r>
        <w:rPr/>
        <w:t>子公司副经理。现任本公司董事兼广海分公司总经理。</w:t>
      </w:r>
    </w:p>
    <w:p>
      <w:pPr>
        <w:pStyle w:val="BodyText"/>
        <w:spacing w:line="348" w:lineRule="auto" w:before="40"/>
        <w:ind w:left="1062" w:right="1062" w:firstLine="420"/>
        <w:jc w:val="both"/>
      </w:pPr>
      <w:r>
        <w:rPr>
          <w:spacing w:val="2"/>
        </w:rPr>
        <w:t>司徒伟廉先生，中国国籍，无境外永久居住权。</w:t>
      </w:r>
      <w:r>
        <w:rPr>
          <w:rFonts w:ascii="Times New Roman" w:hAnsi="Times New Roman" w:cs="Times New Roman" w:eastAsia="Times New Roman" w:hint="default"/>
          <w:spacing w:val="2"/>
        </w:rPr>
        <w:t>1948</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月出生，中共党员，中专学</w:t>
      </w:r>
      <w:r>
        <w:rPr>
          <w:w w:val="99"/>
        </w:rPr>
        <w:t> </w:t>
      </w:r>
      <w:r>
        <w:rPr>
          <w:spacing w:val="-2"/>
          <w:w w:val="99"/>
        </w:rPr>
        <w:t>历。曾任中国农业发展集团中水广海钢丝绳厂厂长（法人代表）、党委书记，中国华农资产</w:t>
      </w:r>
      <w:r>
        <w:rPr>
          <w:spacing w:val="-87"/>
          <w:w w:val="99"/>
        </w:rPr>
        <w:t> </w:t>
      </w:r>
      <w:r>
        <w:rPr>
          <w:spacing w:val="-87"/>
          <w:w w:val="99"/>
        </w:rPr>
      </w:r>
      <w:r>
        <w:rPr>
          <w:spacing w:val="-2"/>
          <w:w w:val="99"/>
        </w:rPr>
        <w:t>经营公司广海钢丝绳厂厂长（法人代表）。现任本公司董事兼广海分公司副总经理。</w:t>
      </w:r>
      <w:r>
        <w:rPr>
          <w:spacing w:val="-2"/>
        </w:rPr>
      </w:r>
    </w:p>
    <w:p>
      <w:pPr>
        <w:pStyle w:val="BodyText"/>
        <w:spacing w:line="348" w:lineRule="auto" w:before="38"/>
        <w:ind w:left="1062" w:right="1061" w:firstLine="420"/>
        <w:jc w:val="both"/>
      </w:pPr>
      <w:r>
        <w:rPr>
          <w:spacing w:val="2"/>
        </w:rPr>
        <w:t>陈炬先生，中国国籍，无境外永久居留权。</w:t>
      </w:r>
      <w:r>
        <w:rPr>
          <w:rFonts w:ascii="Times New Roman" w:hAnsi="Times New Roman" w:cs="Times New Roman" w:eastAsia="Times New Roman" w:hint="default"/>
          <w:spacing w:val="2"/>
        </w:rPr>
        <w:t>1956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月出生，大专学历。曾担马鞍山</w:t>
      </w:r>
      <w:r>
        <w:rPr>
          <w:w w:val="99"/>
        </w:rPr>
        <w:t> </w:t>
      </w:r>
      <w:r>
        <w:rPr>
          <w:spacing w:val="-2"/>
          <w:w w:val="99"/>
        </w:rPr>
        <w:t>市鼎泰金属制品公司销售主管。现任公司董事兼全资子公司重庆市渝神科技有限责任公司生</w:t>
      </w:r>
      <w:r>
        <w:rPr>
          <w:spacing w:val="-84"/>
          <w:w w:val="99"/>
        </w:rPr>
        <w:t> </w:t>
      </w:r>
      <w:r>
        <w:rPr>
          <w:spacing w:val="-84"/>
          <w:w w:val="99"/>
        </w:rPr>
      </w:r>
      <w:r>
        <w:rPr/>
        <w:t>产总调度。</w:t>
      </w:r>
    </w:p>
    <w:p>
      <w:pPr>
        <w:pStyle w:val="BodyText"/>
        <w:spacing w:line="336" w:lineRule="auto" w:before="38"/>
        <w:ind w:left="1062" w:right="1057" w:firstLine="420"/>
        <w:jc w:val="both"/>
      </w:pPr>
      <w:r>
        <w:rPr/>
        <w:t>胡卫红女士，中国国籍，无境外永久居留权。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1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月出生，大专学历。现任公司</w:t>
      </w:r>
      <w:r>
        <w:rPr>
          <w:w w:val="99"/>
        </w:rPr>
        <w:t> </w:t>
      </w:r>
      <w:r>
        <w:rPr/>
        <w:t>董事兼合同部部长。</w:t>
      </w:r>
    </w:p>
    <w:p>
      <w:pPr>
        <w:pStyle w:val="BodyText"/>
        <w:spacing w:line="352" w:lineRule="auto" w:before="49"/>
        <w:ind w:left="1062" w:right="1058" w:firstLine="420"/>
        <w:jc w:val="both"/>
      </w:pPr>
      <w:r>
        <w:rPr>
          <w:w w:val="95"/>
        </w:rPr>
        <w:t>赵增祺先生，中国国籍，无境外永久居留权。</w:t>
      </w:r>
      <w:r>
        <w:rPr>
          <w:rFonts w:ascii="Times New Roman" w:hAnsi="Times New Roman" w:cs="Times New Roman" w:eastAsia="Times New Roman" w:hint="default"/>
          <w:w w:val="95"/>
        </w:rPr>
        <w:t>1955</w:t>
      </w:r>
      <w:r>
        <w:rPr>
          <w:rFonts w:ascii="Times New Roman" w:hAnsi="Times New Roman" w:cs="Times New Roman" w:eastAsia="Times New Roman" w:hint="default"/>
          <w:spacing w:val="30"/>
          <w:w w:val="95"/>
        </w:rPr>
        <w:t> </w:t>
      </w:r>
      <w:r>
        <w:rPr>
          <w:w w:val="95"/>
        </w:rPr>
        <w:t>年出生，教授级高工，博士生导师。</w:t>
      </w:r>
      <w:r>
        <w:rPr>
          <w:w w:val="49"/>
        </w:rPr>
        <w:t> </w:t>
      </w:r>
      <w:r>
        <w:rPr>
          <w:spacing w:val="-2"/>
          <w:w w:val="95"/>
        </w:rPr>
        <w:t>现任包头稀土研究院院长，稀土冶金及功能材料国家工程研究中心主任，中国稀土学会副理</w:t>
      </w:r>
      <w:r>
        <w:rPr>
          <w:spacing w:val="93"/>
          <w:w w:val="95"/>
        </w:rPr>
        <w:t> </w:t>
      </w:r>
      <w:r>
        <w:rPr>
          <w:spacing w:val="93"/>
          <w:w w:val="95"/>
        </w:rPr>
      </w:r>
      <w:r>
        <w:rPr>
          <w:spacing w:val="-2"/>
          <w:w w:val="95"/>
        </w:rPr>
        <w:t>事长，中国金属学会功能材料专业委员会委员，中国金属学会功能材料分会特种功能材料学</w:t>
      </w:r>
      <w:r>
        <w:rPr>
          <w:spacing w:val="92"/>
          <w:w w:val="95"/>
        </w:rPr>
        <w:t> </w:t>
      </w:r>
      <w:r>
        <w:rPr>
          <w:spacing w:val="92"/>
          <w:w w:val="95"/>
        </w:rPr>
      </w:r>
      <w:r>
        <w:rPr>
          <w:spacing w:val="-2"/>
          <w:w w:val="95"/>
        </w:rPr>
        <w:t>术委员会秘书长，中国仪器仪表学会仪表材料学会常务理事，中国兵工学会金属材料专业委</w:t>
      </w:r>
      <w:r>
        <w:rPr>
          <w:spacing w:val="91"/>
          <w:w w:val="95"/>
        </w:rPr>
        <w:t> </w:t>
      </w:r>
      <w:r>
        <w:rPr>
          <w:spacing w:val="91"/>
          <w:w w:val="95"/>
        </w:rPr>
      </w:r>
      <w:r>
        <w:rPr>
          <w:spacing w:val="-2"/>
          <w:w w:val="99"/>
        </w:rPr>
        <w:t>员会委员，《稀土》杂志编委会委员，内蒙古工业大学和内蒙古科技大学两校的兼职教授。</w:t>
      </w:r>
      <w:r>
        <w:rPr>
          <w:spacing w:val="-91"/>
          <w:w w:val="99"/>
        </w:rPr>
        <w:t> </w:t>
      </w:r>
      <w:r>
        <w:rPr>
          <w:spacing w:val="-91"/>
          <w:w w:val="99"/>
        </w:rPr>
      </w:r>
      <w:r>
        <w:rPr/>
        <w:t>赵增祺先生现担任本公司第二届董事会独立董事。</w:t>
      </w:r>
    </w:p>
    <w:p>
      <w:pPr>
        <w:pStyle w:val="BodyText"/>
        <w:spacing w:line="348" w:lineRule="auto" w:before="34"/>
        <w:ind w:left="1062" w:right="1062" w:firstLine="420"/>
        <w:jc w:val="both"/>
      </w:pPr>
      <w:r>
        <w:rPr>
          <w:spacing w:val="2"/>
        </w:rPr>
        <w:t>戴新民先生，中国国籍，无境外永久居留权。</w:t>
      </w:r>
      <w:r>
        <w:rPr>
          <w:rFonts w:ascii="Times New Roman" w:hAnsi="Times New Roman" w:cs="Times New Roman" w:eastAsia="Times New Roman" w:hint="default"/>
          <w:spacing w:val="2"/>
        </w:rPr>
        <w:t>1962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月出生，教授，注册会计师，</w:t>
      </w:r>
      <w:r>
        <w:rPr>
          <w:w w:val="99"/>
        </w:rPr>
        <w:t> </w:t>
      </w:r>
      <w:r>
        <w:rPr>
          <w:spacing w:val="-2"/>
          <w:w w:val="95"/>
        </w:rPr>
        <w:t>硕士生导师。现任教于南京理工大学经济管理学院。戴新民先生现担任本公司第二届董事会</w:t>
      </w:r>
      <w:r>
        <w:rPr>
          <w:spacing w:val="91"/>
          <w:w w:val="95"/>
        </w:rPr>
        <w:t> </w:t>
      </w:r>
      <w:r>
        <w:rPr>
          <w:spacing w:val="91"/>
          <w:w w:val="95"/>
        </w:rPr>
      </w:r>
      <w:r>
        <w:rPr/>
        <w:t>独立董事。</w:t>
      </w:r>
    </w:p>
    <w:p>
      <w:pPr>
        <w:spacing w:after="0" w:line="348" w:lineRule="auto"/>
        <w:jc w:val="both"/>
        <w:sectPr>
          <w:pgSz w:w="11910" w:h="16840"/>
          <w:pgMar w:header="206" w:footer="738" w:top="940" w:bottom="920" w:left="740" w:right="7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45" w:lineRule="auto"/>
        <w:ind w:right="121" w:firstLine="420"/>
        <w:jc w:val="both"/>
      </w:pPr>
      <w:r>
        <w:rPr/>
        <w:t>方伦赞先生，中国国籍，无境外永久居留权。</w:t>
      </w:r>
      <w:r>
        <w:rPr>
          <w:rFonts w:ascii="Times New Roman" w:hAnsi="Times New Roman" w:cs="Times New Roman" w:eastAsia="Times New Roman" w:hint="default"/>
        </w:rPr>
        <w:t>1939</w:t>
      </w:r>
      <w:r>
        <w:rPr>
          <w:rFonts w:ascii="Times New Roman" w:hAnsi="Times New Roman" w:cs="Times New Roman" w:eastAsia="Times New Roman" w:hint="default"/>
          <w:spacing w:val="-18"/>
        </w:rPr>
        <w:t> </w:t>
      </w:r>
      <w:r>
        <w:rPr/>
        <w:t>年</w:t>
      </w:r>
      <w:r>
        <w:rPr>
          <w:spacing w:val="-68"/>
        </w:rPr>
        <w:t> </w:t>
      </w:r>
      <w:r>
        <w:rPr>
          <w:rFonts w:ascii="Times New Roman" w:hAnsi="Times New Roman" w:cs="Times New Roman" w:eastAsia="Times New Roman" w:hint="default"/>
        </w:rPr>
        <w:t>11</w:t>
      </w:r>
      <w:r>
        <w:rPr>
          <w:rFonts w:ascii="Times New Roman" w:hAnsi="Times New Roman" w:cs="Times New Roman" w:eastAsia="Times New Roman" w:hint="default"/>
          <w:spacing w:val="-20"/>
        </w:rPr>
        <w:t> </w:t>
      </w:r>
      <w:r>
        <w:rPr/>
        <w:t>月出生，大学学历，高级工程</w:t>
      </w:r>
      <w:r>
        <w:rPr>
          <w:w w:val="99"/>
        </w:rPr>
        <w:t> </w:t>
      </w:r>
      <w:r>
        <w:rPr>
          <w:spacing w:val="-2"/>
          <w:w w:val="95"/>
        </w:rPr>
        <w:t>师。曾任天津钢丝绳厂总工程师，现无其他任职。方伦赞先生现担任本公司第二届董事会独</w:t>
      </w:r>
      <w:r>
        <w:rPr>
          <w:spacing w:val="92"/>
          <w:w w:val="95"/>
        </w:rPr>
        <w:t> </w:t>
      </w:r>
      <w:r>
        <w:rPr>
          <w:spacing w:val="92"/>
          <w:w w:val="95"/>
        </w:rPr>
      </w:r>
      <w:r>
        <w:rPr/>
        <w:t>立董事。</w:t>
      </w:r>
    </w:p>
    <w:p>
      <w:pPr>
        <w:pStyle w:val="BodyText"/>
        <w:spacing w:line="240" w:lineRule="auto" w:before="40"/>
        <w:ind w:left="542" w:right="109"/>
        <w:jc w:val="left"/>
      </w:pPr>
      <w:r>
        <w:rPr/>
        <w:t>（</w:t>
      </w:r>
      <w:r>
        <w:rPr>
          <w:rFonts w:ascii="Times New Roman" w:hAnsi="Times New Roman" w:cs="Times New Roman" w:eastAsia="Times New Roman" w:hint="default"/>
        </w:rPr>
        <w:t>2</w:t>
      </w:r>
      <w:r>
        <w:rPr/>
        <w:t>）监事</w:t>
      </w:r>
    </w:p>
    <w:p>
      <w:pPr>
        <w:pStyle w:val="BodyText"/>
        <w:spacing w:line="357" w:lineRule="auto" w:before="117"/>
        <w:ind w:right="117" w:firstLine="420"/>
        <w:jc w:val="both"/>
      </w:pPr>
      <w:r>
        <w:rPr>
          <w:spacing w:val="2"/>
        </w:rPr>
        <w:t>戴卫星先生，中国国籍，无境外永久居留权。1956</w:t>
      </w:r>
      <w:r>
        <w:rPr>
          <w:spacing w:val="-67"/>
        </w:rPr>
        <w:t> </w:t>
      </w:r>
      <w:r>
        <w:rPr/>
        <w:t>年</w:t>
      </w:r>
      <w:r>
        <w:rPr>
          <w:spacing w:val="-68"/>
        </w:rPr>
        <w:t> </w:t>
      </w:r>
      <w:r>
        <w:rPr/>
        <w:t>9</w:t>
      </w:r>
      <w:r>
        <w:rPr>
          <w:spacing w:val="-67"/>
        </w:rPr>
        <w:t> </w:t>
      </w:r>
      <w:r>
        <w:rPr>
          <w:spacing w:val="3"/>
        </w:rPr>
        <w:t>月出生，大学学历，工程师。</w:t>
      </w:r>
      <w:r>
        <w:rPr>
          <w:w w:val="77"/>
        </w:rPr>
        <w:t> </w:t>
      </w:r>
      <w:r>
        <w:rPr/>
        <w:t>1983</w:t>
      </w:r>
      <w:r>
        <w:rPr>
          <w:spacing w:val="-70"/>
        </w:rPr>
        <w:t> </w:t>
      </w:r>
      <w:r>
        <w:rPr/>
        <w:t>年至</w:t>
      </w:r>
      <w:r>
        <w:rPr>
          <w:spacing w:val="-69"/>
        </w:rPr>
        <w:t> </w:t>
      </w:r>
      <w:r>
        <w:rPr/>
        <w:t>1992</w:t>
      </w:r>
      <w:r>
        <w:rPr>
          <w:spacing w:val="-70"/>
        </w:rPr>
        <w:t> </w:t>
      </w:r>
      <w:r>
        <w:rPr/>
        <w:t>年在马鞍山钢铁公司初轧厂及生产计划部工作，现任海南物博贸易公司副总</w:t>
      </w:r>
      <w:r>
        <w:rPr>
          <w:w w:val="99"/>
        </w:rPr>
        <w:t> </w:t>
      </w:r>
      <w:r>
        <w:rPr/>
        <w:t>经理。戴卫星先生现担任本公司第二届监事会主席。</w:t>
      </w:r>
    </w:p>
    <w:p>
      <w:pPr>
        <w:pStyle w:val="BodyText"/>
        <w:spacing w:line="355" w:lineRule="auto" w:before="30"/>
        <w:ind w:right="117" w:firstLine="420"/>
        <w:jc w:val="both"/>
      </w:pPr>
      <w:r>
        <w:rPr/>
        <w:t>袁福祥先生，中国国籍，无境外永久居留权。1964</w:t>
      </w:r>
      <w:r>
        <w:rPr>
          <w:spacing w:val="-70"/>
        </w:rPr>
        <w:t> </w:t>
      </w:r>
      <w:r>
        <w:rPr/>
        <w:t>年</w:t>
      </w:r>
      <w:r>
        <w:rPr>
          <w:spacing w:val="-67"/>
        </w:rPr>
        <w:t> </w:t>
      </w:r>
      <w:r>
        <w:rPr/>
        <w:t>10</w:t>
      </w:r>
      <w:r>
        <w:rPr>
          <w:spacing w:val="-70"/>
        </w:rPr>
        <w:t> </w:t>
      </w:r>
      <w:r>
        <w:rPr/>
        <w:t>月出生，大学学历，工程师。</w:t>
      </w:r>
      <w:r>
        <w:rPr>
          <w:w w:val="77"/>
        </w:rPr>
        <w:t> </w:t>
      </w:r>
      <w:r>
        <w:rPr/>
        <w:t>曾任马鞍山市鼎泰金属制品公司经理助理。袁福祥先生现担任本公司第二届监事会监事。</w:t>
      </w:r>
    </w:p>
    <w:p>
      <w:pPr>
        <w:pStyle w:val="BodyText"/>
        <w:spacing w:line="357" w:lineRule="auto" w:before="32"/>
        <w:ind w:right="116" w:firstLine="420"/>
        <w:jc w:val="both"/>
      </w:pPr>
      <w:r>
        <w:rPr>
          <w:w w:val="95"/>
        </w:rPr>
        <w:t>马作民先生，中国国籍，无境外永久居留权。1957 年 5</w:t>
      </w:r>
      <w:r>
        <w:rPr>
          <w:spacing w:val="66"/>
          <w:w w:val="95"/>
        </w:rPr>
        <w:t> </w:t>
      </w:r>
      <w:r>
        <w:rPr>
          <w:w w:val="95"/>
        </w:rPr>
        <w:t>月出生，中共党员，大专学历。</w:t>
      </w:r>
      <w:r>
        <w:rPr>
          <w:w w:val="49"/>
        </w:rPr>
        <w:t> </w:t>
      </w:r>
      <w:r>
        <w:rPr>
          <w:spacing w:val="-2"/>
          <w:w w:val="95"/>
        </w:rPr>
        <w:t>曾任职于向山硫铁矿，现任本公司工程部部长。马作民先生现担任本公司第二届监事会职工</w:t>
      </w:r>
      <w:r>
        <w:rPr>
          <w:spacing w:val="91"/>
          <w:w w:val="95"/>
        </w:rPr>
        <w:t> </w:t>
      </w:r>
      <w:r>
        <w:rPr>
          <w:spacing w:val="91"/>
          <w:w w:val="95"/>
        </w:rPr>
      </w:r>
      <w:r>
        <w:rPr/>
        <w:t>代表监事。</w:t>
      </w:r>
    </w:p>
    <w:p>
      <w:pPr>
        <w:pStyle w:val="BodyText"/>
        <w:spacing w:line="240" w:lineRule="auto" w:before="30"/>
        <w:ind w:left="542" w:right="109"/>
        <w:jc w:val="left"/>
      </w:pPr>
      <w:r>
        <w:rPr/>
        <w:t>（3）高级管理人员</w:t>
      </w:r>
    </w:p>
    <w:p>
      <w:pPr>
        <w:pStyle w:val="BodyText"/>
        <w:spacing w:line="355" w:lineRule="auto" w:before="133"/>
        <w:ind w:right="122" w:firstLine="420"/>
        <w:jc w:val="both"/>
      </w:pPr>
      <w:r>
        <w:rPr>
          <w:spacing w:val="2"/>
        </w:rPr>
        <w:t>刘凌云女士，中国国籍，无境外永久居留权。1976</w:t>
      </w:r>
      <w:r>
        <w:rPr>
          <w:spacing w:val="-56"/>
        </w:rPr>
        <w:t> </w:t>
      </w:r>
      <w:r>
        <w:rPr/>
        <w:t>年</w:t>
      </w:r>
      <w:r>
        <w:rPr>
          <w:spacing w:val="-55"/>
        </w:rPr>
        <w:t> </w:t>
      </w:r>
      <w:r>
        <w:rPr/>
        <w:t>9</w:t>
      </w:r>
      <w:r>
        <w:rPr>
          <w:spacing w:val="-56"/>
        </w:rPr>
        <w:t> </w:t>
      </w:r>
      <w:r>
        <w:rPr/>
        <w:t>月出生，研究生学历。曾任马</w:t>
      </w:r>
      <w:r>
        <w:rPr>
          <w:w w:val="99"/>
        </w:rPr>
        <w:t> </w:t>
      </w:r>
      <w:r>
        <w:rPr>
          <w:spacing w:val="-2"/>
          <w:w w:val="95"/>
        </w:rPr>
        <w:t>鞍山市鼎泰科技有限责任公司管理副总经理，公司副总经理兼董事会秘书。现任本公司总经</w:t>
      </w:r>
      <w:r>
        <w:rPr>
          <w:w w:val="95"/>
        </w:rPr>
        <w:t>  </w:t>
      </w:r>
      <w:r>
        <w:rPr>
          <w:spacing w:val="91"/>
          <w:w w:val="95"/>
        </w:rPr>
        <w:t> </w:t>
      </w:r>
      <w:r>
        <w:rPr>
          <w:spacing w:val="91"/>
          <w:w w:val="95"/>
        </w:rPr>
      </w:r>
      <w:r>
        <w:rPr/>
        <w:t>理。</w:t>
      </w:r>
    </w:p>
    <w:p>
      <w:pPr>
        <w:pStyle w:val="BodyText"/>
        <w:spacing w:line="355" w:lineRule="auto" w:before="34"/>
        <w:ind w:right="116" w:firstLine="420"/>
        <w:jc w:val="both"/>
      </w:pPr>
      <w:r>
        <w:rPr>
          <w:w w:val="95"/>
        </w:rPr>
        <w:t>黄学春先生，中国国籍，无境外永久居留权。1967 年 6</w:t>
      </w:r>
      <w:r>
        <w:rPr>
          <w:spacing w:val="66"/>
          <w:w w:val="95"/>
        </w:rPr>
        <w:t> </w:t>
      </w:r>
      <w:r>
        <w:rPr>
          <w:w w:val="95"/>
        </w:rPr>
        <w:t>月出生，中共党员，大学学历，</w:t>
      </w:r>
      <w:r>
        <w:rPr>
          <w:w w:val="49"/>
        </w:rPr>
        <w:t> </w:t>
      </w:r>
      <w:r>
        <w:rPr>
          <w:spacing w:val="-2"/>
          <w:w w:val="95"/>
        </w:rPr>
        <w:t>会计师。曾任马鞍山市鼎泰科技有限责任公司财务主办会计，公司财务总监。现任本公司副</w:t>
      </w:r>
      <w:r>
        <w:rPr>
          <w:spacing w:val="92"/>
          <w:w w:val="95"/>
        </w:rPr>
        <w:t> </w:t>
      </w:r>
      <w:r>
        <w:rPr>
          <w:spacing w:val="92"/>
          <w:w w:val="95"/>
        </w:rPr>
      </w:r>
      <w:r>
        <w:rPr/>
        <w:t>总经理、财务总监、董事会秘书。</w:t>
      </w:r>
    </w:p>
    <w:p>
      <w:pPr>
        <w:pStyle w:val="BodyText"/>
        <w:spacing w:line="357" w:lineRule="auto" w:before="32"/>
        <w:ind w:right="116" w:firstLine="420"/>
        <w:jc w:val="both"/>
      </w:pPr>
      <w:r>
        <w:rPr>
          <w:spacing w:val="-3"/>
          <w:w w:val="95"/>
        </w:rPr>
        <w:t>宫为平先生，中国国籍，无境外永久居留权。1963 </w:t>
      </w:r>
      <w:r>
        <w:rPr>
          <w:w w:val="95"/>
        </w:rPr>
        <w:t>年 12</w:t>
      </w:r>
      <w:r>
        <w:rPr>
          <w:spacing w:val="2"/>
          <w:w w:val="95"/>
        </w:rPr>
        <w:t> </w:t>
      </w:r>
      <w:r>
        <w:rPr>
          <w:spacing w:val="-4"/>
          <w:w w:val="95"/>
        </w:rPr>
        <w:t>月出生，中共党员，大专学历。</w:t>
      </w:r>
      <w:r>
        <w:rPr>
          <w:w w:val="49"/>
        </w:rPr>
        <w:t> </w:t>
      </w:r>
      <w:r>
        <w:rPr/>
        <w:t>曾任马鞍山市鼎泰金属制品公司办公室主任，马鞍山市鼎泰科技有限责任公司经营副总经</w:t>
      </w:r>
      <w:r>
        <w:rPr>
          <w:spacing w:val="-75"/>
        </w:rPr>
        <w:t> </w:t>
      </w:r>
      <w:r>
        <w:rPr>
          <w:spacing w:val="-75"/>
        </w:rPr>
      </w:r>
      <w:r>
        <w:rPr/>
        <w:t>理。现任本公司副总经理。</w:t>
      </w:r>
    </w:p>
    <w:p>
      <w:pPr>
        <w:pStyle w:val="BodyText"/>
        <w:spacing w:line="357" w:lineRule="auto" w:before="30"/>
        <w:ind w:right="116" w:firstLine="420"/>
        <w:jc w:val="both"/>
      </w:pPr>
      <w:r>
        <w:rPr>
          <w:w w:val="95"/>
        </w:rPr>
        <w:t>章大林先生，中国国籍，无境外永久居留权。1971 年 9</w:t>
      </w:r>
      <w:r>
        <w:rPr>
          <w:spacing w:val="66"/>
          <w:w w:val="95"/>
        </w:rPr>
        <w:t> </w:t>
      </w:r>
      <w:r>
        <w:rPr>
          <w:w w:val="95"/>
        </w:rPr>
        <w:t>月出生，中共党员，大专学历。</w:t>
      </w:r>
      <w:r>
        <w:rPr>
          <w:w w:val="49"/>
        </w:rPr>
        <w:t> </w:t>
      </w:r>
      <w:r>
        <w:rPr/>
        <w:t>曾任马鞍山市鼎泰科技有限责任公司生产副总经理。现任本公司副总经理。</w:t>
      </w:r>
    </w:p>
    <w:p>
      <w:pPr>
        <w:pStyle w:val="BodyText"/>
        <w:spacing w:line="355" w:lineRule="auto" w:before="30"/>
        <w:ind w:right="121" w:firstLine="420"/>
        <w:jc w:val="both"/>
      </w:pPr>
      <w:r>
        <w:rPr>
          <w:spacing w:val="2"/>
        </w:rPr>
        <w:t>陆江先生，中国国籍，无境外永久居留权。1955</w:t>
      </w:r>
      <w:r>
        <w:rPr>
          <w:spacing w:val="-55"/>
        </w:rPr>
        <w:t> </w:t>
      </w:r>
      <w:r>
        <w:rPr/>
        <w:t>年</w:t>
      </w:r>
      <w:r>
        <w:rPr>
          <w:spacing w:val="-55"/>
        </w:rPr>
        <w:t> </w:t>
      </w:r>
      <w:r>
        <w:rPr/>
        <w:t>2</w:t>
      </w:r>
      <w:r>
        <w:rPr>
          <w:spacing w:val="-55"/>
        </w:rPr>
        <w:t> </w:t>
      </w:r>
      <w:r>
        <w:rPr/>
        <w:t>月出生，中共党员，大专学历，</w:t>
      </w:r>
      <w:r>
        <w:rPr>
          <w:w w:val="99"/>
        </w:rPr>
        <w:t> </w:t>
      </w:r>
      <w:r>
        <w:rPr/>
        <w:t>工程师。1972</w:t>
      </w:r>
      <w:r>
        <w:rPr>
          <w:spacing w:val="-55"/>
        </w:rPr>
        <w:t> </w:t>
      </w:r>
      <w:r>
        <w:rPr/>
        <w:t>年至</w:t>
      </w:r>
      <w:r>
        <w:rPr>
          <w:spacing w:val="-54"/>
        </w:rPr>
        <w:t> </w:t>
      </w:r>
      <w:r>
        <w:rPr/>
        <w:t>1998</w:t>
      </w:r>
      <w:r>
        <w:rPr>
          <w:spacing w:val="-55"/>
        </w:rPr>
        <w:t> </w:t>
      </w:r>
      <w:r>
        <w:rPr/>
        <w:t>年在天津钢丝厂任生产部部长，1998</w:t>
      </w:r>
      <w:r>
        <w:rPr>
          <w:spacing w:val="-55"/>
        </w:rPr>
        <w:t> </w:t>
      </w:r>
      <w:r>
        <w:rPr/>
        <w:t>年至</w:t>
      </w:r>
      <w:r>
        <w:rPr>
          <w:spacing w:val="-54"/>
        </w:rPr>
        <w:t> </w:t>
      </w:r>
      <w:r>
        <w:rPr/>
        <w:t>2007</w:t>
      </w:r>
      <w:r>
        <w:rPr>
          <w:spacing w:val="-55"/>
        </w:rPr>
        <w:t> </w:t>
      </w:r>
      <w:r>
        <w:rPr/>
        <w:t>年</w:t>
      </w:r>
      <w:r>
        <w:rPr>
          <w:spacing w:val="-51"/>
        </w:rPr>
        <w:t> </w:t>
      </w:r>
      <w:r>
        <w:rPr/>
        <w:t>9</w:t>
      </w:r>
      <w:r>
        <w:rPr>
          <w:spacing w:val="-55"/>
        </w:rPr>
        <w:t> </w:t>
      </w:r>
      <w:r>
        <w:rPr/>
        <w:t>月在天津燎原</w:t>
      </w:r>
      <w:r>
        <w:rPr>
          <w:w w:val="99"/>
        </w:rPr>
        <w:t> </w:t>
      </w:r>
      <w:r>
        <w:rPr>
          <w:spacing w:val="-2"/>
          <w:w w:val="95"/>
        </w:rPr>
        <w:t>钢绞线厂任经营部部长，曾任马鞍山市鼎泰科技有限责任公司工艺设备副总经理。现任本公</w:t>
      </w:r>
      <w:r>
        <w:rPr>
          <w:spacing w:val="94"/>
          <w:w w:val="95"/>
        </w:rPr>
        <w:t> </w:t>
      </w:r>
      <w:r>
        <w:rPr>
          <w:spacing w:val="94"/>
          <w:w w:val="95"/>
        </w:rPr>
      </w:r>
      <w:r>
        <w:rPr/>
        <w:t>司副总经理。</w:t>
      </w:r>
    </w:p>
    <w:p>
      <w:pPr>
        <w:pStyle w:val="BodyText"/>
        <w:spacing w:line="357" w:lineRule="auto" w:before="32"/>
        <w:ind w:right="116" w:firstLine="420"/>
        <w:jc w:val="both"/>
      </w:pPr>
      <w:r>
        <w:rPr>
          <w:w w:val="95"/>
        </w:rPr>
        <w:t>史志民先生，中国国籍，无境外永久居留权。1954 年 5</w:t>
      </w:r>
      <w:r>
        <w:rPr>
          <w:spacing w:val="66"/>
          <w:w w:val="95"/>
        </w:rPr>
        <w:t> </w:t>
      </w:r>
      <w:r>
        <w:rPr>
          <w:w w:val="95"/>
        </w:rPr>
        <w:t>月出生，中共党员，大学学历，</w:t>
      </w:r>
      <w:r>
        <w:rPr>
          <w:w w:val="49"/>
        </w:rPr>
        <w:t> </w:t>
      </w:r>
      <w:r>
        <w:rPr/>
        <w:t>教授级高级工程师。1977</w:t>
      </w:r>
      <w:r>
        <w:rPr>
          <w:spacing w:val="-52"/>
        </w:rPr>
        <w:t> </w:t>
      </w:r>
      <w:r>
        <w:rPr/>
        <w:t>年</w:t>
      </w:r>
      <w:r>
        <w:rPr>
          <w:spacing w:val="-45"/>
        </w:rPr>
        <w:t> </w:t>
      </w:r>
      <w:r>
        <w:rPr/>
        <w:t>12</w:t>
      </w:r>
      <w:r>
        <w:rPr>
          <w:spacing w:val="-49"/>
        </w:rPr>
        <w:t> </w:t>
      </w:r>
      <w:r>
        <w:rPr/>
        <w:t>月至</w:t>
      </w:r>
      <w:r>
        <w:rPr>
          <w:spacing w:val="-47"/>
        </w:rPr>
        <w:t> </w:t>
      </w:r>
      <w:r>
        <w:rPr/>
        <w:t>1996</w:t>
      </w:r>
      <w:r>
        <w:rPr>
          <w:spacing w:val="-49"/>
        </w:rPr>
        <w:t> </w:t>
      </w:r>
      <w:r>
        <w:rPr/>
        <w:t>年</w:t>
      </w:r>
      <w:r>
        <w:rPr>
          <w:spacing w:val="-47"/>
        </w:rPr>
        <w:t> </w:t>
      </w:r>
      <w:r>
        <w:rPr/>
        <w:t>6</w:t>
      </w:r>
      <w:r>
        <w:rPr>
          <w:spacing w:val="-49"/>
        </w:rPr>
        <w:t> </w:t>
      </w:r>
      <w:r>
        <w:rPr/>
        <w:t>月先后在马鞍山市锅炉厂任技术工人、焊接</w:t>
      </w:r>
      <w:r>
        <w:rPr>
          <w:w w:val="99"/>
        </w:rPr>
        <w:t> </w:t>
      </w:r>
      <w:r>
        <w:rPr>
          <w:w w:val="95"/>
        </w:rPr>
        <w:t>技术员、焊接工程师，总厂全质办副主任，曾任马鞍山市鼎泰科技有限责任公司总工程师。</w:t>
      </w:r>
      <w:r>
        <w:rPr>
          <w:spacing w:val="12"/>
          <w:w w:val="95"/>
        </w:rPr>
        <w:t> </w:t>
      </w:r>
      <w:r>
        <w:rPr>
          <w:spacing w:val="12"/>
          <w:w w:val="95"/>
        </w:rPr>
      </w:r>
      <w:r>
        <w:rPr/>
        <w:t>现任本公司总工程师。</w:t>
      </w:r>
    </w:p>
    <w:p>
      <w:pPr>
        <w:spacing w:line="240" w:lineRule="auto" w:before="0"/>
        <w:rPr>
          <w:rFonts w:ascii="宋体" w:hAnsi="宋体" w:cs="宋体" w:eastAsia="宋体" w:hint="default"/>
          <w:sz w:val="20"/>
          <w:szCs w:val="20"/>
        </w:rPr>
      </w:pPr>
    </w:p>
    <w:p>
      <w:pPr>
        <w:pStyle w:val="BodyText"/>
        <w:spacing w:line="240" w:lineRule="auto" w:before="179"/>
        <w:ind w:left="542" w:right="109"/>
        <w:jc w:val="left"/>
      </w:pPr>
      <w:r>
        <w:rPr/>
        <w:t>3、现任董事、监事、高级管理人员在其他单位的任职或兼职情况</w:t>
      </w:r>
    </w:p>
    <w:p>
      <w:pPr>
        <w:spacing w:after="0" w:line="240"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348"/>
        <w:gridCol w:w="1477"/>
        <w:gridCol w:w="4428"/>
        <w:gridCol w:w="1270"/>
      </w:tblGrid>
      <w:tr>
        <w:trPr>
          <w:trHeight w:val="345" w:hRule="exact"/>
        </w:trPr>
        <w:tc>
          <w:tcPr>
            <w:tcW w:w="1348" w:type="dxa"/>
            <w:tcBorders>
              <w:top w:val="single" w:sz="4" w:space="0" w:color="000000"/>
              <w:left w:val="single" w:sz="4" w:space="0" w:color="000000"/>
              <w:bottom w:val="nil" w:sz="6" w:space="0" w:color="auto"/>
              <w:right w:val="single" w:sz="4" w:space="0" w:color="000000"/>
            </w:tcBorders>
          </w:tcPr>
          <w:p>
            <w:pPr/>
          </w:p>
        </w:tc>
        <w:tc>
          <w:tcPr>
            <w:tcW w:w="1477" w:type="dxa"/>
            <w:tcBorders>
              <w:top w:val="single" w:sz="4" w:space="0" w:color="000000"/>
              <w:left w:val="single" w:sz="4" w:space="0" w:color="000000"/>
              <w:bottom w:val="nil" w:sz="6" w:space="0" w:color="auto"/>
              <w:right w:val="single" w:sz="4" w:space="0" w:color="000000"/>
            </w:tcBorders>
          </w:tcPr>
          <w:p>
            <w:pPr/>
          </w:p>
        </w:tc>
        <w:tc>
          <w:tcPr>
            <w:tcW w:w="4428"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所兼职单位</w:t>
            </w:r>
          </w:p>
        </w:tc>
      </w:tr>
      <w:tr>
        <w:trPr>
          <w:trHeight w:val="408" w:hRule="exact"/>
        </w:trPr>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8"/>
              <w:jc w:val="center"/>
              <w:rPr>
                <w:rFonts w:ascii="宋体" w:hAnsi="宋体" w:cs="宋体" w:eastAsia="宋体" w:hint="default"/>
                <w:sz w:val="21"/>
                <w:szCs w:val="21"/>
              </w:rPr>
            </w:pPr>
            <w:r>
              <w:rPr>
                <w:rFonts w:ascii="宋体" w:hAnsi="宋体" w:cs="宋体" w:eastAsia="宋体" w:hint="default"/>
                <w:sz w:val="21"/>
                <w:szCs w:val="21"/>
              </w:rPr>
              <w:t>姓名</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6"/>
              <w:jc w:val="center"/>
              <w:rPr>
                <w:rFonts w:ascii="宋体" w:hAnsi="宋体" w:cs="宋体" w:eastAsia="宋体" w:hint="default"/>
                <w:sz w:val="21"/>
                <w:szCs w:val="21"/>
              </w:rPr>
            </w:pPr>
            <w:r>
              <w:rPr>
                <w:rFonts w:ascii="宋体" w:hAnsi="宋体" w:cs="宋体" w:eastAsia="宋体" w:hint="default"/>
                <w:sz w:val="21"/>
                <w:szCs w:val="21"/>
              </w:rPr>
              <w:t>职务</w:t>
            </w:r>
          </w:p>
        </w:tc>
        <w:tc>
          <w:tcPr>
            <w:tcW w:w="4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任职情况</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与本公司的</w:t>
            </w:r>
          </w:p>
        </w:tc>
      </w:tr>
      <w:tr>
        <w:trPr>
          <w:trHeight w:val="481" w:hRule="exact"/>
        </w:trPr>
        <w:tc>
          <w:tcPr>
            <w:tcW w:w="1348" w:type="dxa"/>
            <w:tcBorders>
              <w:top w:val="nil" w:sz="6" w:space="0" w:color="auto"/>
              <w:left w:val="single" w:sz="4" w:space="0" w:color="000000"/>
              <w:bottom w:val="single" w:sz="4" w:space="0" w:color="000000"/>
              <w:right w:val="single" w:sz="4" w:space="0" w:color="000000"/>
            </w:tcBorders>
          </w:tcPr>
          <w:p>
            <w:pPr/>
          </w:p>
        </w:tc>
        <w:tc>
          <w:tcPr>
            <w:tcW w:w="1477" w:type="dxa"/>
            <w:tcBorders>
              <w:top w:val="nil" w:sz="6" w:space="0" w:color="auto"/>
              <w:left w:val="single" w:sz="4" w:space="0" w:color="000000"/>
              <w:bottom w:val="single" w:sz="4" w:space="0" w:color="000000"/>
              <w:right w:val="single" w:sz="4" w:space="0" w:color="000000"/>
            </w:tcBorders>
          </w:tcPr>
          <w:p>
            <w:pPr/>
          </w:p>
        </w:tc>
        <w:tc>
          <w:tcPr>
            <w:tcW w:w="4428"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r>
      <w:tr>
        <w:trPr>
          <w:trHeight w:val="419"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一、董事</w:t>
            </w:r>
            <w:r>
              <w:rPr>
                <w:rFonts w:ascii="Microsoft JhengHei" w:hAnsi="Microsoft JhengHei" w:cs="Microsoft JhengHei" w:eastAsia="Microsoft JhengHei"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胡卫红</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20"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陈炬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司徒伟廉</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方伦赞</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无其他任职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赵增祺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包头稀土研究院院长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南京理工大学经济管理学院教授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9"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二、监事</w:t>
            </w:r>
            <w:r>
              <w:rPr>
                <w:rFonts w:ascii="Microsoft JhengHei" w:hAnsi="Microsoft JhengHei" w:cs="Microsoft JhengHei" w:eastAsia="Microsoft JhengHei"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戴卫星</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海南物博贸易公司副总经理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20"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马作民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三、高级管理人员</w:t>
            </w:r>
            <w:r>
              <w:rPr>
                <w:rFonts w:ascii="Microsoft JhengHei" w:hAnsi="Microsoft JhengHei" w:cs="Microsoft JhengHei" w:eastAsia="Microsoft JhengHei" w:hint="default"/>
                <w:sz w:val="21"/>
                <w:szCs w:val="21"/>
              </w:rPr>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重庆市隆泰稀土新材料有限责任公司执行董事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550" w:hRule="exact"/>
        </w:trPr>
        <w:tc>
          <w:tcPr>
            <w:tcW w:w="1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6"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147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副总经理、财</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务总监、董事</w:t>
            </w:r>
          </w:p>
        </w:tc>
        <w:tc>
          <w:tcPr>
            <w:tcW w:w="4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重庆市隆泰稀土新材料有限责任公司监事</w:t>
            </w:r>
          </w:p>
        </w:tc>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278" w:hRule="exact"/>
        </w:trPr>
        <w:tc>
          <w:tcPr>
            <w:tcW w:w="1348" w:type="dxa"/>
            <w:tcBorders>
              <w:top w:val="nil" w:sz="6" w:space="0" w:color="auto"/>
              <w:left w:val="single" w:sz="4" w:space="0" w:color="000000"/>
              <w:bottom w:val="single" w:sz="4" w:space="0" w:color="000000"/>
              <w:right w:val="single" w:sz="4" w:space="0" w:color="000000"/>
            </w:tcBorders>
          </w:tcPr>
          <w:p>
            <w:pPr/>
          </w:p>
        </w:tc>
        <w:tc>
          <w:tcPr>
            <w:tcW w:w="1477"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会秘书</w:t>
            </w:r>
          </w:p>
        </w:tc>
        <w:tc>
          <w:tcPr>
            <w:tcW w:w="4428"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重庆市渝神科技有限责任公司总经理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20"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4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bl>
    <w:p>
      <w:pPr>
        <w:spacing w:line="240" w:lineRule="auto" w:before="13"/>
        <w:rPr>
          <w:rFonts w:ascii="宋体" w:hAnsi="宋体" w:cs="宋体" w:eastAsia="宋体" w:hint="default"/>
          <w:sz w:val="25"/>
          <w:szCs w:val="25"/>
        </w:rPr>
      </w:pPr>
    </w:p>
    <w:p>
      <w:pPr>
        <w:pStyle w:val="BodyText"/>
        <w:spacing w:line="240" w:lineRule="auto" w:before="34"/>
        <w:ind w:left="642" w:right="229"/>
        <w:jc w:val="left"/>
      </w:pPr>
      <w:r>
        <w:rPr/>
        <w:t>4、董事、监事和高级管理人员年度报酬情况</w:t>
      </w:r>
    </w:p>
    <w:p>
      <w:pPr>
        <w:pStyle w:val="BodyText"/>
        <w:spacing w:line="357" w:lineRule="auto" w:before="133"/>
        <w:ind w:left="222" w:right="229" w:firstLine="420"/>
        <w:jc w:val="left"/>
      </w:pPr>
      <w:r>
        <w:rPr/>
        <w:t>（1）报告期内，在公司任职的董事、监事和高级管理人员按其岗位职责，根据公司现</w:t>
      </w:r>
      <w:r>
        <w:rPr>
          <w:w w:val="99"/>
        </w:rPr>
        <w:t> </w:t>
      </w:r>
      <w:r>
        <w:rPr/>
        <w:t>行的薪酬制度和业绩考核规定获取薪酬。</w:t>
      </w:r>
    </w:p>
    <w:p>
      <w:pPr>
        <w:pStyle w:val="BodyText"/>
        <w:spacing w:line="355" w:lineRule="auto" w:before="30"/>
        <w:ind w:left="222" w:right="223" w:firstLine="420"/>
        <w:jc w:val="left"/>
      </w:pPr>
      <w:r>
        <w:rPr>
          <w:spacing w:val="-3"/>
        </w:rPr>
        <w:t>（2）独立董事津贴为</w:t>
      </w:r>
      <w:r>
        <w:rPr>
          <w:spacing w:val="-87"/>
        </w:rPr>
        <w:t> </w:t>
      </w:r>
      <w:r>
        <w:rPr/>
        <w:t>4.5</w:t>
      </w:r>
      <w:r>
        <w:rPr>
          <w:spacing w:val="-87"/>
        </w:rPr>
        <w:t> </w:t>
      </w:r>
      <w:r>
        <w:rPr/>
        <w:t>万元/年，独立董事按公司章程或受股东大会、董事会委托行</w:t>
      </w:r>
      <w:r>
        <w:rPr>
          <w:w w:val="99"/>
        </w:rPr>
        <w:t> </w:t>
      </w:r>
      <w:r>
        <w:rPr/>
        <w:t>使职权时所需的合理费用由公司承担。</w:t>
      </w:r>
    </w:p>
    <w:p>
      <w:pPr>
        <w:pStyle w:val="BodyText"/>
        <w:spacing w:line="240" w:lineRule="auto" w:before="32"/>
        <w:ind w:left="642" w:right="229"/>
        <w:jc w:val="left"/>
      </w:pPr>
      <w:r>
        <w:rPr/>
        <w:t>5、报告期内，公司董事、监事、高级管理人员新聘和解聘的情况</w:t>
      </w:r>
    </w:p>
    <w:p>
      <w:pPr>
        <w:spacing w:after="0" w:line="240" w:lineRule="auto"/>
        <w:jc w:val="left"/>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left="242" w:right="237" w:firstLine="420"/>
        <w:jc w:val="both"/>
      </w:pPr>
      <w:r>
        <w:rPr/>
        <w:t>2010</w:t>
      </w:r>
      <w:r>
        <w:rPr>
          <w:spacing w:val="-48"/>
        </w:rPr>
        <w:t> </w:t>
      </w:r>
      <w:r>
        <w:rPr/>
        <w:t>年</w:t>
      </w:r>
      <w:r>
        <w:rPr>
          <w:spacing w:val="-47"/>
        </w:rPr>
        <w:t> </w:t>
      </w:r>
      <w:r>
        <w:rPr/>
        <w:t>4</w:t>
      </w:r>
      <w:r>
        <w:rPr>
          <w:spacing w:val="-48"/>
        </w:rPr>
        <w:t> </w:t>
      </w:r>
      <w:r>
        <w:rPr/>
        <w:t>月</w:t>
      </w:r>
      <w:r>
        <w:rPr>
          <w:spacing w:val="-47"/>
        </w:rPr>
        <w:t> </w:t>
      </w:r>
      <w:r>
        <w:rPr/>
        <w:t>8</w:t>
      </w:r>
      <w:r>
        <w:rPr>
          <w:spacing w:val="-46"/>
        </w:rPr>
        <w:t> </w:t>
      </w:r>
      <w:r>
        <w:rPr/>
        <w:t>日，公司一届第十一次董事会审议通过了《关于童德胜先生辞去公司第</w:t>
      </w:r>
      <w:r>
        <w:rPr>
          <w:w w:val="99"/>
        </w:rPr>
        <w:t> </w:t>
      </w:r>
      <w:r>
        <w:rPr>
          <w:spacing w:val="-2"/>
          <w:w w:val="99"/>
        </w:rPr>
        <w:t>一届董事会董事职务的议案》和《关于提名司徒伟廉先生为公司新任非独立董事的议案》，</w:t>
      </w:r>
      <w:r>
        <w:rPr>
          <w:spacing w:val="-87"/>
          <w:w w:val="99"/>
        </w:rPr>
        <w:t> </w:t>
      </w:r>
      <w:r>
        <w:rPr>
          <w:spacing w:val="-87"/>
          <w:w w:val="99"/>
        </w:rPr>
      </w:r>
      <w:r>
        <w:rPr/>
        <w:t>童德胜正式辞去公司董事职务；2010</w:t>
      </w:r>
      <w:r>
        <w:rPr>
          <w:spacing w:val="-60"/>
        </w:rPr>
        <w:t> </w:t>
      </w:r>
      <w:r>
        <w:rPr/>
        <w:t>年</w:t>
      </w:r>
      <w:r>
        <w:rPr>
          <w:spacing w:val="-60"/>
        </w:rPr>
        <w:t> </w:t>
      </w:r>
      <w:r>
        <w:rPr/>
        <w:t>5</w:t>
      </w:r>
      <w:r>
        <w:rPr>
          <w:spacing w:val="-58"/>
        </w:rPr>
        <w:t> </w:t>
      </w:r>
      <w:r>
        <w:rPr/>
        <w:t>月</w:t>
      </w:r>
      <w:r>
        <w:rPr>
          <w:spacing w:val="-57"/>
        </w:rPr>
        <w:t> </w:t>
      </w:r>
      <w:r>
        <w:rPr/>
        <w:t>8</w:t>
      </w:r>
      <w:r>
        <w:rPr>
          <w:spacing w:val="-60"/>
        </w:rPr>
        <w:t> </w:t>
      </w:r>
      <w:r>
        <w:rPr>
          <w:spacing w:val="-3"/>
        </w:rPr>
        <w:t>日，公司</w:t>
      </w:r>
      <w:r>
        <w:rPr>
          <w:spacing w:val="-60"/>
        </w:rPr>
        <w:t> </w:t>
      </w:r>
      <w:r>
        <w:rPr/>
        <w:t>2009</w:t>
      </w:r>
      <w:r>
        <w:rPr>
          <w:spacing w:val="-58"/>
        </w:rPr>
        <w:t> </w:t>
      </w:r>
      <w:r>
        <w:rPr/>
        <w:t>年年度股东大会审议通过《关</w:t>
      </w:r>
      <w:r>
        <w:rPr>
          <w:w w:val="99"/>
        </w:rPr>
        <w:t> </w:t>
      </w:r>
      <w:r>
        <w:rPr>
          <w:spacing w:val="-2"/>
          <w:w w:val="99"/>
        </w:rPr>
        <w:t>于提名司徒伟廉先生为公司新任非独立董事候选人的议案》，正式提名司徒伟廉为公司新任</w:t>
      </w:r>
      <w:r>
        <w:rPr>
          <w:spacing w:val="-87"/>
          <w:w w:val="99"/>
        </w:rPr>
        <w:t> </w:t>
      </w:r>
      <w:r>
        <w:rPr>
          <w:spacing w:val="-87"/>
          <w:w w:val="99"/>
        </w:rPr>
      </w:r>
      <w:r>
        <w:rPr/>
        <w:t>非独立董事，除此之外，公司董事、监事、高级管理人员未出现新聘、解聘情况。</w:t>
      </w:r>
    </w:p>
    <w:p>
      <w:pPr>
        <w:spacing w:line="240" w:lineRule="auto" w:before="0"/>
        <w:rPr>
          <w:rFonts w:ascii="宋体" w:hAnsi="宋体" w:cs="宋体" w:eastAsia="宋体" w:hint="default"/>
          <w:sz w:val="20"/>
          <w:szCs w:val="20"/>
        </w:rPr>
      </w:pPr>
    </w:p>
    <w:p>
      <w:pPr>
        <w:pStyle w:val="Heading3"/>
        <w:spacing w:line="240" w:lineRule="auto" w:before="177"/>
        <w:ind w:left="722" w:right="1384"/>
        <w:jc w:val="left"/>
      </w:pPr>
      <w:r>
        <w:rPr/>
        <w:t>二、 公司员工情况</w:t>
      </w:r>
    </w:p>
    <w:p>
      <w:pPr>
        <w:pStyle w:val="BodyText"/>
        <w:spacing w:line="355" w:lineRule="auto" w:before="155"/>
        <w:ind w:left="242" w:right="242" w:firstLine="420"/>
        <w:jc w:val="both"/>
      </w:pPr>
      <w:r>
        <w:rPr/>
        <w:t>截至</w:t>
      </w:r>
      <w:r>
        <w:rPr>
          <w:spacing w:val="-55"/>
        </w:rPr>
        <w:t> </w:t>
      </w:r>
      <w:r>
        <w:rPr/>
        <w:t>2010</w:t>
      </w:r>
      <w:r>
        <w:rPr>
          <w:spacing w:val="-56"/>
        </w:rPr>
        <w:t> </w:t>
      </w:r>
      <w:r>
        <w:rPr/>
        <w:t>年</w:t>
      </w:r>
      <w:r>
        <w:rPr>
          <w:spacing w:val="-52"/>
        </w:rPr>
        <w:t> </w:t>
      </w:r>
      <w:r>
        <w:rPr/>
        <w:t>12</w:t>
      </w:r>
      <w:r>
        <w:rPr>
          <w:spacing w:val="-56"/>
        </w:rPr>
        <w:t> </w:t>
      </w:r>
      <w:r>
        <w:rPr/>
        <w:t>月</w:t>
      </w:r>
      <w:r>
        <w:rPr>
          <w:spacing w:val="-52"/>
        </w:rPr>
        <w:t> </w:t>
      </w:r>
      <w:r>
        <w:rPr/>
        <w:t>31</w:t>
      </w:r>
      <w:r>
        <w:rPr>
          <w:spacing w:val="-56"/>
        </w:rPr>
        <w:t> </w:t>
      </w:r>
      <w:r>
        <w:rPr/>
        <w:t>日，公司及全资子公司在职员工总数为</w:t>
      </w:r>
      <w:r>
        <w:rPr>
          <w:spacing w:val="-47"/>
        </w:rPr>
        <w:t> </w:t>
      </w:r>
      <w:r>
        <w:rPr/>
        <w:t>769</w:t>
      </w:r>
      <w:r>
        <w:rPr>
          <w:spacing w:val="-58"/>
        </w:rPr>
        <w:t> </w:t>
      </w:r>
      <w:r>
        <w:rPr/>
        <w:t>人，按学历、年龄、</w:t>
      </w:r>
      <w:r>
        <w:rPr>
          <w:w w:val="99"/>
        </w:rPr>
        <w:t> </w:t>
      </w:r>
      <w:r>
        <w:rPr/>
        <w:t>职能等结构分布情况如下：</w:t>
      </w:r>
    </w:p>
    <w:p>
      <w:pPr>
        <w:pStyle w:val="BodyText"/>
        <w:spacing w:line="240" w:lineRule="auto" w:before="147"/>
        <w:ind w:left="235" w:right="1384"/>
        <w:jc w:val="left"/>
      </w:pPr>
      <w:r>
        <w:rPr>
          <w:rFonts w:ascii="Arial" w:hAnsi="Arial" w:cs="Arial" w:eastAsia="Arial" w:hint="default"/>
        </w:rPr>
        <w:t>1</w:t>
      </w:r>
      <w:r>
        <w:rPr/>
        <w:t>、按学历划分：</w:t>
      </w:r>
    </w:p>
    <w:p>
      <w:pPr>
        <w:spacing w:line="240" w:lineRule="auto" w:before="13"/>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662"/>
        <w:gridCol w:w="2803"/>
        <w:gridCol w:w="3065"/>
      </w:tblGrid>
      <w:tr>
        <w:trPr>
          <w:trHeight w:val="480"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占职工总人数的比例（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本科及以上学历</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Arial" w:hAnsi="Arial" w:cs="Arial" w:eastAsia="Arial" w:hint="default"/>
                <w:sz w:val="21"/>
                <w:szCs w:val="21"/>
              </w:rPr>
            </w:pPr>
            <w:r>
              <w:rPr>
                <w:rFonts w:ascii="Arial"/>
                <w:sz w:val="21"/>
              </w:rPr>
              <w:t>82</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Arial" w:hAnsi="Arial" w:cs="Arial" w:eastAsia="Arial" w:hint="default"/>
                <w:sz w:val="21"/>
                <w:szCs w:val="21"/>
              </w:rPr>
            </w:pPr>
            <w:r>
              <w:rPr>
                <w:rFonts w:ascii="Arial"/>
                <w:sz w:val="21"/>
              </w:rPr>
              <w:t>10.66%</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 w:right="0"/>
              <w:jc w:val="center"/>
              <w:rPr>
                <w:rFonts w:ascii="Arial" w:hAnsi="Arial" w:cs="Arial" w:eastAsia="Arial" w:hint="default"/>
                <w:sz w:val="21"/>
                <w:szCs w:val="21"/>
              </w:rPr>
            </w:pPr>
            <w:r>
              <w:rPr>
                <w:rFonts w:ascii="Arial"/>
                <w:sz w:val="21"/>
              </w:rPr>
              <w:t>128</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Arial" w:hAnsi="Arial" w:cs="Arial" w:eastAsia="Arial" w:hint="default"/>
                <w:sz w:val="21"/>
                <w:szCs w:val="21"/>
              </w:rPr>
            </w:pPr>
            <w:r>
              <w:rPr>
                <w:rFonts w:ascii="Arial"/>
                <w:sz w:val="21"/>
              </w:rPr>
              <w:t>16.65%</w:t>
            </w:r>
          </w:p>
        </w:tc>
      </w:tr>
      <w:tr>
        <w:trPr>
          <w:trHeight w:val="497"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高中</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3" w:right="0"/>
              <w:jc w:val="center"/>
              <w:rPr>
                <w:rFonts w:ascii="Arial" w:hAnsi="Arial" w:cs="Arial" w:eastAsia="Arial" w:hint="default"/>
                <w:sz w:val="21"/>
                <w:szCs w:val="21"/>
              </w:rPr>
            </w:pPr>
            <w:r>
              <w:rPr>
                <w:rFonts w:ascii="Arial"/>
                <w:sz w:val="21"/>
              </w:rPr>
              <w:t>210</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Arial" w:hAnsi="Arial" w:cs="Arial" w:eastAsia="Arial" w:hint="default"/>
                <w:sz w:val="21"/>
                <w:szCs w:val="21"/>
              </w:rPr>
            </w:pPr>
            <w:r>
              <w:rPr>
                <w:rFonts w:ascii="Arial"/>
                <w:sz w:val="21"/>
              </w:rPr>
              <w:t>27.31%</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中专及以下学历</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3" w:right="0"/>
              <w:jc w:val="center"/>
              <w:rPr>
                <w:rFonts w:ascii="Arial" w:hAnsi="Arial" w:cs="Arial" w:eastAsia="Arial" w:hint="default"/>
                <w:sz w:val="21"/>
                <w:szCs w:val="21"/>
              </w:rPr>
            </w:pPr>
            <w:r>
              <w:rPr>
                <w:rFonts w:ascii="Arial"/>
                <w:sz w:val="21"/>
              </w:rPr>
              <w:t>349</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Arial" w:hAnsi="Arial" w:cs="Arial" w:eastAsia="Arial" w:hint="default"/>
                <w:sz w:val="21"/>
                <w:szCs w:val="21"/>
              </w:rPr>
            </w:pPr>
            <w:r>
              <w:rPr>
                <w:rFonts w:ascii="Arial"/>
                <w:sz w:val="21"/>
              </w:rPr>
              <w:t>45.38%</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 w:right="0"/>
              <w:jc w:val="center"/>
              <w:rPr>
                <w:rFonts w:ascii="Arial" w:hAnsi="Arial" w:cs="Arial" w:eastAsia="Arial" w:hint="default"/>
                <w:sz w:val="21"/>
                <w:szCs w:val="21"/>
              </w:rPr>
            </w:pPr>
            <w:r>
              <w:rPr>
                <w:rFonts w:ascii="Arial"/>
                <w:sz w:val="21"/>
              </w:rPr>
              <w:t>769</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100%</w:t>
            </w:r>
          </w:p>
        </w:tc>
      </w:tr>
    </w:tbl>
    <w:p>
      <w:pPr>
        <w:pStyle w:val="BodyText"/>
        <w:spacing w:line="240" w:lineRule="auto" w:before="62"/>
        <w:ind w:left="235" w:right="1384"/>
        <w:jc w:val="left"/>
      </w:pPr>
      <w:r>
        <w:rPr>
          <w:rFonts w:ascii="Arial" w:hAnsi="Arial" w:cs="Arial" w:eastAsia="Arial" w:hint="default"/>
        </w:rPr>
        <w:t>2</w:t>
      </w:r>
      <w:r>
        <w:rPr/>
        <w:t>、按年龄划分：</w:t>
      </w:r>
    </w:p>
    <w:p>
      <w:pPr>
        <w:spacing w:line="240" w:lineRule="auto" w:before="1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62"/>
        <w:gridCol w:w="2806"/>
        <w:gridCol w:w="3062"/>
      </w:tblGrid>
      <w:tr>
        <w:trPr>
          <w:trHeight w:val="480"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占职工总人数的比例（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51" w:right="0"/>
              <w:jc w:val="left"/>
              <w:rPr>
                <w:rFonts w:ascii="宋体" w:hAnsi="宋体" w:cs="宋体" w:eastAsia="宋体" w:hint="default"/>
                <w:sz w:val="21"/>
                <w:szCs w:val="21"/>
              </w:rPr>
            </w:pPr>
            <w:r>
              <w:rPr>
                <w:rFonts w:ascii="Arial" w:hAnsi="Arial" w:cs="Arial" w:eastAsia="Arial" w:hint="default"/>
                <w:sz w:val="21"/>
                <w:szCs w:val="21"/>
              </w:rPr>
              <w:t>51</w:t>
            </w:r>
            <w:r>
              <w:rPr>
                <w:rFonts w:ascii="宋体" w:hAnsi="宋体" w:cs="宋体" w:eastAsia="宋体" w:hint="default"/>
                <w:sz w:val="21"/>
                <w:szCs w:val="21"/>
              </w:rPr>
              <w:t>岁以上</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Arial" w:hAnsi="Arial" w:cs="Arial" w:eastAsia="Arial" w:hint="default"/>
                <w:sz w:val="21"/>
                <w:szCs w:val="21"/>
              </w:rPr>
            </w:pPr>
            <w:r>
              <w:rPr>
                <w:rFonts w:ascii="Arial"/>
                <w:sz w:val="21"/>
              </w:rPr>
              <w:t>69</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8.97%</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21"/>
                <w:szCs w:val="21"/>
              </w:rPr>
            </w:pPr>
            <w:r>
              <w:rPr>
                <w:rFonts w:ascii="Arial" w:hAnsi="Arial" w:cs="Arial" w:eastAsia="Arial" w:hint="default"/>
                <w:sz w:val="21"/>
                <w:szCs w:val="21"/>
              </w:rPr>
              <w:t>41~50</w:t>
            </w:r>
            <w:r>
              <w:rPr>
                <w:rFonts w:ascii="宋体" w:hAnsi="宋体" w:cs="宋体" w:eastAsia="宋体" w:hint="default"/>
                <w:sz w:val="21"/>
                <w:szCs w:val="21"/>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Arial" w:hAnsi="Arial" w:cs="Arial" w:eastAsia="Arial" w:hint="default"/>
                <w:sz w:val="21"/>
                <w:szCs w:val="21"/>
              </w:rPr>
            </w:pPr>
            <w:r>
              <w:rPr>
                <w:rFonts w:ascii="Arial"/>
                <w:sz w:val="21"/>
              </w:rPr>
              <w:t>288</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37.45%</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Arial" w:hAnsi="Arial" w:cs="Arial" w:eastAsia="Arial" w:hint="default"/>
                <w:sz w:val="21"/>
                <w:szCs w:val="21"/>
              </w:rPr>
              <w:t>31~40</w:t>
            </w:r>
            <w:r>
              <w:rPr>
                <w:rFonts w:ascii="宋体" w:hAnsi="宋体" w:cs="宋体" w:eastAsia="宋体" w:hint="default"/>
                <w:sz w:val="21"/>
                <w:szCs w:val="21"/>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Arial" w:hAnsi="Arial" w:cs="Arial" w:eastAsia="Arial" w:hint="default"/>
                <w:sz w:val="21"/>
                <w:szCs w:val="21"/>
              </w:rPr>
            </w:pPr>
            <w:r>
              <w:rPr>
                <w:rFonts w:ascii="Arial"/>
                <w:sz w:val="21"/>
              </w:rPr>
              <w:t>254</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33.03%</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21"/>
                <w:szCs w:val="21"/>
              </w:rPr>
            </w:pPr>
            <w:r>
              <w:rPr>
                <w:rFonts w:ascii="Arial" w:hAnsi="Arial" w:cs="Arial" w:eastAsia="Arial" w:hint="default"/>
                <w:sz w:val="21"/>
                <w:szCs w:val="21"/>
              </w:rPr>
              <w:t>21~30</w:t>
            </w:r>
            <w:r>
              <w:rPr>
                <w:rFonts w:ascii="宋体" w:hAnsi="宋体" w:cs="宋体" w:eastAsia="宋体" w:hint="default"/>
                <w:sz w:val="21"/>
                <w:szCs w:val="21"/>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Arial" w:hAnsi="Arial" w:cs="Arial" w:eastAsia="Arial" w:hint="default"/>
                <w:sz w:val="21"/>
                <w:szCs w:val="21"/>
              </w:rPr>
            </w:pPr>
            <w:r>
              <w:rPr>
                <w:rFonts w:ascii="Arial"/>
                <w:sz w:val="21"/>
              </w:rPr>
              <w:t>133</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17.30%</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87" w:right="0"/>
              <w:jc w:val="left"/>
              <w:rPr>
                <w:rFonts w:ascii="宋体" w:hAnsi="宋体" w:cs="宋体" w:eastAsia="宋体" w:hint="default"/>
                <w:sz w:val="21"/>
                <w:szCs w:val="21"/>
              </w:rPr>
            </w:pPr>
            <w:r>
              <w:rPr>
                <w:rFonts w:ascii="Arial" w:hAnsi="Arial" w:cs="Arial" w:eastAsia="Arial" w:hint="default"/>
                <w:sz w:val="21"/>
                <w:szCs w:val="21"/>
              </w:rPr>
              <w:t>20</w:t>
            </w:r>
            <w:r>
              <w:rPr>
                <w:rFonts w:ascii="宋体" w:hAnsi="宋体" w:cs="宋体" w:eastAsia="宋体" w:hint="default"/>
                <w:sz w:val="21"/>
                <w:szCs w:val="21"/>
              </w:rPr>
              <w:t>岁及以下</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Arial" w:hAnsi="Arial" w:cs="Arial" w:eastAsia="Arial" w:hint="default"/>
                <w:sz w:val="21"/>
                <w:szCs w:val="21"/>
              </w:rPr>
            </w:pPr>
            <w:r>
              <w:rPr>
                <w:rFonts w:ascii="Arial"/>
                <w:sz w:val="21"/>
              </w:rPr>
              <w:t>25</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3.25%</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Arial" w:hAnsi="Arial" w:cs="Arial" w:eastAsia="Arial" w:hint="default"/>
                <w:sz w:val="21"/>
                <w:szCs w:val="21"/>
              </w:rPr>
            </w:pPr>
            <w:r>
              <w:rPr>
                <w:rFonts w:ascii="Arial"/>
                <w:sz w:val="21"/>
              </w:rPr>
              <w:t>769</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center"/>
              <w:rPr>
                <w:rFonts w:ascii="Arial" w:hAnsi="Arial" w:cs="Arial" w:eastAsia="Arial" w:hint="default"/>
                <w:sz w:val="21"/>
                <w:szCs w:val="21"/>
              </w:rPr>
            </w:pPr>
            <w:r>
              <w:rPr>
                <w:rFonts w:ascii="Arial"/>
                <w:sz w:val="21"/>
              </w:rPr>
              <w:t>100%</w:t>
            </w:r>
          </w:p>
        </w:tc>
      </w:tr>
    </w:tbl>
    <w:p>
      <w:pPr>
        <w:pStyle w:val="BodyText"/>
        <w:spacing w:line="240" w:lineRule="auto" w:before="62"/>
        <w:ind w:left="235" w:right="1384"/>
        <w:jc w:val="left"/>
      </w:pPr>
      <w:r>
        <w:rPr>
          <w:rFonts w:ascii="Arial" w:hAnsi="Arial" w:cs="Arial" w:eastAsia="Arial" w:hint="default"/>
        </w:rPr>
        <w:t>3</w:t>
      </w:r>
      <w:r>
        <w:rPr/>
        <w:t>、按职能划分：</w:t>
      </w:r>
    </w:p>
    <w:p>
      <w:pPr>
        <w:spacing w:line="240" w:lineRule="auto" w:before="1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62"/>
        <w:gridCol w:w="2806"/>
        <w:gridCol w:w="3062"/>
      </w:tblGrid>
      <w:tr>
        <w:trPr>
          <w:trHeight w:val="480"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员工类别</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占职工总人数的比例（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Arial" w:hAnsi="Arial" w:cs="Arial" w:eastAsia="Arial" w:hint="default"/>
                <w:sz w:val="21"/>
                <w:szCs w:val="21"/>
              </w:rPr>
            </w:pPr>
            <w:r>
              <w:rPr>
                <w:rFonts w:ascii="Arial"/>
                <w:sz w:val="21"/>
              </w:rPr>
              <w:t>81</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10.53%</w:t>
            </w:r>
          </w:p>
        </w:tc>
      </w:tr>
      <w:tr>
        <w:trPr>
          <w:trHeight w:val="498"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
              <w:jc w:val="center"/>
              <w:rPr>
                <w:rFonts w:ascii="Arial" w:hAnsi="Arial" w:cs="Arial" w:eastAsia="Arial" w:hint="default"/>
                <w:sz w:val="21"/>
                <w:szCs w:val="21"/>
              </w:rPr>
            </w:pPr>
            <w:r>
              <w:rPr>
                <w:rFonts w:ascii="Arial"/>
                <w:spacing w:val="-3"/>
                <w:sz w:val="21"/>
              </w:rPr>
              <w:t>11</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Arial" w:hAnsi="Arial" w:cs="Arial" w:eastAsia="Arial" w:hint="default"/>
                <w:sz w:val="21"/>
                <w:szCs w:val="21"/>
              </w:rPr>
            </w:pPr>
            <w:r>
              <w:rPr>
                <w:rFonts w:ascii="Arial"/>
                <w:sz w:val="21"/>
              </w:rPr>
              <w:t>1.43%</w:t>
            </w:r>
          </w:p>
        </w:tc>
      </w:tr>
      <w:tr>
        <w:trPr>
          <w:trHeight w:val="497"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center"/>
              <w:rPr>
                <w:rFonts w:ascii="Arial" w:hAnsi="Arial" w:cs="Arial" w:eastAsia="Arial" w:hint="default"/>
                <w:sz w:val="21"/>
                <w:szCs w:val="21"/>
              </w:rPr>
            </w:pPr>
            <w:r>
              <w:rPr>
                <w:rFonts w:ascii="Arial"/>
                <w:sz w:val="21"/>
              </w:rPr>
              <w:t>47</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Arial" w:hAnsi="Arial" w:cs="Arial" w:eastAsia="Arial" w:hint="default"/>
                <w:sz w:val="21"/>
                <w:szCs w:val="21"/>
              </w:rPr>
            </w:pPr>
            <w:r>
              <w:rPr>
                <w:rFonts w:ascii="Arial"/>
                <w:spacing w:val="-3"/>
                <w:sz w:val="21"/>
              </w:rPr>
              <w:t>6.11%</w:t>
            </w:r>
          </w:p>
        </w:tc>
      </w:tr>
    </w:tbl>
    <w:p>
      <w:pPr>
        <w:spacing w:after="0" w:line="240" w:lineRule="auto"/>
        <w:jc w:val="center"/>
        <w:rPr>
          <w:rFonts w:ascii="Arial" w:hAnsi="Arial" w:cs="Arial" w:eastAsia="Arial" w:hint="default"/>
          <w:sz w:val="21"/>
          <w:szCs w:val="21"/>
        </w:rPr>
        <w:sectPr>
          <w:pgSz w:w="11910" w:h="16840"/>
          <w:pgMar w:header="206" w:footer="738" w:top="940" w:bottom="92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2662"/>
        <w:gridCol w:w="2803"/>
        <w:gridCol w:w="3065"/>
      </w:tblGrid>
      <w:tr>
        <w:trPr>
          <w:trHeight w:val="497"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279" w:right="0"/>
              <w:jc w:val="left"/>
              <w:rPr>
                <w:rFonts w:ascii="Arial" w:hAnsi="Arial" w:cs="Arial" w:eastAsia="Arial" w:hint="default"/>
                <w:sz w:val="21"/>
                <w:szCs w:val="21"/>
              </w:rPr>
            </w:pPr>
            <w:r>
              <w:rPr>
                <w:rFonts w:ascii="Arial"/>
                <w:sz w:val="21"/>
              </w:rPr>
              <w:t>79</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Arial" w:hAnsi="Arial" w:cs="Arial" w:eastAsia="Arial" w:hint="default"/>
                <w:sz w:val="21"/>
                <w:szCs w:val="21"/>
              </w:rPr>
            </w:pPr>
            <w:r>
              <w:rPr>
                <w:rFonts w:ascii="Arial"/>
                <w:sz w:val="21"/>
              </w:rPr>
              <w:t>10.27%</w:t>
            </w:r>
          </w:p>
        </w:tc>
      </w:tr>
      <w:tr>
        <w:trPr>
          <w:trHeight w:val="497"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221" w:right="0"/>
              <w:jc w:val="left"/>
              <w:rPr>
                <w:rFonts w:ascii="Arial" w:hAnsi="Arial" w:cs="Arial" w:eastAsia="Arial" w:hint="default"/>
                <w:sz w:val="21"/>
                <w:szCs w:val="21"/>
              </w:rPr>
            </w:pPr>
            <w:r>
              <w:rPr>
                <w:rFonts w:ascii="Arial"/>
                <w:sz w:val="21"/>
              </w:rPr>
              <w:t>551</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Arial" w:hAnsi="Arial" w:cs="Arial" w:eastAsia="Arial" w:hint="default"/>
                <w:sz w:val="21"/>
                <w:szCs w:val="21"/>
              </w:rPr>
            </w:pPr>
            <w:r>
              <w:rPr>
                <w:rFonts w:ascii="Arial"/>
                <w:sz w:val="21"/>
              </w:rPr>
              <w:t>71.65%</w:t>
            </w:r>
          </w:p>
        </w:tc>
      </w:tr>
      <w:tr>
        <w:trPr>
          <w:trHeight w:val="482" w:hRule="exact"/>
        </w:trPr>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221" w:right="0"/>
              <w:jc w:val="left"/>
              <w:rPr>
                <w:rFonts w:ascii="Arial" w:hAnsi="Arial" w:cs="Arial" w:eastAsia="Arial" w:hint="default"/>
                <w:sz w:val="21"/>
                <w:szCs w:val="21"/>
              </w:rPr>
            </w:pPr>
            <w:r>
              <w:rPr>
                <w:rFonts w:ascii="Arial"/>
                <w:sz w:val="21"/>
              </w:rPr>
              <w:t>769</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206" w:footer="738" w:top="940" w:bottom="920" w:left="1560" w:right="15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1"/>
        <w:tabs>
          <w:tab w:pos="3832" w:val="left" w:leader="none"/>
        </w:tabs>
        <w:spacing w:line="539" w:lineRule="exact"/>
        <w:ind w:left="2073" w:right="109"/>
        <w:jc w:val="left"/>
      </w:pPr>
      <w:bookmarkStart w:name="_TOC_250006" w:id="4"/>
      <w:r>
        <w:rPr>
          <w:w w:val="95"/>
        </w:rPr>
        <w:t>第五节</w:t>
        <w:tab/>
      </w:r>
      <w:bookmarkEnd w:id="4"/>
      <w:r>
        <w:rPr/>
        <w:t>公司治理结构</w:t>
      </w:r>
    </w:p>
    <w:p>
      <w:pPr>
        <w:spacing w:line="240" w:lineRule="auto" w:before="7"/>
        <w:rPr>
          <w:rFonts w:ascii="宋体" w:hAnsi="宋体" w:cs="宋体" w:eastAsia="宋体" w:hint="default"/>
          <w:sz w:val="65"/>
          <w:szCs w:val="65"/>
        </w:rPr>
      </w:pPr>
    </w:p>
    <w:p>
      <w:pPr>
        <w:pStyle w:val="Heading3"/>
        <w:spacing w:line="240" w:lineRule="auto"/>
        <w:ind w:left="122" w:right="109"/>
        <w:jc w:val="left"/>
      </w:pPr>
      <w:r>
        <w:rPr/>
        <w:t>一、公司治理基本情况</w:t>
      </w:r>
    </w:p>
    <w:p>
      <w:pPr>
        <w:pStyle w:val="BodyText"/>
        <w:spacing w:line="357" w:lineRule="auto" w:before="155"/>
        <w:ind w:right="121" w:firstLine="420"/>
        <w:jc w:val="both"/>
      </w:pPr>
      <w:r>
        <w:rPr>
          <w:spacing w:val="-17"/>
          <w:w w:val="99"/>
        </w:rPr>
        <w:t>公司严格按照《公司法》、《证券法》、《上市公司治理准则》、《深圳证券交易所股票上市</w:t>
      </w:r>
      <w:r>
        <w:rPr>
          <w:w w:val="99"/>
        </w:rPr>
        <w:t> </w:t>
      </w:r>
      <w:r>
        <w:rPr>
          <w:spacing w:val="-7"/>
          <w:w w:val="99"/>
        </w:rPr>
        <w:t>规则》、《中小企业板上市公司规范运作指引》和中国证监会及深圳证券交易所颁布的其他相</w:t>
      </w:r>
      <w:r>
        <w:rPr>
          <w:spacing w:val="-86"/>
          <w:w w:val="99"/>
        </w:rPr>
        <w:t> </w:t>
      </w:r>
      <w:r>
        <w:rPr>
          <w:spacing w:val="-86"/>
          <w:w w:val="99"/>
        </w:rPr>
      </w:r>
      <w:r>
        <w:rPr>
          <w:spacing w:val="-2"/>
          <w:w w:val="95"/>
        </w:rPr>
        <w:t>关法律法规的要求，制定《公司章程》及其他内部控制规章制度，完善公司内部法人治理结</w:t>
      </w:r>
      <w:r>
        <w:rPr>
          <w:spacing w:val="92"/>
          <w:w w:val="95"/>
        </w:rPr>
        <w:t> </w:t>
      </w:r>
      <w:r>
        <w:rPr>
          <w:spacing w:val="92"/>
          <w:w w:val="95"/>
        </w:rPr>
      </w:r>
      <w:r>
        <w:rPr>
          <w:spacing w:val="-2"/>
          <w:w w:val="95"/>
        </w:rPr>
        <w:t>构，健全内部管理制度，规范公司行为。公司的治理结构符合中国证监会关于上市公司治理</w:t>
      </w:r>
      <w:r>
        <w:rPr>
          <w:spacing w:val="92"/>
          <w:w w:val="95"/>
        </w:rPr>
        <w:t> </w:t>
      </w:r>
      <w:r>
        <w:rPr>
          <w:spacing w:val="92"/>
          <w:w w:val="95"/>
        </w:rPr>
      </w:r>
      <w:r>
        <w:rPr/>
        <w:t>的相关规范性文件。</w:t>
      </w:r>
    </w:p>
    <w:p>
      <w:pPr>
        <w:pStyle w:val="BodyText"/>
        <w:spacing w:line="336" w:lineRule="auto" w:before="32"/>
        <w:ind w:left="542" w:right="126"/>
        <w:jc w:val="left"/>
      </w:pPr>
      <w:r>
        <w:rPr>
          <w:rFonts w:ascii="Times New Roman" w:hAnsi="Times New Roman" w:cs="Times New Roman" w:eastAsia="Times New Roman" w:hint="default"/>
        </w:rPr>
        <w:t>1</w:t>
      </w:r>
      <w:r>
        <w:rPr/>
        <w:t>、关于股东、股东大会</w:t>
      </w:r>
      <w:r>
        <w:rPr>
          <w:w w:val="99"/>
        </w:rPr>
        <w:t> </w:t>
      </w:r>
      <w:r>
        <w:rPr>
          <w:spacing w:val="-2"/>
          <w:w w:val="98"/>
        </w:rPr>
        <w:t>股东大会是公司的权力机构，依法行使下列职权：（</w:t>
      </w:r>
      <w:r>
        <w:rPr>
          <w:rFonts w:ascii="Times New Roman" w:hAnsi="Times New Roman" w:cs="Times New Roman" w:eastAsia="Times New Roman" w:hint="default"/>
          <w:spacing w:val="-2"/>
          <w:w w:val="98"/>
        </w:rPr>
        <w:t>1</w:t>
      </w:r>
      <w:r>
        <w:rPr>
          <w:spacing w:val="-2"/>
          <w:w w:val="98"/>
        </w:rPr>
        <w:t>）决定公司经营方针和投资计划；</w:t>
      </w:r>
      <w:r>
        <w:rPr>
          <w:spacing w:val="-2"/>
        </w:rPr>
      </w:r>
    </w:p>
    <w:p>
      <w:pPr>
        <w:pStyle w:val="BodyText"/>
        <w:spacing w:line="338" w:lineRule="auto" w:before="24"/>
        <w:ind w:right="117"/>
        <w:jc w:val="left"/>
      </w:pPr>
      <w:r>
        <w:rPr>
          <w:spacing w:val="-2"/>
          <w:w w:val="99"/>
        </w:rPr>
        <w:t>（</w:t>
      </w:r>
      <w:r>
        <w:rPr>
          <w:rFonts w:ascii="Times New Roman" w:hAnsi="Times New Roman" w:cs="Times New Roman" w:eastAsia="Times New Roman" w:hint="default"/>
          <w:spacing w:val="-2"/>
          <w:w w:val="99"/>
        </w:rPr>
        <w:t>2</w:t>
      </w:r>
      <w:r>
        <w:rPr>
          <w:spacing w:val="-2"/>
          <w:w w:val="99"/>
        </w:rPr>
        <w:t>）选举和更换非由职工代表担任的董事、监事，决定有关董事、监事的报酬事项；（</w:t>
      </w:r>
      <w:r>
        <w:rPr>
          <w:rFonts w:ascii="Times New Roman" w:hAnsi="Times New Roman" w:cs="Times New Roman" w:eastAsia="Times New Roman" w:hint="default"/>
          <w:spacing w:val="-2"/>
          <w:w w:val="99"/>
        </w:rPr>
        <w:t>3</w:t>
      </w:r>
      <w:r>
        <w:rPr>
          <w:spacing w:val="-2"/>
          <w:w w:val="99"/>
        </w:rPr>
        <w:t>）</w:t>
      </w:r>
      <w:r>
        <w:rPr>
          <w:spacing w:val="-90"/>
          <w:w w:val="99"/>
        </w:rPr>
        <w:t> </w:t>
      </w:r>
      <w:r>
        <w:rPr>
          <w:spacing w:val="-7"/>
          <w:w w:val="99"/>
        </w:rPr>
        <w:t>审议批准董事会的报告；（</w:t>
      </w:r>
      <w:r>
        <w:rPr>
          <w:rFonts w:ascii="Times New Roman" w:hAnsi="Times New Roman" w:cs="Times New Roman" w:eastAsia="Times New Roman" w:hint="default"/>
          <w:spacing w:val="-7"/>
          <w:w w:val="99"/>
        </w:rPr>
        <w:t>4</w:t>
      </w:r>
      <w:r>
        <w:rPr>
          <w:spacing w:val="-7"/>
          <w:w w:val="99"/>
        </w:rPr>
        <w:t>）审议批准监事会的报告；（</w:t>
      </w:r>
      <w:r>
        <w:rPr>
          <w:rFonts w:ascii="Times New Roman" w:hAnsi="Times New Roman" w:cs="Times New Roman" w:eastAsia="Times New Roman" w:hint="default"/>
          <w:spacing w:val="-7"/>
          <w:w w:val="99"/>
        </w:rPr>
        <w:t>5</w:t>
      </w:r>
      <w:r>
        <w:rPr>
          <w:spacing w:val="-7"/>
          <w:w w:val="99"/>
        </w:rPr>
        <w:t>）审议批准公司的年度财务预算方</w:t>
      </w:r>
      <w:r>
        <w:rPr>
          <w:spacing w:val="-79"/>
          <w:w w:val="99"/>
        </w:rPr>
        <w:t> </w:t>
      </w:r>
      <w:r>
        <w:rPr>
          <w:spacing w:val="-79"/>
          <w:w w:val="99"/>
        </w:rPr>
      </w:r>
      <w:r>
        <w:rPr>
          <w:spacing w:val="-7"/>
          <w:w w:val="99"/>
        </w:rPr>
        <w:t>案、决算方案；（</w:t>
      </w:r>
      <w:r>
        <w:rPr>
          <w:rFonts w:ascii="Times New Roman" w:hAnsi="Times New Roman" w:cs="Times New Roman" w:eastAsia="Times New Roman" w:hint="default"/>
          <w:spacing w:val="-7"/>
          <w:w w:val="99"/>
        </w:rPr>
        <w:t>6</w:t>
      </w:r>
      <w:r>
        <w:rPr>
          <w:spacing w:val="-7"/>
          <w:w w:val="99"/>
        </w:rPr>
        <w:t>）审议批准公司的利润分配方案和弥补亏损方案；（</w:t>
      </w:r>
      <w:r>
        <w:rPr>
          <w:rFonts w:ascii="Times New Roman" w:hAnsi="Times New Roman" w:cs="Times New Roman" w:eastAsia="Times New Roman" w:hint="default"/>
          <w:spacing w:val="-7"/>
          <w:w w:val="99"/>
        </w:rPr>
        <w:t>7</w:t>
      </w:r>
      <w:r>
        <w:rPr>
          <w:spacing w:val="-7"/>
          <w:w w:val="99"/>
        </w:rPr>
        <w:t>）对公司增加或者减</w:t>
      </w:r>
      <w:r>
        <w:rPr>
          <w:spacing w:val="-81"/>
          <w:w w:val="99"/>
        </w:rPr>
        <w:t> </w:t>
      </w:r>
      <w:r>
        <w:rPr>
          <w:spacing w:val="-81"/>
          <w:w w:val="99"/>
        </w:rPr>
      </w:r>
      <w:r>
        <w:rPr>
          <w:spacing w:val="-7"/>
          <w:w w:val="99"/>
        </w:rPr>
        <w:t>少注册资本作出决议；（</w:t>
      </w:r>
      <w:r>
        <w:rPr>
          <w:rFonts w:ascii="Times New Roman" w:hAnsi="Times New Roman" w:cs="Times New Roman" w:eastAsia="Times New Roman" w:hint="default"/>
          <w:spacing w:val="-7"/>
          <w:w w:val="99"/>
        </w:rPr>
        <w:t>8</w:t>
      </w:r>
      <w:r>
        <w:rPr>
          <w:spacing w:val="-7"/>
          <w:w w:val="99"/>
        </w:rPr>
        <w:t>）对发行公司债券作出决议；（</w:t>
      </w:r>
      <w:r>
        <w:rPr>
          <w:rFonts w:ascii="Times New Roman" w:hAnsi="Times New Roman" w:cs="Times New Roman" w:eastAsia="Times New Roman" w:hint="default"/>
          <w:spacing w:val="-7"/>
          <w:w w:val="99"/>
        </w:rPr>
        <w:t>9</w:t>
      </w:r>
      <w:r>
        <w:rPr>
          <w:spacing w:val="-7"/>
          <w:w w:val="99"/>
        </w:rPr>
        <w:t>）对公司合并、分立、解散和清算</w:t>
      </w:r>
      <w:r>
        <w:rPr>
          <w:spacing w:val="-81"/>
          <w:w w:val="99"/>
        </w:rPr>
        <w:t> </w:t>
      </w:r>
      <w:r>
        <w:rPr>
          <w:spacing w:val="-81"/>
          <w:w w:val="99"/>
        </w:rPr>
      </w:r>
      <w:r>
        <w:rPr>
          <w:spacing w:val="-7"/>
          <w:w w:val="99"/>
        </w:rPr>
        <w:t>或者变更公司形式作出决议；（</w:t>
      </w:r>
      <w:r>
        <w:rPr>
          <w:rFonts w:ascii="Times New Roman" w:hAnsi="Times New Roman" w:cs="Times New Roman" w:eastAsia="Times New Roman" w:hint="default"/>
          <w:spacing w:val="-7"/>
          <w:w w:val="99"/>
        </w:rPr>
        <w:t>10</w:t>
      </w:r>
      <w:r>
        <w:rPr>
          <w:spacing w:val="-7"/>
          <w:w w:val="99"/>
        </w:rPr>
        <w:t>）修改本章程；（</w:t>
      </w:r>
      <w:r>
        <w:rPr>
          <w:rFonts w:ascii="Times New Roman" w:hAnsi="Times New Roman" w:cs="Times New Roman" w:eastAsia="Times New Roman" w:hint="default"/>
          <w:spacing w:val="-7"/>
          <w:w w:val="99"/>
        </w:rPr>
        <w:t>11</w:t>
      </w:r>
      <w:r>
        <w:rPr>
          <w:spacing w:val="-7"/>
          <w:w w:val="99"/>
        </w:rPr>
        <w:t>）对公司聘用、解聘会计师事务所作出</w:t>
      </w:r>
      <w:r>
        <w:rPr>
          <w:spacing w:val="-77"/>
          <w:w w:val="99"/>
        </w:rPr>
        <w:t> </w:t>
      </w:r>
      <w:r>
        <w:rPr>
          <w:spacing w:val="-77"/>
          <w:w w:val="99"/>
        </w:rPr>
      </w:r>
      <w:r>
        <w:rPr>
          <w:spacing w:val="-5"/>
          <w:w w:val="98"/>
        </w:rPr>
        <w:t>决议；（</w:t>
      </w:r>
      <w:r>
        <w:rPr>
          <w:rFonts w:ascii="Times New Roman" w:hAnsi="Times New Roman" w:cs="Times New Roman" w:eastAsia="Times New Roman" w:hint="default"/>
          <w:spacing w:val="-5"/>
          <w:w w:val="98"/>
        </w:rPr>
        <w:t>12</w:t>
      </w:r>
      <w:r>
        <w:rPr>
          <w:spacing w:val="-5"/>
          <w:w w:val="98"/>
        </w:rPr>
        <w:t>）审议批准第四十一条规定的对外担保事项；（</w:t>
      </w:r>
      <w:r>
        <w:rPr>
          <w:rFonts w:ascii="Times New Roman" w:hAnsi="Times New Roman" w:cs="Times New Roman" w:eastAsia="Times New Roman" w:hint="default"/>
          <w:spacing w:val="-5"/>
          <w:w w:val="98"/>
        </w:rPr>
        <w:t>13</w:t>
      </w:r>
      <w:r>
        <w:rPr>
          <w:spacing w:val="-5"/>
          <w:w w:val="98"/>
        </w:rPr>
        <w:t>）审议批准公司在一年内购买、</w:t>
      </w:r>
      <w:r>
        <w:rPr>
          <w:spacing w:val="-66"/>
          <w:w w:val="98"/>
        </w:rPr>
        <w:t> </w:t>
      </w:r>
      <w:r>
        <w:rPr>
          <w:spacing w:val="-66"/>
          <w:w w:val="98"/>
        </w:rPr>
      </w:r>
      <w:r>
        <w:rPr>
          <w:w w:val="99"/>
        </w:rPr>
        <w:t>出售重大资产或担保金额超过公司最近一期经审计总资产</w:t>
      </w:r>
      <w:r>
        <w:rPr>
          <w:spacing w:val="-33"/>
          <w:w w:val="99"/>
        </w:rPr>
        <w:t> </w:t>
      </w:r>
      <w:r>
        <w:rPr>
          <w:rFonts w:ascii="Times New Roman" w:hAnsi="Times New Roman" w:cs="Times New Roman" w:eastAsia="Times New Roman" w:hint="default"/>
          <w:spacing w:val="-6"/>
          <w:w w:val="99"/>
        </w:rPr>
        <w:t>30%</w:t>
      </w:r>
      <w:r>
        <w:rPr>
          <w:spacing w:val="-6"/>
          <w:w w:val="99"/>
        </w:rPr>
        <w:t>的事项；（</w:t>
      </w:r>
      <w:r>
        <w:rPr>
          <w:rFonts w:ascii="Times New Roman" w:hAnsi="Times New Roman" w:cs="Times New Roman" w:eastAsia="Times New Roman" w:hint="default"/>
          <w:spacing w:val="-6"/>
          <w:w w:val="99"/>
        </w:rPr>
        <w:t>14</w:t>
      </w:r>
      <w:r>
        <w:rPr>
          <w:spacing w:val="-6"/>
          <w:w w:val="99"/>
        </w:rPr>
        <w:t>）审议批准对外</w:t>
      </w:r>
      <w:r>
        <w:rPr>
          <w:spacing w:val="-99"/>
          <w:w w:val="99"/>
        </w:rPr>
        <w:t> </w:t>
      </w:r>
      <w:r>
        <w:rPr>
          <w:spacing w:val="-99"/>
          <w:w w:val="99"/>
        </w:rPr>
      </w:r>
      <w:r>
        <w:rPr/>
        <w:t>投资、收购出售资产、委托理财所涉金额超过公司最近一期经审计净资产</w:t>
      </w:r>
      <w:r>
        <w:rPr>
          <w:spacing w:val="-57"/>
        </w:rPr>
        <w:t> </w:t>
      </w:r>
      <w:r>
        <w:rPr>
          <w:rFonts w:ascii="Times New Roman" w:hAnsi="Times New Roman" w:cs="Times New Roman" w:eastAsia="Times New Roman" w:hint="default"/>
        </w:rPr>
        <w:t>20%</w:t>
      </w:r>
      <w:r>
        <w:rPr/>
        <w:t>的事项，及</w:t>
      </w:r>
      <w:r>
        <w:rPr>
          <w:w w:val="99"/>
        </w:rPr>
        <w:t> 一年内资产抵押所涉金额超过公司最近一期经审计总资产</w:t>
      </w:r>
      <w:r>
        <w:rPr>
          <w:spacing w:val="-33"/>
          <w:w w:val="99"/>
        </w:rPr>
        <w:t> </w:t>
      </w:r>
      <w:r>
        <w:rPr>
          <w:rFonts w:ascii="Times New Roman" w:hAnsi="Times New Roman" w:cs="Times New Roman" w:eastAsia="Times New Roman" w:hint="default"/>
          <w:spacing w:val="-6"/>
          <w:w w:val="99"/>
        </w:rPr>
        <w:t>30%</w:t>
      </w:r>
      <w:r>
        <w:rPr>
          <w:spacing w:val="-6"/>
          <w:w w:val="99"/>
        </w:rPr>
        <w:t>的事项；（</w:t>
      </w:r>
      <w:r>
        <w:rPr>
          <w:rFonts w:ascii="Times New Roman" w:hAnsi="Times New Roman" w:cs="Times New Roman" w:eastAsia="Times New Roman" w:hint="default"/>
          <w:spacing w:val="-6"/>
          <w:w w:val="99"/>
        </w:rPr>
        <w:t>15</w:t>
      </w:r>
      <w:r>
        <w:rPr>
          <w:spacing w:val="-6"/>
          <w:w w:val="99"/>
        </w:rPr>
        <w:t>）审议批准公司</w:t>
      </w:r>
      <w:r>
        <w:rPr>
          <w:spacing w:val="-99"/>
          <w:w w:val="99"/>
        </w:rPr>
        <w:t> </w:t>
      </w:r>
      <w:r>
        <w:rPr>
          <w:spacing w:val="-99"/>
          <w:w w:val="99"/>
        </w:rPr>
      </w:r>
      <w:r>
        <w:rPr>
          <w:spacing w:val="-2"/>
          <w:w w:val="99"/>
        </w:rPr>
        <w:t>重大资产重组，购买的资产总价较所购买资产经审计的账面净值溢价达到或超过百分之二十</w:t>
      </w:r>
      <w:r>
        <w:rPr>
          <w:spacing w:val="-86"/>
          <w:w w:val="99"/>
        </w:rPr>
        <w:t> </w:t>
      </w:r>
      <w:r>
        <w:rPr>
          <w:spacing w:val="-86"/>
          <w:w w:val="99"/>
        </w:rPr>
      </w:r>
      <w:r>
        <w:rPr>
          <w:spacing w:val="-11"/>
          <w:w w:val="99"/>
        </w:rPr>
        <w:t>的事项；（</w:t>
      </w:r>
      <w:r>
        <w:rPr>
          <w:rFonts w:ascii="Times New Roman" w:hAnsi="Times New Roman" w:cs="Times New Roman" w:eastAsia="Times New Roman" w:hint="default"/>
          <w:spacing w:val="-11"/>
          <w:w w:val="99"/>
        </w:rPr>
        <w:t>16</w:t>
      </w:r>
      <w:r>
        <w:rPr>
          <w:spacing w:val="-11"/>
          <w:w w:val="99"/>
        </w:rPr>
        <w:t>）审议批准单笔或连续十二个月累计发生额超过</w:t>
      </w:r>
      <w:r>
        <w:rPr>
          <w:spacing w:val="-47"/>
          <w:w w:val="99"/>
        </w:rPr>
        <w:t> </w:t>
      </w:r>
      <w:r>
        <w:rPr>
          <w:rFonts w:ascii="Times New Roman" w:hAnsi="Times New Roman" w:cs="Times New Roman" w:eastAsia="Times New Roman" w:hint="default"/>
          <w:w w:val="99"/>
        </w:rPr>
        <w:t>3000</w:t>
      </w:r>
      <w:r>
        <w:rPr>
          <w:rFonts w:ascii="Times New Roman" w:hAnsi="Times New Roman" w:cs="Times New Roman" w:eastAsia="Times New Roman" w:hint="default"/>
          <w:spacing w:val="7"/>
          <w:w w:val="99"/>
        </w:rPr>
        <w:t> </w:t>
      </w:r>
      <w:r>
        <w:rPr>
          <w:spacing w:val="-14"/>
          <w:w w:val="95"/>
        </w:rPr>
        <w:t>万元的关联交易事项；（</w:t>
      </w:r>
      <w:r>
        <w:rPr>
          <w:rFonts w:ascii="Times New Roman" w:hAnsi="Times New Roman" w:cs="Times New Roman" w:eastAsia="Times New Roman" w:hint="default"/>
          <w:spacing w:val="-14"/>
          <w:w w:val="95"/>
        </w:rPr>
        <w:t>17</w:t>
      </w:r>
      <w:r>
        <w:rPr>
          <w:spacing w:val="-14"/>
          <w:w w:val="95"/>
        </w:rPr>
        <w:t>）</w:t>
      </w:r>
      <w:r>
        <w:rPr>
          <w:spacing w:val="-98"/>
          <w:w w:val="95"/>
        </w:rPr>
        <w:t> </w:t>
      </w:r>
      <w:r>
        <w:rPr>
          <w:spacing w:val="-2"/>
          <w:w w:val="99"/>
        </w:rPr>
        <w:t>审议股东以其持有的公司股权或实物资产偿还其所欠公司债务的事项；（</w:t>
      </w:r>
      <w:r>
        <w:rPr>
          <w:rFonts w:ascii="Times New Roman" w:hAnsi="Times New Roman" w:cs="Times New Roman" w:eastAsia="Times New Roman" w:hint="default"/>
          <w:spacing w:val="-2"/>
          <w:w w:val="99"/>
        </w:rPr>
        <w:t>18</w:t>
      </w:r>
      <w:r>
        <w:rPr>
          <w:spacing w:val="-2"/>
          <w:w w:val="99"/>
        </w:rPr>
        <w:t>）审议批准变更</w:t>
      </w:r>
      <w:r>
        <w:rPr>
          <w:spacing w:val="-89"/>
          <w:w w:val="99"/>
        </w:rPr>
        <w:t> </w:t>
      </w:r>
      <w:r>
        <w:rPr>
          <w:spacing w:val="-89"/>
          <w:w w:val="99"/>
        </w:rPr>
      </w:r>
      <w:r>
        <w:rPr>
          <w:spacing w:val="-5"/>
          <w:w w:val="99"/>
        </w:rPr>
        <w:t>募集资金用途事项；（</w:t>
      </w:r>
      <w:r>
        <w:rPr>
          <w:rFonts w:ascii="Times New Roman" w:hAnsi="Times New Roman" w:cs="Times New Roman" w:eastAsia="Times New Roman" w:hint="default"/>
          <w:spacing w:val="-5"/>
          <w:w w:val="99"/>
        </w:rPr>
        <w:t>19</w:t>
      </w:r>
      <w:r>
        <w:rPr>
          <w:spacing w:val="-5"/>
          <w:w w:val="99"/>
        </w:rPr>
        <w:t>）审议对公司有重大影响的附属企业到境外上市的事项；（</w:t>
      </w:r>
      <w:r>
        <w:rPr>
          <w:rFonts w:ascii="Times New Roman" w:hAnsi="Times New Roman" w:cs="Times New Roman" w:eastAsia="Times New Roman" w:hint="default"/>
          <w:spacing w:val="-5"/>
          <w:w w:val="99"/>
        </w:rPr>
        <w:t>20</w:t>
      </w:r>
      <w:r>
        <w:rPr>
          <w:spacing w:val="-5"/>
          <w:w w:val="99"/>
        </w:rPr>
        <w:t>）</w:t>
      </w:r>
      <w:r>
        <w:rPr>
          <w:spacing w:val="27"/>
          <w:w w:val="99"/>
        </w:rPr>
        <w:t> </w:t>
      </w:r>
      <w:r>
        <w:rPr>
          <w:w w:val="99"/>
        </w:rPr>
        <w:t>审</w:t>
      </w:r>
      <w:r>
        <w:rPr>
          <w:spacing w:val="-99"/>
          <w:w w:val="99"/>
        </w:rPr>
        <w:t> </w:t>
      </w:r>
      <w:r>
        <w:rPr>
          <w:spacing w:val="-99"/>
          <w:w w:val="99"/>
        </w:rPr>
      </w:r>
      <w:r>
        <w:rPr>
          <w:spacing w:val="-7"/>
          <w:w w:val="99"/>
        </w:rPr>
        <w:t>议股权激励计划；（</w:t>
      </w:r>
      <w:r>
        <w:rPr>
          <w:rFonts w:ascii="Times New Roman" w:hAnsi="Times New Roman" w:cs="Times New Roman" w:eastAsia="Times New Roman" w:hint="default"/>
          <w:spacing w:val="-7"/>
          <w:w w:val="99"/>
        </w:rPr>
        <w:t>21</w:t>
      </w:r>
      <w:r>
        <w:rPr>
          <w:spacing w:val="-7"/>
          <w:w w:val="99"/>
        </w:rPr>
        <w:t>）审议对中小投资者权益有重大影响的相关事项；（</w:t>
      </w:r>
      <w:r>
        <w:rPr>
          <w:rFonts w:ascii="Times New Roman" w:hAnsi="Times New Roman" w:cs="Times New Roman" w:eastAsia="Times New Roman" w:hint="default"/>
          <w:spacing w:val="-7"/>
          <w:w w:val="99"/>
        </w:rPr>
        <w:t>22</w:t>
      </w:r>
      <w:r>
        <w:rPr>
          <w:spacing w:val="-7"/>
          <w:w w:val="99"/>
        </w:rPr>
        <w:t>）审议法律、行</w:t>
      </w:r>
      <w:r>
        <w:rPr>
          <w:spacing w:val="-76"/>
          <w:w w:val="99"/>
        </w:rPr>
        <w:t> </w:t>
      </w:r>
      <w:r>
        <w:rPr>
          <w:spacing w:val="-76"/>
          <w:w w:val="99"/>
        </w:rPr>
      </w:r>
      <w:r>
        <w:rPr/>
        <w:t>政法规、部门规章或本章程规定应当由股东大会决定的其他事项。</w:t>
      </w:r>
    </w:p>
    <w:p>
      <w:pPr>
        <w:pStyle w:val="BodyText"/>
        <w:spacing w:line="357" w:lineRule="auto" w:before="47"/>
        <w:ind w:right="121" w:firstLine="420"/>
        <w:jc w:val="both"/>
      </w:pPr>
      <w:r>
        <w:rPr>
          <w:spacing w:val="-13"/>
          <w:w w:val="99"/>
        </w:rPr>
        <w:t>本公司还依据《公司法》、《公司章程》、《上市公司治理准则》等文件制定了《股东大会</w:t>
      </w:r>
      <w:r>
        <w:rPr>
          <w:w w:val="99"/>
        </w:rPr>
        <w:t> </w:t>
      </w:r>
      <w:r>
        <w:rPr>
          <w:spacing w:val="-2"/>
          <w:w w:val="99"/>
        </w:rPr>
        <w:t>议事规则》，对股东大会的权利、召集、召开程序、提案的审议、投票、表决、会议决议的</w:t>
      </w:r>
      <w:r>
        <w:rPr>
          <w:spacing w:val="-91"/>
          <w:w w:val="99"/>
        </w:rPr>
        <w:t> </w:t>
      </w:r>
      <w:r>
        <w:rPr>
          <w:spacing w:val="-91"/>
          <w:w w:val="99"/>
        </w:rPr>
      </w:r>
      <w:r>
        <w:rPr/>
        <w:t>形成、会议记录及其签署、对中小股东权益的保护等方面作了具体的规定。</w:t>
      </w:r>
    </w:p>
    <w:p>
      <w:pPr>
        <w:pStyle w:val="BodyText"/>
        <w:spacing w:line="336" w:lineRule="auto" w:before="30"/>
        <w:ind w:left="542" w:right="109"/>
        <w:jc w:val="left"/>
      </w:pPr>
      <w:r>
        <w:rPr>
          <w:rFonts w:ascii="Times New Roman" w:hAnsi="Times New Roman" w:cs="Times New Roman" w:eastAsia="Times New Roman" w:hint="default"/>
        </w:rPr>
        <w:t>2</w:t>
      </w:r>
      <w:r>
        <w:rPr/>
        <w:t>、关于控股股东与公司</w:t>
      </w:r>
      <w:r>
        <w:rPr>
          <w:w w:val="99"/>
        </w:rPr>
        <w:t> </w:t>
      </w:r>
      <w:r>
        <w:rPr>
          <w:spacing w:val="-13"/>
          <w:w w:val="99"/>
        </w:rPr>
        <w:t>公司控股股东严格根据《上市公司治理准则》、《深圳证券交易所股票上市规则》、《公司</w:t>
      </w:r>
      <w:r>
        <w:rPr>
          <w:spacing w:val="-13"/>
        </w:rPr>
      </w:r>
    </w:p>
    <w:p>
      <w:pPr>
        <w:pStyle w:val="BodyText"/>
        <w:spacing w:line="357" w:lineRule="auto" w:before="49"/>
        <w:ind w:right="109"/>
        <w:jc w:val="left"/>
      </w:pPr>
      <w:r>
        <w:rPr>
          <w:spacing w:val="-2"/>
          <w:w w:val="95"/>
        </w:rPr>
        <w:t>章程》规范股东行为，通过股东大会行使股东权利，未发生超越股东大会及董事会而直接或</w:t>
      </w:r>
      <w:r>
        <w:rPr>
          <w:spacing w:val="90"/>
          <w:w w:val="95"/>
        </w:rPr>
        <w:t> </w:t>
      </w:r>
      <w:r>
        <w:rPr>
          <w:spacing w:val="90"/>
          <w:w w:val="95"/>
        </w:rPr>
      </w:r>
      <w:r>
        <w:rPr/>
        <w:t>间接干预公司经营与决策的行为。</w:t>
      </w:r>
    </w:p>
    <w:p>
      <w:pPr>
        <w:spacing w:after="0" w:line="357"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6" w:lineRule="auto"/>
        <w:ind w:left="542" w:right="109"/>
        <w:jc w:val="left"/>
      </w:pPr>
      <w:r>
        <w:rPr>
          <w:rFonts w:ascii="Times New Roman" w:hAnsi="Times New Roman" w:cs="Times New Roman" w:eastAsia="Times New Roman" w:hint="default"/>
        </w:rPr>
        <w:t>3</w:t>
      </w:r>
      <w:r>
        <w:rPr/>
        <w:t>、关于董事与董事会</w:t>
      </w:r>
      <w:r>
        <w:rPr>
          <w:w w:val="99"/>
        </w:rPr>
        <w:t> </w:t>
      </w:r>
      <w:r>
        <w:rPr>
          <w:spacing w:val="-8"/>
          <w:w w:val="99"/>
        </w:rPr>
        <w:t>公司严格按照《公司法》、《公司章程》及《上市公司股东大会规范性意见》等相关法律</w:t>
      </w:r>
      <w:r>
        <w:rPr>
          <w:spacing w:val="-8"/>
        </w:rPr>
      </w:r>
    </w:p>
    <w:p>
      <w:pPr>
        <w:pStyle w:val="BodyText"/>
        <w:spacing w:line="355" w:lineRule="auto" w:before="51"/>
        <w:ind w:left="556" w:right="109" w:hanging="435"/>
        <w:jc w:val="left"/>
      </w:pPr>
      <w:r>
        <w:rPr/>
        <w:t>法规选举产生董事人选，董事会人数及人员构成符合法律法规的要求。</w:t>
      </w:r>
      <w:r>
        <w:rPr>
          <w:w w:val="99"/>
        </w:rPr>
        <w:t> </w:t>
      </w:r>
      <w:r>
        <w:rPr>
          <w:spacing w:val="2"/>
          <w:w w:val="99"/>
        </w:rPr>
        <w:t>公司董事会严格按照《公司章程</w:t>
      </w:r>
      <w:r>
        <w:rPr>
          <w:spacing w:val="-83"/>
          <w:w w:val="99"/>
        </w:rPr>
        <w:t> </w:t>
      </w:r>
      <w:r>
        <w:rPr>
          <w:spacing w:val="-8"/>
          <w:w w:val="99"/>
        </w:rPr>
        <w:t>》、《独立董事工作制度》及《董事会议事规则</w:t>
      </w:r>
      <w:r>
        <w:rPr>
          <w:spacing w:val="-78"/>
          <w:w w:val="99"/>
        </w:rPr>
        <w:t> </w:t>
      </w:r>
      <w:r>
        <w:rPr>
          <w:spacing w:val="-51"/>
          <w:w w:val="99"/>
        </w:rPr>
        <w:t>》、《深</w:t>
      </w:r>
      <w:r>
        <w:rPr>
          <w:spacing w:val="-51"/>
        </w:rPr>
      </w:r>
    </w:p>
    <w:p>
      <w:pPr>
        <w:pStyle w:val="BodyText"/>
        <w:spacing w:line="357" w:lineRule="auto" w:before="32"/>
        <w:ind w:right="121"/>
        <w:jc w:val="both"/>
      </w:pPr>
      <w:r>
        <w:rPr>
          <w:spacing w:val="-2"/>
          <w:w w:val="95"/>
        </w:rPr>
        <w:t>圳交易所中小企业板块上市公司董事行为指引》等相关规定召集召开董事会，各董事认真出</w:t>
      </w:r>
      <w:r>
        <w:rPr>
          <w:spacing w:val="94"/>
          <w:w w:val="95"/>
        </w:rPr>
        <w:t> </w:t>
      </w:r>
      <w:r>
        <w:rPr>
          <w:spacing w:val="94"/>
          <w:w w:val="95"/>
        </w:rPr>
      </w:r>
      <w:r>
        <w:rPr>
          <w:spacing w:val="-2"/>
          <w:w w:val="95"/>
        </w:rPr>
        <w:t>席董事会，认真审议各项议案，履行职责，勤勉尽责。独立董事独立履行职责，维护公司整</w:t>
      </w:r>
      <w:r>
        <w:rPr>
          <w:spacing w:val="89"/>
          <w:w w:val="95"/>
        </w:rPr>
        <w:t> </w:t>
      </w:r>
      <w:r>
        <w:rPr>
          <w:spacing w:val="89"/>
          <w:w w:val="95"/>
        </w:rPr>
      </w:r>
      <w:r>
        <w:rPr/>
        <w:t>体利益，对重要及重大事项发表独立意见。</w:t>
      </w:r>
    </w:p>
    <w:p>
      <w:pPr>
        <w:pStyle w:val="BodyText"/>
        <w:spacing w:line="336" w:lineRule="auto" w:before="30"/>
        <w:ind w:left="542" w:right="113" w:firstLine="14"/>
        <w:jc w:val="left"/>
      </w:pPr>
      <w:r>
        <w:rPr>
          <w:rFonts w:ascii="Times New Roman" w:hAnsi="Times New Roman" w:cs="Times New Roman" w:eastAsia="Times New Roman" w:hint="default"/>
        </w:rPr>
        <w:t>4</w:t>
      </w:r>
      <w:r>
        <w:rPr/>
        <w:t>、关于监事与监事会</w:t>
      </w:r>
      <w:r>
        <w:rPr>
          <w:w w:val="99"/>
        </w:rPr>
        <w:t> </w:t>
      </w:r>
      <w:r>
        <w:rPr>
          <w:spacing w:val="-7"/>
          <w:w w:val="99"/>
        </w:rPr>
        <w:t>公司严格按照《公司法》、《公司章程》及《上市公司股东大会规范意见》等相关法律法</w:t>
      </w:r>
      <w:r>
        <w:rPr>
          <w:spacing w:val="-7"/>
        </w:rPr>
      </w:r>
    </w:p>
    <w:p>
      <w:pPr>
        <w:pStyle w:val="BodyText"/>
        <w:spacing w:line="357" w:lineRule="auto" w:before="49"/>
        <w:ind w:left="542" w:right="109" w:hanging="420"/>
        <w:jc w:val="left"/>
      </w:pPr>
      <w:r>
        <w:rPr/>
        <w:t>规选举产生监事人选，监事会人数及人员构成符合法律法规的要求。</w:t>
      </w:r>
      <w:r>
        <w:rPr>
          <w:w w:val="99"/>
        </w:rPr>
        <w:t> </w:t>
      </w:r>
      <w:r>
        <w:rPr>
          <w:w w:val="95"/>
        </w:rPr>
        <w:t>公司监事会严格按照《公司章程》及《监事会议事规则》等相关规定召集召开监事会，</w:t>
      </w:r>
      <w:r>
        <w:rPr/>
      </w:r>
    </w:p>
    <w:p>
      <w:pPr>
        <w:pStyle w:val="BodyText"/>
        <w:spacing w:line="355" w:lineRule="auto" w:before="30"/>
        <w:ind w:right="122"/>
        <w:jc w:val="both"/>
      </w:pPr>
      <w:r>
        <w:rPr>
          <w:spacing w:val="-2"/>
          <w:w w:val="95"/>
        </w:rPr>
        <w:t>各监事认真出席监事会，认真履行职责，对公司重大事项、关联交易、财务状况等进行监督</w:t>
      </w:r>
      <w:r>
        <w:rPr>
          <w:spacing w:val="92"/>
          <w:w w:val="95"/>
        </w:rPr>
        <w:t> </w:t>
      </w:r>
      <w:r>
        <w:rPr>
          <w:spacing w:val="92"/>
          <w:w w:val="95"/>
        </w:rPr>
      </w:r>
      <w:r>
        <w:rPr/>
        <w:t>并发表意见。</w:t>
      </w:r>
    </w:p>
    <w:p>
      <w:pPr>
        <w:pStyle w:val="BodyText"/>
        <w:spacing w:line="336" w:lineRule="auto" w:before="32"/>
        <w:ind w:left="556" w:right="109" w:hanging="15"/>
        <w:jc w:val="left"/>
      </w:pPr>
      <w:r>
        <w:rPr>
          <w:rFonts w:ascii="Times New Roman" w:hAnsi="Times New Roman" w:cs="Times New Roman" w:eastAsia="Times New Roman" w:hint="default"/>
        </w:rPr>
        <w:t>5</w:t>
      </w:r>
      <w:r>
        <w:rPr/>
        <w:t>、关于信息披露与透明度</w:t>
      </w:r>
      <w:r>
        <w:rPr>
          <w:w w:val="99"/>
        </w:rPr>
        <w:t> </w:t>
      </w:r>
      <w:r>
        <w:rPr>
          <w:spacing w:val="-4"/>
          <w:w w:val="99"/>
        </w:rPr>
        <w:t>公司根据《公司章程》、《深圳证券交易所股票上市规则》和中国证监会及深圳证券交</w:t>
      </w:r>
      <w:r>
        <w:rPr>
          <w:spacing w:val="-4"/>
        </w:rPr>
      </w:r>
    </w:p>
    <w:p>
      <w:pPr>
        <w:pStyle w:val="BodyText"/>
        <w:spacing w:line="348" w:lineRule="auto" w:before="49"/>
        <w:ind w:right="118"/>
        <w:jc w:val="both"/>
      </w:pPr>
      <w:r>
        <w:rPr>
          <w:spacing w:val="-7"/>
          <w:w w:val="99"/>
        </w:rPr>
        <w:t>易所的相关法律法规的要求，认真履行信息披露义务。公司上市后指定《证券时报》、《中国</w:t>
      </w:r>
      <w:r>
        <w:rPr>
          <w:spacing w:val="-86"/>
          <w:w w:val="99"/>
        </w:rPr>
        <w:t> </w:t>
      </w:r>
      <w:r>
        <w:rPr>
          <w:spacing w:val="-86"/>
          <w:w w:val="99"/>
        </w:rPr>
      </w:r>
      <w:r>
        <w:rPr>
          <w:spacing w:val="-4"/>
          <w:w w:val="98"/>
        </w:rPr>
        <w:t>证券报》和</w:t>
      </w:r>
      <w:r>
        <w:rPr>
          <w:rFonts w:ascii="Times New Roman" w:hAnsi="Times New Roman" w:cs="Times New Roman" w:eastAsia="Times New Roman" w:hint="default"/>
          <w:spacing w:val="-4"/>
          <w:w w:val="98"/>
        </w:rPr>
        <w:t>“</w:t>
      </w:r>
      <w:r>
        <w:rPr>
          <w:spacing w:val="-4"/>
          <w:w w:val="98"/>
        </w:rPr>
        <w:t>巨潮咨询网</w:t>
      </w:r>
      <w:r>
        <w:rPr>
          <w:rFonts w:ascii="Times New Roman" w:hAnsi="Times New Roman" w:cs="Times New Roman" w:eastAsia="Times New Roman" w:hint="default"/>
          <w:spacing w:val="-4"/>
          <w:w w:val="98"/>
        </w:rPr>
        <w:t>”</w:t>
      </w:r>
      <w:r>
        <w:rPr>
          <w:spacing w:val="-4"/>
          <w:w w:val="98"/>
        </w:rPr>
        <w:t>为公司信息披露的报纸和网站，真实、准确、及时地披露公司信息，</w:t>
      </w:r>
      <w:r>
        <w:rPr>
          <w:spacing w:val="-81"/>
          <w:w w:val="98"/>
        </w:rPr>
        <w:t> </w:t>
      </w:r>
      <w:r>
        <w:rPr>
          <w:spacing w:val="-81"/>
          <w:w w:val="98"/>
        </w:rPr>
      </w:r>
      <w:r>
        <w:rPr/>
        <w:t>确保公司所有股东公平地获得公司相关信息。</w:t>
      </w:r>
    </w:p>
    <w:p>
      <w:pPr>
        <w:pStyle w:val="BodyText"/>
        <w:spacing w:line="336" w:lineRule="auto" w:before="38"/>
        <w:ind w:left="542" w:right="109" w:firstLine="14"/>
        <w:jc w:val="left"/>
      </w:pPr>
      <w:r>
        <w:rPr>
          <w:rFonts w:ascii="Times New Roman" w:hAnsi="Times New Roman" w:cs="Times New Roman" w:eastAsia="Times New Roman" w:hint="default"/>
        </w:rPr>
        <w:t>6</w:t>
      </w:r>
      <w:r>
        <w:rPr/>
        <w:t>、关于相关利益者</w:t>
      </w:r>
      <w:r>
        <w:rPr>
          <w:w w:val="99"/>
        </w:rPr>
        <w:t> </w:t>
      </w:r>
      <w:r>
        <w:rPr>
          <w:spacing w:val="-2"/>
          <w:w w:val="95"/>
        </w:rPr>
        <w:t>公司能够充分尊重和维护相关利益者的合法权益，实现股东、员工、社会等各方面利益</w:t>
      </w:r>
      <w:r>
        <w:rPr>
          <w:spacing w:val="-2"/>
        </w:rPr>
      </w:r>
    </w:p>
    <w:p>
      <w:pPr>
        <w:pStyle w:val="BodyText"/>
        <w:spacing w:line="240" w:lineRule="auto" w:before="51"/>
        <w:ind w:right="0"/>
        <w:jc w:val="both"/>
      </w:pPr>
      <w:r>
        <w:rPr/>
        <w:t>的协调平衡，共同推动公司持续、健康的发展。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3"/>
        <w:spacing w:line="240" w:lineRule="auto"/>
        <w:ind w:left="602" w:right="109"/>
        <w:jc w:val="left"/>
      </w:pPr>
      <w:r>
        <w:rPr/>
        <w:t>二、公司董事长、独立董事及其他董事履职情况</w:t>
      </w:r>
    </w:p>
    <w:p>
      <w:pPr>
        <w:pStyle w:val="BodyText"/>
        <w:spacing w:line="355" w:lineRule="auto" w:before="157"/>
        <w:ind w:right="121" w:firstLine="420"/>
        <w:jc w:val="both"/>
      </w:pPr>
      <w:r>
        <w:rPr>
          <w:spacing w:val="-7"/>
          <w:w w:val="99"/>
        </w:rPr>
        <w:t>报告期内，公司全体董事严格按照《公司法》、《深圳证券交易所中小企业板块上市公司</w:t>
      </w:r>
      <w:r>
        <w:rPr>
          <w:w w:val="99"/>
        </w:rPr>
        <w:t> </w:t>
      </w:r>
      <w:r>
        <w:rPr>
          <w:spacing w:val="-2"/>
          <w:w w:val="95"/>
        </w:rPr>
        <w:t>董事行为指引》及公司《章程》的规定和要求，履行董事职责，遵守董事行为规范。董事在</w:t>
      </w:r>
      <w:r>
        <w:rPr>
          <w:spacing w:val="90"/>
          <w:w w:val="95"/>
        </w:rPr>
        <w:t> </w:t>
      </w:r>
      <w:r>
        <w:rPr>
          <w:spacing w:val="90"/>
          <w:w w:val="95"/>
        </w:rPr>
      </w:r>
      <w:r>
        <w:rPr>
          <w:spacing w:val="-2"/>
          <w:w w:val="95"/>
        </w:rPr>
        <w:t>董事会会议投票表决时，严格遵循公司董事会议事规则的有关审议规定，审慎决策，切实保</w:t>
      </w:r>
      <w:r>
        <w:rPr>
          <w:spacing w:val="90"/>
          <w:w w:val="95"/>
        </w:rPr>
        <w:t> </w:t>
      </w:r>
      <w:r>
        <w:rPr>
          <w:spacing w:val="90"/>
          <w:w w:val="95"/>
        </w:rPr>
      </w:r>
      <w:r>
        <w:rPr/>
        <w:t>护公司和投资者利益。</w:t>
      </w:r>
    </w:p>
    <w:p>
      <w:pPr>
        <w:pStyle w:val="BodyText"/>
        <w:spacing w:line="357" w:lineRule="auto" w:before="32"/>
        <w:ind w:right="121" w:firstLine="420"/>
        <w:jc w:val="both"/>
      </w:pPr>
      <w:r>
        <w:rPr>
          <w:spacing w:val="-7"/>
          <w:w w:val="99"/>
        </w:rPr>
        <w:t>公司董事长在履行职责时，严格按照《公司法》、《深圳证券交易所中小企业板块上市公</w:t>
      </w:r>
      <w:r>
        <w:rPr>
          <w:w w:val="99"/>
        </w:rPr>
        <w:t> </w:t>
      </w:r>
      <w:r>
        <w:rPr>
          <w:w w:val="95"/>
        </w:rPr>
        <w:t>司董事行为指引》和公司《章程》规定，加强董事会建设，严格按照董事会集体决策机制，</w:t>
      </w:r>
      <w:r>
        <w:rPr>
          <w:spacing w:val="12"/>
          <w:w w:val="95"/>
        </w:rPr>
        <w:t> </w:t>
      </w:r>
      <w:r>
        <w:rPr>
          <w:spacing w:val="12"/>
          <w:w w:val="95"/>
        </w:rPr>
      </w:r>
      <w:r>
        <w:rPr>
          <w:spacing w:val="-5"/>
          <w:w w:val="98"/>
        </w:rPr>
        <w:t>决定公司的重大经营事项，并积极推动公司内部管理制度的制订和完善，确保公司规范运作。</w:t>
      </w:r>
      <w:r>
        <w:rPr>
          <w:spacing w:val="-64"/>
          <w:w w:val="98"/>
        </w:rPr>
        <w:t> </w:t>
      </w:r>
      <w:r>
        <w:rPr>
          <w:spacing w:val="-64"/>
          <w:w w:val="98"/>
        </w:rPr>
      </w:r>
      <w:r>
        <w:rPr>
          <w:spacing w:val="-2"/>
          <w:w w:val="95"/>
        </w:rPr>
        <w:t>同时，确保独立董事和董事会秘书的重大事项知情权，认真学习相关法律法规，提高依法履</w:t>
      </w:r>
      <w:r>
        <w:rPr>
          <w:spacing w:val="90"/>
          <w:w w:val="95"/>
        </w:rPr>
        <w:t> </w:t>
      </w:r>
      <w:r>
        <w:rPr>
          <w:spacing w:val="90"/>
          <w:w w:val="95"/>
        </w:rPr>
      </w:r>
      <w:r>
        <w:rPr/>
        <w:t>职意识。</w:t>
      </w:r>
    </w:p>
    <w:p>
      <w:pPr>
        <w:pStyle w:val="BodyText"/>
        <w:spacing w:line="357" w:lineRule="auto" w:before="30"/>
        <w:ind w:right="121" w:firstLine="420"/>
        <w:jc w:val="both"/>
      </w:pPr>
      <w:r>
        <w:rPr>
          <w:spacing w:val="-2"/>
          <w:w w:val="95"/>
        </w:rPr>
        <w:t>公司现有独立董事三名，其中一名为会计专业人士。报告期内，公司的独立董事能按照</w:t>
      </w:r>
      <w:r>
        <w:rPr>
          <w:w w:val="99"/>
        </w:rPr>
        <w:t> </w:t>
      </w:r>
      <w:r>
        <w:rPr>
          <w:spacing w:val="-7"/>
          <w:w w:val="99"/>
        </w:rPr>
        <w:t>有关法律、法规、《公司章程》、《独立董事工作细则》的规定勤勉地履行职责，以认真负责</w:t>
      </w:r>
      <w:r>
        <w:rPr>
          <w:spacing w:val="-7"/>
        </w:rPr>
      </w:r>
    </w:p>
    <w:p>
      <w:pPr>
        <w:spacing w:after="0" w:line="357" w:lineRule="auto"/>
        <w:jc w:val="both"/>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left="242" w:right="141"/>
        <w:jc w:val="both"/>
      </w:pPr>
      <w:r>
        <w:rPr>
          <w:w w:val="95"/>
        </w:rPr>
        <w:t>的态度出席历次董事会。公司独立董事能恪尽职守、勤勉尽责，详细了解公司整个生产运作</w:t>
      </w:r>
      <w:r>
        <w:rPr>
          <w:spacing w:val="12"/>
          <w:w w:val="95"/>
        </w:rPr>
        <w:t> </w:t>
      </w:r>
      <w:r>
        <w:rPr>
          <w:spacing w:val="12"/>
          <w:w w:val="95"/>
        </w:rPr>
      </w:r>
      <w:r>
        <w:rPr>
          <w:spacing w:val="-5"/>
          <w:w w:val="95"/>
        </w:rPr>
        <w:t>情况，认真审议各项议案，客观的发表自己的看法及观点，并利用自己的专业知识做出独立、</w:t>
      </w:r>
      <w:r>
        <w:rPr>
          <w:spacing w:val="26"/>
          <w:w w:val="95"/>
        </w:rPr>
        <w:t> </w:t>
      </w:r>
      <w:r>
        <w:rPr>
          <w:spacing w:val="26"/>
          <w:w w:val="95"/>
        </w:rPr>
      </w:r>
      <w:r>
        <w:rPr>
          <w:w w:val="95"/>
        </w:rPr>
        <w:t>公正的判断，对公司重大事项发表独立意见，对董事会决策的公正公平及保护中小投资者利</w:t>
      </w:r>
      <w:r>
        <w:rPr>
          <w:spacing w:val="13"/>
          <w:w w:val="95"/>
        </w:rPr>
        <w:t> </w:t>
      </w:r>
      <w:r>
        <w:rPr>
          <w:spacing w:val="13"/>
          <w:w w:val="95"/>
        </w:rPr>
      </w:r>
      <w:r>
        <w:rPr/>
        <w:t>益起到了积极作用。其他董事也严格遵守各项规定，尽职尽责，切实维护公司及股东利益。</w:t>
      </w:r>
    </w:p>
    <w:p>
      <w:pPr>
        <w:pStyle w:val="BodyText"/>
        <w:spacing w:line="355" w:lineRule="auto" w:before="32"/>
        <w:ind w:left="662" w:right="1384"/>
        <w:jc w:val="left"/>
      </w:pPr>
      <w:r>
        <w:rPr/>
        <w:t>报告期内，独立董事对公司董事会的议案及公司其他事项没有提出异议。</w:t>
      </w:r>
      <w:r>
        <w:rPr>
          <w:w w:val="99"/>
        </w:rPr>
        <w:t> </w:t>
      </w:r>
      <w:r>
        <w:rPr/>
        <w:t>报告期内公司第一届董事会共召开了</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次会议，董事出席会议情况如下：</w:t>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78"/>
        <w:gridCol w:w="1334"/>
        <w:gridCol w:w="931"/>
        <w:gridCol w:w="914"/>
        <w:gridCol w:w="1320"/>
        <w:gridCol w:w="840"/>
        <w:gridCol w:w="840"/>
        <w:gridCol w:w="1301"/>
      </w:tblGrid>
      <w:tr>
        <w:trPr>
          <w:trHeight w:val="82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2" w:right="144"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6" w:right="137"/>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w w:val="99"/>
                <w:sz w:val="21"/>
                <w:szCs w:val="21"/>
              </w:rPr>
              <w:t> </w:t>
            </w:r>
            <w:r>
              <w:rPr>
                <w:rFonts w:ascii="宋体" w:hAnsi="宋体" w:cs="宋体" w:eastAsia="宋体" w:hint="default"/>
                <w:sz w:val="21"/>
                <w:szCs w:val="21"/>
              </w:rPr>
              <w:t>席次数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40" w:lineRule="auto"/>
              <w:ind w:left="552" w:right="127"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40" w:lineRule="auto"/>
              <w:ind w:left="206" w:right="203"/>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31" w:right="120"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w w:val="99"/>
                <w:sz w:val="21"/>
                <w:szCs w:val="21"/>
              </w:rPr>
              <w:t> </w:t>
            </w:r>
            <w:r>
              <w:rPr>
                <w:rFonts w:ascii="宋体" w:hAnsi="宋体" w:cs="宋体" w:eastAsia="宋体" w:hint="default"/>
                <w:sz w:val="21"/>
                <w:szCs w:val="21"/>
              </w:rPr>
              <w:t>席会议</w:t>
            </w:r>
          </w:p>
        </w:tc>
      </w:tr>
      <w:tr>
        <w:trPr>
          <w:trHeight w:val="5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陈诗君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司徒伟廉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陈炬</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赵增祺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9</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11"/>
        <w:rPr>
          <w:rFonts w:ascii="宋体" w:hAnsi="宋体" w:cs="宋体" w:eastAsia="宋体" w:hint="default"/>
          <w:sz w:val="22"/>
          <w:szCs w:val="22"/>
        </w:rPr>
      </w:pPr>
    </w:p>
    <w:p>
      <w:pPr>
        <w:pStyle w:val="Heading3"/>
        <w:spacing w:line="240" w:lineRule="auto" w:before="26"/>
        <w:ind w:left="722" w:right="0"/>
        <w:jc w:val="left"/>
      </w:pPr>
      <w:r>
        <w:rPr/>
        <w:t>三、公司与控股股东在业务、人员、资产、机构、财务等方面的情况</w:t>
      </w:r>
    </w:p>
    <w:p>
      <w:pPr>
        <w:pStyle w:val="BodyText"/>
        <w:spacing w:line="357" w:lineRule="auto" w:before="157"/>
        <w:ind w:left="242" w:right="241" w:firstLine="420"/>
        <w:jc w:val="both"/>
      </w:pPr>
      <w:r>
        <w:rPr>
          <w:spacing w:val="-2"/>
          <w:w w:val="95"/>
        </w:rPr>
        <w:t>公司控股股东为自然人，不存在公司与控股股东在业务、人员、资产、机构、财务等方</w:t>
      </w:r>
      <w:r>
        <w:rPr>
          <w:w w:val="99"/>
        </w:rPr>
        <w:t> </w:t>
      </w:r>
      <w:r>
        <w:rPr/>
        <w:t>面的问题，同时公司控股股东未以任何形式占用公司的货币资金或其他资产。</w:t>
      </w:r>
    </w:p>
    <w:p>
      <w:pPr>
        <w:spacing w:line="240" w:lineRule="auto" w:before="7"/>
        <w:rPr>
          <w:rFonts w:ascii="宋体" w:hAnsi="宋体" w:cs="宋体" w:eastAsia="宋体" w:hint="default"/>
          <w:sz w:val="29"/>
          <w:szCs w:val="29"/>
        </w:rPr>
      </w:pPr>
    </w:p>
    <w:p>
      <w:pPr>
        <w:pStyle w:val="Heading3"/>
        <w:spacing w:line="240" w:lineRule="auto"/>
        <w:ind w:left="722" w:right="1384"/>
        <w:jc w:val="left"/>
      </w:pPr>
      <w:r>
        <w:rPr/>
        <w:t>四、公司内部控制制度的建设和执行情况</w:t>
      </w:r>
    </w:p>
    <w:p>
      <w:pPr>
        <w:pStyle w:val="BodyText"/>
        <w:spacing w:line="345" w:lineRule="auto" w:before="157"/>
        <w:ind w:left="242" w:right="238" w:firstLine="420"/>
        <w:jc w:val="both"/>
      </w:pPr>
      <w:r>
        <w:rPr/>
        <w:t>为了进一步加强和规范公司内部控制</w:t>
      </w:r>
      <w:r>
        <w:rPr>
          <w:rFonts w:ascii="Times New Roman" w:hAnsi="Times New Roman" w:cs="Times New Roman" w:eastAsia="Times New Roman" w:hint="default"/>
        </w:rPr>
        <w:t>,</w:t>
      </w:r>
      <w:r>
        <w:rPr/>
        <w:t>提高公司经营管理水平和风险防范能力</w:t>
      </w:r>
      <w:r>
        <w:rPr>
          <w:rFonts w:ascii="Times New Roman" w:hAnsi="Times New Roman" w:cs="Times New Roman" w:eastAsia="Times New Roman" w:hint="default"/>
        </w:rPr>
        <w:t>,</w:t>
      </w:r>
      <w:r>
        <w:rPr/>
        <w:t>促进公司</w:t>
      </w:r>
      <w:r>
        <w:rPr>
          <w:w w:val="99"/>
        </w:rPr>
        <w:t> </w:t>
      </w:r>
      <w:r>
        <w:rPr>
          <w:spacing w:val="-5"/>
          <w:w w:val="95"/>
        </w:rPr>
        <w:t>规范运作和健康发展，以此来更好的维护各股东的合法权益。根据财政部、证监会、银监会、</w:t>
      </w:r>
      <w:r>
        <w:rPr>
          <w:spacing w:val="29"/>
          <w:w w:val="95"/>
        </w:rPr>
        <w:t> </w:t>
      </w:r>
      <w:r>
        <w:rPr>
          <w:spacing w:val="29"/>
          <w:w w:val="95"/>
        </w:rPr>
      </w:r>
      <w:r>
        <w:rPr>
          <w:spacing w:val="-12"/>
          <w:w w:val="99"/>
        </w:rPr>
        <w:t>保监会、审计署联合发布的《企业内部控制基本规范》、《企业内部控制应用指引》、《企业内</w:t>
      </w:r>
      <w:r>
        <w:rPr>
          <w:spacing w:val="-83"/>
          <w:w w:val="99"/>
        </w:rPr>
        <w:t> </w:t>
      </w:r>
      <w:r>
        <w:rPr>
          <w:spacing w:val="-83"/>
          <w:w w:val="99"/>
        </w:rPr>
      </w:r>
      <w:r>
        <w:rPr>
          <w:spacing w:val="-12"/>
          <w:w w:val="99"/>
        </w:rPr>
        <w:t>部控制评价指引》，《深圳证券交易所中小企业版上市公司规范运作指引》、《关于做好上市公</w:t>
      </w:r>
      <w:r>
        <w:rPr>
          <w:spacing w:val="-81"/>
          <w:w w:val="99"/>
        </w:rPr>
        <w:t> </w:t>
      </w:r>
      <w:r>
        <w:rPr>
          <w:spacing w:val="-81"/>
          <w:w w:val="99"/>
        </w:rPr>
      </w:r>
      <w:r>
        <w:rPr>
          <w:spacing w:val="-2"/>
          <w:w w:val="95"/>
        </w:rPr>
        <w:t>司</w:t>
      </w:r>
      <w:r>
        <w:rPr>
          <w:rFonts w:ascii="Times New Roman" w:hAnsi="Times New Roman" w:cs="Times New Roman" w:eastAsia="Times New Roman" w:hint="default"/>
          <w:spacing w:val="-2"/>
          <w:w w:val="95"/>
        </w:rPr>
        <w:t>2010</w:t>
      </w:r>
      <w:r>
        <w:rPr>
          <w:spacing w:val="-2"/>
          <w:w w:val="95"/>
        </w:rPr>
        <w:t>年年度报告工作的通知》的规范要求及《公司章程》等规定，在“上市公司专项治理</w:t>
      </w:r>
      <w:r>
        <w:rPr>
          <w:spacing w:val="93"/>
          <w:w w:val="95"/>
        </w:rPr>
        <w:t> </w:t>
      </w:r>
      <w:r>
        <w:rPr>
          <w:spacing w:val="93"/>
          <w:w w:val="95"/>
        </w:rPr>
      </w:r>
      <w:r>
        <w:rPr/>
        <w:t>活动”的自查及整改情况的基础上</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公司全面建立健全公司内部控制制度，彻底落实相关制</w:t>
      </w:r>
      <w:r>
        <w:rPr>
          <w:w w:val="99"/>
        </w:rPr>
        <w:t> </w:t>
      </w:r>
      <w:r>
        <w:rPr>
          <w:w w:val="95"/>
        </w:rPr>
        <w:t>度规范的要求，强化对内控制度执行的监督检查</w:t>
      </w:r>
      <w:r>
        <w:rPr>
          <w:rFonts w:ascii="Times New Roman" w:hAnsi="Times New Roman" w:cs="Times New Roman" w:eastAsia="Times New Roman" w:hint="default"/>
          <w:w w:val="95"/>
        </w:rPr>
        <w:t>,</w:t>
      </w:r>
      <w:r>
        <w:rPr>
          <w:w w:val="95"/>
        </w:rPr>
        <w:t>不断加强治理水平</w:t>
      </w:r>
      <w:r>
        <w:rPr>
          <w:rFonts w:ascii="Times New Roman" w:hAnsi="Times New Roman" w:cs="Times New Roman" w:eastAsia="Times New Roman" w:hint="default"/>
          <w:w w:val="95"/>
        </w:rPr>
        <w:t>,</w:t>
      </w:r>
      <w:r>
        <w:rPr>
          <w:w w:val="95"/>
        </w:rPr>
        <w:t>促进企业规范运作</w:t>
      </w:r>
      <w:r>
        <w:rPr>
          <w:rFonts w:ascii="Times New Roman" w:hAnsi="Times New Roman" w:cs="Times New Roman" w:eastAsia="Times New Roman" w:hint="default"/>
          <w:w w:val="95"/>
        </w:rPr>
        <w:t>,</w:t>
      </w:r>
      <w:r>
        <w:rPr>
          <w:w w:val="95"/>
        </w:rPr>
        <w:t>有效</w:t>
      </w:r>
      <w:r>
        <w:rPr>
          <w:spacing w:val="62"/>
          <w:w w:val="95"/>
        </w:rPr>
        <w:t> </w:t>
      </w:r>
      <w:r>
        <w:rPr>
          <w:spacing w:val="62"/>
          <w:w w:val="95"/>
        </w:rPr>
      </w:r>
      <w:r>
        <w:rPr/>
        <w:t>防范了经营决策及管理风险</w:t>
      </w:r>
      <w:r>
        <w:rPr>
          <w:rFonts w:ascii="Times New Roman" w:hAnsi="Times New Roman" w:cs="Times New Roman" w:eastAsia="Times New Roman" w:hint="default"/>
        </w:rPr>
        <w:t>,</w:t>
      </w:r>
      <w:r>
        <w:rPr/>
        <w:t>确保了公司的稳健经营。</w:t>
      </w:r>
    </w:p>
    <w:p>
      <w:pPr>
        <w:pStyle w:val="BodyText"/>
        <w:spacing w:line="336" w:lineRule="auto" w:before="15"/>
        <w:ind w:left="662" w:right="0"/>
        <w:jc w:val="left"/>
      </w:pPr>
      <w:r>
        <w:rPr>
          <w:rFonts w:ascii="Times New Roman" w:hAnsi="Times New Roman" w:cs="Times New Roman" w:eastAsia="Times New Roman" w:hint="default"/>
        </w:rPr>
        <w:t>1</w:t>
      </w:r>
      <w:r>
        <w:rPr/>
        <w:t>、公司董事会对内部控制的自我评价</w:t>
      </w:r>
      <w:r>
        <w:rPr>
          <w:w w:val="99"/>
        </w:rPr>
        <w:t> </w:t>
      </w:r>
      <w:r>
        <w:rPr>
          <w:spacing w:val="-2"/>
          <w:w w:val="95"/>
        </w:rPr>
        <w:t>董事会审计委员对公司内部控制进行了认真的自查和分析，认为：公司建立了较为完善</w:t>
      </w:r>
      <w:r>
        <w:rPr>
          <w:spacing w:val="-2"/>
        </w:rPr>
      </w:r>
    </w:p>
    <w:p>
      <w:pPr>
        <w:spacing w:after="0" w:line="336" w:lineRule="auto"/>
        <w:jc w:val="left"/>
        <w:sectPr>
          <w:pgSz w:w="11910" w:h="16840"/>
          <w:pgMar w:header="206" w:footer="738" w:top="940" w:bottom="920" w:left="156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left="142" w:right="141"/>
        <w:jc w:val="both"/>
      </w:pPr>
      <w:r>
        <w:rPr>
          <w:spacing w:val="-2"/>
          <w:w w:val="95"/>
        </w:rPr>
        <w:t>的法人治理结构，内部控制体系较为健全，符合有关法律法规和证券监管部门的要求。公司</w:t>
      </w:r>
      <w:r>
        <w:rPr>
          <w:spacing w:val="92"/>
          <w:w w:val="95"/>
        </w:rPr>
        <w:t> </w:t>
      </w:r>
      <w:r>
        <w:rPr>
          <w:spacing w:val="92"/>
          <w:w w:val="95"/>
        </w:rPr>
      </w:r>
      <w:r>
        <w:rPr>
          <w:spacing w:val="-2"/>
          <w:w w:val="95"/>
        </w:rPr>
        <w:t>内部控制制度能得到一贯、有效的执行，对控制和防范经营管理风险、保护投资者的合法权</w:t>
      </w:r>
      <w:r>
        <w:rPr>
          <w:spacing w:val="90"/>
          <w:w w:val="95"/>
        </w:rPr>
        <w:t> </w:t>
      </w:r>
      <w:r>
        <w:rPr>
          <w:spacing w:val="90"/>
          <w:w w:val="95"/>
        </w:rPr>
      </w:r>
      <w:r>
        <w:rPr/>
        <w:t>益、促使公司规范运作和健康发展起到了积极的促进作用。公司内部控制是有效的。</w:t>
      </w:r>
    </w:p>
    <w:p>
      <w:pPr>
        <w:pStyle w:val="BodyText"/>
        <w:spacing w:line="336" w:lineRule="auto" w:before="32"/>
        <w:ind w:left="142" w:right="147" w:firstLine="420"/>
        <w:jc w:val="both"/>
      </w:pPr>
      <w:r>
        <w:rPr>
          <w:spacing w:val="8"/>
        </w:rPr>
        <w:t>董事会《关于</w:t>
      </w:r>
      <w:r>
        <w:rPr>
          <w:rFonts w:ascii="Times New Roman" w:hAnsi="Times New Roman" w:cs="Times New Roman" w:eastAsia="Times New Roman" w:hint="default"/>
          <w:spacing w:val="8"/>
        </w:rPr>
        <w:t>2010</w:t>
      </w:r>
      <w:r>
        <w:rPr>
          <w:spacing w:val="8"/>
        </w:rPr>
        <w:t>年度内部控制的自我评价报告》刊登在</w:t>
      </w:r>
      <w:r>
        <w:rPr>
          <w:spacing w:val="-95"/>
        </w:rPr>
        <w:t> </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5</w:t>
      </w:r>
      <w:r>
        <w:rPr>
          <w:spacing w:val="6"/>
        </w:rPr>
        <w:t>日巨潮资讯网</w:t>
      </w:r>
      <w:r>
        <w:rPr>
          <w:w w:val="99"/>
        </w:rPr>
        <w:t> </w:t>
      </w:r>
      <w:hyperlink r:id="rId12">
        <w:r>
          <w:rPr>
            <w:rFonts w:ascii="Times New Roman" w:hAnsi="Times New Roman" w:cs="Times New Roman" w:eastAsia="Times New Roman" w:hint="default"/>
            <w:w w:val="95"/>
          </w:rPr>
          <w:t>http://www.cninfo.com.cn</w:t>
        </w:r>
        <w:r>
          <w:rPr>
            <w:w w:val="95"/>
          </w:rPr>
          <w:t>上</w:t>
        </w:r>
      </w:hyperlink>
      <w:r>
        <w:rPr>
          <w:w w:val="95"/>
        </w:rPr>
        <w:t>，公司董事会及全体董事保证本报告内容不存在任何虚假记载、</w:t>
      </w:r>
      <w:r>
        <w:rPr>
          <w:spacing w:val="84"/>
          <w:w w:val="95"/>
        </w:rPr>
        <w:t> </w:t>
      </w:r>
      <w:r>
        <w:rPr>
          <w:spacing w:val="84"/>
          <w:w w:val="95"/>
        </w:rPr>
      </w:r>
      <w:r>
        <w:rPr/>
        <w:t>误导性陈述或重大遗漏，并对报告内容的真实性、准确性和完整性承担个别及连带责任。</w:t>
      </w:r>
    </w:p>
    <w:p>
      <w:pPr>
        <w:pStyle w:val="BodyText"/>
        <w:spacing w:line="336" w:lineRule="auto" w:before="51"/>
        <w:ind w:left="562" w:right="0"/>
        <w:jc w:val="left"/>
      </w:pPr>
      <w:r>
        <w:rPr>
          <w:rFonts w:ascii="Times New Roman" w:hAnsi="Times New Roman" w:cs="Times New Roman" w:eastAsia="Times New Roman" w:hint="default"/>
        </w:rPr>
        <w:t>2</w:t>
      </w:r>
      <w:r>
        <w:rPr/>
        <w:t>、独立董事对内部控制自我评价报告的审核意见</w:t>
      </w:r>
      <w:r>
        <w:rPr>
          <w:w w:val="99"/>
        </w:rPr>
        <w:t> </w:t>
      </w:r>
      <w:r>
        <w:rPr>
          <w:w w:val="95"/>
        </w:rPr>
        <w:t>公司独立董事认为：公司已建立了较为完善的内部控制制度体系并能得到有效的执行。</w:t>
      </w:r>
      <w:r>
        <w:rPr/>
      </w:r>
    </w:p>
    <w:p>
      <w:pPr>
        <w:pStyle w:val="BodyText"/>
        <w:spacing w:line="357" w:lineRule="auto" w:before="49"/>
        <w:ind w:left="562" w:right="0" w:hanging="420"/>
        <w:jc w:val="left"/>
      </w:pPr>
      <w:r>
        <w:rPr/>
        <w:t>公司内部控制的自我评价报告真实、客观地反映了公司内部控制制度的建设及运行情况。</w:t>
      </w:r>
      <w:r>
        <w:rPr>
          <w:w w:val="99"/>
        </w:rPr>
        <w:t> </w:t>
      </w:r>
      <w:r>
        <w:rPr/>
        <w:t>3、监事会对内部控制自我评价报告的审核意见</w:t>
      </w:r>
      <w:r>
        <w:rPr>
          <w:w w:val="99"/>
        </w:rPr>
        <w:t> </w:t>
      </w:r>
      <w:r>
        <w:rPr>
          <w:spacing w:val="-2"/>
          <w:w w:val="95"/>
        </w:rPr>
        <w:t>监事会对公司内部控制的建立和健全情况进行了认真的审核，认为：公司建立了较为完</w:t>
      </w:r>
      <w:r>
        <w:rPr>
          <w:spacing w:val="-2"/>
        </w:rPr>
      </w:r>
    </w:p>
    <w:p>
      <w:pPr>
        <w:pStyle w:val="BodyText"/>
        <w:spacing w:line="355" w:lineRule="auto" w:before="30"/>
        <w:ind w:left="142" w:right="141"/>
        <w:jc w:val="both"/>
      </w:pPr>
      <w:r>
        <w:rPr>
          <w:spacing w:val="-2"/>
          <w:w w:val="95"/>
        </w:rPr>
        <w:t>善的内部控制体系，并能得到有效执行；内部控制体系符合国家相关法律法规要求以及公司</w:t>
      </w:r>
      <w:r>
        <w:rPr>
          <w:spacing w:val="94"/>
          <w:w w:val="95"/>
        </w:rPr>
        <w:t> </w:t>
      </w:r>
      <w:r>
        <w:rPr>
          <w:spacing w:val="94"/>
          <w:w w:val="95"/>
        </w:rPr>
      </w:r>
      <w:r>
        <w:rPr>
          <w:spacing w:val="-2"/>
          <w:w w:val="95"/>
        </w:rPr>
        <w:t>实际需要，对公司经营管理起到了较好的风险防范和控制作用。公司内部控制自我评价报告</w:t>
      </w:r>
      <w:r>
        <w:rPr>
          <w:spacing w:val="94"/>
          <w:w w:val="95"/>
        </w:rPr>
        <w:t> </w:t>
      </w:r>
      <w:r>
        <w:rPr>
          <w:spacing w:val="94"/>
          <w:w w:val="95"/>
        </w:rPr>
      </w:r>
      <w:r>
        <w:rPr/>
        <w:t>真实、客观地反映了公司内部控制制度的建设及运行情况。</w:t>
      </w:r>
    </w:p>
    <w:p>
      <w:pPr>
        <w:pStyle w:val="BodyText"/>
        <w:spacing w:line="355" w:lineRule="auto" w:before="32"/>
        <w:ind w:left="562" w:right="0"/>
        <w:jc w:val="left"/>
      </w:pPr>
      <w:r>
        <w:rPr/>
        <w:t>4、保荐机构的核查意见</w:t>
      </w:r>
      <w:r>
        <w:rPr>
          <w:w w:val="99"/>
        </w:rPr>
        <w:t> </w:t>
      </w:r>
      <w:r>
        <w:rPr>
          <w:spacing w:val="-2"/>
          <w:w w:val="95"/>
        </w:rPr>
        <w:t>国元证券股份有限公司（以下简称“国元证券”）通过对鼎泰新材内部控制制度的建立</w:t>
      </w:r>
      <w:r>
        <w:rPr>
          <w:spacing w:val="-2"/>
        </w:rPr>
      </w:r>
    </w:p>
    <w:p>
      <w:pPr>
        <w:pStyle w:val="BodyText"/>
        <w:spacing w:line="355" w:lineRule="auto" w:before="34"/>
        <w:ind w:left="142" w:right="141"/>
        <w:jc w:val="both"/>
      </w:pPr>
      <w:r>
        <w:rPr>
          <w:spacing w:val="-2"/>
          <w:w w:val="95"/>
        </w:rPr>
        <w:t>和实施情况的核查，国元证券认为：鼎泰新材现有的内部控制制度符合我国有关法规和证券</w:t>
      </w:r>
      <w:r>
        <w:rPr>
          <w:spacing w:val="94"/>
          <w:w w:val="95"/>
        </w:rPr>
        <w:t> </w:t>
      </w:r>
      <w:r>
        <w:rPr>
          <w:spacing w:val="94"/>
          <w:w w:val="95"/>
        </w:rPr>
      </w:r>
      <w:r>
        <w:rPr>
          <w:spacing w:val="-2"/>
          <w:w w:val="95"/>
        </w:rPr>
        <w:t>监管部门的要求，较为健全、有效、可行，在所有重大方面保持了与企业业务及管理相关的</w:t>
      </w:r>
      <w:r>
        <w:rPr>
          <w:spacing w:val="92"/>
          <w:w w:val="95"/>
        </w:rPr>
        <w:t> </w:t>
      </w:r>
      <w:r>
        <w:rPr>
          <w:spacing w:val="92"/>
          <w:w w:val="95"/>
        </w:rPr>
      </w:r>
      <w:r>
        <w:rPr>
          <w:spacing w:val="-2"/>
          <w:w w:val="95"/>
        </w:rPr>
        <w:t>有效的内部控制，达到了《企业内部控制规范》的要求。鼎泰新材的《2010年度内部控制自</w:t>
      </w:r>
      <w:r>
        <w:rPr>
          <w:spacing w:val="92"/>
          <w:w w:val="95"/>
        </w:rPr>
        <w:t> </w:t>
      </w:r>
      <w:r>
        <w:rPr>
          <w:spacing w:val="92"/>
          <w:w w:val="95"/>
        </w:rPr>
      </w:r>
      <w:r>
        <w:rPr/>
        <w:t>我评价报告》基本反映了其内部控制制度的建设及运行情况。</w:t>
      </w:r>
    </w:p>
    <w:p>
      <w:pPr>
        <w:pStyle w:val="BodyText"/>
        <w:spacing w:line="355" w:lineRule="auto" w:before="34"/>
        <w:ind w:left="142" w:right="141" w:firstLine="420"/>
        <w:jc w:val="both"/>
      </w:pPr>
      <w:r>
        <w:rPr>
          <w:spacing w:val="-2"/>
          <w:w w:val="95"/>
        </w:rPr>
        <w:t>国元证券对公司《内部控制自我评价报告》的核查意见刊登在2011年3月5日巨潮资讯网</w:t>
      </w:r>
      <w:hyperlink r:id="rId12">
        <w:r>
          <w:rPr>
            <w:w w:val="99"/>
          </w:rPr>
          <w:t> </w:t>
        </w:r>
        <w:r>
          <w:rPr/>
          <w:t>http://www.cninfo.com.cn上</w:t>
        </w:r>
      </w:hyperlink>
      <w:r>
        <w:rPr/>
        <w:t>。</w:t>
      </w:r>
    </w:p>
    <w:p>
      <w:pPr>
        <w:spacing w:line="240" w:lineRule="auto" w:before="12"/>
        <w:rPr>
          <w:rFonts w:ascii="宋体" w:hAnsi="宋体" w:cs="宋体" w:eastAsia="宋体" w:hint="default"/>
          <w:sz w:val="24"/>
          <w:szCs w:val="24"/>
        </w:rPr>
      </w:pPr>
    </w:p>
    <w:p>
      <w:pPr>
        <w:pStyle w:val="Heading3"/>
        <w:spacing w:line="240" w:lineRule="auto"/>
        <w:ind w:left="622" w:right="0"/>
        <w:jc w:val="left"/>
      </w:pPr>
      <w:r>
        <w:rPr/>
        <w:t>五、对高级管理人员的考评机制</w:t>
      </w:r>
    </w:p>
    <w:p>
      <w:pPr>
        <w:pStyle w:val="BodyText"/>
        <w:spacing w:line="355" w:lineRule="auto" w:before="157"/>
        <w:ind w:left="142" w:right="141" w:firstLine="420"/>
        <w:jc w:val="both"/>
      </w:pPr>
      <w:r>
        <w:rPr>
          <w:spacing w:val="-2"/>
          <w:w w:val="99"/>
        </w:rPr>
        <w:t>公司董事会按年度对公司高级管理人员的业绩和履职情况进行考评，并根据工作业绩决</w:t>
      </w:r>
      <w:r>
        <w:rPr>
          <w:w w:val="99"/>
        </w:rPr>
        <w:t> </w:t>
      </w:r>
      <w:r>
        <w:rPr>
          <w:spacing w:val="-2"/>
          <w:w w:val="95"/>
        </w:rPr>
        <w:t>定年度薪酬，以考核结果作为下一年度的岗位安排、年薪档次、是否续聘及职位升降和下一</w:t>
      </w:r>
      <w:r>
        <w:rPr>
          <w:spacing w:val="92"/>
          <w:w w:val="95"/>
        </w:rPr>
        <w:t> </w:t>
      </w:r>
      <w:r>
        <w:rPr>
          <w:spacing w:val="92"/>
          <w:w w:val="95"/>
        </w:rPr>
      </w:r>
      <w:r>
        <w:rPr/>
        <w:t>届任免的依据。报告期内，对高级管理人员的考评情况良好。</w:t>
      </w:r>
    </w:p>
    <w:p>
      <w:pPr>
        <w:spacing w:line="240" w:lineRule="auto" w:before="11"/>
        <w:rPr>
          <w:rFonts w:ascii="宋体" w:hAnsi="宋体" w:cs="宋体" w:eastAsia="宋体" w:hint="default"/>
          <w:sz w:val="29"/>
          <w:szCs w:val="29"/>
        </w:rPr>
      </w:pPr>
    </w:p>
    <w:p>
      <w:pPr>
        <w:pStyle w:val="Heading3"/>
        <w:spacing w:line="240" w:lineRule="auto"/>
        <w:ind w:left="622" w:right="0"/>
        <w:jc w:val="left"/>
      </w:pPr>
      <w:r>
        <w:rPr/>
        <w:t>六、内部审计制度的建立和执行情况</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045"/>
        <w:gridCol w:w="1104"/>
        <w:gridCol w:w="2213"/>
      </w:tblGrid>
      <w:tr>
        <w:trPr>
          <w:trHeight w:val="828"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7"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444" w:right="67" w:hanging="375"/>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w:t>
            </w:r>
            <w:r>
              <w:rPr>
                <w:rFonts w:ascii="宋体" w:hAnsi="宋体" w:cs="宋体" w:eastAsia="宋体" w:hint="default"/>
                <w:w w:val="99"/>
                <w:sz w:val="21"/>
                <w:szCs w:val="21"/>
              </w:rPr>
              <w:t> </w:t>
            </w:r>
            <w:r>
              <w:rPr>
                <w:rFonts w:ascii="宋体" w:hAnsi="宋体" w:cs="宋体" w:eastAsia="宋体" w:hint="default"/>
                <w:sz w:val="21"/>
                <w:szCs w:val="21"/>
              </w:rPr>
              <w:t>用</w:t>
            </w: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52" w:right="0" w:hanging="29"/>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说明（如选择否或</w:t>
            </w:r>
          </w:p>
          <w:p>
            <w:pPr>
              <w:pStyle w:val="TableParagraph"/>
              <w:spacing w:line="272" w:lineRule="exact" w:before="19"/>
              <w:ind w:left="892" w:right="48" w:hanging="840"/>
              <w:jc w:val="left"/>
              <w:rPr>
                <w:rFonts w:ascii="宋体" w:hAnsi="宋体" w:cs="宋体" w:eastAsia="宋体" w:hint="default"/>
                <w:sz w:val="21"/>
                <w:szCs w:val="21"/>
              </w:rPr>
            </w:pPr>
            <w:r>
              <w:rPr>
                <w:rFonts w:ascii="宋体" w:hAnsi="宋体" w:cs="宋体" w:eastAsia="宋体" w:hint="default"/>
                <w:sz w:val="21"/>
                <w:szCs w:val="21"/>
              </w:rPr>
              <w:t>不适用，请说明具体原</w:t>
            </w:r>
            <w:r>
              <w:rPr>
                <w:rFonts w:ascii="宋体" w:hAnsi="宋体" w:cs="宋体" w:eastAsia="宋体" w:hint="default"/>
                <w:w w:val="99"/>
                <w:sz w:val="21"/>
                <w:szCs w:val="21"/>
              </w:rPr>
              <w:t> </w:t>
            </w:r>
            <w:r>
              <w:rPr>
                <w:rFonts w:ascii="宋体" w:hAnsi="宋体" w:cs="宋体" w:eastAsia="宋体" w:hint="default"/>
                <w:sz w:val="21"/>
                <w:szCs w:val="21"/>
              </w:rPr>
              <w:t>因）</w:t>
            </w:r>
          </w:p>
        </w:tc>
      </w:tr>
      <w:tr>
        <w:trPr>
          <w:trHeight w:val="281"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6"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公司董事会审议通过</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
          <w:pgSz w:w="11910" w:h="16840"/>
          <w:pgMar w:footer="738" w:header="206" w:top="940" w:bottom="920" w:left="1660" w:right="166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045"/>
        <w:gridCol w:w="1104"/>
        <w:gridCol w:w="2213"/>
      </w:tblGrid>
      <w:tr>
        <w:trPr>
          <w:trHeight w:val="281"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立于财务部门的内部审计部门</w:t>
            </w:r>
          </w:p>
        </w:tc>
        <w:tc>
          <w:tcPr>
            <w:tcW w:w="1104"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3</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2"/>
                <w:w w:val="99"/>
                <w:sz w:val="21"/>
                <w:szCs w:val="21"/>
              </w:rPr>
              <w:t>）</w:t>
            </w:r>
            <w:r>
              <w:rPr>
                <w:rFonts w:ascii="宋体" w:hAnsi="宋体" w:cs="宋体" w:eastAsia="宋体" w:hint="default"/>
                <w:w w:val="99"/>
                <w:sz w:val="21"/>
                <w:szCs w:val="21"/>
              </w:rPr>
              <w:t>审</w:t>
            </w:r>
            <w:r>
              <w:rPr>
                <w:rFonts w:ascii="宋体" w:hAnsi="宋体" w:cs="宋体" w:eastAsia="宋体" w:hint="default"/>
                <w:spacing w:val="2"/>
                <w:w w:val="99"/>
                <w:sz w:val="21"/>
                <w:szCs w:val="21"/>
              </w:rPr>
              <w:t>计</w:t>
            </w:r>
            <w:r>
              <w:rPr>
                <w:rFonts w:ascii="宋体" w:hAnsi="宋体" w:cs="宋体" w:eastAsia="宋体" w:hint="default"/>
                <w:w w:val="99"/>
                <w:sz w:val="21"/>
                <w:szCs w:val="21"/>
              </w:rPr>
              <w:t>委</w:t>
            </w:r>
            <w:r>
              <w:rPr>
                <w:rFonts w:ascii="宋体" w:hAnsi="宋体" w:cs="宋体" w:eastAsia="宋体" w:hint="default"/>
                <w:spacing w:val="2"/>
                <w:w w:val="99"/>
                <w:sz w:val="21"/>
                <w:szCs w:val="21"/>
              </w:rPr>
              <w:t>员</w:t>
            </w:r>
            <w:r>
              <w:rPr>
                <w:rFonts w:ascii="宋体" w:hAnsi="宋体" w:cs="宋体" w:eastAsia="宋体" w:hint="default"/>
                <w:w w:val="99"/>
                <w:sz w:val="21"/>
                <w:szCs w:val="21"/>
              </w:rPr>
              <w:t>会</w:t>
            </w:r>
            <w:r>
              <w:rPr>
                <w:rFonts w:ascii="宋体" w:hAnsi="宋体" w:cs="宋体" w:eastAsia="宋体" w:hint="default"/>
                <w:spacing w:val="2"/>
                <w:w w:val="99"/>
                <w:sz w:val="21"/>
                <w:szCs w:val="21"/>
              </w:rPr>
              <w:t>成</w:t>
            </w:r>
            <w:r>
              <w:rPr>
                <w:rFonts w:ascii="宋体" w:hAnsi="宋体" w:cs="宋体" w:eastAsia="宋体" w:hint="default"/>
                <w:w w:val="99"/>
                <w:sz w:val="21"/>
                <w:szCs w:val="21"/>
              </w:rPr>
              <w:t>员</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pacing w:val="2"/>
                <w:w w:val="99"/>
                <w:sz w:val="21"/>
                <w:szCs w:val="21"/>
              </w:rPr>
              <w:t>全</w:t>
            </w:r>
            <w:r>
              <w:rPr>
                <w:rFonts w:ascii="宋体" w:hAnsi="宋体" w:cs="宋体" w:eastAsia="宋体" w:hint="default"/>
                <w:w w:val="99"/>
                <w:sz w:val="21"/>
                <w:szCs w:val="21"/>
              </w:rPr>
              <w:t>部</w:t>
            </w:r>
            <w:r>
              <w:rPr>
                <w:rFonts w:ascii="宋体" w:hAnsi="宋体" w:cs="宋体" w:eastAsia="宋体" w:hint="default"/>
                <w:spacing w:val="2"/>
                <w:w w:val="99"/>
                <w:sz w:val="21"/>
                <w:szCs w:val="21"/>
              </w:rPr>
              <w:t>由</w:t>
            </w:r>
            <w:r>
              <w:rPr>
                <w:rFonts w:ascii="宋体" w:hAnsi="宋体" w:cs="宋体" w:eastAsia="宋体" w:hint="default"/>
                <w:w w:val="99"/>
                <w:sz w:val="21"/>
                <w:szCs w:val="21"/>
              </w:rPr>
              <w:t>董</w:t>
            </w:r>
            <w:r>
              <w:rPr>
                <w:rFonts w:ascii="宋体" w:hAnsi="宋体" w:cs="宋体" w:eastAsia="宋体" w:hint="default"/>
                <w:spacing w:val="2"/>
                <w:w w:val="99"/>
                <w:sz w:val="21"/>
                <w:szCs w:val="21"/>
              </w:rPr>
              <w:t>事</w:t>
            </w:r>
            <w:r>
              <w:rPr>
                <w:rFonts w:ascii="宋体" w:hAnsi="宋体" w:cs="宋体" w:eastAsia="宋体" w:hint="default"/>
                <w:w w:val="99"/>
                <w:sz w:val="21"/>
                <w:szCs w:val="21"/>
              </w:rPr>
              <w:t>组</w:t>
            </w:r>
            <w:r>
              <w:rPr>
                <w:rFonts w:ascii="宋体" w:hAnsi="宋体" w:cs="宋体" w:eastAsia="宋体" w:hint="default"/>
                <w:spacing w:val="2"/>
                <w:w w:val="99"/>
                <w:sz w:val="21"/>
                <w:szCs w:val="21"/>
              </w:rPr>
              <w:t>成</w:t>
            </w:r>
            <w:r>
              <w:rPr>
                <w:rFonts w:ascii="宋体" w:hAnsi="宋体" w:cs="宋体" w:eastAsia="宋体" w:hint="default"/>
                <w:w w:val="99"/>
                <w:sz w:val="21"/>
                <w:szCs w:val="21"/>
              </w:rPr>
              <w:t>，</w:t>
            </w:r>
            <w:r>
              <w:rPr>
                <w:rFonts w:ascii="宋体" w:hAnsi="宋体" w:cs="宋体" w:eastAsia="宋体" w:hint="default"/>
                <w:spacing w:val="2"/>
                <w:w w:val="99"/>
                <w:sz w:val="21"/>
                <w:szCs w:val="21"/>
              </w:rPr>
              <w:t>独</w:t>
            </w:r>
            <w:r>
              <w:rPr>
                <w:rFonts w:ascii="宋体" w:hAnsi="宋体" w:cs="宋体" w:eastAsia="宋体" w:hint="default"/>
                <w:w w:val="99"/>
                <w:sz w:val="21"/>
                <w:szCs w:val="21"/>
              </w:rPr>
              <w:t>立董</w:t>
            </w:r>
            <w:r>
              <w:rPr>
                <w:rFonts w:ascii="宋体" w:hAnsi="宋体" w:cs="宋体" w:eastAsia="宋体" w:hint="default"/>
                <w:sz w:val="21"/>
                <w:szCs w:val="21"/>
              </w:rPr>
            </w:r>
          </w:p>
          <w:p>
            <w:pPr>
              <w:pStyle w:val="TableParagraph"/>
              <w:spacing w:line="274" w:lineRule="exact" w:before="16"/>
              <w:ind w:left="24" w:right="23"/>
              <w:jc w:val="left"/>
              <w:rPr>
                <w:rFonts w:ascii="宋体" w:hAnsi="宋体" w:cs="宋体" w:eastAsia="宋体" w:hint="default"/>
                <w:sz w:val="21"/>
                <w:szCs w:val="21"/>
              </w:rPr>
            </w:pPr>
            <w:r>
              <w:rPr>
                <w:rFonts w:ascii="宋体" w:hAnsi="宋体" w:cs="宋体" w:eastAsia="宋体" w:hint="default"/>
                <w:spacing w:val="-2"/>
                <w:sz w:val="21"/>
                <w:szCs w:val="21"/>
              </w:rPr>
              <w:t>事占半数以上并担任召集人，且至少有一名独立董事为</w:t>
            </w:r>
            <w:r>
              <w:rPr>
                <w:rFonts w:ascii="宋体" w:hAnsi="宋体" w:cs="宋体" w:eastAsia="宋体" w:hint="default"/>
                <w:w w:val="99"/>
                <w:sz w:val="21"/>
                <w:szCs w:val="21"/>
              </w:rPr>
              <w:t> </w:t>
            </w:r>
            <w:r>
              <w:rPr>
                <w:rFonts w:ascii="宋体" w:hAnsi="宋体" w:cs="宋体" w:eastAsia="宋体" w:hint="default"/>
                <w:sz w:val="21"/>
                <w:szCs w:val="21"/>
              </w:rPr>
              <w:t>会计专业人士</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人员从事内部审计工作</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．内部控制自我评价报告结论是否为内部控制有效（如</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为内部控制无效，请说明内部控制存在的重大缺陷）</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具鉴证报告</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．会计师事务所对公司内部控制有效性是否出具无保</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pacing w:val="-2"/>
                <w:sz w:val="21"/>
                <w:szCs w:val="21"/>
              </w:rPr>
              <w:t>留结论鉴证报告。如出具非无保留结论鉴证报告，公司</w:t>
            </w:r>
            <w:r>
              <w:rPr>
                <w:rFonts w:ascii="宋体" w:hAnsi="宋体" w:cs="宋体" w:eastAsia="宋体" w:hint="default"/>
                <w:w w:val="99"/>
                <w:sz w:val="21"/>
                <w:szCs w:val="21"/>
              </w:rPr>
              <w:t> </w:t>
            </w:r>
            <w:r>
              <w:rPr>
                <w:rFonts w:ascii="宋体" w:hAnsi="宋体" w:cs="宋体" w:eastAsia="宋体" w:hint="default"/>
                <w:spacing w:val="-2"/>
                <w:sz w:val="21"/>
                <w:szCs w:val="21"/>
              </w:rPr>
              <w:t>董事会、监事会是否针对鉴证结论涉及事项做出专项说</w:t>
            </w:r>
            <w:r>
              <w:rPr>
                <w:rFonts w:ascii="宋体" w:hAnsi="宋体" w:cs="宋体" w:eastAsia="宋体" w:hint="default"/>
                <w:w w:val="99"/>
                <w:sz w:val="21"/>
                <w:szCs w:val="21"/>
              </w:rPr>
              <w:t> </w:t>
            </w:r>
            <w:r>
              <w:rPr>
                <w:rFonts w:ascii="宋体" w:hAnsi="宋体" w:cs="宋体" w:eastAsia="宋体" w:hint="default"/>
                <w:sz w:val="21"/>
                <w:szCs w:val="21"/>
              </w:rPr>
              <w:t>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议意见，请说明）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见（如适用）</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36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2474" w:hRule="exact"/>
        </w:trPr>
        <w:tc>
          <w:tcPr>
            <w:tcW w:w="8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1、审计委员会和内部审计部门每季度对公司财务报告、</w:t>
            </w:r>
            <w:r>
              <w:rPr>
                <w:rFonts w:ascii="宋体" w:hAnsi="宋体" w:cs="宋体" w:eastAsia="宋体" w:hint="default"/>
                <w:sz w:val="22"/>
                <w:szCs w:val="22"/>
              </w:rPr>
              <w:t>募集资金使用情况</w:t>
            </w:r>
            <w:r>
              <w:rPr>
                <w:rFonts w:ascii="宋体" w:hAnsi="宋体" w:cs="宋体" w:eastAsia="宋体" w:hint="default"/>
                <w:sz w:val="21"/>
                <w:szCs w:val="21"/>
              </w:rPr>
              <w:t>进行审核。</w:t>
            </w:r>
          </w:p>
          <w:p>
            <w:pPr>
              <w:pStyle w:val="TableParagraph"/>
              <w:spacing w:line="235" w:lineRule="auto" w:before="3"/>
              <w:ind w:left="24" w:right="122"/>
              <w:jc w:val="left"/>
              <w:rPr>
                <w:rFonts w:ascii="宋体" w:hAnsi="宋体" w:cs="宋体" w:eastAsia="宋体" w:hint="default"/>
                <w:sz w:val="21"/>
                <w:szCs w:val="21"/>
              </w:rPr>
            </w:pP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、审计委员会在年度财务报告的审计过程中，与审计会计师在审前、审中、审后进行多种</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pacing w:val="-2"/>
                <w:w w:val="95"/>
                <w:sz w:val="21"/>
                <w:szCs w:val="21"/>
              </w:rPr>
              <w:t>形式的工作沟通。审计前认真审阅公司财务报表，并督促会计师认真、及时完成审计工作。</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审计委员会对年审注册会计师出具的审计意见和相关财务会计报表进行认真审阅后认为：</w:t>
            </w:r>
            <w:r>
              <w:rPr>
                <w:rFonts w:ascii="宋体" w:hAnsi="宋体" w:cs="宋体" w:eastAsia="宋体" w:hint="default"/>
                <w:w w:val="99"/>
                <w:sz w:val="21"/>
                <w:szCs w:val="21"/>
              </w:rPr>
              <w:t> </w:t>
            </w:r>
            <w:r>
              <w:rPr>
                <w:rFonts w:ascii="宋体" w:hAnsi="宋体" w:cs="宋体" w:eastAsia="宋体" w:hint="default"/>
                <w:sz w:val="21"/>
                <w:szCs w:val="21"/>
              </w:rPr>
              <w:t>公司编制的经会计师初审后的财务会计报表真实、客观地反映了公司2010年末的财务状况</w:t>
            </w:r>
            <w:r>
              <w:rPr>
                <w:rFonts w:ascii="宋体" w:hAnsi="宋体" w:cs="宋体" w:eastAsia="宋体" w:hint="default"/>
                <w:w w:val="99"/>
                <w:sz w:val="21"/>
                <w:szCs w:val="21"/>
              </w:rPr>
              <w:t> </w:t>
            </w:r>
            <w:r>
              <w:rPr>
                <w:rFonts w:ascii="宋体" w:hAnsi="宋体" w:cs="宋体" w:eastAsia="宋体" w:hint="default"/>
                <w:sz w:val="21"/>
                <w:szCs w:val="21"/>
              </w:rPr>
              <w:t>和2010年度的经营成果。</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、内部审计部门严格按照工作计划对公司以及分、子公司进行定期检查，对公司资产进行</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核实。内部审计部门对公司的内部控制的有效性进行了抽查，为公司内部制度的有效执行</w:t>
            </w:r>
            <w:r>
              <w:rPr>
                <w:rFonts w:ascii="宋体" w:hAnsi="宋体" w:cs="宋体" w:eastAsia="宋体" w:hint="default"/>
                <w:w w:val="99"/>
                <w:sz w:val="21"/>
                <w:szCs w:val="21"/>
              </w:rPr>
              <w:t> </w:t>
            </w:r>
            <w:r>
              <w:rPr>
                <w:rFonts w:ascii="宋体" w:hAnsi="宋体" w:cs="宋体" w:eastAsia="宋体" w:hint="default"/>
                <w:sz w:val="21"/>
                <w:szCs w:val="21"/>
              </w:rPr>
              <w:t>提供了保证。</w:t>
            </w:r>
          </w:p>
        </w:tc>
      </w:tr>
      <w:tr>
        <w:trPr>
          <w:trHeight w:val="282" w:hRule="exact"/>
        </w:trPr>
        <w:tc>
          <w:tcPr>
            <w:tcW w:w="836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2" w:hRule="exact"/>
        </w:trPr>
        <w:tc>
          <w:tcPr>
            <w:tcW w:w="8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after="0" w:line="242" w:lineRule="exact"/>
        <w:jc w:val="left"/>
        <w:rPr>
          <w:rFonts w:ascii="宋体" w:hAnsi="宋体" w:cs="宋体" w:eastAsia="宋体" w:hint="default"/>
          <w:sz w:val="21"/>
          <w:szCs w:val="21"/>
        </w:rPr>
        <w:sectPr>
          <w:pgSz w:w="11910" w:h="16840"/>
          <w:pgMar w:header="206" w:footer="738" w:top="940" w:bottom="92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1"/>
        <w:tabs>
          <w:tab w:pos="3393" w:val="left" w:leader="none"/>
        </w:tabs>
        <w:spacing w:line="539" w:lineRule="exact"/>
        <w:ind w:left="1632" w:right="109"/>
        <w:jc w:val="left"/>
      </w:pPr>
      <w:bookmarkStart w:name="_TOC_250005" w:id="5"/>
      <w:r>
        <w:rPr>
          <w:w w:val="95"/>
        </w:rPr>
        <w:t>第六节</w:t>
        <w:tab/>
      </w:r>
      <w:bookmarkEnd w:id="5"/>
      <w:r>
        <w:rPr/>
        <w:t>股东大会情况简介</w:t>
      </w:r>
    </w:p>
    <w:p>
      <w:pPr>
        <w:spacing w:line="240" w:lineRule="auto" w:before="0"/>
        <w:rPr>
          <w:rFonts w:ascii="宋体" w:hAnsi="宋体" w:cs="宋体" w:eastAsia="宋体" w:hint="default"/>
          <w:sz w:val="44"/>
          <w:szCs w:val="44"/>
        </w:rPr>
      </w:pPr>
    </w:p>
    <w:p>
      <w:pPr>
        <w:spacing w:line="240" w:lineRule="auto" w:before="7"/>
        <w:rPr>
          <w:rFonts w:ascii="宋体" w:hAnsi="宋体" w:cs="宋体" w:eastAsia="宋体" w:hint="default"/>
          <w:sz w:val="45"/>
          <w:szCs w:val="45"/>
        </w:rPr>
      </w:pPr>
    </w:p>
    <w:p>
      <w:pPr>
        <w:pStyle w:val="BodyText"/>
        <w:spacing w:line="357" w:lineRule="auto"/>
        <w:ind w:right="122" w:firstLine="420"/>
        <w:jc w:val="both"/>
      </w:pPr>
      <w:r>
        <w:rPr>
          <w:spacing w:val="-7"/>
          <w:w w:val="99"/>
        </w:rPr>
        <w:t>报告期内，公司共召开四次股东大会。会议的召开、召集与表决程序符合《公司法》《上</w:t>
      </w:r>
      <w:r>
        <w:rPr>
          <w:w w:val="99"/>
        </w:rPr>
        <w:t> </w:t>
      </w:r>
      <w:r>
        <w:rPr>
          <w:spacing w:val="-12"/>
          <w:w w:val="99"/>
        </w:rPr>
        <w:t>市公司股东大会规则》、《深圳证券交易所股票上市规则》及《公司章程》、《公司股东大会议</w:t>
      </w:r>
      <w:r>
        <w:rPr>
          <w:spacing w:val="-81"/>
          <w:w w:val="99"/>
        </w:rPr>
        <w:t> </w:t>
      </w:r>
      <w:r>
        <w:rPr>
          <w:spacing w:val="-81"/>
          <w:w w:val="99"/>
        </w:rPr>
      </w:r>
      <w:r>
        <w:rPr/>
        <w:t>事规则》等规定。</w:t>
      </w:r>
    </w:p>
    <w:p>
      <w:pPr>
        <w:spacing w:line="240" w:lineRule="auto" w:before="9"/>
        <w:rPr>
          <w:rFonts w:ascii="宋体" w:hAnsi="宋体" w:cs="宋体" w:eastAsia="宋体" w:hint="default"/>
          <w:sz w:val="29"/>
          <w:szCs w:val="29"/>
        </w:rPr>
      </w:pPr>
    </w:p>
    <w:p>
      <w:pPr>
        <w:pStyle w:val="Heading3"/>
        <w:spacing w:line="240" w:lineRule="auto"/>
        <w:ind w:left="602" w:right="109"/>
        <w:jc w:val="left"/>
      </w:pPr>
      <w:r>
        <w:rPr/>
        <w:t>一、2010</w:t>
      </w:r>
      <w:r>
        <w:rPr>
          <w:spacing w:val="-60"/>
        </w:rPr>
        <w:t> </w:t>
      </w:r>
      <w:r>
        <w:rPr/>
        <w:t>年度第一次临时股东大会</w:t>
      </w:r>
    </w:p>
    <w:p>
      <w:pPr>
        <w:pStyle w:val="BodyText"/>
        <w:spacing w:line="336" w:lineRule="auto" w:before="157"/>
        <w:ind w:right="134"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11 </w:t>
      </w:r>
      <w:r>
        <w:rPr/>
        <w:t>日在公司会议室召开了</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年度第一次临时股东大会，审议并通过了</w:t>
      </w:r>
      <w:r>
        <w:rPr>
          <w:w w:val="99"/>
        </w:rPr>
        <w:t> </w:t>
      </w:r>
      <w:r>
        <w:rPr/>
        <w:t>如下决议：</w:t>
      </w:r>
    </w:p>
    <w:p>
      <w:pPr>
        <w:pStyle w:val="BodyText"/>
        <w:spacing w:line="357" w:lineRule="auto" w:before="49"/>
        <w:ind w:right="122" w:firstLine="420"/>
        <w:jc w:val="both"/>
      </w:pPr>
      <w:r>
        <w:rPr>
          <w:spacing w:val="-3"/>
          <w:w w:val="99"/>
        </w:rPr>
        <w:t>1、审议通过《关于聘任深圳市鹏城会计师事务所有限公司为公司</w:t>
      </w:r>
      <w:r>
        <w:rPr>
          <w:spacing w:val="-42"/>
          <w:w w:val="99"/>
        </w:rPr>
        <w:t> </w:t>
      </w:r>
      <w:r>
        <w:rPr>
          <w:w w:val="99"/>
        </w:rPr>
        <w:t>2009</w:t>
      </w:r>
      <w:r>
        <w:rPr>
          <w:spacing w:val="-44"/>
          <w:w w:val="99"/>
        </w:rPr>
        <w:t> </w:t>
      </w:r>
      <w:r>
        <w:rPr>
          <w:w w:val="99"/>
        </w:rPr>
        <w:t>年度审计机构的</w:t>
      </w:r>
      <w:r>
        <w:rPr>
          <w:w w:val="99"/>
        </w:rPr>
        <w:t> </w:t>
      </w:r>
      <w:r>
        <w:rPr/>
        <w:t>议案》；</w:t>
      </w:r>
    </w:p>
    <w:p>
      <w:pPr>
        <w:pStyle w:val="BodyText"/>
        <w:spacing w:line="355" w:lineRule="auto" w:before="30"/>
        <w:ind w:right="122" w:firstLine="420"/>
        <w:jc w:val="both"/>
      </w:pPr>
      <w:r>
        <w:rPr/>
        <w:t>2、审议通过《关于修订&lt;马鞍山鼎泰稀土新材料股份有限公司章程&gt;（首次公开发行股</w:t>
      </w:r>
      <w:r>
        <w:rPr>
          <w:w w:val="99"/>
        </w:rPr>
        <w:t> </w:t>
      </w:r>
      <w:r>
        <w:rPr/>
        <w:t>票并上市前草案）的议案》；</w:t>
      </w:r>
    </w:p>
    <w:p>
      <w:pPr>
        <w:pStyle w:val="BodyText"/>
        <w:spacing w:line="355" w:lineRule="auto" w:before="32"/>
        <w:ind w:right="122" w:firstLine="420"/>
        <w:jc w:val="both"/>
      </w:pPr>
      <w:r>
        <w:rPr/>
        <w:t>3、审议通过《关于修订&lt;马鞍山鼎泰稀土新材料股份有限公司股东大会议事规则&gt;的议</w:t>
      </w:r>
      <w:r>
        <w:rPr>
          <w:w w:val="99"/>
        </w:rPr>
        <w:t> </w:t>
      </w:r>
      <w:r>
        <w:rPr/>
        <w:t>案》；</w:t>
      </w:r>
    </w:p>
    <w:p>
      <w:pPr>
        <w:pStyle w:val="BodyText"/>
        <w:spacing w:line="357" w:lineRule="auto" w:before="32"/>
        <w:ind w:right="122" w:firstLine="420"/>
        <w:jc w:val="both"/>
      </w:pPr>
      <w:r>
        <w:rPr>
          <w:spacing w:val="6"/>
          <w:w w:val="95"/>
        </w:rPr>
        <w:t>4、审议通过《关于修订&lt;马鞍山鼎泰稀土新材料股份有限公司董事会议事规则&gt;的议</w:t>
      </w:r>
      <w:r>
        <w:rPr>
          <w:w w:val="99"/>
        </w:rPr>
        <w:t> </w:t>
      </w:r>
      <w:r>
        <w:rPr/>
        <w:t>案》；</w:t>
      </w:r>
    </w:p>
    <w:p>
      <w:pPr>
        <w:pStyle w:val="BodyText"/>
        <w:spacing w:line="355" w:lineRule="auto" w:before="30"/>
        <w:ind w:right="122" w:firstLine="420"/>
        <w:jc w:val="both"/>
      </w:pPr>
      <w:r>
        <w:rPr/>
        <w:t>5、审议通过《关于修订&lt;马鞍山鼎泰稀土新材料股份有限公司独立董事工作制度&gt;的议</w:t>
      </w:r>
      <w:r>
        <w:rPr>
          <w:w w:val="99"/>
        </w:rPr>
        <w:t> </w:t>
      </w:r>
      <w:r>
        <w:rPr/>
        <w:t>案》；</w:t>
      </w:r>
    </w:p>
    <w:p>
      <w:pPr>
        <w:pStyle w:val="BodyText"/>
        <w:spacing w:line="357" w:lineRule="auto" w:before="32"/>
        <w:ind w:right="122" w:firstLine="420"/>
        <w:jc w:val="both"/>
      </w:pPr>
      <w:r>
        <w:rPr/>
        <w:t>6、审议通过《关于修订&lt;马鞍山鼎泰稀土新材料股份有限公司募集资金管理办法&gt;的议</w:t>
      </w:r>
      <w:r>
        <w:rPr>
          <w:w w:val="99"/>
        </w:rPr>
        <w:t> </w:t>
      </w:r>
      <w:r>
        <w:rPr/>
        <w:t>案》；</w:t>
      </w:r>
    </w:p>
    <w:p>
      <w:pPr>
        <w:pStyle w:val="BodyText"/>
        <w:spacing w:line="355" w:lineRule="auto" w:before="30"/>
        <w:ind w:right="122" w:firstLine="420"/>
        <w:jc w:val="both"/>
      </w:pPr>
      <w:r>
        <w:rPr/>
        <w:t>7、审议通过《关于修订&lt;马鞍山鼎泰稀土新材料股份有限公司信息披露管理制度&gt;的议</w:t>
      </w:r>
      <w:r>
        <w:rPr>
          <w:w w:val="99"/>
        </w:rPr>
        <w:t> </w:t>
      </w:r>
      <w:r>
        <w:rPr/>
        <w:t>案》；</w:t>
      </w:r>
    </w:p>
    <w:p>
      <w:pPr>
        <w:pStyle w:val="BodyText"/>
        <w:spacing w:line="355" w:lineRule="auto" w:before="32"/>
        <w:ind w:right="122" w:firstLine="420"/>
        <w:jc w:val="both"/>
      </w:pPr>
      <w:r>
        <w:rPr>
          <w:spacing w:val="-2"/>
          <w:w w:val="99"/>
        </w:rPr>
        <w:t>8、审议通过《关于修订&lt;马鞍山鼎泰稀土新材料股份有限公司关联交易内部控制及决策</w:t>
      </w:r>
      <w:r>
        <w:rPr>
          <w:w w:val="99"/>
        </w:rPr>
        <w:t> </w:t>
      </w:r>
      <w:r>
        <w:rPr/>
        <w:t>制度&gt;的议案》；</w:t>
      </w:r>
    </w:p>
    <w:p>
      <w:pPr>
        <w:pStyle w:val="BodyText"/>
        <w:spacing w:line="355" w:lineRule="auto" w:before="34"/>
        <w:ind w:right="124" w:firstLine="420"/>
        <w:jc w:val="both"/>
      </w:pPr>
      <w:r>
        <w:rPr/>
        <w:t>9、审议通过《关于用部分超募资金竞买在北京产权交易所挂牌交易的中国华农资产经</w:t>
      </w:r>
      <w:r>
        <w:rPr>
          <w:w w:val="99"/>
        </w:rPr>
        <w:t> </w:t>
      </w:r>
      <w:r>
        <w:rPr/>
        <w:t>营公司所属中水广海钢丝绳厂整体资产的议案》；</w:t>
      </w:r>
    </w:p>
    <w:p>
      <w:pPr>
        <w:pStyle w:val="BodyText"/>
        <w:spacing w:line="355" w:lineRule="auto" w:before="32"/>
        <w:ind w:right="122" w:firstLine="420"/>
        <w:jc w:val="both"/>
      </w:pPr>
      <w:r>
        <w:rPr>
          <w:spacing w:val="3"/>
          <w:w w:val="95"/>
        </w:rPr>
        <w:t>10、审议通过《关于修订&lt;马鞍山鼎泰稀土新材料股份有限公司监事会议事规则&gt;的议</w:t>
      </w:r>
      <w:r>
        <w:rPr>
          <w:w w:val="99"/>
        </w:rPr>
        <w:t> </w:t>
      </w:r>
      <w:r>
        <w:rPr/>
        <w:t>案》。</w:t>
      </w:r>
    </w:p>
    <w:p>
      <w:pPr>
        <w:pStyle w:val="BodyText"/>
        <w:spacing w:line="355" w:lineRule="auto" w:before="34"/>
        <w:ind w:right="121" w:firstLine="420"/>
        <w:jc w:val="both"/>
      </w:pPr>
      <w:r>
        <w:rPr>
          <w:spacing w:val="8"/>
          <w:w w:val="99"/>
        </w:rPr>
        <w:t>该次会议决议刊登在</w:t>
      </w:r>
      <w:r>
        <w:rPr>
          <w:spacing w:val="-32"/>
          <w:w w:val="99"/>
        </w:rPr>
        <w:t> </w:t>
      </w:r>
      <w:r>
        <w:rPr>
          <w:w w:val="99"/>
        </w:rPr>
        <w:t>2010</w:t>
      </w:r>
      <w:r>
        <w:rPr>
          <w:spacing w:val="-42"/>
          <w:w w:val="99"/>
        </w:rPr>
        <w:t> </w:t>
      </w:r>
      <w:r>
        <w:rPr>
          <w:w w:val="99"/>
        </w:rPr>
        <w:t>年</w:t>
      </w:r>
      <w:r>
        <w:rPr>
          <w:spacing w:val="-41"/>
          <w:w w:val="99"/>
        </w:rPr>
        <w:t> </w:t>
      </w:r>
      <w:r>
        <w:rPr>
          <w:w w:val="99"/>
        </w:rPr>
        <w:t>3</w:t>
      </w:r>
      <w:r>
        <w:rPr>
          <w:spacing w:val="-40"/>
          <w:w w:val="99"/>
        </w:rPr>
        <w:t> </w:t>
      </w:r>
      <w:r>
        <w:rPr>
          <w:w w:val="99"/>
        </w:rPr>
        <w:t>月</w:t>
      </w:r>
      <w:r>
        <w:rPr>
          <w:spacing w:val="-41"/>
          <w:w w:val="99"/>
        </w:rPr>
        <w:t> </w:t>
      </w:r>
      <w:r>
        <w:rPr>
          <w:w w:val="99"/>
        </w:rPr>
        <w:t>12</w:t>
      </w:r>
      <w:r>
        <w:rPr>
          <w:spacing w:val="-40"/>
          <w:w w:val="99"/>
        </w:rPr>
        <w:t> </w:t>
      </w:r>
      <w:r>
        <w:rPr>
          <w:spacing w:val="-2"/>
          <w:w w:val="99"/>
        </w:rPr>
        <w:t>日《证券时报》、《中国证券报》及巨潮资讯</w:t>
      </w:r>
      <w:r>
        <w:rPr>
          <w:spacing w:val="-83"/>
          <w:w w:val="99"/>
        </w:rPr>
        <w:t> </w:t>
      </w:r>
      <w:r>
        <w:rPr>
          <w:w w:val="99"/>
        </w:rPr>
        <w:t>网</w:t>
      </w:r>
      <w:hyperlink r:id="rId10">
        <w:r>
          <w:rPr>
            <w:w w:val="99"/>
          </w:rPr>
          <w:t> </w:t>
        </w:r>
        <w:r>
          <w:rPr/>
          <w:t>http://www.cninfo.com.cn</w:t>
        </w:r>
      </w:hyperlink>
      <w:r>
        <w:rPr>
          <w:spacing w:val="-8"/>
        </w:rPr>
        <w:t> </w:t>
      </w:r>
      <w:r>
        <w:rPr/>
        <w:t>上。</w:t>
      </w:r>
    </w:p>
    <w:p>
      <w:pPr>
        <w:spacing w:after="0" w:line="355" w:lineRule="auto"/>
        <w:jc w:val="both"/>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pStyle w:val="Heading3"/>
        <w:spacing w:line="240" w:lineRule="auto" w:before="193"/>
        <w:ind w:left="602" w:right="0"/>
        <w:jc w:val="left"/>
      </w:pPr>
      <w:r>
        <w:rPr/>
        <w:t>二、2009</w:t>
      </w:r>
      <w:r>
        <w:rPr>
          <w:spacing w:val="-60"/>
        </w:rPr>
        <w:t> </w:t>
      </w:r>
      <w:r>
        <w:rPr/>
        <w:t>年年度股东大会</w:t>
      </w:r>
    </w:p>
    <w:p>
      <w:pPr>
        <w:pStyle w:val="BodyText"/>
        <w:spacing w:line="240" w:lineRule="auto" w:before="157"/>
        <w:ind w:left="542"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日在公司会议室召开了</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年年度股东大会，审议并通过了如下决议：</w:t>
      </w:r>
    </w:p>
    <w:p>
      <w:pPr>
        <w:pStyle w:val="BodyText"/>
        <w:spacing w:line="240" w:lineRule="auto" w:before="117"/>
        <w:ind w:left="542" w:right="0"/>
        <w:jc w:val="left"/>
      </w:pPr>
      <w:r>
        <w:rPr/>
        <w:t>1、审议通过《关于</w:t>
      </w:r>
      <w:r>
        <w:rPr>
          <w:spacing w:val="-57"/>
        </w:rPr>
        <w:t> </w:t>
      </w:r>
      <w:r>
        <w:rPr/>
        <w:t>2009</w:t>
      </w:r>
      <w:r>
        <w:rPr>
          <w:spacing w:val="-55"/>
        </w:rPr>
        <w:t> </w:t>
      </w:r>
      <w:r>
        <w:rPr/>
        <w:t>年度董事会工作报告的议案》；</w:t>
      </w:r>
    </w:p>
    <w:p>
      <w:pPr>
        <w:pStyle w:val="BodyText"/>
        <w:spacing w:line="240" w:lineRule="auto" w:before="133"/>
        <w:ind w:left="542" w:right="0"/>
        <w:jc w:val="left"/>
      </w:pPr>
      <w:r>
        <w:rPr/>
        <w:t>2、审议通过《关于</w:t>
      </w:r>
      <w:r>
        <w:rPr>
          <w:spacing w:val="-57"/>
        </w:rPr>
        <w:t> </w:t>
      </w:r>
      <w:r>
        <w:rPr/>
        <w:t>2009</w:t>
      </w:r>
      <w:r>
        <w:rPr>
          <w:spacing w:val="-55"/>
        </w:rPr>
        <w:t> </w:t>
      </w:r>
      <w:r>
        <w:rPr/>
        <w:t>年度监事会工作报告的议案》；</w:t>
      </w:r>
    </w:p>
    <w:p>
      <w:pPr>
        <w:pStyle w:val="BodyText"/>
        <w:spacing w:line="240" w:lineRule="auto" w:before="135"/>
        <w:ind w:left="542" w:right="0"/>
        <w:jc w:val="left"/>
      </w:pPr>
      <w:r>
        <w:rPr/>
        <w:t>3、审议通过《关于</w:t>
      </w:r>
      <w:r>
        <w:rPr>
          <w:spacing w:val="-57"/>
        </w:rPr>
        <w:t> </w:t>
      </w:r>
      <w:r>
        <w:rPr/>
        <w:t>2009</w:t>
      </w:r>
      <w:r>
        <w:rPr>
          <w:spacing w:val="-55"/>
        </w:rPr>
        <w:t> </w:t>
      </w:r>
      <w:r>
        <w:rPr/>
        <w:t>年年度报告及其摘要的议案》；</w:t>
      </w:r>
    </w:p>
    <w:p>
      <w:pPr>
        <w:pStyle w:val="BodyText"/>
        <w:spacing w:line="240" w:lineRule="auto" w:before="130"/>
        <w:ind w:left="542" w:right="0"/>
        <w:jc w:val="left"/>
      </w:pPr>
      <w:r>
        <w:rPr/>
        <w:t>4、审议通过《关于</w:t>
      </w:r>
      <w:r>
        <w:rPr>
          <w:spacing w:val="-57"/>
        </w:rPr>
        <w:t> </w:t>
      </w:r>
      <w:r>
        <w:rPr/>
        <w:t>2009</w:t>
      </w:r>
      <w:r>
        <w:rPr>
          <w:spacing w:val="-55"/>
        </w:rPr>
        <w:t> </w:t>
      </w:r>
      <w:r>
        <w:rPr/>
        <w:t>年度财务决算报告的议案》；</w:t>
      </w:r>
    </w:p>
    <w:p>
      <w:pPr>
        <w:pStyle w:val="BodyText"/>
        <w:spacing w:line="240" w:lineRule="auto" w:before="135"/>
        <w:ind w:left="542" w:right="0"/>
        <w:jc w:val="left"/>
      </w:pPr>
      <w:r>
        <w:rPr/>
        <w:t>5、审议通过《关于</w:t>
      </w:r>
      <w:r>
        <w:rPr>
          <w:spacing w:val="-57"/>
        </w:rPr>
        <w:t> </w:t>
      </w:r>
      <w:r>
        <w:rPr/>
        <w:t>2010</w:t>
      </w:r>
      <w:r>
        <w:rPr>
          <w:spacing w:val="-55"/>
        </w:rPr>
        <w:t> </w:t>
      </w:r>
      <w:r>
        <w:rPr/>
        <w:t>年度财务预算报告的议案》；</w:t>
      </w:r>
    </w:p>
    <w:p>
      <w:pPr>
        <w:pStyle w:val="BodyText"/>
        <w:spacing w:line="240" w:lineRule="auto" w:before="133"/>
        <w:ind w:left="542" w:right="0"/>
        <w:jc w:val="left"/>
      </w:pPr>
      <w:r>
        <w:rPr/>
        <w:t>6、审议通过《关于</w:t>
      </w:r>
      <w:r>
        <w:rPr>
          <w:spacing w:val="-57"/>
        </w:rPr>
        <w:t> </w:t>
      </w:r>
      <w:r>
        <w:rPr/>
        <w:t>2009</w:t>
      </w:r>
      <w:r>
        <w:rPr>
          <w:spacing w:val="-55"/>
        </w:rPr>
        <w:t> </w:t>
      </w:r>
      <w:r>
        <w:rPr/>
        <w:t>年度利润分配方案的议案》；</w:t>
      </w:r>
    </w:p>
    <w:p>
      <w:pPr>
        <w:pStyle w:val="BodyText"/>
        <w:spacing w:line="240" w:lineRule="auto" w:before="133"/>
        <w:ind w:left="542" w:right="0"/>
        <w:jc w:val="left"/>
      </w:pPr>
      <w:r>
        <w:rPr/>
        <w:t>7、审议通过《关于经审计的</w:t>
      </w:r>
      <w:r>
        <w:rPr>
          <w:spacing w:val="-57"/>
        </w:rPr>
        <w:t> </w:t>
      </w:r>
      <w:r>
        <w:rPr/>
        <w:t>2009</w:t>
      </w:r>
      <w:r>
        <w:rPr>
          <w:spacing w:val="-56"/>
        </w:rPr>
        <w:t> </w:t>
      </w:r>
      <w:r>
        <w:rPr/>
        <w:t>年度财务会计报告的议案》；</w:t>
      </w:r>
    </w:p>
    <w:p>
      <w:pPr>
        <w:pStyle w:val="BodyText"/>
        <w:spacing w:line="240" w:lineRule="auto" w:before="135"/>
        <w:ind w:left="542" w:right="0"/>
        <w:jc w:val="left"/>
      </w:pPr>
      <w:r>
        <w:rPr/>
        <w:t>8、审议通过《关于</w:t>
      </w:r>
      <w:r>
        <w:rPr>
          <w:spacing w:val="-57"/>
        </w:rPr>
        <w:t> </w:t>
      </w:r>
      <w:r>
        <w:rPr/>
        <w:t>2009</w:t>
      </w:r>
      <w:r>
        <w:rPr>
          <w:spacing w:val="-56"/>
        </w:rPr>
        <w:t> </w:t>
      </w:r>
      <w:r>
        <w:rPr/>
        <w:t>年度内部控制自我评价报告的议案》；</w:t>
      </w:r>
    </w:p>
    <w:p>
      <w:pPr>
        <w:pStyle w:val="BodyText"/>
        <w:spacing w:line="240" w:lineRule="auto" w:before="133"/>
        <w:ind w:left="542" w:right="0"/>
        <w:jc w:val="left"/>
      </w:pPr>
      <w:r>
        <w:rPr/>
        <w:t>9、审议通过《关于修订&lt;马鞍山鼎泰稀土新材料股份有限公司章程&gt;的议案》；</w:t>
      </w:r>
    </w:p>
    <w:p>
      <w:pPr>
        <w:pStyle w:val="BodyText"/>
        <w:spacing w:line="355" w:lineRule="auto" w:before="133"/>
        <w:ind w:left="107" w:right="0" w:firstLine="434"/>
        <w:jc w:val="left"/>
      </w:pPr>
      <w:r>
        <w:rPr>
          <w:spacing w:val="3"/>
          <w:w w:val="95"/>
        </w:rPr>
        <w:t>10、审议通过《关于修订&lt;马鞍山鼎泰稀土新材料股份有限公司累积投票制实施细则&gt;</w:t>
      </w:r>
      <w:r>
        <w:rPr>
          <w:w w:val="99"/>
        </w:rPr>
        <w:t> </w:t>
      </w:r>
      <w:r>
        <w:rPr/>
        <w:t>的议案》；</w:t>
      </w:r>
    </w:p>
    <w:p>
      <w:pPr>
        <w:pStyle w:val="BodyText"/>
        <w:spacing w:line="355" w:lineRule="auto" w:before="34"/>
        <w:ind w:left="107" w:right="0" w:firstLine="434"/>
        <w:jc w:val="left"/>
      </w:pPr>
      <w:r>
        <w:rPr>
          <w:spacing w:val="-2"/>
          <w:w w:val="99"/>
        </w:rPr>
        <w:t>11、审议通过《关于修订&lt;马鞍山鼎泰稀土新材料股份有限公司对外投资管理制度&gt;的议</w:t>
      </w:r>
      <w:r>
        <w:rPr>
          <w:w w:val="99"/>
        </w:rPr>
        <w:t> </w:t>
      </w:r>
      <w:r>
        <w:rPr/>
        <w:t>案》；</w:t>
      </w:r>
    </w:p>
    <w:p>
      <w:pPr>
        <w:pStyle w:val="BodyText"/>
        <w:spacing w:line="355" w:lineRule="auto" w:before="32"/>
        <w:ind w:left="107" w:right="0" w:firstLine="434"/>
        <w:jc w:val="left"/>
      </w:pPr>
      <w:r>
        <w:rPr>
          <w:spacing w:val="-2"/>
          <w:w w:val="99"/>
        </w:rPr>
        <w:t>12、审议通过《关于制定&lt;马鞍山鼎泰稀土新材料股份有限公司对外担保管理制度&gt;的议</w:t>
      </w:r>
      <w:r>
        <w:rPr>
          <w:w w:val="99"/>
        </w:rPr>
        <w:t> </w:t>
      </w:r>
      <w:r>
        <w:rPr/>
        <w:t>案》；</w:t>
      </w:r>
    </w:p>
    <w:p>
      <w:pPr>
        <w:pStyle w:val="BodyText"/>
        <w:spacing w:line="355" w:lineRule="auto" w:before="32"/>
        <w:ind w:left="107" w:right="150" w:firstLine="434"/>
        <w:jc w:val="left"/>
      </w:pPr>
      <w:r>
        <w:rPr/>
        <w:t>13、审议通过《关于制定&lt;马鞍山鼎泰稀土新材料股份有限公司董事、监事与高级管理</w:t>
      </w:r>
      <w:r>
        <w:rPr>
          <w:w w:val="99"/>
        </w:rPr>
        <w:t> </w:t>
      </w:r>
      <w:r>
        <w:rPr/>
        <w:t>人员薪酬管理制度&gt;的议案》；</w:t>
      </w:r>
    </w:p>
    <w:p>
      <w:pPr>
        <w:pStyle w:val="BodyText"/>
        <w:spacing w:line="355" w:lineRule="auto" w:before="34"/>
        <w:ind w:left="542" w:right="0"/>
        <w:jc w:val="left"/>
      </w:pPr>
      <w:r>
        <w:rPr/>
        <w:t>14、审议通过《关于提名司徒伟廉先生为公司新任非独立董事候选人的议案》。</w:t>
      </w:r>
      <w:r>
        <w:rPr>
          <w:w w:val="99"/>
        </w:rPr>
        <w:t> </w:t>
      </w:r>
      <w:r>
        <w:rPr>
          <w:spacing w:val="8"/>
          <w:w w:val="99"/>
        </w:rPr>
        <w:t>该次会议决议刊登在</w:t>
      </w:r>
      <w:r>
        <w:rPr>
          <w:spacing w:val="-31"/>
          <w:w w:val="99"/>
        </w:rPr>
        <w:t> </w:t>
      </w:r>
      <w:r>
        <w:rPr>
          <w:w w:val="99"/>
        </w:rPr>
        <w:t>2010</w:t>
      </w:r>
      <w:r>
        <w:rPr>
          <w:spacing w:val="-42"/>
          <w:w w:val="99"/>
        </w:rPr>
        <w:t> </w:t>
      </w:r>
      <w:r>
        <w:rPr>
          <w:w w:val="99"/>
        </w:rPr>
        <w:t>年</w:t>
      </w:r>
      <w:r>
        <w:rPr>
          <w:spacing w:val="-41"/>
          <w:w w:val="99"/>
        </w:rPr>
        <w:t> </w:t>
      </w:r>
      <w:r>
        <w:rPr>
          <w:w w:val="99"/>
        </w:rPr>
        <w:t>5</w:t>
      </w:r>
      <w:r>
        <w:rPr>
          <w:spacing w:val="-40"/>
          <w:w w:val="99"/>
        </w:rPr>
        <w:t> </w:t>
      </w:r>
      <w:r>
        <w:rPr>
          <w:w w:val="99"/>
        </w:rPr>
        <w:t>月</w:t>
      </w:r>
      <w:r>
        <w:rPr>
          <w:spacing w:val="-41"/>
          <w:w w:val="99"/>
        </w:rPr>
        <w:t> </w:t>
      </w:r>
      <w:r>
        <w:rPr>
          <w:w w:val="99"/>
        </w:rPr>
        <w:t>11</w:t>
      </w:r>
      <w:r>
        <w:rPr>
          <w:spacing w:val="-40"/>
          <w:w w:val="99"/>
        </w:rPr>
        <w:t> </w:t>
      </w:r>
      <w:r>
        <w:rPr>
          <w:spacing w:val="-2"/>
          <w:w w:val="99"/>
        </w:rPr>
        <w:t>日《证券时报》、《中国证券报》及巨潮资讯</w:t>
      </w:r>
      <w:r>
        <w:rPr>
          <w:spacing w:val="-83"/>
          <w:w w:val="99"/>
        </w:rPr>
        <w:t> </w:t>
      </w:r>
      <w:r>
        <w:rPr>
          <w:w w:val="99"/>
        </w:rPr>
        <w:t>网</w:t>
      </w:r>
      <w:r>
        <w:rPr/>
      </w:r>
    </w:p>
    <w:p>
      <w:pPr>
        <w:pStyle w:val="BodyText"/>
        <w:spacing w:line="240" w:lineRule="auto" w:before="32"/>
        <w:ind w:right="0"/>
        <w:jc w:val="left"/>
      </w:pPr>
      <w:hyperlink r:id="rId10">
        <w:r>
          <w:rPr/>
          <w:t>http://www.cninfo.com.cn</w:t>
        </w:r>
      </w:hyperlink>
      <w:r>
        <w:rPr>
          <w:spacing w:val="-8"/>
        </w:rPr>
        <w:t> </w:t>
      </w:r>
      <w:r>
        <w:rPr/>
        <w:t>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542" w:right="0"/>
        <w:jc w:val="left"/>
      </w:pPr>
      <w:r>
        <w:rPr/>
        <w:t>三、2010</w:t>
      </w:r>
      <w:r>
        <w:rPr>
          <w:spacing w:val="-60"/>
        </w:rPr>
        <w:t> </w:t>
      </w:r>
      <w:r>
        <w:rPr/>
        <w:t>年度第二次临时股东大会</w:t>
      </w:r>
    </w:p>
    <w:p>
      <w:pPr>
        <w:pStyle w:val="BodyText"/>
        <w:spacing w:line="336" w:lineRule="auto" w:before="155"/>
        <w:ind w:right="169"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日在公司会议室召开了</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年度第二次临时股东大会，审议并通过了</w:t>
      </w:r>
      <w:r>
        <w:rPr>
          <w:w w:val="99"/>
        </w:rPr>
        <w:t> </w:t>
      </w:r>
      <w:r>
        <w:rPr/>
        <w:t>如下决议：</w:t>
      </w:r>
    </w:p>
    <w:p>
      <w:pPr>
        <w:pStyle w:val="BodyText"/>
        <w:spacing w:line="240" w:lineRule="auto" w:before="51"/>
        <w:ind w:left="542" w:right="0"/>
        <w:jc w:val="left"/>
      </w:pPr>
      <w:r>
        <w:rPr/>
        <w:t>1、审议通过《关于</w:t>
      </w:r>
      <w:r>
        <w:rPr>
          <w:spacing w:val="-57"/>
        </w:rPr>
        <w:t> </w:t>
      </w:r>
      <w:r>
        <w:rPr/>
        <w:t>2010</w:t>
      </w:r>
      <w:r>
        <w:rPr>
          <w:spacing w:val="-55"/>
        </w:rPr>
        <w:t> </w:t>
      </w:r>
      <w:r>
        <w:rPr/>
        <w:t>年半年度利润分配预案的议案》；</w:t>
      </w:r>
    </w:p>
    <w:p>
      <w:pPr>
        <w:pStyle w:val="BodyText"/>
        <w:spacing w:line="240" w:lineRule="auto" w:before="133"/>
        <w:ind w:left="542" w:right="0"/>
        <w:jc w:val="left"/>
      </w:pPr>
      <w:r>
        <w:rPr/>
        <w:t>2、审议通过《关于修订&lt;马鞍山鼎泰稀土新材料股份有限公司章程&gt;的议案》；</w:t>
      </w:r>
    </w:p>
    <w:p>
      <w:pPr>
        <w:pStyle w:val="BodyText"/>
        <w:spacing w:line="355" w:lineRule="auto" w:before="133"/>
        <w:ind w:right="158" w:firstLine="420"/>
        <w:jc w:val="left"/>
      </w:pPr>
      <w:r>
        <w:rPr>
          <w:spacing w:val="-3"/>
          <w:w w:val="99"/>
        </w:rPr>
        <w:t>3、审议通过《关于聘任深圳市鹏城会计师事务所有限公司为公司</w:t>
      </w:r>
      <w:r>
        <w:rPr>
          <w:spacing w:val="-42"/>
          <w:w w:val="99"/>
        </w:rPr>
        <w:t> </w:t>
      </w:r>
      <w:r>
        <w:rPr>
          <w:w w:val="99"/>
        </w:rPr>
        <w:t>2010</w:t>
      </w:r>
      <w:r>
        <w:rPr>
          <w:spacing w:val="-44"/>
          <w:w w:val="99"/>
        </w:rPr>
        <w:t> </w:t>
      </w:r>
      <w:r>
        <w:rPr>
          <w:w w:val="99"/>
        </w:rPr>
        <w:t>年度审计机构的</w:t>
      </w:r>
      <w:r>
        <w:rPr>
          <w:w w:val="99"/>
        </w:rPr>
        <w:t> </w:t>
      </w:r>
      <w:r>
        <w:rPr/>
        <w:t>议案》。</w:t>
      </w:r>
    </w:p>
    <w:p>
      <w:pPr>
        <w:pStyle w:val="BodyText"/>
        <w:spacing w:line="355" w:lineRule="auto" w:before="34"/>
        <w:ind w:right="0" w:firstLine="420"/>
        <w:jc w:val="left"/>
      </w:pPr>
      <w:r>
        <w:rPr>
          <w:spacing w:val="8"/>
          <w:w w:val="99"/>
        </w:rPr>
        <w:t>该次会议决议刊登在</w:t>
      </w:r>
      <w:r>
        <w:rPr>
          <w:spacing w:val="-32"/>
          <w:w w:val="99"/>
        </w:rPr>
        <w:t> </w:t>
      </w:r>
      <w:r>
        <w:rPr>
          <w:w w:val="99"/>
        </w:rPr>
        <w:t>2010</w:t>
      </w:r>
      <w:r>
        <w:rPr>
          <w:spacing w:val="-42"/>
          <w:w w:val="99"/>
        </w:rPr>
        <w:t> </w:t>
      </w:r>
      <w:r>
        <w:rPr>
          <w:w w:val="99"/>
        </w:rPr>
        <w:t>年</w:t>
      </w:r>
      <w:r>
        <w:rPr>
          <w:spacing w:val="-41"/>
          <w:w w:val="99"/>
        </w:rPr>
        <w:t> </w:t>
      </w:r>
      <w:r>
        <w:rPr>
          <w:w w:val="99"/>
        </w:rPr>
        <w:t>9</w:t>
      </w:r>
      <w:r>
        <w:rPr>
          <w:spacing w:val="-40"/>
          <w:w w:val="99"/>
        </w:rPr>
        <w:t> </w:t>
      </w:r>
      <w:r>
        <w:rPr>
          <w:w w:val="99"/>
        </w:rPr>
        <w:t>月</w:t>
      </w:r>
      <w:r>
        <w:rPr>
          <w:spacing w:val="-41"/>
          <w:w w:val="99"/>
        </w:rPr>
        <w:t> </w:t>
      </w:r>
      <w:r>
        <w:rPr>
          <w:w w:val="99"/>
        </w:rPr>
        <w:t>14</w:t>
      </w:r>
      <w:r>
        <w:rPr>
          <w:spacing w:val="-40"/>
          <w:w w:val="99"/>
        </w:rPr>
        <w:t> </w:t>
      </w:r>
      <w:r>
        <w:rPr>
          <w:spacing w:val="-2"/>
          <w:w w:val="99"/>
        </w:rPr>
        <w:t>日《证券时报》、《中国证券报》及巨潮资讯</w:t>
      </w:r>
      <w:r>
        <w:rPr>
          <w:spacing w:val="-83"/>
          <w:w w:val="99"/>
        </w:rPr>
        <w:t> </w:t>
      </w:r>
      <w:r>
        <w:rPr>
          <w:w w:val="99"/>
        </w:rPr>
        <w:t>网</w:t>
      </w:r>
      <w:hyperlink r:id="rId10">
        <w:r>
          <w:rPr>
            <w:w w:val="99"/>
          </w:rPr>
          <w:t> </w:t>
        </w:r>
        <w:r>
          <w:rPr/>
          <w:t>http://www.cninfo.com.cn</w:t>
        </w:r>
      </w:hyperlink>
      <w:r>
        <w:rPr>
          <w:spacing w:val="-8"/>
        </w:rPr>
        <w:t> </w:t>
      </w:r>
      <w:r>
        <w:rPr/>
        <w:t>上。</w:t>
      </w:r>
    </w:p>
    <w:p>
      <w:pPr>
        <w:spacing w:line="240" w:lineRule="auto" w:before="0"/>
        <w:rPr>
          <w:rFonts w:ascii="宋体" w:hAnsi="宋体" w:cs="宋体" w:eastAsia="宋体" w:hint="default"/>
          <w:sz w:val="20"/>
          <w:szCs w:val="20"/>
        </w:rPr>
      </w:pPr>
    </w:p>
    <w:p>
      <w:pPr>
        <w:pStyle w:val="Heading3"/>
        <w:spacing w:line="240" w:lineRule="auto" w:before="175"/>
        <w:ind w:left="602" w:right="0"/>
        <w:jc w:val="left"/>
      </w:pPr>
      <w:r>
        <w:rPr/>
        <w:t>四、2010</w:t>
      </w:r>
      <w:r>
        <w:rPr>
          <w:spacing w:val="-60"/>
        </w:rPr>
        <w:t> </w:t>
      </w:r>
      <w:r>
        <w:rPr/>
        <w:t>年度第三次临时股东大会</w:t>
      </w:r>
    </w:p>
    <w:p>
      <w:pPr>
        <w:spacing w:after="0" w:line="240" w:lineRule="auto"/>
        <w:jc w:val="left"/>
        <w:sectPr>
          <w:pgSz w:w="11910" w:h="16840"/>
          <w:pgMar w:header="206" w:footer="738" w:top="940" w:bottom="920" w:left="1680" w:right="16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6" w:lineRule="auto"/>
        <w:ind w:right="110"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日在公司会议室召开了</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年度第三次临时股东大会，审议并通过了</w:t>
      </w:r>
      <w:r>
        <w:rPr>
          <w:w w:val="99"/>
        </w:rPr>
        <w:t> </w:t>
      </w:r>
      <w:r>
        <w:rPr/>
        <w:t>如下决议：</w:t>
      </w:r>
    </w:p>
    <w:p>
      <w:pPr>
        <w:pStyle w:val="BodyText"/>
        <w:spacing w:line="355" w:lineRule="auto" w:before="51"/>
        <w:ind w:left="542" w:right="114"/>
        <w:jc w:val="left"/>
      </w:pPr>
      <w:r>
        <w:rPr>
          <w:spacing w:val="2"/>
          <w:w w:val="99"/>
        </w:rPr>
        <w:t>审</w:t>
      </w:r>
      <w:r>
        <w:rPr>
          <w:w w:val="99"/>
        </w:rPr>
        <w:t>议</w:t>
      </w:r>
      <w:r>
        <w:rPr>
          <w:spacing w:val="2"/>
          <w:w w:val="99"/>
        </w:rPr>
        <w:t>通</w:t>
      </w:r>
      <w:r>
        <w:rPr>
          <w:w w:val="99"/>
        </w:rPr>
        <w:t>过</w:t>
      </w:r>
      <w:r>
        <w:rPr>
          <w:spacing w:val="2"/>
          <w:w w:val="99"/>
        </w:rPr>
        <w:t>《</w:t>
      </w:r>
      <w:r>
        <w:rPr>
          <w:w w:val="99"/>
        </w:rPr>
        <w:t>关</w:t>
      </w:r>
      <w:r>
        <w:rPr>
          <w:spacing w:val="2"/>
          <w:w w:val="99"/>
        </w:rPr>
        <w:t>于</w:t>
      </w:r>
      <w:r>
        <w:rPr>
          <w:w w:val="99"/>
        </w:rPr>
        <w:t>公</w:t>
      </w:r>
      <w:r>
        <w:rPr>
          <w:spacing w:val="2"/>
          <w:w w:val="99"/>
        </w:rPr>
        <w:t>司</w:t>
      </w:r>
      <w:r>
        <w:rPr>
          <w:w w:val="99"/>
        </w:rPr>
        <w:t>拟</w:t>
      </w:r>
      <w:r>
        <w:rPr>
          <w:spacing w:val="2"/>
          <w:w w:val="99"/>
        </w:rPr>
        <w:t>用</w:t>
      </w:r>
      <w:r>
        <w:rPr>
          <w:w w:val="99"/>
        </w:rPr>
        <w:t>部</w:t>
      </w:r>
      <w:r>
        <w:rPr>
          <w:spacing w:val="2"/>
          <w:w w:val="99"/>
        </w:rPr>
        <w:t>分</w:t>
      </w:r>
      <w:r>
        <w:rPr>
          <w:w w:val="99"/>
        </w:rPr>
        <w:t>超</w:t>
      </w:r>
      <w:r>
        <w:rPr>
          <w:spacing w:val="2"/>
          <w:w w:val="99"/>
        </w:rPr>
        <w:t>募</w:t>
      </w:r>
      <w:r>
        <w:rPr>
          <w:w w:val="99"/>
        </w:rPr>
        <w:t>资</w:t>
      </w:r>
      <w:r>
        <w:rPr>
          <w:spacing w:val="2"/>
          <w:w w:val="99"/>
        </w:rPr>
        <w:t>金</w:t>
      </w:r>
      <w:r>
        <w:rPr>
          <w:w w:val="99"/>
        </w:rPr>
        <w:t>竞</w:t>
      </w:r>
      <w:r>
        <w:rPr>
          <w:spacing w:val="2"/>
          <w:w w:val="99"/>
        </w:rPr>
        <w:t>买</w:t>
      </w:r>
      <w:r>
        <w:rPr>
          <w:w w:val="99"/>
        </w:rPr>
        <w:t>土</w:t>
      </w:r>
      <w:r>
        <w:rPr>
          <w:spacing w:val="2"/>
          <w:w w:val="99"/>
        </w:rPr>
        <w:t>地</w:t>
      </w:r>
      <w:r>
        <w:rPr>
          <w:w w:val="99"/>
        </w:rPr>
        <w:t>使</w:t>
      </w:r>
      <w:r>
        <w:rPr>
          <w:spacing w:val="2"/>
          <w:w w:val="99"/>
        </w:rPr>
        <w:t>用</w:t>
      </w:r>
      <w:r>
        <w:rPr>
          <w:w w:val="99"/>
        </w:rPr>
        <w:t>权</w:t>
      </w:r>
      <w:r>
        <w:rPr>
          <w:spacing w:val="2"/>
          <w:w w:val="99"/>
        </w:rPr>
        <w:t>的</w:t>
      </w:r>
      <w:r>
        <w:rPr>
          <w:w w:val="99"/>
        </w:rPr>
        <w:t>议</w:t>
      </w:r>
      <w:r>
        <w:rPr>
          <w:spacing w:val="2"/>
          <w:w w:val="99"/>
        </w:rPr>
        <w:t>案</w:t>
      </w:r>
      <w:r>
        <w:rPr>
          <w:spacing w:val="-106"/>
          <w:w w:val="99"/>
        </w:rPr>
        <w:t>》</w:t>
      </w:r>
      <w:r>
        <w:rPr>
          <w:w w:val="99"/>
        </w:rPr>
        <w:t>。</w:t>
      </w:r>
      <w:r>
        <w:rPr>
          <w:w w:val="99"/>
        </w:rPr>
        <w:t> </w:t>
      </w:r>
      <w:r>
        <w:rPr>
          <w:spacing w:val="7"/>
          <w:w w:val="99"/>
        </w:rPr>
        <w:t>该次会议决议刊登</w:t>
      </w:r>
      <w:r>
        <w:rPr>
          <w:w w:val="99"/>
        </w:rPr>
        <w:t>在</w:t>
      </w:r>
      <w:r>
        <w:rPr>
          <w:spacing w:val="-41"/>
        </w:rPr>
        <w:t> </w:t>
      </w:r>
      <w:r>
        <w:rPr>
          <w:spacing w:val="1"/>
          <w:w w:val="99"/>
        </w:rPr>
        <w:t>20</w:t>
      </w:r>
      <w:r>
        <w:rPr>
          <w:spacing w:val="-2"/>
          <w:w w:val="99"/>
        </w:rPr>
        <w:t>1</w:t>
      </w:r>
      <w:r>
        <w:rPr>
          <w:w w:val="99"/>
        </w:rPr>
        <w:t>0</w:t>
      </w:r>
      <w:r>
        <w:rPr>
          <w:spacing w:val="-47"/>
        </w:rPr>
        <w:t> </w:t>
      </w:r>
      <w:r>
        <w:rPr>
          <w:w w:val="99"/>
        </w:rPr>
        <w:t>年</w:t>
      </w:r>
      <w:r>
        <w:rPr>
          <w:spacing w:val="-45"/>
        </w:rPr>
        <w:t> </w:t>
      </w:r>
      <w:r>
        <w:rPr>
          <w:spacing w:val="1"/>
          <w:w w:val="99"/>
        </w:rPr>
        <w:t>1</w:t>
      </w:r>
      <w:r>
        <w:rPr>
          <w:w w:val="99"/>
        </w:rPr>
        <w:t>1</w:t>
      </w:r>
      <w:r>
        <w:rPr>
          <w:spacing w:val="-47"/>
        </w:rPr>
        <w:t> </w:t>
      </w:r>
      <w:r>
        <w:rPr>
          <w:w w:val="99"/>
        </w:rPr>
        <w:t>月</w:t>
      </w:r>
      <w:r>
        <w:rPr>
          <w:spacing w:val="-45"/>
        </w:rPr>
        <w:t> </w:t>
      </w:r>
      <w:r>
        <w:rPr>
          <w:spacing w:val="1"/>
          <w:w w:val="99"/>
        </w:rPr>
        <w:t>3</w:t>
      </w:r>
      <w:r>
        <w:rPr>
          <w:w w:val="99"/>
        </w:rPr>
        <w:t>0</w:t>
      </w:r>
      <w:r>
        <w:rPr>
          <w:spacing w:val="-47"/>
        </w:rPr>
        <w:t> </w:t>
      </w:r>
      <w:r>
        <w:rPr>
          <w:spacing w:val="7"/>
          <w:w w:val="99"/>
        </w:rPr>
        <w:t>日《证券时</w:t>
      </w:r>
      <w:r>
        <w:rPr>
          <w:spacing w:val="9"/>
          <w:w w:val="99"/>
        </w:rPr>
        <w:t>报</w:t>
      </w:r>
      <w:r>
        <w:rPr>
          <w:spacing w:val="-96"/>
          <w:w w:val="99"/>
        </w:rPr>
        <w:t>》</w:t>
      </w:r>
      <w:r>
        <w:rPr>
          <w:spacing w:val="-99"/>
          <w:w w:val="99"/>
        </w:rPr>
        <w:t>、</w:t>
      </w:r>
      <w:r>
        <w:rPr>
          <w:spacing w:val="7"/>
          <w:w w:val="99"/>
        </w:rPr>
        <w:t>《中国证券报》及巨潮资</w:t>
      </w:r>
      <w:r>
        <w:rPr>
          <w:spacing w:val="11"/>
          <w:w w:val="99"/>
        </w:rPr>
        <w:t>讯</w:t>
      </w:r>
      <w:r>
        <w:rPr>
          <w:w w:val="99"/>
        </w:rPr>
        <w:t>网</w:t>
      </w:r>
      <w:r>
        <w:rPr/>
      </w:r>
    </w:p>
    <w:p>
      <w:pPr>
        <w:pStyle w:val="BodyText"/>
        <w:spacing w:line="240" w:lineRule="auto" w:before="32"/>
        <w:ind w:right="109"/>
        <w:jc w:val="left"/>
      </w:pPr>
      <w:hyperlink r:id="rId10">
        <w:r>
          <w:rPr/>
          <w:t>http://www.cninfo.com.cn</w:t>
        </w:r>
      </w:hyperlink>
      <w:r>
        <w:rPr>
          <w:spacing w:val="-8"/>
        </w:rPr>
        <w:t> </w:t>
      </w:r>
      <w:r>
        <w:rPr/>
        <w:t>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right="109" w:firstLine="420"/>
        <w:jc w:val="left"/>
      </w:pPr>
      <w:r>
        <w:rPr>
          <w:spacing w:val="-2"/>
          <w:w w:val="95"/>
        </w:rPr>
        <w:t>上述股东大会的召集和召开程序、出席会议人员资格及表决程序符合《公司法》、《上</w:t>
      </w:r>
      <w:r>
        <w:rPr>
          <w:w w:val="99"/>
        </w:rPr>
        <w:t> </w:t>
      </w:r>
      <w:r>
        <w:rPr/>
        <w:t>市公司股东大会规范意见》和《公司章程》的规定，大会所通过的决议合法有效。</w:t>
      </w:r>
    </w:p>
    <w:p>
      <w:pPr>
        <w:spacing w:after="0" w:line="355"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539" w:lineRule="exact"/>
        <w:ind w:left="3182" w:right="3107"/>
        <w:jc w:val="center"/>
      </w:pPr>
      <w:bookmarkStart w:name="_TOC_250004" w:id="6"/>
      <w:r>
        <w:rPr/>
        <w:t>第七节</w:t>
      </w:r>
      <w:r>
        <w:rPr>
          <w:spacing w:val="-4"/>
        </w:rPr>
        <w:t> </w:t>
      </w:r>
      <w:bookmarkEnd w:id="6"/>
      <w:r>
        <w:rPr/>
        <w:t>董事会报告</w:t>
      </w:r>
    </w:p>
    <w:p>
      <w:pPr>
        <w:spacing w:line="240" w:lineRule="auto" w:before="0"/>
        <w:rPr>
          <w:rFonts w:ascii="宋体" w:hAnsi="宋体" w:cs="宋体" w:eastAsia="宋体" w:hint="default"/>
          <w:sz w:val="44"/>
          <w:szCs w:val="44"/>
        </w:rPr>
      </w:pPr>
    </w:p>
    <w:p>
      <w:pPr>
        <w:spacing w:line="240" w:lineRule="auto" w:before="1"/>
        <w:rPr>
          <w:rFonts w:ascii="宋体" w:hAnsi="宋体" w:cs="宋体" w:eastAsia="宋体" w:hint="default"/>
          <w:sz w:val="33"/>
          <w:szCs w:val="33"/>
        </w:rPr>
      </w:pPr>
    </w:p>
    <w:p>
      <w:pPr>
        <w:spacing w:line="312" w:lineRule="auto" w:before="0"/>
        <w:ind w:left="1342" w:right="513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w:t>
      </w:r>
      <w:r>
        <w:rPr>
          <w:rFonts w:ascii="Microsoft JhengHei" w:hAnsi="Microsoft JhengHei" w:cs="Microsoft JhengHei" w:eastAsia="Microsoft JhengHei" w:hint="default"/>
          <w:b/>
          <w:bCs/>
          <w:spacing w:val="52"/>
          <w:sz w:val="21"/>
          <w:szCs w:val="21"/>
        </w:rPr>
        <w:t> </w:t>
      </w:r>
      <w:r>
        <w:rPr>
          <w:rFonts w:ascii="Microsoft JhengHei" w:hAnsi="Microsoft JhengHei" w:cs="Microsoft JhengHei" w:eastAsia="Microsoft JhengHei" w:hint="default"/>
          <w:b/>
          <w:bCs/>
          <w:sz w:val="21"/>
          <w:szCs w:val="21"/>
        </w:rPr>
        <w:t>管理层讨论与分析</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报告期内整体经营情况的讨论与分析：</w:t>
      </w:r>
    </w:p>
    <w:p>
      <w:pPr>
        <w:pStyle w:val="BodyText"/>
        <w:spacing w:line="338" w:lineRule="auto" w:before="70"/>
        <w:ind w:left="922" w:right="841" w:firstLine="434"/>
        <w:jc w:val="both"/>
      </w:pPr>
      <w:r>
        <w:rPr/>
        <w:t>报告期，随着我国经济的快速发展以及公司于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日在深圳证券交易所中小</w:t>
      </w:r>
      <w:r>
        <w:rPr>
          <w:w w:val="99"/>
        </w:rPr>
        <w:t> </w:t>
      </w:r>
      <w:r>
        <w:rPr/>
        <w:t>企业板块成功上市，资本实力得到了加强，品牌知名度、市场占有率等进一步提高。</w:t>
      </w:r>
    </w:p>
    <w:p>
      <w:pPr>
        <w:pStyle w:val="BodyText"/>
        <w:spacing w:line="357" w:lineRule="auto" w:before="47"/>
        <w:ind w:left="922" w:right="841" w:firstLine="434"/>
        <w:jc w:val="both"/>
      </w:pPr>
      <w:r>
        <w:rPr/>
        <w:t>报告期内，面对国内较为复杂的宏观经济形势，在公司董事会、管理层和全体员工的</w:t>
      </w:r>
      <w:r>
        <w:rPr>
          <w:w w:val="99"/>
        </w:rPr>
        <w:t> </w:t>
      </w:r>
      <w:r>
        <w:rPr>
          <w:spacing w:val="-2"/>
          <w:w w:val="95"/>
        </w:rPr>
        <w:t>共同努力下，公司实现了新一轮快速发展，产品市场占有率大幅提升，综合竞争实力明显增</w:t>
      </w:r>
      <w:r>
        <w:rPr>
          <w:spacing w:val="90"/>
          <w:w w:val="95"/>
        </w:rPr>
        <w:t> </w:t>
      </w:r>
      <w:r>
        <w:rPr>
          <w:spacing w:val="90"/>
          <w:w w:val="95"/>
        </w:rPr>
      </w:r>
      <w:r>
        <w:rPr>
          <w:spacing w:val="-2"/>
          <w:w w:val="95"/>
        </w:rPr>
        <w:t>强，主营业务整体呈增长态势，但由于主营业务产品市场竞争加剧，原材料、人工等成本的</w:t>
      </w:r>
      <w:r>
        <w:rPr>
          <w:spacing w:val="94"/>
          <w:w w:val="95"/>
        </w:rPr>
        <w:t> </w:t>
      </w:r>
      <w:r>
        <w:rPr>
          <w:spacing w:val="94"/>
          <w:w w:val="95"/>
        </w:rPr>
      </w:r>
      <w:r>
        <w:rPr>
          <w:spacing w:val="-2"/>
          <w:w w:val="95"/>
        </w:rPr>
        <w:t>上升，导致销售毛利率有所下降，以及股票发行上市费用和提高员工薪酬等，造成管理费用</w:t>
      </w:r>
      <w:r>
        <w:rPr>
          <w:spacing w:val="92"/>
          <w:w w:val="95"/>
        </w:rPr>
        <w:t> </w:t>
      </w:r>
      <w:r>
        <w:rPr>
          <w:spacing w:val="92"/>
          <w:w w:val="95"/>
        </w:rPr>
      </w:r>
      <w:r>
        <w:rPr/>
        <w:t>较去年同期大幅增长及其他因素的影响，最终报告期内公司的效益受到较大程度的影响。</w:t>
      </w:r>
    </w:p>
    <w:p>
      <w:pPr>
        <w:pStyle w:val="BodyText"/>
        <w:spacing w:line="240" w:lineRule="auto" w:before="30"/>
        <w:ind w:left="1356" w:right="0"/>
        <w:jc w:val="left"/>
        <w:rPr>
          <w:rFonts w:ascii="Times New Roman" w:hAnsi="Times New Roman" w:cs="Times New Roman" w:eastAsia="Times New Roman" w:hint="default"/>
        </w:rPr>
      </w:pPr>
      <w:r>
        <w:rPr>
          <w:spacing w:val="2"/>
          <w:w w:val="99"/>
        </w:rPr>
        <w:t>报</w:t>
      </w:r>
      <w:r>
        <w:rPr>
          <w:w w:val="99"/>
        </w:rPr>
        <w:t>告</w:t>
      </w:r>
      <w:r>
        <w:rPr>
          <w:spacing w:val="2"/>
          <w:w w:val="99"/>
        </w:rPr>
        <w:t>期内</w:t>
      </w:r>
      <w:r>
        <w:rPr>
          <w:spacing w:val="-106"/>
          <w:w w:val="99"/>
        </w:rPr>
        <w:t>，</w:t>
      </w:r>
      <w:r>
        <w:rPr>
          <w:spacing w:val="2"/>
          <w:w w:val="99"/>
        </w:rPr>
        <w:t>公</w:t>
      </w:r>
      <w:r>
        <w:rPr>
          <w:w w:val="99"/>
        </w:rPr>
        <w:t>司</w:t>
      </w:r>
      <w:r>
        <w:rPr>
          <w:spacing w:val="2"/>
          <w:w w:val="99"/>
        </w:rPr>
        <w:t>实</w:t>
      </w:r>
      <w:r>
        <w:rPr>
          <w:w w:val="99"/>
        </w:rPr>
        <w:t>现</w:t>
      </w:r>
      <w:r>
        <w:rPr>
          <w:spacing w:val="2"/>
          <w:w w:val="99"/>
        </w:rPr>
        <w:t>营</w:t>
      </w:r>
      <w:r>
        <w:rPr>
          <w:w w:val="99"/>
        </w:rPr>
        <w:t>业</w:t>
      </w:r>
      <w:r>
        <w:rPr>
          <w:spacing w:val="4"/>
          <w:w w:val="99"/>
        </w:rPr>
        <w:t>收</w:t>
      </w:r>
      <w:r>
        <w:rPr>
          <w:w w:val="99"/>
        </w:rPr>
        <w:t>入</w:t>
      </w:r>
      <w:r>
        <w:rPr>
          <w:spacing w:val="-60"/>
        </w:rPr>
        <w:t> </w:t>
      </w:r>
      <w:r>
        <w:rPr>
          <w:rFonts w:ascii="Times New Roman" w:hAnsi="Times New Roman" w:cs="Times New Roman" w:eastAsia="Times New Roman" w:hint="default"/>
          <w:spacing w:val="1"/>
          <w:w w:val="99"/>
        </w:rPr>
        <w:t>47</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5</w:t>
      </w:r>
      <w:r>
        <w:rPr>
          <w:rFonts w:ascii="Times New Roman" w:hAnsi="Times New Roman" w:cs="Times New Roman" w:eastAsia="Times New Roman" w:hint="default"/>
          <w:spacing w:val="-9"/>
        </w:rPr>
        <w:t> </w:t>
      </w:r>
      <w:r>
        <w:rPr>
          <w:spacing w:val="2"/>
          <w:w w:val="99"/>
        </w:rPr>
        <w:t>万</w:t>
      </w:r>
      <w:r>
        <w:rPr>
          <w:w w:val="99"/>
        </w:rPr>
        <w:t>元</w:t>
      </w:r>
      <w:r>
        <w:rPr>
          <w:spacing w:val="-104"/>
          <w:w w:val="99"/>
        </w:rPr>
        <w:t>，</w:t>
      </w:r>
      <w:r>
        <w:rPr>
          <w:spacing w:val="2"/>
          <w:w w:val="99"/>
        </w:rPr>
        <w:t>同</w:t>
      </w:r>
      <w:r>
        <w:rPr>
          <w:w w:val="99"/>
        </w:rPr>
        <w:t>比</w:t>
      </w:r>
      <w:r>
        <w:rPr>
          <w:spacing w:val="2"/>
          <w:w w:val="99"/>
        </w:rPr>
        <w:t>增</w:t>
      </w:r>
      <w:r>
        <w:rPr>
          <w:w w:val="99"/>
        </w:rPr>
        <w:t>长</w:t>
      </w:r>
      <w:r>
        <w:rPr>
          <w:spacing w:val="-57"/>
        </w:rPr>
        <w:t> </w:t>
      </w:r>
      <w:r>
        <w:rPr>
          <w:rFonts w:ascii="Times New Roman" w:hAnsi="Times New Roman" w:cs="Times New Roman" w:eastAsia="Times New Roman" w:hint="default"/>
          <w:spacing w:val="1"/>
          <w:w w:val="99"/>
        </w:rPr>
        <w:t>14</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spacing w:val="-2"/>
          <w:w w:val="99"/>
        </w:rPr>
        <w:t>%</w:t>
      </w:r>
      <w:r>
        <w:rPr>
          <w:spacing w:val="2"/>
          <w:w w:val="99"/>
        </w:rPr>
        <w:t>，实</w:t>
      </w:r>
      <w:r>
        <w:rPr>
          <w:w w:val="99"/>
        </w:rPr>
        <w:t>现</w:t>
      </w:r>
      <w:r>
        <w:rPr>
          <w:spacing w:val="2"/>
          <w:w w:val="99"/>
        </w:rPr>
        <w:t>利</w:t>
      </w:r>
      <w:r>
        <w:rPr>
          <w:w w:val="99"/>
        </w:rPr>
        <w:t>润</w:t>
      </w:r>
      <w:r>
        <w:rPr>
          <w:spacing w:val="2"/>
          <w:w w:val="99"/>
        </w:rPr>
        <w:t>总</w:t>
      </w:r>
      <w:r>
        <w:rPr>
          <w:w w:val="99"/>
        </w:rPr>
        <w:t>额</w:t>
      </w:r>
      <w:r>
        <w:rPr>
          <w:spacing w:val="-57"/>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5</w:t>
      </w:r>
      <w:r>
        <w:rPr>
          <w:rFonts w:ascii="Times New Roman" w:hAnsi="Times New Roman" w:cs="Times New Roman" w:eastAsia="Times New Roman" w:hint="default"/>
        </w:rPr>
      </w:r>
    </w:p>
    <w:p>
      <w:pPr>
        <w:pStyle w:val="BodyText"/>
        <w:spacing w:line="240" w:lineRule="auto" w:before="119"/>
        <w:ind w:left="922" w:right="0"/>
        <w:jc w:val="both"/>
      </w:pPr>
      <w:r>
        <w:rPr>
          <w:w w:val="95"/>
        </w:rPr>
        <w:t>万元，同比变动</w:t>
      </w:r>
      <w:r>
        <w:rPr>
          <w:rFonts w:ascii="Times New Roman" w:hAnsi="Times New Roman" w:cs="Times New Roman" w:eastAsia="Times New Roman" w:hint="default"/>
          <w:w w:val="95"/>
        </w:rPr>
        <w:t>-43.48%</w:t>
      </w:r>
      <w:r>
        <w:rPr>
          <w:w w:val="95"/>
        </w:rPr>
        <w:t>；实现归属于母公司净利润  </w:t>
      </w:r>
      <w:r>
        <w:rPr>
          <w:rFonts w:ascii="Times New Roman" w:hAnsi="Times New Roman" w:cs="Times New Roman" w:eastAsia="Times New Roman" w:hint="default"/>
          <w:w w:val="95"/>
        </w:rPr>
        <w:t>2,375.72   </w:t>
      </w:r>
      <w:r>
        <w:rPr>
          <w:rFonts w:ascii="Times New Roman" w:hAnsi="Times New Roman" w:cs="Times New Roman" w:eastAsia="Times New Roman" w:hint="default"/>
          <w:spacing w:val="47"/>
          <w:w w:val="95"/>
        </w:rPr>
        <w:t> </w:t>
      </w:r>
      <w:r>
        <w:rPr>
          <w:w w:val="95"/>
        </w:rPr>
        <w:t>万元，同比变动</w:t>
      </w:r>
      <w:r>
        <w:rPr>
          <w:rFonts w:ascii="Times New Roman" w:hAnsi="Times New Roman" w:cs="Times New Roman" w:eastAsia="Times New Roman" w:hint="default"/>
          <w:w w:val="95"/>
        </w:rPr>
        <w:t>-42.99%</w:t>
      </w:r>
      <w:r>
        <w:rPr>
          <w:w w:val="95"/>
        </w:rPr>
        <w:t>。其中</w:t>
      </w:r>
      <w:r>
        <w:rPr/>
      </w:r>
    </w:p>
    <w:p>
      <w:pPr>
        <w:pStyle w:val="BodyText"/>
        <w:spacing w:line="338" w:lineRule="auto" w:before="115"/>
        <w:ind w:left="1342" w:right="0" w:hanging="420"/>
        <w:jc w:val="left"/>
      </w:pPr>
      <w:r>
        <w:rPr/>
        <w:t>按规定计入当期损益上市费用为</w:t>
      </w:r>
      <w:r>
        <w:rPr>
          <w:spacing w:val="-54"/>
        </w:rPr>
        <w:t> </w:t>
      </w:r>
      <w:r>
        <w:rPr>
          <w:rFonts w:ascii="Times New Roman" w:hAnsi="Times New Roman" w:cs="Times New Roman" w:eastAsia="Times New Roman" w:hint="default"/>
        </w:rPr>
        <w:t>5,544,746.00</w:t>
      </w:r>
      <w:r>
        <w:rPr>
          <w:rFonts w:ascii="Times New Roman" w:hAnsi="Times New Roman" w:cs="Times New Roman" w:eastAsia="Times New Roman" w:hint="default"/>
          <w:spacing w:val="-2"/>
        </w:rPr>
        <w:t> </w:t>
      </w:r>
      <w:r>
        <w:rPr/>
        <w:t>元，使当期利润下降幅度较大。</w:t>
      </w:r>
      <w:r>
        <w:rPr>
          <w:w w:val="99"/>
        </w:rPr>
        <w:t> </w:t>
      </w:r>
      <w:r>
        <w:rPr>
          <w:spacing w:val="-2"/>
          <w:w w:val="95"/>
        </w:rPr>
        <w:t>根据公司发展战略，充分提高募集资金使用效率，实现产品、技术、工艺等方面的创新</w:t>
      </w:r>
      <w:r>
        <w:rPr>
          <w:spacing w:val="-2"/>
        </w:rPr>
      </w:r>
    </w:p>
    <w:p>
      <w:pPr>
        <w:pStyle w:val="BodyText"/>
        <w:spacing w:line="355" w:lineRule="auto" w:before="47"/>
        <w:ind w:left="922" w:right="842"/>
        <w:jc w:val="both"/>
      </w:pPr>
      <w:r>
        <w:rPr>
          <w:spacing w:val="-2"/>
          <w:w w:val="95"/>
        </w:rPr>
        <w:t>和改造，拓展产品的市场和技术领域，公司于报告期内收购了中水广海钢丝绳厂的整体资产</w:t>
      </w:r>
      <w:r>
        <w:rPr>
          <w:spacing w:val="91"/>
          <w:w w:val="95"/>
        </w:rPr>
        <w:t> </w:t>
      </w:r>
      <w:r>
        <w:rPr>
          <w:spacing w:val="91"/>
          <w:w w:val="95"/>
        </w:rPr>
      </w:r>
      <w:r>
        <w:rPr>
          <w:spacing w:val="-2"/>
          <w:w w:val="95"/>
        </w:rPr>
        <w:t>并设立广海分公司，在重庆市武隆县白马工业园设立全资子公司。分子公司的合理布局及产</w:t>
      </w:r>
      <w:r>
        <w:rPr>
          <w:spacing w:val="92"/>
          <w:w w:val="95"/>
        </w:rPr>
        <w:t> </w:t>
      </w:r>
      <w:r>
        <w:rPr>
          <w:spacing w:val="92"/>
          <w:w w:val="95"/>
        </w:rPr>
      </w:r>
      <w:r>
        <w:rPr/>
        <w:t>品结构将为公司创造更多效益。</w:t>
      </w:r>
    </w:p>
    <w:p>
      <w:pPr>
        <w:spacing w:line="240" w:lineRule="auto" w:before="0"/>
        <w:rPr>
          <w:rFonts w:ascii="宋体" w:hAnsi="宋体" w:cs="宋体" w:eastAsia="宋体" w:hint="default"/>
          <w:sz w:val="20"/>
          <w:szCs w:val="20"/>
        </w:rPr>
      </w:pPr>
    </w:p>
    <w:p>
      <w:pPr>
        <w:pStyle w:val="BodyText"/>
        <w:spacing w:line="336" w:lineRule="auto" w:before="135"/>
        <w:ind w:left="1356" w:right="0" w:hanging="15"/>
        <w:jc w:val="left"/>
      </w:pPr>
      <w:r>
        <w:rPr>
          <w:rFonts w:ascii="Times New Roman" w:hAnsi="Times New Roman" w:cs="Times New Roman" w:eastAsia="Times New Roman" w:hint="default"/>
        </w:rPr>
        <w:t>1</w:t>
      </w:r>
      <w:r>
        <w:rPr/>
        <w:t>、公司主营业务生产经营情况</w:t>
      </w:r>
      <w:r>
        <w:rPr>
          <w:w w:val="99"/>
        </w:rPr>
        <w:t> </w:t>
      </w:r>
      <w:r>
        <w:rPr/>
        <w:t>本公司主要从事稀土新材料的研发及其在镀层防腐领域的应用，经营范围为生产、销</w:t>
      </w:r>
    </w:p>
    <w:p>
      <w:pPr>
        <w:pStyle w:val="BodyText"/>
        <w:spacing w:line="355" w:lineRule="auto" w:before="49"/>
        <w:ind w:left="922" w:right="841"/>
        <w:jc w:val="both"/>
      </w:pPr>
      <w:r>
        <w:rPr>
          <w:spacing w:val="-2"/>
          <w:w w:val="95"/>
        </w:rPr>
        <w:t>售：稀土多元合金镀层丝绳及镀件、金属丝绳及其制品、紧固件、弹簧；交通安全设施产品</w:t>
      </w:r>
      <w:r>
        <w:rPr>
          <w:spacing w:val="92"/>
          <w:w w:val="95"/>
        </w:rPr>
        <w:t> </w:t>
      </w:r>
      <w:r>
        <w:rPr>
          <w:spacing w:val="92"/>
          <w:w w:val="95"/>
        </w:rPr>
      </w:r>
      <w:r>
        <w:rPr>
          <w:spacing w:val="-2"/>
          <w:w w:val="95"/>
        </w:rPr>
        <w:t>制造、安装；自营或代理各类商品和技术进出口业务（国家限定企业经营或禁止进出口的商</w:t>
      </w:r>
      <w:r>
        <w:rPr>
          <w:spacing w:val="93"/>
          <w:w w:val="95"/>
        </w:rPr>
        <w:t> </w:t>
      </w:r>
      <w:r>
        <w:rPr>
          <w:spacing w:val="93"/>
          <w:w w:val="95"/>
        </w:rPr>
      </w:r>
      <w:r>
        <w:rPr>
          <w:spacing w:val="-13"/>
          <w:w w:val="99"/>
        </w:rPr>
        <w:t>品和技术除外）。</w:t>
      </w:r>
      <w:r>
        <w:rPr>
          <w:spacing w:val="-13"/>
        </w:rPr>
      </w:r>
    </w:p>
    <w:p>
      <w:pPr>
        <w:pStyle w:val="BodyText"/>
        <w:spacing w:line="355" w:lineRule="auto" w:before="34"/>
        <w:ind w:left="922" w:right="741" w:firstLine="434"/>
        <w:jc w:val="both"/>
      </w:pPr>
      <w:r>
        <w:rPr/>
        <w:t>公司主营业务为生产、销售稀土合金镀层钢丝、钢绞线。公司自设立以来，主营业务</w:t>
      </w:r>
      <w:r>
        <w:rPr>
          <w:w w:val="99"/>
        </w:rPr>
        <w:t> </w:t>
      </w:r>
      <w:r>
        <w:rPr>
          <w:w w:val="95"/>
        </w:rPr>
        <w:t>没有发生变化。报告期内，公司坚持技术、市场、管理相结合的原则，充分发挥各项竞争优</w:t>
      </w:r>
      <w:r>
        <w:rPr>
          <w:spacing w:val="9"/>
          <w:w w:val="95"/>
        </w:rPr>
        <w:t> </w:t>
      </w:r>
      <w:r>
        <w:rPr>
          <w:spacing w:val="9"/>
          <w:w w:val="95"/>
        </w:rPr>
      </w:r>
      <w:r>
        <w:rPr/>
        <w:t>势，进一步提高了公司产品的市场占有率，确保了公司在同行业中的龙头地位和领先优势。</w:t>
      </w:r>
    </w:p>
    <w:p>
      <w:pPr>
        <w:pStyle w:val="BodyText"/>
        <w:spacing w:line="240" w:lineRule="auto" w:before="32"/>
        <w:ind w:left="1356" w:right="0"/>
        <w:jc w:val="left"/>
      </w:pPr>
      <w:r>
        <w:rPr/>
        <w:t>（</w:t>
      </w:r>
      <w:r>
        <w:rPr>
          <w:rFonts w:ascii="Times New Roman" w:hAnsi="Times New Roman" w:cs="Times New Roman" w:eastAsia="Times New Roman" w:hint="default"/>
        </w:rPr>
        <w:t>1</w:t>
      </w:r>
      <w:r>
        <w:rPr/>
        <w:t>）主营业务分行业及分产品情况表</w:t>
      </w:r>
    </w:p>
    <w:p>
      <w:pPr>
        <w:pStyle w:val="BodyText"/>
        <w:spacing w:line="240" w:lineRule="auto" w:before="119"/>
        <w:ind w:left="0" w:right="1322"/>
        <w:jc w:val="right"/>
      </w:pPr>
      <w:r>
        <w:rPr>
          <w:w w:val="95"/>
        </w:rPr>
        <w:t>单位：万元</w:t>
      </w:r>
      <w:r>
        <w:rPr/>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49"/>
        <w:gridCol w:w="1301"/>
        <w:gridCol w:w="1301"/>
        <w:gridCol w:w="1298"/>
        <w:gridCol w:w="1301"/>
        <w:gridCol w:w="1301"/>
        <w:gridCol w:w="1378"/>
      </w:tblGrid>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19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6"/>
                <w:sz w:val="21"/>
                <w:szCs w:val="21"/>
              </w:rPr>
              <w:t>毛利率（</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103" w:right="41" w:firstLine="55"/>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99"/>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206" w:footer="738" w:top="940" w:bottom="920" w:left="880" w:right="9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31" w:type="dxa"/>
        <w:tblLayout w:type="fixed"/>
        <w:tblCellMar>
          <w:top w:w="0" w:type="dxa"/>
          <w:left w:w="0" w:type="dxa"/>
          <w:bottom w:w="0" w:type="dxa"/>
          <w:right w:w="0" w:type="dxa"/>
        </w:tblCellMar>
        <w:tblLook w:val="01E0"/>
      </w:tblPr>
      <w:tblGrid>
        <w:gridCol w:w="1949"/>
        <w:gridCol w:w="1301"/>
        <w:gridCol w:w="1298"/>
        <w:gridCol w:w="1301"/>
        <w:gridCol w:w="1301"/>
        <w:gridCol w:w="1298"/>
        <w:gridCol w:w="1380"/>
      </w:tblGrid>
      <w:tr>
        <w:trPr>
          <w:trHeight w:val="28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46,961.69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39,513.67</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15.86%</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14.49%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20.22%</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-4.01%</w:t>
            </w:r>
            <w:r>
              <w:rPr>
                <w:rFonts w:ascii="Times New Roman"/>
                <w:sz w:val="21"/>
              </w:rPr>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40,287.54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33,888.04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15.88%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17.23%</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22.33%</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-3.50%</w:t>
            </w:r>
            <w:r>
              <w:rPr>
                <w:rFonts w:ascii="Times New Roman"/>
                <w:sz w:val="21"/>
              </w:rPr>
            </w:r>
          </w:p>
        </w:tc>
      </w:tr>
      <w:tr>
        <w:trPr>
          <w:trHeight w:val="282"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6,674.15</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5,625.63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15.71%</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0.35%</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8.92%</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-6.63%</w:t>
            </w:r>
            <w:r>
              <w:rPr>
                <w:rFonts w:ascii="Times New Roman"/>
                <w:sz w:val="21"/>
              </w:rPr>
            </w:r>
          </w:p>
        </w:tc>
      </w:tr>
      <w:tr>
        <w:trPr>
          <w:trHeight w:val="28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46,961.69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39,513.67</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15.86%</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14.49%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20.22%</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-4.01%</w:t>
            </w:r>
            <w:r>
              <w:rPr>
                <w:rFonts w:ascii="Times New Roman"/>
                <w:sz w:val="21"/>
              </w:rPr>
            </w:r>
          </w:p>
        </w:tc>
      </w:tr>
    </w:tbl>
    <w:p>
      <w:pPr>
        <w:spacing w:line="240" w:lineRule="auto" w:before="4"/>
        <w:rPr>
          <w:rFonts w:ascii="宋体" w:hAnsi="宋体" w:cs="宋体" w:eastAsia="宋体" w:hint="default"/>
          <w:sz w:val="22"/>
          <w:szCs w:val="22"/>
        </w:rPr>
      </w:pPr>
    </w:p>
    <w:p>
      <w:pPr>
        <w:pStyle w:val="BodyText"/>
        <w:spacing w:line="240" w:lineRule="auto" w:before="34"/>
        <w:ind w:left="1362" w:right="969"/>
        <w:jc w:val="left"/>
      </w:pPr>
      <w:r>
        <w:rPr/>
        <w:t>（</w:t>
      </w:r>
      <w:r>
        <w:rPr>
          <w:rFonts w:ascii="Times New Roman" w:hAnsi="Times New Roman" w:cs="Times New Roman" w:eastAsia="Times New Roman" w:hint="default"/>
        </w:rPr>
        <w:t>2</w:t>
      </w:r>
      <w:r>
        <w:rPr/>
        <w:t>）主营业务分地区情况</w:t>
      </w:r>
    </w:p>
    <w:p>
      <w:pPr>
        <w:pStyle w:val="BodyText"/>
        <w:spacing w:line="240" w:lineRule="auto" w:before="119"/>
        <w:ind w:left="0" w:right="862"/>
        <w:jc w:val="right"/>
      </w:pPr>
      <w:r>
        <w:rPr>
          <w:w w:val="95"/>
        </w:rPr>
        <w:t>单位：万元</w:t>
      </w:r>
      <w:r>
        <w:rPr/>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159"/>
        <w:gridCol w:w="2861"/>
        <w:gridCol w:w="2808"/>
      </w:tblGrid>
      <w:tr>
        <w:trPr>
          <w:trHeight w:val="283" w:hRule="exact"/>
        </w:trPr>
        <w:tc>
          <w:tcPr>
            <w:tcW w:w="41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38,591.98</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13.16%</w:t>
            </w:r>
            <w:r>
              <w:rPr>
                <w:rFonts w:ascii="Times New Roman"/>
                <w:sz w:val="21"/>
              </w:rPr>
            </w:r>
          </w:p>
        </w:tc>
      </w:tr>
      <w:tr>
        <w:trPr>
          <w:trHeight w:val="283"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8,369.71</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21.08%</w:t>
            </w:r>
            <w:r>
              <w:rPr>
                <w:rFonts w:ascii="Times New Roman"/>
                <w:sz w:val="21"/>
              </w:rPr>
            </w:r>
          </w:p>
        </w:tc>
      </w:tr>
      <w:tr>
        <w:trPr>
          <w:trHeight w:val="283" w:hRule="exact"/>
        </w:trPr>
        <w:tc>
          <w:tcPr>
            <w:tcW w:w="4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46,961.69</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14.49%</w:t>
            </w:r>
            <w:r>
              <w:rPr>
                <w:rFonts w:ascii="Times New Roman"/>
                <w:sz w:val="21"/>
              </w:rPr>
            </w:r>
          </w:p>
        </w:tc>
      </w:tr>
    </w:tbl>
    <w:p>
      <w:pPr>
        <w:pStyle w:val="BodyText"/>
        <w:spacing w:line="241" w:lineRule="exact"/>
        <w:ind w:left="942" w:right="0" w:firstLine="420"/>
        <w:jc w:val="both"/>
      </w:pPr>
      <w:r>
        <w:rPr/>
        <w:t>报告期内，公司的主要业务收入、主营业务成本、内贸、外贸营业收入较上年同期均有</w:t>
      </w:r>
    </w:p>
    <w:p>
      <w:pPr>
        <w:pStyle w:val="BodyText"/>
        <w:spacing w:line="355" w:lineRule="auto" w:before="133"/>
        <w:ind w:left="942" w:right="969"/>
        <w:jc w:val="left"/>
      </w:pPr>
      <w:r>
        <w:rPr>
          <w:spacing w:val="-2"/>
          <w:w w:val="95"/>
        </w:rPr>
        <w:t>所增长，主要是募投项目逐步建成投产，产销量增加所致；但由于主营业务产品市场竞争加</w:t>
      </w:r>
      <w:r>
        <w:rPr>
          <w:spacing w:val="92"/>
          <w:w w:val="95"/>
        </w:rPr>
        <w:t> </w:t>
      </w:r>
      <w:r>
        <w:rPr>
          <w:spacing w:val="92"/>
          <w:w w:val="95"/>
        </w:rPr>
      </w:r>
      <w:r>
        <w:rPr/>
        <w:t>剧，原材料、人工等成本的上升，导致销售毛利率有所下降。</w:t>
      </w:r>
    </w:p>
    <w:p>
      <w:pPr>
        <w:spacing w:line="240" w:lineRule="auto" w:before="0"/>
        <w:rPr>
          <w:rFonts w:ascii="宋体" w:hAnsi="宋体" w:cs="宋体" w:eastAsia="宋体" w:hint="default"/>
          <w:sz w:val="20"/>
          <w:szCs w:val="20"/>
        </w:rPr>
      </w:pPr>
    </w:p>
    <w:p>
      <w:pPr>
        <w:pStyle w:val="BodyText"/>
        <w:spacing w:line="336" w:lineRule="auto" w:before="135"/>
        <w:ind w:left="1362" w:right="969"/>
        <w:jc w:val="left"/>
      </w:pPr>
      <w:r>
        <w:rPr/>
        <w:t>（</w:t>
      </w:r>
      <w:r>
        <w:rPr>
          <w:rFonts w:ascii="Times New Roman" w:hAnsi="Times New Roman" w:cs="Times New Roman" w:eastAsia="Times New Roman" w:hint="default"/>
        </w:rPr>
        <w:t>3</w:t>
      </w:r>
      <w:r>
        <w:rPr/>
        <w:t>）主要产品价格或主要原材料价格变动情况</w:t>
      </w:r>
      <w:r>
        <w:rPr>
          <w:w w:val="99"/>
        </w:rPr>
        <w:t> </w:t>
      </w:r>
      <w:r>
        <w:rPr>
          <w:spacing w:val="-2"/>
          <w:w w:val="95"/>
        </w:rPr>
        <w:t>报告期内，公司主营业务产品使用原材料价格较上一年度均有较大幅度上涨，公司主要</w:t>
      </w:r>
      <w:r>
        <w:rPr>
          <w:spacing w:val="-2"/>
        </w:rPr>
      </w:r>
    </w:p>
    <w:p>
      <w:pPr>
        <w:pStyle w:val="BodyText"/>
        <w:spacing w:line="240" w:lineRule="auto" w:before="51"/>
        <w:ind w:left="942" w:right="969"/>
        <w:jc w:val="left"/>
      </w:pPr>
      <w:r>
        <w:rPr/>
        <w:t>产品价格未出现较大波动。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1362" w:right="969"/>
        <w:jc w:val="left"/>
      </w:pPr>
      <w:r>
        <w:rPr/>
        <w:t>（</w:t>
      </w:r>
      <w:r>
        <w:rPr>
          <w:rFonts w:ascii="Times New Roman" w:hAnsi="Times New Roman" w:cs="Times New Roman" w:eastAsia="Times New Roman" w:hint="default"/>
        </w:rPr>
        <w:t>4</w:t>
      </w:r>
      <w:r>
        <w:rPr/>
        <w:t>）公司主要客户及供应商情况</w:t>
      </w:r>
    </w:p>
    <w:p>
      <w:pPr>
        <w:pStyle w:val="BodyText"/>
        <w:spacing w:line="338" w:lineRule="auto" w:before="117"/>
        <w:ind w:left="942" w:right="857" w:firstLine="420"/>
        <w:jc w:val="both"/>
      </w:pPr>
      <w:r>
        <w:rPr/>
        <w:t>报告期内，公司向前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名客户销售额占总销售额的</w:t>
      </w:r>
      <w:r>
        <w:rPr>
          <w:spacing w:val="-56"/>
        </w:rPr>
        <w:t> </w:t>
      </w:r>
      <w:r>
        <w:rPr>
          <w:rFonts w:ascii="Times New Roman" w:hAnsi="Times New Roman" w:cs="Times New Roman" w:eastAsia="Times New Roman" w:hint="default"/>
        </w:rPr>
        <w:t>17.99%</w:t>
      </w:r>
      <w:r>
        <w:rPr/>
        <w:t>，与上年同期为</w:t>
      </w:r>
      <w:r>
        <w:rPr>
          <w:spacing w:val="-53"/>
        </w:rPr>
        <w:t> </w:t>
      </w:r>
      <w:r>
        <w:rPr>
          <w:rFonts w:ascii="Times New Roman" w:hAnsi="Times New Roman" w:cs="Times New Roman" w:eastAsia="Times New Roman" w:hint="default"/>
          <w:spacing w:val="-4"/>
        </w:rPr>
        <w:t>24.37%</w:t>
      </w:r>
      <w:r>
        <w:rPr>
          <w:spacing w:val="-4"/>
        </w:rPr>
        <w:t>，变</w:t>
      </w:r>
      <w:r>
        <w:rPr>
          <w:w w:val="99"/>
        </w:rPr>
        <w:t> </w:t>
      </w:r>
      <w:r>
        <w:rPr/>
        <w:t>动幅度为</w:t>
      </w:r>
      <w:r>
        <w:rPr>
          <w:rFonts w:ascii="Times New Roman" w:hAnsi="Times New Roman" w:cs="Times New Roman" w:eastAsia="Times New Roman" w:hint="default"/>
        </w:rPr>
        <w:t>-6.38%</w:t>
      </w:r>
      <w:r>
        <w:rPr/>
        <w:t>。</w:t>
      </w:r>
    </w:p>
    <w:p>
      <w:pPr>
        <w:pStyle w:val="BodyText"/>
        <w:spacing w:line="336" w:lineRule="auto" w:before="22"/>
        <w:ind w:left="942" w:right="856" w:firstLine="420"/>
        <w:jc w:val="both"/>
      </w:pPr>
      <w:r>
        <w:rPr>
          <w:spacing w:val="-7"/>
        </w:rPr>
        <w:t>报告期内，公司自前</w:t>
      </w:r>
      <w:r>
        <w:rPr>
          <w:spacing w:val="-80"/>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名供应商处采购占年度采购总额的</w:t>
      </w:r>
      <w:r>
        <w:rPr>
          <w:spacing w:val="-78"/>
        </w:rPr>
        <w:t> </w:t>
      </w:r>
      <w:r>
        <w:rPr>
          <w:rFonts w:ascii="Times New Roman" w:hAnsi="Times New Roman" w:cs="Times New Roman" w:eastAsia="Times New Roman" w:hint="default"/>
          <w:spacing w:val="-6"/>
        </w:rPr>
        <w:t>58.29%</w:t>
      </w:r>
      <w:r>
        <w:rPr>
          <w:spacing w:val="-6"/>
        </w:rPr>
        <w:t>，上年同期为</w:t>
      </w:r>
      <w:r>
        <w:rPr>
          <w:spacing w:val="-78"/>
        </w:rPr>
        <w:t> </w:t>
      </w:r>
      <w:r>
        <w:rPr>
          <w:rFonts w:ascii="Times New Roman" w:hAnsi="Times New Roman" w:cs="Times New Roman" w:eastAsia="Times New Roman" w:hint="default"/>
        </w:rPr>
        <w:t>58.05%</w:t>
      </w:r>
      <w:r>
        <w:rPr/>
        <w:t>，</w:t>
      </w:r>
      <w:r>
        <w:rPr>
          <w:w w:val="49"/>
        </w:rPr>
        <w:t> </w:t>
      </w:r>
      <w:r>
        <w:rPr>
          <w:w w:val="99"/>
        </w:rPr>
        <w:t>变动幅度为</w:t>
      </w:r>
      <w:r>
        <w:rPr>
          <w:spacing w:val="-47"/>
          <w:w w:val="99"/>
        </w:rPr>
        <w:t> </w:t>
      </w:r>
      <w:r>
        <w:rPr>
          <w:rFonts w:ascii="Times New Roman" w:hAnsi="Times New Roman" w:cs="Times New Roman" w:eastAsia="Times New Roman" w:hint="default"/>
          <w:spacing w:val="-15"/>
          <w:w w:val="99"/>
        </w:rPr>
        <w:t>0.24%</w:t>
      </w:r>
      <w:r>
        <w:rPr>
          <w:spacing w:val="-15"/>
          <w:w w:val="99"/>
        </w:rPr>
        <w:t>。。</w:t>
      </w:r>
      <w:r>
        <w:rPr>
          <w:spacing w:val="-15"/>
        </w:rPr>
      </w:r>
    </w:p>
    <w:p>
      <w:pPr>
        <w:pStyle w:val="BodyText"/>
        <w:spacing w:line="343" w:lineRule="auto" w:before="24"/>
        <w:ind w:left="942" w:right="861" w:firstLine="420"/>
        <w:jc w:val="both"/>
      </w:pPr>
      <w:r>
        <w:rPr>
          <w:spacing w:val="2"/>
        </w:rPr>
        <w:t>报告期内，公司没有单一供应商或客户采购、销售比例超过</w:t>
      </w:r>
      <w:r>
        <w:rPr>
          <w:spacing w:val="-46"/>
        </w:rPr>
        <w:t> </w:t>
      </w:r>
      <w:r>
        <w:rPr>
          <w:rFonts w:ascii="Times New Roman" w:hAnsi="Times New Roman" w:cs="Times New Roman" w:eastAsia="Times New Roman" w:hint="default"/>
          <w:spacing w:val="2"/>
        </w:rPr>
        <w:t>30%</w:t>
      </w:r>
      <w:r>
        <w:rPr>
          <w:spacing w:val="2"/>
        </w:rPr>
        <w:t>的情形。公司与前五</w:t>
      </w:r>
      <w:r>
        <w:rPr>
          <w:w w:val="99"/>
        </w:rPr>
        <w:t> </w:t>
      </w:r>
      <w:r>
        <w:rPr>
          <w:spacing w:val="-2"/>
          <w:w w:val="99"/>
        </w:rPr>
        <w:t>名供应商、客户之间不存在关联关系，公司董事、监事、高级管理人员、核心技术人员、持</w:t>
      </w:r>
      <w:r>
        <w:rPr>
          <w:spacing w:val="-86"/>
          <w:w w:val="99"/>
        </w:rPr>
        <w:t> </w:t>
      </w:r>
      <w:r>
        <w:rPr>
          <w:spacing w:val="-86"/>
          <w:w w:val="99"/>
        </w:rPr>
      </w:r>
      <w:r>
        <w:rPr/>
        <w:t>股</w:t>
      </w:r>
      <w:r>
        <w:rPr>
          <w:spacing w:val="-69"/>
        </w:rPr>
        <w:t> </w:t>
      </w:r>
      <w:r>
        <w:rPr>
          <w:rFonts w:ascii="Times New Roman" w:hAnsi="Times New Roman" w:cs="Times New Roman" w:eastAsia="Times New Roman" w:hint="default"/>
        </w:rPr>
        <w:t>5%</w:t>
      </w:r>
      <w:r>
        <w:rPr/>
        <w:t>以上的股东、实际控制人和其他关联方没有在前述供应商、客户中直接或间接拥有权</w:t>
      </w:r>
      <w:r>
        <w:rPr>
          <w:w w:val="99"/>
        </w:rPr>
        <w:t> </w:t>
      </w:r>
      <w:r>
        <w:rPr/>
        <w:t>益等。</w:t>
      </w:r>
    </w:p>
    <w:p>
      <w:pPr>
        <w:pStyle w:val="BodyText"/>
        <w:spacing w:line="355" w:lineRule="auto" w:before="43"/>
        <w:ind w:left="942" w:right="862" w:firstLine="420"/>
        <w:jc w:val="both"/>
      </w:pPr>
      <w:r>
        <w:rPr>
          <w:spacing w:val="-2"/>
          <w:w w:val="95"/>
        </w:rPr>
        <w:t>公司的销售客户主要为资金实力雄厚、信誉好的电力、电缆、电信行业企业，不存在应</w:t>
      </w:r>
      <w:r>
        <w:rPr>
          <w:w w:val="99"/>
        </w:rPr>
        <w:t> </w:t>
      </w:r>
      <w:r>
        <w:rPr>
          <w:spacing w:val="-2"/>
          <w:w w:val="95"/>
        </w:rPr>
        <w:t>收账款不能回收的风险；公司的营业收入不依赖于单一客户，公司的客户结构和国内外并举</w:t>
      </w:r>
      <w:r>
        <w:rPr>
          <w:spacing w:val="92"/>
          <w:w w:val="95"/>
        </w:rPr>
        <w:t> </w:t>
      </w:r>
      <w:r>
        <w:rPr>
          <w:spacing w:val="92"/>
          <w:w w:val="95"/>
        </w:rPr>
      </w:r>
      <w:r>
        <w:rPr/>
        <w:t>的市场结构非常稳健。</w:t>
      </w:r>
    </w:p>
    <w:p>
      <w:pPr>
        <w:spacing w:line="240" w:lineRule="auto" w:before="10"/>
        <w:rPr>
          <w:rFonts w:ascii="宋体" w:hAnsi="宋体" w:cs="宋体" w:eastAsia="宋体" w:hint="default"/>
          <w:sz w:val="27"/>
          <w:szCs w:val="27"/>
        </w:rPr>
      </w:pPr>
    </w:p>
    <w:p>
      <w:pPr>
        <w:pStyle w:val="BodyText"/>
        <w:spacing w:line="240" w:lineRule="auto" w:before="34"/>
        <w:ind w:left="1362" w:right="969"/>
        <w:jc w:val="left"/>
      </w:pPr>
      <w:r>
        <w:rPr/>
        <w:t>（</w:t>
      </w:r>
      <w:r>
        <w:rPr>
          <w:rFonts w:ascii="Times New Roman" w:hAnsi="Times New Roman" w:cs="Times New Roman" w:eastAsia="Times New Roman" w:hint="default"/>
        </w:rPr>
        <w:t>5</w:t>
      </w:r>
      <w:r>
        <w:rPr/>
        <w:t>）公司主要财务指标变动情况</w:t>
      </w:r>
    </w:p>
    <w:p>
      <w:pPr>
        <w:pStyle w:val="BodyText"/>
        <w:spacing w:line="240" w:lineRule="auto" w:before="117"/>
        <w:ind w:left="0" w:right="86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9"/>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07" w:right="0"/>
              <w:jc w:val="left"/>
              <w:rPr>
                <w:rFonts w:ascii="Times New Roman" w:hAnsi="Times New Roman" w:cs="Times New Roman" w:eastAsia="Times New Roman" w:hint="default"/>
                <w:sz w:val="21"/>
                <w:szCs w:val="21"/>
              </w:rPr>
            </w:pPr>
            <w:r>
              <w:rPr>
                <w:rFonts w:ascii="Times New Roman"/>
                <w:sz w:val="21"/>
              </w:rPr>
              <w:t>472,930,472.50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07" w:right="0"/>
              <w:jc w:val="left"/>
              <w:rPr>
                <w:rFonts w:ascii="Times New Roman" w:hAnsi="Times New Roman" w:cs="Times New Roman" w:eastAsia="Times New Roman" w:hint="default"/>
                <w:sz w:val="21"/>
                <w:szCs w:val="21"/>
              </w:rPr>
            </w:pPr>
            <w:r>
              <w:rPr>
                <w:rFonts w:ascii="Times New Roman"/>
                <w:sz w:val="21"/>
              </w:rPr>
              <w:t>414,234,630.60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72" w:right="0"/>
              <w:jc w:val="left"/>
              <w:rPr>
                <w:rFonts w:ascii="Times New Roman" w:hAnsi="Times New Roman" w:cs="Times New Roman" w:eastAsia="Times New Roman" w:hint="default"/>
                <w:sz w:val="21"/>
                <w:szCs w:val="21"/>
              </w:rPr>
            </w:pPr>
            <w:r>
              <w:rPr>
                <w:rFonts w:ascii="Times New Roman"/>
                <w:sz w:val="21"/>
              </w:rPr>
              <w:t>14.17%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04" w:right="0"/>
              <w:jc w:val="left"/>
              <w:rPr>
                <w:rFonts w:ascii="Times New Roman" w:hAnsi="Times New Roman" w:cs="Times New Roman" w:eastAsia="Times New Roman" w:hint="default"/>
                <w:sz w:val="21"/>
                <w:szCs w:val="21"/>
              </w:rPr>
            </w:pPr>
            <w:r>
              <w:rPr>
                <w:rFonts w:ascii="Times New Roman"/>
                <w:sz w:val="21"/>
              </w:rPr>
              <w:t>392,935,737.87</w:t>
            </w:r>
          </w:p>
        </w:tc>
      </w:tr>
    </w:tbl>
    <w:p>
      <w:pPr>
        <w:spacing w:after="0" w:line="240" w:lineRule="auto"/>
        <w:jc w:val="left"/>
        <w:rPr>
          <w:rFonts w:ascii="Times New Roman" w:hAnsi="Times New Roman" w:cs="Times New Roman" w:eastAsia="Times New Roman" w:hint="default"/>
          <w:sz w:val="21"/>
          <w:szCs w:val="21"/>
        </w:rPr>
        <w:sectPr>
          <w:pgSz w:w="11910" w:h="16840"/>
          <w:pgMar w:header="206" w:footer="738" w:top="940" w:bottom="920" w:left="86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27,620,489.80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48,864,260.04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-43.48%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45,242,270.43</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23,757,246.77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-42.99%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41,584,215.35</w:t>
            </w:r>
            <w:r>
              <w:rPr>
                <w:rFonts w:ascii="Times New Roman"/>
                <w:sz w:val="21"/>
              </w:rPr>
            </w:r>
          </w:p>
        </w:tc>
      </w:tr>
      <w:tr>
        <w:trPr>
          <w:trHeight w:val="1099"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20" w:right="115"/>
              <w:jc w:val="center"/>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w w:val="99"/>
                <w:sz w:val="21"/>
                <w:szCs w:val="21"/>
              </w:rPr>
              <w:t> </w:t>
            </w:r>
            <w:r>
              <w:rPr>
                <w:rFonts w:ascii="宋体" w:hAnsi="宋体" w:cs="宋体" w:eastAsia="宋体" w:hint="default"/>
                <w:sz w:val="21"/>
                <w:szCs w:val="21"/>
              </w:rPr>
              <w:t>常性损益的净利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23,956,788.53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41,511,275.48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-42.29%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w w:val="95"/>
                <w:sz w:val="21"/>
              </w:rPr>
              <w:t>37,806,786.07</w:t>
            </w:r>
            <w:r>
              <w:rPr>
                <w:rFonts w:ascii="Times New Roman"/>
                <w:sz w:val="21"/>
              </w:rPr>
            </w:r>
          </w:p>
        </w:tc>
      </w:tr>
      <w:tr>
        <w:trPr>
          <w:trHeight w:val="82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-78,828,157.21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11,786,159.37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-768.82%</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21,479,426.09</w:t>
            </w:r>
            <w:r>
              <w:rPr>
                <w:rFonts w:ascii="Times New Roman"/>
                <w:sz w:val="21"/>
              </w:rPr>
            </w:r>
          </w:p>
        </w:tc>
      </w:tr>
      <w:tr>
        <w:trPr>
          <w:trHeight w:val="556"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810,843,968.47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370,050,922.38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spacing w:val="-1"/>
                <w:w w:val="95"/>
                <w:sz w:val="21"/>
              </w:rPr>
              <w:t>119.12%</w:t>
            </w:r>
            <w:r>
              <w:rPr>
                <w:rFonts w:ascii="Times New Roman"/>
                <w:spacing w:val="-1"/>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268,622,151.30</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434" w:right="115"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w w:val="99"/>
                <w:sz w:val="21"/>
                <w:szCs w:val="21"/>
              </w:rPr>
              <w:t> </w:t>
            </w:r>
            <w:r>
              <w:rPr>
                <w:rFonts w:ascii="宋体" w:hAnsi="宋体" w:cs="宋体" w:eastAsia="宋体" w:hint="default"/>
                <w:sz w:val="21"/>
                <w:szCs w:val="21"/>
              </w:rPr>
              <w:t>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716,051,579.41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156,488,916.78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357.57%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126,480,809.89</w:t>
            </w:r>
            <w:r>
              <w:rPr>
                <w:rFonts w:ascii="Times New Roman"/>
                <w:sz w:val="21"/>
              </w:rPr>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33.43%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r>
    </w:tbl>
    <w:p>
      <w:pPr>
        <w:pStyle w:val="BodyText"/>
        <w:spacing w:line="243" w:lineRule="exact"/>
        <w:ind w:left="942" w:right="0" w:firstLine="420"/>
        <w:jc w:val="left"/>
      </w:pPr>
      <w:r>
        <w:rPr/>
        <w:t>报告期内，随着募投项目的逐步建成，公司的产销量有所增长，但由于主营业务产品市</w:t>
      </w:r>
    </w:p>
    <w:p>
      <w:pPr>
        <w:pStyle w:val="BodyText"/>
        <w:spacing w:line="355" w:lineRule="auto" w:before="133"/>
        <w:ind w:left="942" w:right="821"/>
        <w:jc w:val="both"/>
      </w:pPr>
      <w:r>
        <w:rPr>
          <w:spacing w:val="-2"/>
          <w:w w:val="95"/>
        </w:rPr>
        <w:t>场竞争加剧，原材料、人工等成本的上升，导致销售毛利率有所下降，以及股票发行上市费</w:t>
      </w:r>
      <w:r>
        <w:rPr>
          <w:spacing w:val="92"/>
          <w:w w:val="95"/>
        </w:rPr>
        <w:t> </w:t>
      </w:r>
      <w:r>
        <w:rPr>
          <w:spacing w:val="92"/>
          <w:w w:val="95"/>
        </w:rPr>
      </w:r>
      <w:r>
        <w:rPr>
          <w:spacing w:val="-2"/>
          <w:w w:val="95"/>
        </w:rPr>
        <w:t>用和提高员工薪酬等，造成管理费用较去年同期大幅增长及其他因素的影响，最终报告期内</w:t>
      </w:r>
      <w:r>
        <w:rPr>
          <w:spacing w:val="93"/>
          <w:w w:val="95"/>
        </w:rPr>
        <w:t> </w:t>
      </w:r>
      <w:r>
        <w:rPr>
          <w:spacing w:val="93"/>
          <w:w w:val="95"/>
        </w:rPr>
      </w:r>
      <w:r>
        <w:rPr/>
        <w:t>公司的效益受到较大程度的影响。</w:t>
      </w:r>
    </w:p>
    <w:p>
      <w:pPr>
        <w:pStyle w:val="BodyText"/>
        <w:spacing w:line="240" w:lineRule="auto" w:before="32"/>
        <w:ind w:left="1362" w:right="0"/>
        <w:jc w:val="left"/>
      </w:pPr>
      <w:r>
        <w:rPr/>
        <w:t>报告期内，公司公开发行股票，收到的募集资金使公司总资产及所有者权益增加较多。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336" w:lineRule="auto"/>
        <w:ind w:left="1362" w:right="2827"/>
        <w:jc w:val="left"/>
      </w:pPr>
      <w:r>
        <w:rPr/>
        <w:t>（</w:t>
      </w:r>
      <w:r>
        <w:rPr>
          <w:rFonts w:ascii="Times New Roman" w:hAnsi="Times New Roman" w:cs="Times New Roman" w:eastAsia="Times New Roman" w:hint="default"/>
        </w:rPr>
        <w:t>6</w:t>
      </w:r>
      <w:r>
        <w:rPr/>
        <w:t>）订单情况</w:t>
      </w:r>
      <w:r>
        <w:rPr>
          <w:w w:val="99"/>
        </w:rPr>
        <w:t> </w:t>
      </w:r>
      <w:r>
        <w:rPr/>
        <w:t>公司采用</w:t>
      </w:r>
      <w:r>
        <w:rPr>
          <w:rFonts w:ascii="Times New Roman" w:hAnsi="Times New Roman" w:cs="Times New Roman" w:eastAsia="Times New Roman" w:hint="default"/>
        </w:rPr>
        <w:t>“</w:t>
      </w:r>
      <w:r>
        <w:rPr/>
        <w:t>以销定产</w:t>
      </w:r>
      <w:r>
        <w:rPr>
          <w:rFonts w:ascii="Times New Roman" w:hAnsi="Times New Roman" w:cs="Times New Roman" w:eastAsia="Times New Roman" w:hint="default"/>
        </w:rPr>
        <w:t>”</w:t>
      </w:r>
      <w:r>
        <w:rPr/>
        <w:t>的生产模式，按照订单指令安排生产计划。</w:t>
      </w:r>
    </w:p>
    <w:p>
      <w:pPr>
        <w:spacing w:line="240" w:lineRule="auto" w:before="7"/>
        <w:rPr>
          <w:rFonts w:ascii="宋体" w:hAnsi="宋体" w:cs="宋体" w:eastAsia="宋体" w:hint="default"/>
          <w:sz w:val="29"/>
          <w:szCs w:val="29"/>
        </w:rPr>
      </w:pPr>
    </w:p>
    <w:p>
      <w:pPr>
        <w:pStyle w:val="BodyText"/>
        <w:spacing w:line="240" w:lineRule="auto"/>
        <w:ind w:left="1362" w:right="0"/>
        <w:jc w:val="left"/>
      </w:pPr>
      <w:r>
        <w:rPr/>
        <w:t>（</w:t>
      </w:r>
      <w:r>
        <w:rPr>
          <w:rFonts w:ascii="Times New Roman" w:hAnsi="Times New Roman" w:cs="Times New Roman" w:eastAsia="Times New Roman" w:hint="default"/>
        </w:rPr>
        <w:t>7</w:t>
      </w:r>
      <w:r>
        <w:rPr/>
        <w:t>）销售毛利率变动情况</w:t>
      </w:r>
    </w:p>
    <w:p>
      <w:pPr>
        <w:spacing w:line="240" w:lineRule="auto" w:before="7"/>
        <w:rPr>
          <w:rFonts w:ascii="宋体" w:hAnsi="宋体" w:cs="宋体" w:eastAsia="宋体" w:hint="default"/>
          <w:sz w:val="11"/>
          <w:szCs w:val="11"/>
        </w:rPr>
      </w:pPr>
    </w:p>
    <w:tbl>
      <w:tblPr>
        <w:tblW w:w="0" w:type="auto"/>
        <w:jc w:val="left"/>
        <w:tblInd w:w="829" w:type="dxa"/>
        <w:tblLayout w:type="fixed"/>
        <w:tblCellMar>
          <w:top w:w="0" w:type="dxa"/>
          <w:left w:w="0" w:type="dxa"/>
          <w:bottom w:w="0" w:type="dxa"/>
          <w:right w:w="0" w:type="dxa"/>
        </w:tblCellMar>
        <w:tblLook w:val="01E0"/>
      </w:tblPr>
      <w:tblGrid>
        <w:gridCol w:w="1704"/>
        <w:gridCol w:w="1704"/>
        <w:gridCol w:w="1560"/>
        <w:gridCol w:w="1956"/>
        <w:gridCol w:w="1598"/>
      </w:tblGrid>
      <w:tr>
        <w:trPr>
          <w:trHeight w:val="419"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4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43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1"/>
                <w:szCs w:val="21"/>
              </w:rPr>
            </w:pPr>
            <w:r>
              <w:rPr>
                <w:rFonts w:ascii="Times New Roman"/>
                <w:sz w:val="21"/>
              </w:rPr>
              <w:t>15.86%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78"/>
              <w:jc w:val="right"/>
              <w:rPr>
                <w:rFonts w:ascii="Times New Roman" w:hAnsi="Times New Roman" w:cs="Times New Roman" w:eastAsia="Times New Roman" w:hint="default"/>
                <w:sz w:val="21"/>
                <w:szCs w:val="21"/>
              </w:rPr>
            </w:pPr>
            <w:r>
              <w:rPr>
                <w:rFonts w:ascii="Times New Roman"/>
                <w:w w:val="95"/>
                <w:sz w:val="21"/>
              </w:rPr>
              <w:t>19.88%</w:t>
            </w:r>
            <w:r>
              <w:rPr>
                <w:rFonts w:ascii="Times New Roman"/>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3" w:right="0"/>
              <w:jc w:val="left"/>
              <w:rPr>
                <w:rFonts w:ascii="Times New Roman" w:hAnsi="Times New Roman" w:cs="Times New Roman" w:eastAsia="Times New Roman" w:hint="default"/>
                <w:sz w:val="21"/>
                <w:szCs w:val="21"/>
              </w:rPr>
            </w:pPr>
            <w:r>
              <w:rPr>
                <w:rFonts w:ascii="Times New Roman"/>
                <w:sz w:val="21"/>
              </w:rPr>
              <w:t>-4.01%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9" w:right="0"/>
              <w:jc w:val="center"/>
              <w:rPr>
                <w:rFonts w:ascii="Times New Roman" w:hAnsi="Times New Roman" w:cs="Times New Roman" w:eastAsia="Times New Roman" w:hint="default"/>
                <w:sz w:val="21"/>
                <w:szCs w:val="21"/>
              </w:rPr>
            </w:pPr>
            <w:r>
              <w:rPr>
                <w:rFonts w:ascii="Times New Roman"/>
                <w:sz w:val="21"/>
              </w:rPr>
              <w:t>21.18%</w:t>
            </w:r>
          </w:p>
        </w:tc>
      </w:tr>
    </w:tbl>
    <w:p>
      <w:pPr>
        <w:pStyle w:val="BodyText"/>
        <w:spacing w:line="241" w:lineRule="exact"/>
        <w:ind w:left="1362" w:right="0"/>
        <w:jc w:val="left"/>
      </w:pPr>
      <w:r>
        <w:rPr/>
        <w:t>报告期内，由于主营业务产品市场竞争加剧，原材料、人工等成本的上升，导致销售毛</w:t>
      </w:r>
    </w:p>
    <w:p>
      <w:pPr>
        <w:pStyle w:val="BodyText"/>
        <w:spacing w:line="240" w:lineRule="auto" w:before="133"/>
        <w:ind w:left="942" w:right="0"/>
        <w:jc w:val="left"/>
      </w:pPr>
      <w:r>
        <w:rPr/>
        <w:t>利率有所下降。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4"/>
        <w:ind w:left="1362" w:right="0"/>
        <w:jc w:val="left"/>
      </w:pPr>
      <w:r>
        <w:rPr>
          <w:rFonts w:ascii="Times New Roman" w:hAnsi="Times New Roman" w:cs="Times New Roman" w:eastAsia="Times New Roman" w:hint="default"/>
        </w:rPr>
        <w:t>2</w:t>
      </w:r>
      <w:r>
        <w:rPr/>
        <w:t>、报告期内公司主要资产构成情况</w:t>
      </w:r>
    </w:p>
    <w:p>
      <w:pPr>
        <w:pStyle w:val="BodyText"/>
        <w:spacing w:line="240" w:lineRule="auto" w:before="119"/>
        <w:ind w:left="0" w:right="822"/>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829" w:type="dxa"/>
        <w:tblLayout w:type="fixed"/>
        <w:tblCellMar>
          <w:top w:w="0" w:type="dxa"/>
          <w:left w:w="0" w:type="dxa"/>
          <w:bottom w:w="0" w:type="dxa"/>
          <w:right w:w="0" w:type="dxa"/>
        </w:tblCellMar>
        <w:tblLook w:val="01E0"/>
      </w:tblPr>
      <w:tblGrid>
        <w:gridCol w:w="1658"/>
        <w:gridCol w:w="1529"/>
        <w:gridCol w:w="1145"/>
        <w:gridCol w:w="1529"/>
        <w:gridCol w:w="1147"/>
        <w:gridCol w:w="1507"/>
      </w:tblGrid>
      <w:tr>
        <w:trPr>
          <w:trHeight w:val="336" w:hRule="exact"/>
        </w:trPr>
        <w:tc>
          <w:tcPr>
            <w:tcW w:w="1658" w:type="dxa"/>
            <w:vMerge w:val="restart"/>
            <w:tcBorders>
              <w:top w:val="single" w:sz="4" w:space="0" w:color="000000"/>
              <w:left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60"/>
              <w:ind w:left="328"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336" w:hRule="exact"/>
        </w:trPr>
        <w:tc>
          <w:tcPr>
            <w:tcW w:w="1658"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507" w:type="dxa"/>
            <w:vMerge/>
            <w:tcBorders>
              <w:left w:val="single" w:sz="4" w:space="0" w:color="000000"/>
              <w:bottom w:val="single" w:sz="4" w:space="0" w:color="000000"/>
              <w:right w:val="single" w:sz="4" w:space="0" w:color="000000"/>
            </w:tcBorders>
          </w:tcPr>
          <w:p>
            <w:pP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273,641,412.08</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33.75%</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75,639,045.68</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20.44%</w:t>
            </w:r>
            <w:r>
              <w:rPr>
                <w:rFonts w:ascii="Times New Roman"/>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261.77%</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52,462,873.86</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6.47%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17,595,267.17</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4.75%</w:t>
            </w:r>
            <w:r>
              <w:rPr>
                <w:rFonts w:ascii="Times New Roman"/>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198.16%</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81,684,397.25</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10.07%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30,569,241.40</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8.26%</w:t>
            </w:r>
            <w:r>
              <w:rPr>
                <w:rFonts w:ascii="Times New Roman"/>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167.21%</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12.38%</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14.60%</w:t>
            </w:r>
            <w:r>
              <w:rPr>
                <w:rFonts w:ascii="Times New Roman"/>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w w:val="95"/>
                <w:sz w:val="21"/>
              </w:rPr>
              <w:t>85.81%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206" w:footer="738" w:top="940" w:bottom="920" w:left="86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658"/>
        <w:gridCol w:w="1529"/>
        <w:gridCol w:w="1145"/>
        <w:gridCol w:w="1529"/>
        <w:gridCol w:w="1145"/>
        <w:gridCol w:w="1510"/>
      </w:tblGrid>
      <w:tr>
        <w:trPr>
          <w:trHeight w:val="341" w:hRule="exact"/>
        </w:trPr>
        <w:tc>
          <w:tcPr>
            <w:tcW w:w="1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21"/>
                <w:szCs w:val="21"/>
              </w:rPr>
            </w:pPr>
            <w:r>
              <w:rPr>
                <w:rFonts w:ascii="Times New Roman"/>
                <w:sz w:val="21"/>
              </w:rPr>
              <w:t>109,336,812.50</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5"/>
                <w:sz w:val="21"/>
              </w:rPr>
              <w:t>13.48%</w:t>
            </w:r>
            <w:r>
              <w:rPr>
                <w:rFonts w:ascii="Times New Roman"/>
                <w:sz w:val="21"/>
              </w:rPr>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21"/>
                <w:szCs w:val="21"/>
              </w:rPr>
            </w:pPr>
            <w:r>
              <w:rPr>
                <w:rFonts w:ascii="Times New Roman"/>
                <w:w w:val="95"/>
                <w:sz w:val="21"/>
              </w:rPr>
              <w:t>74,257,749.83</w:t>
            </w:r>
            <w:r>
              <w:rPr>
                <w:rFonts w:ascii="Times New Roman"/>
                <w:sz w:val="21"/>
              </w:rPr>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21"/>
                <w:szCs w:val="21"/>
              </w:rPr>
            </w:pPr>
            <w:r>
              <w:rPr>
                <w:rFonts w:ascii="Times New Roman"/>
                <w:w w:val="95"/>
                <w:sz w:val="21"/>
              </w:rPr>
              <w:t>20.07%</w:t>
            </w:r>
            <w:r>
              <w:rPr>
                <w:rFonts w:ascii="Times New Roman"/>
                <w:sz w:val="21"/>
              </w:rPr>
            </w:r>
          </w:p>
        </w:tc>
        <w:tc>
          <w:tcPr>
            <w:tcW w:w="15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5"/>
                <w:sz w:val="21"/>
              </w:rPr>
              <w:t>47.24%</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2" w:right="0"/>
              <w:jc w:val="center"/>
              <w:rPr>
                <w:rFonts w:ascii="Times New Roman" w:hAnsi="Times New Roman" w:cs="Times New Roman" w:eastAsia="Times New Roman" w:hint="default"/>
                <w:sz w:val="21"/>
                <w:szCs w:val="21"/>
              </w:rPr>
            </w:pPr>
            <w:r>
              <w:rPr>
                <w:rFonts w:ascii="Times New Roman"/>
                <w:sz w:val="21"/>
              </w:rPr>
              <w:t>8,114,916.34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w w:val="95"/>
                <w:sz w:val="21"/>
              </w:rPr>
              <w:t>452,253.12</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0.12%</w:t>
            </w:r>
            <w:r>
              <w:rPr>
                <w:rFonts w:ascii="Times New Roman"/>
                <w:sz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1694.33%</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1" w:right="0"/>
              <w:jc w:val="center"/>
              <w:rPr>
                <w:rFonts w:ascii="Times New Roman" w:hAnsi="Times New Roman" w:cs="Times New Roman" w:eastAsia="Times New Roman" w:hint="default"/>
                <w:sz w:val="21"/>
                <w:szCs w:val="21"/>
              </w:rPr>
            </w:pPr>
            <w:r>
              <w:rPr>
                <w:rFonts w:ascii="Times New Roman"/>
                <w:sz w:val="21"/>
              </w:rPr>
              <w:t>55,357,966.93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w w:val="95"/>
                <w:sz w:val="21"/>
              </w:rPr>
              <w:t>6.83%</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8,283,326.67</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2.24%</w:t>
            </w:r>
            <w:r>
              <w:rPr>
                <w:rFonts w:ascii="Times New Roman"/>
                <w:sz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568.31%</w:t>
            </w:r>
            <w:r>
              <w:rPr>
                <w:rFonts w:ascii="Times New Roman"/>
                <w:sz w:val="21"/>
              </w:rPr>
            </w:r>
          </w:p>
        </w:tc>
      </w:tr>
      <w:tr>
        <w:trPr>
          <w:trHeight w:val="33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Times New Roman" w:hAnsi="Times New Roman" w:cs="Times New Roman" w:eastAsia="Times New Roman" w:hint="default"/>
                <w:sz w:val="21"/>
                <w:szCs w:val="21"/>
              </w:rPr>
            </w:pPr>
            <w:r>
              <w:rPr>
                <w:rFonts w:ascii="Times New Roman"/>
                <w:sz w:val="21"/>
              </w:rPr>
              <w:t>810,843,968.47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w w:val="95"/>
                <w:sz w:val="21"/>
              </w:rPr>
              <w:t>370,050,922.38</w:t>
            </w:r>
            <w:r>
              <w:rPr>
                <w:rFonts w:ascii="Times New Roman"/>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1"/>
                <w:szCs w:val="21"/>
              </w:rPr>
            </w:pPr>
            <w:r>
              <w:rPr>
                <w:rFonts w:ascii="Times New Roman"/>
                <w:w w:val="95"/>
                <w:sz w:val="21"/>
              </w:rPr>
              <w:t>119.12%</w:t>
            </w:r>
            <w:r>
              <w:rPr>
                <w:rFonts w:ascii="Times New Roman"/>
                <w:sz w:val="21"/>
              </w:rPr>
            </w:r>
          </w:p>
        </w:tc>
      </w:tr>
    </w:tbl>
    <w:p>
      <w:pPr>
        <w:pStyle w:val="BodyText"/>
        <w:spacing w:line="241" w:lineRule="exact"/>
        <w:ind w:left="642" w:right="0"/>
        <w:jc w:val="left"/>
      </w:pPr>
      <w:r>
        <w:rPr>
          <w:spacing w:val="2"/>
          <w:w w:val="99"/>
        </w:rPr>
        <w:t>随</w:t>
      </w:r>
      <w:r>
        <w:rPr>
          <w:w w:val="99"/>
        </w:rPr>
        <w:t>着</w:t>
      </w:r>
      <w:r>
        <w:rPr>
          <w:spacing w:val="2"/>
          <w:w w:val="99"/>
        </w:rPr>
        <w:t>公</w:t>
      </w:r>
      <w:r>
        <w:rPr>
          <w:w w:val="99"/>
        </w:rPr>
        <w:t>司</w:t>
      </w:r>
      <w:r>
        <w:rPr>
          <w:spacing w:val="2"/>
          <w:w w:val="99"/>
        </w:rPr>
        <w:t>经</w:t>
      </w:r>
      <w:r>
        <w:rPr>
          <w:w w:val="99"/>
        </w:rPr>
        <w:t>营</w:t>
      </w:r>
      <w:r>
        <w:rPr>
          <w:spacing w:val="2"/>
          <w:w w:val="99"/>
        </w:rPr>
        <w:t>规</w:t>
      </w:r>
      <w:r>
        <w:rPr>
          <w:w w:val="99"/>
        </w:rPr>
        <w:t>模</w:t>
      </w:r>
      <w:r>
        <w:rPr>
          <w:spacing w:val="2"/>
          <w:w w:val="99"/>
        </w:rPr>
        <w:t>的</w:t>
      </w:r>
      <w:r>
        <w:rPr>
          <w:w w:val="99"/>
        </w:rPr>
        <w:t>不</w:t>
      </w:r>
      <w:r>
        <w:rPr>
          <w:spacing w:val="2"/>
          <w:w w:val="99"/>
        </w:rPr>
        <w:t>断</w:t>
      </w:r>
      <w:r>
        <w:rPr>
          <w:w w:val="99"/>
        </w:rPr>
        <w:t>增</w:t>
      </w:r>
      <w:r>
        <w:rPr>
          <w:spacing w:val="2"/>
          <w:w w:val="99"/>
        </w:rPr>
        <w:t>长</w:t>
      </w:r>
      <w:r>
        <w:rPr>
          <w:spacing w:val="-99"/>
          <w:w w:val="99"/>
        </w:rPr>
        <w:t>，</w:t>
      </w:r>
      <w:r>
        <w:rPr>
          <w:spacing w:val="2"/>
          <w:w w:val="99"/>
        </w:rPr>
        <w:t>报</w:t>
      </w:r>
      <w:r>
        <w:rPr>
          <w:w w:val="99"/>
        </w:rPr>
        <w:t>告</w:t>
      </w:r>
      <w:r>
        <w:rPr>
          <w:spacing w:val="2"/>
          <w:w w:val="99"/>
        </w:rPr>
        <w:t>期</w:t>
      </w:r>
      <w:r>
        <w:rPr>
          <w:w w:val="99"/>
        </w:rPr>
        <w:t>内</w:t>
      </w:r>
      <w:r>
        <w:rPr>
          <w:spacing w:val="2"/>
          <w:w w:val="99"/>
        </w:rPr>
        <w:t>公</w:t>
      </w:r>
      <w:r>
        <w:rPr>
          <w:w w:val="99"/>
        </w:rPr>
        <w:t>司</w:t>
      </w:r>
      <w:r>
        <w:rPr>
          <w:spacing w:val="2"/>
          <w:w w:val="99"/>
        </w:rPr>
        <w:t>的</w:t>
      </w:r>
      <w:r>
        <w:rPr>
          <w:w w:val="99"/>
        </w:rPr>
        <w:t>流</w:t>
      </w:r>
      <w:r>
        <w:rPr>
          <w:spacing w:val="2"/>
          <w:w w:val="99"/>
        </w:rPr>
        <w:t>动</w:t>
      </w:r>
      <w:r>
        <w:rPr>
          <w:w w:val="99"/>
        </w:rPr>
        <w:t>资</w:t>
      </w:r>
      <w:r>
        <w:rPr>
          <w:spacing w:val="2"/>
          <w:w w:val="99"/>
        </w:rPr>
        <w:t>产</w:t>
      </w:r>
      <w:r>
        <w:rPr>
          <w:w w:val="99"/>
        </w:rPr>
        <w:t>和</w:t>
      </w:r>
      <w:r>
        <w:rPr>
          <w:spacing w:val="2"/>
          <w:w w:val="99"/>
        </w:rPr>
        <w:t>固</w:t>
      </w:r>
      <w:r>
        <w:rPr>
          <w:w w:val="99"/>
        </w:rPr>
        <w:t>定</w:t>
      </w:r>
      <w:r>
        <w:rPr>
          <w:spacing w:val="2"/>
          <w:w w:val="99"/>
        </w:rPr>
        <w:t>资</w:t>
      </w:r>
      <w:r>
        <w:rPr>
          <w:w w:val="99"/>
        </w:rPr>
        <w:t>产</w:t>
      </w:r>
      <w:r>
        <w:rPr>
          <w:spacing w:val="2"/>
          <w:w w:val="99"/>
        </w:rPr>
        <w:t>均</w:t>
      </w:r>
      <w:r>
        <w:rPr>
          <w:w w:val="99"/>
        </w:rPr>
        <w:t>呈</w:t>
      </w:r>
      <w:r>
        <w:rPr>
          <w:spacing w:val="2"/>
          <w:w w:val="99"/>
        </w:rPr>
        <w:t>现</w:t>
      </w:r>
      <w:r>
        <w:rPr>
          <w:w w:val="99"/>
        </w:rPr>
        <w:t>不</w:t>
      </w:r>
      <w:r>
        <w:rPr>
          <w:spacing w:val="2"/>
          <w:w w:val="99"/>
        </w:rPr>
        <w:t>同</w:t>
      </w:r>
      <w:r>
        <w:rPr>
          <w:w w:val="99"/>
        </w:rPr>
        <w:t>幅</w:t>
      </w:r>
      <w:r>
        <w:rPr>
          <w:spacing w:val="2"/>
          <w:w w:val="99"/>
        </w:rPr>
        <w:t>度</w:t>
      </w:r>
      <w:r>
        <w:rPr>
          <w:w w:val="99"/>
        </w:rPr>
        <w:t>增</w:t>
      </w:r>
      <w:r>
        <w:rPr/>
      </w:r>
    </w:p>
    <w:p>
      <w:pPr>
        <w:pStyle w:val="BodyText"/>
        <w:spacing w:line="240" w:lineRule="auto" w:before="133"/>
        <w:ind w:left="222" w:right="229"/>
        <w:jc w:val="left"/>
      </w:pPr>
      <w:r>
        <w:rPr/>
        <w:t>长。</w:t>
      </w:r>
    </w:p>
    <w:p>
      <w:pPr>
        <w:pStyle w:val="BodyText"/>
        <w:spacing w:line="345" w:lineRule="auto" w:before="133"/>
        <w:ind w:left="222" w:right="241" w:firstLine="420"/>
        <w:jc w:val="both"/>
      </w:pPr>
      <w:r>
        <w:rPr/>
        <w:t>（</w:t>
      </w:r>
      <w:r>
        <w:rPr>
          <w:rFonts w:ascii="Times New Roman" w:hAnsi="Times New Roman" w:cs="Times New Roman" w:eastAsia="Times New Roman" w:hint="default"/>
        </w:rPr>
        <w:t>1</w:t>
      </w:r>
      <w:r>
        <w:rPr/>
        <w:t>）货币资金：主要原因是报告期内公司收到首次公开发行股票的募集资金，其次公</w:t>
      </w:r>
      <w:r>
        <w:rPr>
          <w:w w:val="99"/>
        </w:rPr>
        <w:t> </w:t>
      </w:r>
      <w:r>
        <w:rPr>
          <w:spacing w:val="-2"/>
          <w:w w:val="95"/>
        </w:rPr>
        <w:t>司销售规模扩大，盈利能力稳定，且应收款项控制良好，因此货币资金占总资产的比例显著</w:t>
      </w:r>
      <w:r>
        <w:rPr>
          <w:spacing w:val="91"/>
          <w:w w:val="95"/>
        </w:rPr>
        <w:t> </w:t>
      </w:r>
      <w:r>
        <w:rPr>
          <w:spacing w:val="91"/>
          <w:w w:val="95"/>
        </w:rPr>
      </w:r>
      <w:r>
        <w:rPr/>
        <w:t>提高。</w:t>
      </w:r>
    </w:p>
    <w:p>
      <w:pPr>
        <w:pStyle w:val="BodyText"/>
        <w:spacing w:line="336" w:lineRule="auto" w:before="43"/>
        <w:ind w:left="222" w:right="244" w:firstLine="420"/>
        <w:jc w:val="both"/>
      </w:pPr>
      <w:r>
        <w:rPr/>
        <w:t>（</w:t>
      </w:r>
      <w:r>
        <w:rPr>
          <w:rFonts w:ascii="Times New Roman" w:hAnsi="Times New Roman" w:cs="Times New Roman" w:eastAsia="Times New Roman" w:hint="default"/>
        </w:rPr>
        <w:t>2</w:t>
      </w:r>
      <w:r>
        <w:rPr/>
        <w:t>）应收票据：主要是销售收入大幅增长，客户采取银行承兑汇票结算的金额相应增</w:t>
      </w:r>
      <w:r>
        <w:rPr>
          <w:w w:val="99"/>
        </w:rPr>
        <w:t> </w:t>
      </w:r>
      <w:r>
        <w:rPr/>
        <w:t>加。</w:t>
      </w:r>
    </w:p>
    <w:p>
      <w:pPr>
        <w:pStyle w:val="BodyText"/>
        <w:spacing w:line="345" w:lineRule="auto" w:before="49"/>
        <w:ind w:left="222" w:right="241" w:firstLine="420"/>
        <w:jc w:val="both"/>
      </w:pPr>
      <w:r>
        <w:rPr/>
        <w:t>（</w:t>
      </w:r>
      <w:r>
        <w:rPr>
          <w:rFonts w:ascii="Times New Roman" w:hAnsi="Times New Roman" w:cs="Times New Roman" w:eastAsia="Times New Roman" w:hint="default"/>
        </w:rPr>
        <w:t>3</w:t>
      </w:r>
      <w:r>
        <w:rPr/>
        <w:t>）预付账款：主要是当期新设的隆泰子公司工程款和设备款。以及母公司预付的原</w:t>
      </w:r>
      <w:r>
        <w:rPr>
          <w:w w:val="99"/>
        </w:rPr>
        <w:t> </w:t>
      </w:r>
      <w:r>
        <w:rPr>
          <w:spacing w:val="-2"/>
          <w:w w:val="95"/>
        </w:rPr>
        <w:t>材料款增加。由于公司生产所需的原材料主要是线材，而目前国内钢厂都是在收到预付款后</w:t>
      </w:r>
      <w:r>
        <w:rPr>
          <w:spacing w:val="93"/>
          <w:w w:val="95"/>
        </w:rPr>
        <w:t> </w:t>
      </w:r>
      <w:r>
        <w:rPr>
          <w:spacing w:val="93"/>
          <w:w w:val="95"/>
        </w:rPr>
      </w:r>
      <w:r>
        <w:rPr/>
        <w:t>才安排生产和供货计划，因此公司需预付一定数量的材料款。</w:t>
      </w:r>
    </w:p>
    <w:p>
      <w:pPr>
        <w:pStyle w:val="BodyText"/>
        <w:spacing w:line="336" w:lineRule="auto" w:before="43"/>
        <w:ind w:left="222" w:right="241" w:firstLine="420"/>
        <w:jc w:val="both"/>
      </w:pPr>
      <w:r>
        <w:rPr>
          <w:spacing w:val="-2"/>
          <w:w w:val="95"/>
        </w:rPr>
        <w:t>（</w:t>
      </w:r>
      <w:r>
        <w:rPr>
          <w:rFonts w:ascii="Times New Roman" w:hAnsi="Times New Roman" w:cs="Times New Roman" w:eastAsia="Times New Roman" w:hint="default"/>
          <w:spacing w:val="-2"/>
          <w:w w:val="95"/>
        </w:rPr>
        <w:t>4</w:t>
      </w:r>
      <w:r>
        <w:rPr>
          <w:spacing w:val="-2"/>
          <w:w w:val="95"/>
        </w:rPr>
        <w:t>）存货：主要系募投项目的逐步建成，产能扩大，相应储备了部分原材料、在产品、</w:t>
      </w:r>
      <w:r>
        <w:rPr>
          <w:w w:val="49"/>
        </w:rPr>
        <w:t> </w:t>
      </w:r>
      <w:r>
        <w:rPr/>
        <w:t>产成品等。</w:t>
      </w:r>
    </w:p>
    <w:p>
      <w:pPr>
        <w:pStyle w:val="BodyText"/>
        <w:spacing w:line="336" w:lineRule="auto" w:before="49"/>
        <w:ind w:left="222" w:right="244" w:firstLine="420"/>
        <w:jc w:val="both"/>
      </w:pPr>
      <w:r>
        <w:rPr/>
        <w:t>（</w:t>
      </w:r>
      <w:r>
        <w:rPr>
          <w:rFonts w:ascii="Times New Roman" w:hAnsi="Times New Roman" w:cs="Times New Roman" w:eastAsia="Times New Roman" w:hint="default"/>
        </w:rPr>
        <w:t>5</w:t>
      </w:r>
      <w:r>
        <w:rPr/>
        <w:t>）固定资产：主要系募投项目逐渐建成和收购中海钢丝绳厂整体资产增加的固定资</w:t>
      </w:r>
      <w:r>
        <w:rPr>
          <w:w w:val="99"/>
        </w:rPr>
        <w:t> </w:t>
      </w:r>
      <w:r>
        <w:rPr/>
        <w:t>产。</w:t>
      </w:r>
    </w:p>
    <w:p>
      <w:pPr>
        <w:pStyle w:val="BodyText"/>
        <w:spacing w:line="336" w:lineRule="auto" w:before="51"/>
        <w:ind w:left="222" w:right="235" w:firstLine="420"/>
        <w:jc w:val="both"/>
      </w:pPr>
      <w:r>
        <w:rPr>
          <w:spacing w:val="-3"/>
        </w:rPr>
        <w:t>（</w:t>
      </w:r>
      <w:r>
        <w:rPr>
          <w:rFonts w:ascii="Times New Roman" w:hAnsi="Times New Roman" w:cs="Times New Roman" w:eastAsia="Times New Roman" w:hint="default"/>
          <w:spacing w:val="-3"/>
        </w:rPr>
        <w:t>6</w:t>
      </w:r>
      <w:r>
        <w:rPr>
          <w:spacing w:val="-3"/>
        </w:rPr>
        <w:t>）在建工程：本期新增投资于年产</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万吨高铁</w:t>
      </w:r>
      <w:r>
        <w:rPr>
          <w:spacing w:val="-57"/>
        </w:rPr>
        <w:t> </w:t>
      </w:r>
      <w:r>
        <w:rPr>
          <w:rFonts w:ascii="Times New Roman" w:hAnsi="Times New Roman" w:cs="Times New Roman" w:eastAsia="Times New Roman" w:hint="default"/>
        </w:rPr>
        <w:t>PC</w:t>
      </w:r>
      <w:r>
        <w:rPr>
          <w:rFonts w:ascii="Times New Roman" w:hAnsi="Times New Roman" w:cs="Times New Roman" w:eastAsia="Times New Roman" w:hint="default"/>
          <w:spacing w:val="-4"/>
        </w:rPr>
        <w:t> </w:t>
      </w:r>
      <w:r>
        <w:rPr>
          <w:spacing w:val="-4"/>
        </w:rPr>
        <w:t>制品项目、年产</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万吨稀土多元</w:t>
      </w:r>
      <w:r>
        <w:rPr>
          <w:w w:val="99"/>
        </w:rPr>
        <w:t> </w:t>
      </w:r>
      <w:r>
        <w:rPr/>
        <w:t>合金渡层钢丝、钢绞线项目的基础建设。</w:t>
      </w:r>
    </w:p>
    <w:p>
      <w:pPr>
        <w:pStyle w:val="BodyText"/>
        <w:spacing w:line="336" w:lineRule="auto" w:before="49"/>
        <w:ind w:left="222" w:right="244" w:firstLine="420"/>
        <w:jc w:val="both"/>
      </w:pPr>
      <w:r>
        <w:rPr/>
        <w:t>（</w:t>
      </w:r>
      <w:r>
        <w:rPr>
          <w:rFonts w:ascii="Times New Roman" w:hAnsi="Times New Roman" w:cs="Times New Roman" w:eastAsia="Times New Roman" w:hint="default"/>
        </w:rPr>
        <w:t>7</w:t>
      </w:r>
      <w:r>
        <w:rPr/>
        <w:t>）无形资产：本期收购中水广海钢丝绳厂整体资产新增的土地使用权和新设全资子</w:t>
      </w:r>
      <w:r>
        <w:rPr>
          <w:w w:val="99"/>
        </w:rPr>
        <w:t> </w:t>
      </w:r>
      <w:r>
        <w:rPr/>
        <w:t>公司隆泰新购置的土地使用权。</w:t>
      </w:r>
    </w:p>
    <w:p>
      <w:pPr>
        <w:spacing w:line="240" w:lineRule="auto" w:before="11"/>
        <w:rPr>
          <w:rFonts w:ascii="宋体" w:hAnsi="宋体" w:cs="宋体" w:eastAsia="宋体" w:hint="default"/>
          <w:sz w:val="28"/>
          <w:szCs w:val="28"/>
        </w:rPr>
      </w:pPr>
    </w:p>
    <w:p>
      <w:pPr>
        <w:pStyle w:val="BodyText"/>
        <w:spacing w:line="240" w:lineRule="auto" w:before="34"/>
        <w:ind w:left="642" w:right="229"/>
        <w:jc w:val="left"/>
      </w:pPr>
      <w:r>
        <w:rPr>
          <w:rFonts w:ascii="Times New Roman" w:hAnsi="Times New Roman" w:cs="Times New Roman" w:eastAsia="Times New Roman" w:hint="default"/>
        </w:rPr>
        <w:t>3</w:t>
      </w:r>
      <w:r>
        <w:rPr/>
        <w:t>、主要费用情况</w:t>
      </w:r>
    </w:p>
    <w:p>
      <w:pPr>
        <w:pStyle w:val="BodyText"/>
        <w:spacing w:line="240" w:lineRule="auto" w:before="119"/>
        <w:ind w:left="0" w:right="2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14"/>
        <w:gridCol w:w="1733"/>
        <w:gridCol w:w="1195"/>
        <w:gridCol w:w="1867"/>
        <w:gridCol w:w="1106"/>
        <w:gridCol w:w="1106"/>
      </w:tblGrid>
      <w:tr>
        <w:trPr>
          <w:trHeight w:val="470" w:hRule="exact"/>
        </w:trPr>
        <w:tc>
          <w:tcPr>
            <w:tcW w:w="151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92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7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106"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pacing w:val="12"/>
                <w:sz w:val="21"/>
                <w:szCs w:val="21"/>
              </w:rPr>
              <w:t>同比增减</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900" w:hRule="exact"/>
        </w:trPr>
        <w:tc>
          <w:tcPr>
            <w:tcW w:w="1514" w:type="dxa"/>
            <w:vMerge/>
            <w:tcBorders>
              <w:left w:val="single" w:sz="8" w:space="0" w:color="000000"/>
              <w:bottom w:val="single" w:sz="8" w:space="0" w:color="000000"/>
              <w:right w:val="single" w:sz="8" w:space="0" w:color="000000"/>
            </w:tcBorders>
          </w:tcPr>
          <w:p>
            <w:pP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440" w:lineRule="exact" w:before="1"/>
              <w:ind w:left="273" w:right="167" w:hanging="106"/>
              <w:jc w:val="left"/>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99"/>
                <w:sz w:val="21"/>
                <w:szCs w:val="21"/>
              </w:rPr>
              <w:t> </w:t>
            </w:r>
            <w:r>
              <w:rPr>
                <w:rFonts w:ascii="宋体" w:hAnsi="宋体" w:cs="宋体" w:eastAsia="宋体" w:hint="default"/>
                <w:sz w:val="21"/>
                <w:szCs w:val="21"/>
              </w:rPr>
              <w:t>入比重</w:t>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440" w:lineRule="exact" w:before="1"/>
              <w:ind w:left="230" w:right="120" w:hanging="106"/>
              <w:jc w:val="left"/>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99"/>
                <w:sz w:val="21"/>
                <w:szCs w:val="21"/>
              </w:rPr>
              <w:t> </w:t>
            </w:r>
            <w:r>
              <w:rPr>
                <w:rFonts w:ascii="宋体" w:hAnsi="宋体" w:cs="宋体" w:eastAsia="宋体" w:hint="default"/>
                <w:sz w:val="21"/>
                <w:szCs w:val="21"/>
              </w:rPr>
              <w:t>入比重</w:t>
            </w:r>
          </w:p>
        </w:tc>
        <w:tc>
          <w:tcPr>
            <w:tcW w:w="1106" w:type="dxa"/>
            <w:vMerge/>
            <w:tcBorders>
              <w:left w:val="single" w:sz="8" w:space="0" w:color="000000"/>
              <w:bottom w:val="single" w:sz="8" w:space="0" w:color="000000"/>
              <w:right w:val="single" w:sz="8" w:space="0" w:color="000000"/>
            </w:tcBorders>
          </w:tcPr>
          <w:p>
            <w:pPr/>
          </w:p>
        </w:tc>
      </w:tr>
      <w:tr>
        <w:trPr>
          <w:trHeight w:val="458" w:hRule="exact"/>
        </w:trPr>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20,783,899.38</w:t>
            </w:r>
            <w:r>
              <w:rPr>
                <w:rFonts w:ascii="Times New Roman"/>
                <w:sz w:val="21"/>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4.39%</w:t>
            </w:r>
            <w:r>
              <w:rPr>
                <w:rFonts w:ascii="Times New Roman"/>
                <w:sz w:val="21"/>
              </w:rPr>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17,280,122.53</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4.17%</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20.28%</w:t>
            </w:r>
            <w:r>
              <w:rPr>
                <w:rFonts w:ascii="Times New Roman"/>
                <w:sz w:val="21"/>
              </w:rPr>
            </w:r>
          </w:p>
        </w:tc>
      </w:tr>
      <w:tr>
        <w:trPr>
          <w:trHeight w:val="461" w:hRule="exact"/>
        </w:trPr>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23,482,910.87</w:t>
            </w:r>
            <w:r>
              <w:rPr>
                <w:rFonts w:ascii="Times New Roman"/>
                <w:sz w:val="21"/>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4.97%</w:t>
            </w:r>
            <w:r>
              <w:rPr>
                <w:rFonts w:ascii="Times New Roman"/>
                <w:sz w:val="21"/>
              </w:rPr>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11,418,969.11</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2.76%</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105.65%</w:t>
            </w:r>
            <w:r>
              <w:rPr>
                <w:rFonts w:ascii="Times New Roman"/>
                <w:sz w:val="21"/>
              </w:rPr>
            </w:r>
          </w:p>
        </w:tc>
      </w:tr>
      <w:tr>
        <w:trPr>
          <w:trHeight w:val="461" w:hRule="exact"/>
        </w:trPr>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2,035,846.99</w:t>
            </w:r>
            <w:r>
              <w:rPr>
                <w:rFonts w:ascii="Times New Roman"/>
                <w:sz w:val="21"/>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0.43%</w:t>
            </w:r>
            <w:r>
              <w:rPr>
                <w:rFonts w:ascii="Times New Roman"/>
                <w:sz w:val="21"/>
              </w:rPr>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6,205,291.80</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1.50%</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-67.19%</w:t>
            </w:r>
            <w:r>
              <w:rPr>
                <w:rFonts w:ascii="Times New Roman"/>
                <w:sz w:val="21"/>
              </w:rPr>
            </w:r>
          </w:p>
        </w:tc>
      </w:tr>
      <w:tr>
        <w:trPr>
          <w:trHeight w:val="458" w:hRule="exact"/>
        </w:trPr>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3,863,243.03</w:t>
            </w:r>
            <w:r>
              <w:rPr>
                <w:rFonts w:ascii="Times New Roman"/>
                <w:sz w:val="21"/>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0.82%</w:t>
            </w:r>
            <w:r>
              <w:rPr>
                <w:rFonts w:ascii="Times New Roman"/>
                <w:sz w:val="21"/>
              </w:rPr>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7,189,997.15</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w w:val="95"/>
                <w:sz w:val="21"/>
              </w:rPr>
              <w:t>1.74%</w:t>
            </w:r>
            <w:r>
              <w:rPr>
                <w:rFonts w:ascii="Times New Roman"/>
                <w:sz w:val="21"/>
              </w:rPr>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w w:val="95"/>
                <w:sz w:val="21"/>
              </w:rPr>
              <w:t>-46.27%</w:t>
            </w:r>
            <w:r>
              <w:rPr>
                <w:rFonts w:ascii="Times New Roman"/>
                <w:sz w:val="21"/>
              </w:rPr>
            </w:r>
          </w:p>
        </w:tc>
      </w:tr>
    </w:tbl>
    <w:p>
      <w:pPr>
        <w:pStyle w:val="BodyText"/>
        <w:spacing w:line="338" w:lineRule="auto" w:before="86"/>
        <w:ind w:left="222" w:right="229" w:firstLine="420"/>
        <w:jc w:val="left"/>
      </w:pPr>
      <w:r>
        <w:rPr/>
        <w:t>（</w:t>
      </w:r>
      <w:r>
        <w:rPr>
          <w:rFonts w:ascii="Times New Roman" w:hAnsi="Times New Roman" w:cs="Times New Roman" w:eastAsia="Times New Roman" w:hint="default"/>
        </w:rPr>
        <w:t>1</w:t>
      </w:r>
      <w:r>
        <w:rPr/>
        <w:t>）报告期内，随着公司生产经营规模不断扩大、产销量不断增长，相应销售费用较</w:t>
      </w:r>
      <w:r>
        <w:rPr>
          <w:w w:val="99"/>
        </w:rPr>
        <w:t> </w:t>
      </w:r>
      <w:r>
        <w:rPr/>
        <w:t>上年同期有所增长，增幅为</w:t>
      </w:r>
      <w:r>
        <w:rPr>
          <w:spacing w:val="-59"/>
        </w:rPr>
        <w:t> </w:t>
      </w:r>
      <w:r>
        <w:rPr>
          <w:rFonts w:ascii="Times New Roman" w:hAnsi="Times New Roman" w:cs="Times New Roman" w:eastAsia="Times New Roman" w:hint="default"/>
        </w:rPr>
        <w:t>20.28%</w:t>
      </w:r>
      <w:r>
        <w:rPr/>
        <w:t>。</w:t>
      </w:r>
    </w:p>
    <w:p>
      <w:pPr>
        <w:spacing w:after="0" w:line="338" w:lineRule="auto"/>
        <w:jc w:val="left"/>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0" w:lineRule="auto"/>
        <w:ind w:left="222" w:right="241" w:firstLine="420"/>
        <w:jc w:val="both"/>
      </w:pPr>
      <w:r>
        <w:rPr>
          <w:w w:val="95"/>
        </w:rPr>
        <w:t>（</w:t>
      </w:r>
      <w:r>
        <w:rPr>
          <w:rFonts w:ascii="Times New Roman" w:hAnsi="Times New Roman" w:cs="Times New Roman" w:eastAsia="Times New Roman" w:hint="default"/>
          <w:w w:val="95"/>
        </w:rPr>
        <w:t>2</w:t>
      </w:r>
      <w:r>
        <w:rPr>
          <w:w w:val="95"/>
        </w:rPr>
        <w:t>）报告期内，管理费用较上年同期增幅为</w:t>
      </w:r>
      <w:r>
        <w:rPr>
          <w:spacing w:val="90"/>
          <w:w w:val="95"/>
        </w:rPr>
        <w:t> </w:t>
      </w:r>
      <w:r>
        <w:rPr>
          <w:rFonts w:ascii="Times New Roman" w:hAnsi="Times New Roman" w:cs="Times New Roman" w:eastAsia="Times New Roman" w:hint="default"/>
          <w:w w:val="95"/>
        </w:rPr>
        <w:t>105.652%</w:t>
      </w:r>
      <w:r>
        <w:rPr>
          <w:w w:val="95"/>
        </w:rPr>
        <w:t>，主要系由于公司经营规模增涨</w:t>
      </w:r>
      <w:r>
        <w:rPr>
          <w:w w:val="99"/>
        </w:rPr>
        <w:t> </w:t>
      </w:r>
      <w:r>
        <w:rPr>
          <w:spacing w:val="-2"/>
          <w:w w:val="95"/>
        </w:rPr>
        <w:t>较快，管理人员薪酬、科技经费、折旧费等相应增长，其次，本期新设广海分公司和全资子</w:t>
      </w:r>
      <w:r>
        <w:rPr>
          <w:spacing w:val="89"/>
          <w:w w:val="95"/>
        </w:rPr>
        <w:t> </w:t>
      </w:r>
      <w:r>
        <w:rPr>
          <w:spacing w:val="89"/>
          <w:w w:val="95"/>
        </w:rPr>
      </w:r>
      <w:r>
        <w:rPr>
          <w:spacing w:val="-2"/>
          <w:w w:val="95"/>
        </w:rPr>
        <w:t>公司，固定资产增加，相应的折旧费增加，以及股票发行上市费用等。其中按新规定计入当</w:t>
      </w:r>
      <w:r>
        <w:rPr>
          <w:spacing w:val="92"/>
          <w:w w:val="95"/>
        </w:rPr>
        <w:t> </w:t>
      </w:r>
      <w:r>
        <w:rPr>
          <w:spacing w:val="92"/>
          <w:w w:val="95"/>
        </w:rPr>
      </w:r>
      <w:r>
        <w:rPr/>
        <w:t>期损益上市费用为</w:t>
      </w:r>
      <w:r>
        <w:rPr>
          <w:spacing w:val="-58"/>
        </w:rPr>
        <w:t> </w:t>
      </w:r>
      <w:r>
        <w:rPr>
          <w:rFonts w:ascii="Times New Roman" w:hAnsi="Times New Roman" w:cs="Times New Roman" w:eastAsia="Times New Roman" w:hint="default"/>
        </w:rPr>
        <w:t>5,544,746.00</w:t>
      </w:r>
      <w:r>
        <w:rPr>
          <w:rFonts w:ascii="Times New Roman" w:hAnsi="Times New Roman" w:cs="Times New Roman" w:eastAsia="Times New Roman" w:hint="default"/>
          <w:spacing w:val="-6"/>
        </w:rPr>
        <w:t> </w:t>
      </w:r>
      <w:r>
        <w:rPr/>
        <w:t>元，使当期管理费用增长较大。</w:t>
      </w:r>
    </w:p>
    <w:p>
      <w:pPr>
        <w:pStyle w:val="BodyText"/>
        <w:spacing w:line="336" w:lineRule="auto" w:before="130"/>
        <w:ind w:left="222" w:right="244" w:firstLine="420"/>
        <w:jc w:val="both"/>
      </w:pPr>
      <w:r>
        <w:rPr/>
        <w:t>（</w:t>
      </w:r>
      <w:r>
        <w:rPr>
          <w:rFonts w:ascii="Times New Roman" w:hAnsi="Times New Roman" w:cs="Times New Roman" w:eastAsia="Times New Roman" w:hint="default"/>
        </w:rPr>
        <w:t>3</w:t>
      </w:r>
      <w:r>
        <w:rPr/>
        <w:t>）报告期内，由于收到的募集资金及归还了银行借款，使得利息支出减少，大幅降</w:t>
      </w:r>
      <w:r>
        <w:rPr>
          <w:w w:val="99"/>
        </w:rPr>
        <w:t> </w:t>
      </w:r>
      <w:r>
        <w:rPr/>
        <w:t>低了公司财务费用。</w:t>
      </w:r>
    </w:p>
    <w:p>
      <w:pPr>
        <w:pStyle w:val="BodyText"/>
        <w:spacing w:line="336" w:lineRule="auto" w:before="171"/>
        <w:ind w:left="222" w:right="241" w:firstLine="420"/>
        <w:jc w:val="both"/>
      </w:pPr>
      <w:r>
        <w:rPr>
          <w:spacing w:val="-2"/>
        </w:rPr>
        <w:t>（</w:t>
      </w:r>
      <w:r>
        <w:rPr>
          <w:rFonts w:ascii="Times New Roman" w:hAnsi="Times New Roman" w:cs="Times New Roman" w:eastAsia="Times New Roman" w:hint="default"/>
          <w:spacing w:val="-2"/>
        </w:rPr>
        <w:t>4</w:t>
      </w:r>
      <w:r>
        <w:rPr>
          <w:spacing w:val="-2"/>
        </w:rPr>
        <w:t>）所得税费用较上年同期增幅</w:t>
      </w:r>
      <w:r>
        <w:rPr>
          <w:rFonts w:ascii="Times New Roman" w:hAnsi="Times New Roman" w:cs="Times New Roman" w:eastAsia="Times New Roman" w:hint="default"/>
          <w:spacing w:val="-2"/>
        </w:rPr>
        <w:t>-46.27%</w:t>
      </w:r>
      <w:r>
        <w:rPr>
          <w:spacing w:val="-2"/>
        </w:rPr>
        <w:t>，是由于当期利润总额下降，相应所得税费用</w:t>
      </w:r>
      <w:r>
        <w:rPr>
          <w:w w:val="99"/>
        </w:rPr>
        <w:t> </w:t>
      </w:r>
      <w:r>
        <w:rPr/>
        <w:t>下降。</w:t>
      </w:r>
    </w:p>
    <w:p>
      <w:pPr>
        <w:spacing w:line="240" w:lineRule="auto" w:before="11"/>
        <w:rPr>
          <w:rFonts w:ascii="宋体" w:hAnsi="宋体" w:cs="宋体" w:eastAsia="宋体" w:hint="default"/>
          <w:sz w:val="28"/>
          <w:szCs w:val="28"/>
        </w:rPr>
      </w:pPr>
    </w:p>
    <w:p>
      <w:pPr>
        <w:pStyle w:val="BodyText"/>
        <w:spacing w:line="240" w:lineRule="auto" w:before="34"/>
        <w:ind w:left="642" w:right="229"/>
        <w:jc w:val="left"/>
      </w:pPr>
      <w:r>
        <w:rPr>
          <w:rFonts w:ascii="Times New Roman" w:hAnsi="Times New Roman" w:cs="Times New Roman" w:eastAsia="Times New Roman" w:hint="default"/>
        </w:rPr>
        <w:t>4</w:t>
      </w:r>
      <w:r>
        <w:rPr/>
        <w:t>、现金流量变动情况</w:t>
      </w:r>
    </w:p>
    <w:p>
      <w:pPr>
        <w:pStyle w:val="BodyText"/>
        <w:spacing w:line="240" w:lineRule="auto" w:before="117"/>
        <w:ind w:left="0" w:right="24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737"/>
        <w:gridCol w:w="1774"/>
        <w:gridCol w:w="1774"/>
        <w:gridCol w:w="1238"/>
      </w:tblGrid>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34"/>
              <w:jc w:val="right"/>
              <w:rPr>
                <w:rFonts w:ascii="Times New Roman" w:hAnsi="Times New Roman" w:cs="Times New Roman" w:eastAsia="Times New Roman" w:hint="default"/>
                <w:sz w:val="21"/>
                <w:szCs w:val="21"/>
              </w:rPr>
            </w:pPr>
            <w:r>
              <w:rPr>
                <w:rFonts w:ascii="Times New Roman"/>
                <w:w w:val="95"/>
                <w:sz w:val="21"/>
              </w:rPr>
              <w:t>-78,828,157.21</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11,786,159.37</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-768.82%</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522,457,168.92</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463,766,615.69</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12.66%</w:t>
            </w:r>
          </w:p>
        </w:tc>
      </w:tr>
      <w:tr>
        <w:trPr>
          <w:trHeight w:val="461"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经营活动产生的现金流出量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601,285,326.13</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451,980,456.32</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33.03%</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81"/>
              <w:jc w:val="right"/>
              <w:rPr>
                <w:rFonts w:ascii="Times New Roman" w:hAnsi="Times New Roman" w:cs="Times New Roman" w:eastAsia="Times New Roman" w:hint="default"/>
                <w:sz w:val="21"/>
                <w:szCs w:val="21"/>
              </w:rPr>
            </w:pPr>
            <w:r>
              <w:rPr>
                <w:rFonts w:ascii="Times New Roman"/>
                <w:w w:val="95"/>
                <w:sz w:val="21"/>
              </w:rPr>
              <w:t>-158,480,429.47</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-46,317,133.44</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242.16%</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458" w:right="0"/>
              <w:jc w:val="left"/>
              <w:rPr>
                <w:rFonts w:ascii="Times New Roman" w:hAnsi="Times New Roman" w:cs="Times New Roman" w:eastAsia="Times New Roman" w:hint="default"/>
                <w:sz w:val="21"/>
                <w:szCs w:val="21"/>
              </w:rPr>
            </w:pPr>
            <w:r>
              <w:rPr>
                <w:rFonts w:ascii="Times New Roman"/>
                <w:sz w:val="21"/>
              </w:rPr>
              <w:t>20,000.00</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投资活动产生的现金流出量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158,500,429.47</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46,317,133.44</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242.21%</w:t>
            </w:r>
          </w:p>
        </w:tc>
      </w:tr>
      <w:tr>
        <w:trPr>
          <w:trHeight w:val="461"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440,155,597.00</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56,763,516.30</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675.42%</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17"/>
              <w:jc w:val="right"/>
              <w:rPr>
                <w:rFonts w:ascii="Times New Roman" w:hAnsi="Times New Roman" w:cs="Times New Roman" w:eastAsia="Times New Roman" w:hint="default"/>
                <w:sz w:val="21"/>
                <w:szCs w:val="21"/>
              </w:rPr>
            </w:pPr>
            <w:r>
              <w:rPr>
                <w:rFonts w:ascii="Times New Roman"/>
                <w:w w:val="95"/>
                <w:sz w:val="21"/>
              </w:rPr>
              <w:t>722,308,936.18</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184,662,000.00</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291.15%</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筹资活动产生的现金流出量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282,153,339.18</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127,898,483.70</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120.61%</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217"/>
              <w:jc w:val="right"/>
              <w:rPr>
                <w:rFonts w:ascii="Times New Roman" w:hAnsi="Times New Roman" w:cs="Times New Roman" w:eastAsia="Times New Roman" w:hint="default"/>
                <w:sz w:val="21"/>
                <w:szCs w:val="21"/>
              </w:rPr>
            </w:pPr>
            <w:r>
              <w:rPr>
                <w:rFonts w:ascii="Times New Roman"/>
                <w:w w:val="95"/>
                <w:sz w:val="21"/>
              </w:rPr>
              <w:t>202,847,010.32</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22,232,542.23</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sz w:val="21"/>
              </w:rPr>
              <w:t>812.39%</w:t>
            </w:r>
          </w:p>
        </w:tc>
      </w:tr>
    </w:tbl>
    <w:p>
      <w:pPr>
        <w:pStyle w:val="BodyText"/>
        <w:spacing w:line="350" w:lineRule="auto" w:before="88"/>
        <w:ind w:left="222" w:right="237" w:firstLine="420"/>
        <w:jc w:val="both"/>
      </w:pPr>
      <w:r>
        <w:rPr>
          <w:w w:val="95"/>
        </w:rPr>
        <w:t>（</w:t>
      </w:r>
      <w:r>
        <w:rPr>
          <w:rFonts w:ascii="Times New Roman" w:hAnsi="Times New Roman" w:cs="Times New Roman" w:eastAsia="Times New Roman" w:hint="default"/>
          <w:w w:val="95"/>
        </w:rPr>
        <w:t>1</w:t>
      </w:r>
      <w:r>
        <w:rPr>
          <w:w w:val="95"/>
        </w:rPr>
        <w:t>）报告期内，公司经营活动产生的现金流量净额为</w:t>
      </w:r>
      <w:r>
        <w:rPr>
          <w:rFonts w:ascii="Times New Roman" w:hAnsi="Times New Roman" w:cs="Times New Roman" w:eastAsia="Times New Roman" w:hint="default"/>
          <w:w w:val="95"/>
        </w:rPr>
        <w:t>-78,828,157.21</w:t>
      </w:r>
      <w:r>
        <w:rPr>
          <w:rFonts w:ascii="Times New Roman" w:hAnsi="Times New Roman" w:cs="Times New Roman" w:eastAsia="Times New Roman" w:hint="default"/>
          <w:spacing w:val="35"/>
          <w:w w:val="95"/>
        </w:rPr>
        <w:t> </w:t>
      </w:r>
      <w:r>
        <w:rPr>
          <w:w w:val="95"/>
        </w:rPr>
        <w:t>元，较上年同期变</w:t>
      </w:r>
      <w:r>
        <w:rPr>
          <w:w w:val="99"/>
        </w:rPr>
        <w:t> </w:t>
      </w:r>
      <w:r>
        <w:rPr>
          <w:spacing w:val="-2"/>
          <w:w w:val="95"/>
        </w:rPr>
        <w:t>动幅度较大，主要系一方面客户采取银行承兑汇票结算的金额相应增加，另一方面由于本公</w:t>
      </w:r>
      <w:r>
        <w:rPr>
          <w:spacing w:val="93"/>
          <w:w w:val="95"/>
        </w:rPr>
        <w:t> </w:t>
      </w:r>
      <w:r>
        <w:rPr>
          <w:spacing w:val="93"/>
          <w:w w:val="95"/>
        </w:rPr>
      </w:r>
      <w:r>
        <w:rPr>
          <w:spacing w:val="2"/>
        </w:rPr>
        <w:t>司生产所需原材料主要是线材，而目前国内钢厂一般在预付款到账后</w:t>
      </w:r>
      <w:r>
        <w:rPr>
          <w:spacing w:val="-81"/>
        </w:rPr>
        <w:t> </w:t>
      </w:r>
      <w:r>
        <w:rPr>
          <w:spacing w:val="2"/>
        </w:rPr>
        <w:t>才安排生产和供货计</w:t>
      </w:r>
      <w:r>
        <w:rPr>
          <w:w w:val="99"/>
        </w:rPr>
        <w:t> </w:t>
      </w:r>
      <w:r>
        <w:rPr>
          <w:spacing w:val="-2"/>
          <w:w w:val="95"/>
        </w:rPr>
        <w:t>划，因此预付一定量的材料款，以及公司为满足交货需要，储备一定数量的存货以满足生产</w:t>
      </w:r>
      <w:r>
        <w:rPr>
          <w:spacing w:val="92"/>
          <w:w w:val="95"/>
        </w:rPr>
        <w:t> </w:t>
      </w:r>
      <w:r>
        <w:rPr>
          <w:spacing w:val="92"/>
          <w:w w:val="95"/>
        </w:rPr>
      </w:r>
      <w:r>
        <w:rPr/>
        <w:t>经营需要所致。</w:t>
      </w:r>
    </w:p>
    <w:p>
      <w:pPr>
        <w:pStyle w:val="BodyText"/>
        <w:spacing w:line="345" w:lineRule="auto" w:before="159"/>
        <w:ind w:left="222" w:right="241" w:firstLine="420"/>
        <w:jc w:val="both"/>
      </w:pPr>
      <w:r>
        <w:rPr/>
        <w:t>（</w:t>
      </w:r>
      <w:r>
        <w:rPr>
          <w:rFonts w:ascii="Times New Roman" w:hAnsi="Times New Roman" w:cs="Times New Roman" w:eastAsia="Times New Roman" w:hint="default"/>
        </w:rPr>
        <w:t>2</w:t>
      </w:r>
      <w:r>
        <w:rPr/>
        <w:t>）报告期内，公司投资活动产生的现金流量净额为</w:t>
      </w:r>
      <w:r>
        <w:rPr>
          <w:rFonts w:ascii="Times New Roman" w:hAnsi="Times New Roman" w:cs="Times New Roman" w:eastAsia="Times New Roman" w:hint="default"/>
        </w:rPr>
        <w:t>-158,480,429.47</w:t>
      </w:r>
      <w:r>
        <w:rPr>
          <w:rFonts w:ascii="Times New Roman" w:hAnsi="Times New Roman" w:cs="Times New Roman" w:eastAsia="Times New Roman" w:hint="default"/>
          <w:spacing w:val="16"/>
        </w:rPr>
        <w:t> </w:t>
      </w:r>
      <w:r>
        <w:rPr/>
        <w:t>元，较上年同期</w:t>
      </w:r>
      <w:r>
        <w:rPr>
          <w:w w:val="99"/>
        </w:rPr>
        <w:t> </w:t>
      </w:r>
      <w:r>
        <w:rPr>
          <w:spacing w:val="-2"/>
          <w:w w:val="95"/>
        </w:rPr>
        <w:t>变动幅度较大，主要系公司建设募投项目购建固定资产、收购中水广海钢丝绳厂整体资产以</w:t>
      </w:r>
      <w:r>
        <w:rPr>
          <w:spacing w:val="92"/>
          <w:w w:val="95"/>
        </w:rPr>
        <w:t> </w:t>
      </w:r>
      <w:r>
        <w:rPr>
          <w:spacing w:val="92"/>
          <w:w w:val="95"/>
        </w:rPr>
      </w:r>
      <w:r>
        <w:rPr/>
        <w:t>及新购置的土地使用权等所致。</w:t>
      </w:r>
    </w:p>
    <w:p>
      <w:pPr>
        <w:pStyle w:val="BodyText"/>
        <w:spacing w:line="240" w:lineRule="auto" w:before="160"/>
        <w:ind w:left="642" w:right="223"/>
        <w:jc w:val="left"/>
      </w:pPr>
      <w:r>
        <w:rPr>
          <w:spacing w:val="2"/>
        </w:rPr>
        <w:t>（</w:t>
      </w:r>
      <w:r>
        <w:rPr>
          <w:rFonts w:ascii="Times New Roman" w:hAnsi="Times New Roman" w:cs="Times New Roman" w:eastAsia="Times New Roman" w:hint="default"/>
          <w:spacing w:val="2"/>
        </w:rPr>
        <w:t>3</w:t>
      </w:r>
      <w:r>
        <w:rPr>
          <w:spacing w:val="2"/>
        </w:rPr>
        <w:t>）报告期内，公司的筹资活动产生的现金流量净额为</w:t>
      </w:r>
      <w:r>
        <w:rPr>
          <w:spacing w:val="-64"/>
        </w:rPr>
        <w:t> </w:t>
      </w:r>
      <w:r>
        <w:rPr>
          <w:rFonts w:ascii="Times New Roman" w:hAnsi="Times New Roman" w:cs="Times New Roman" w:eastAsia="Times New Roman" w:hint="default"/>
        </w:rPr>
        <w:t>440,155,597.00</w:t>
      </w:r>
      <w:r>
        <w:rPr>
          <w:rFonts w:ascii="Times New Roman" w:hAnsi="Times New Roman" w:cs="Times New Roman" w:eastAsia="Times New Roman" w:hint="default"/>
          <w:spacing w:val="-13"/>
        </w:rPr>
        <w:t> </w:t>
      </w:r>
      <w:r>
        <w:rPr>
          <w:spacing w:val="2"/>
        </w:rPr>
        <w:t>元，较上年同</w:t>
      </w:r>
    </w:p>
    <w:p>
      <w:pPr>
        <w:spacing w:after="0" w:line="240" w:lineRule="auto"/>
        <w:jc w:val="left"/>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922" w:right="0"/>
        <w:jc w:val="left"/>
      </w:pPr>
      <w:r>
        <w:rPr/>
        <w:t>期变动幅度较大，主要系公司收到首次公开发行股票的募集资金所致。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4"/>
        <w:ind w:left="1342" w:right="0"/>
        <w:jc w:val="left"/>
      </w:pPr>
      <w:r>
        <w:rPr>
          <w:rFonts w:ascii="Times New Roman" w:hAnsi="Times New Roman" w:cs="Times New Roman" w:eastAsia="Times New Roman" w:hint="default"/>
        </w:rPr>
        <w:t>5</w:t>
      </w:r>
      <w:r>
        <w:rPr/>
        <w:t>、存货情况</w:t>
      </w:r>
    </w:p>
    <w:p>
      <w:pPr>
        <w:pStyle w:val="BodyText"/>
        <w:spacing w:line="240" w:lineRule="auto" w:before="119"/>
        <w:ind w:left="0" w:right="8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694"/>
        <w:gridCol w:w="1560"/>
        <w:gridCol w:w="1080"/>
        <w:gridCol w:w="1529"/>
        <w:gridCol w:w="1440"/>
        <w:gridCol w:w="1080"/>
        <w:gridCol w:w="1445"/>
      </w:tblGrid>
      <w:tr>
        <w:trPr>
          <w:trHeight w:val="419" w:hRule="exact"/>
        </w:trPr>
        <w:tc>
          <w:tcPr>
            <w:tcW w:w="169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69"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1694" w:type="dxa"/>
            <w:vMerge/>
            <w:tcBorders>
              <w:left w:val="single" w:sz="4" w:space="0" w:color="000000"/>
              <w:bottom w:val="single" w:sz="4" w:space="0" w:color="000000"/>
              <w:right w:val="single" w:sz="4" w:space="0" w:color="000000"/>
            </w:tcBorders>
            <w:shd w:val="clear" w:color="auto" w:fill="DBDBDB"/>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right="113"/>
              <w:jc w:val="right"/>
              <w:rPr>
                <w:rFonts w:ascii="宋体" w:hAnsi="宋体" w:cs="宋体" w:eastAsia="宋体" w:hint="default"/>
                <w:sz w:val="21"/>
                <w:szCs w:val="21"/>
              </w:rPr>
            </w:pPr>
            <w:r>
              <w:rPr>
                <w:rFonts w:ascii="宋体" w:hAnsi="宋体" w:cs="宋体" w:eastAsia="宋体" w:hint="default"/>
                <w:w w:val="95"/>
                <w:sz w:val="21"/>
                <w:szCs w:val="21"/>
              </w:rPr>
              <w:t>跌价准备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right="110"/>
              <w:jc w:val="right"/>
              <w:rPr>
                <w:rFonts w:ascii="宋体" w:hAnsi="宋体" w:cs="宋体" w:eastAsia="宋体" w:hint="default"/>
                <w:sz w:val="21"/>
                <w:szCs w:val="21"/>
              </w:rPr>
            </w:pPr>
            <w:r>
              <w:rPr>
                <w:rFonts w:ascii="宋体" w:hAnsi="宋体" w:cs="宋体" w:eastAsia="宋体" w:hint="default"/>
                <w:w w:val="95"/>
                <w:sz w:val="21"/>
                <w:szCs w:val="21"/>
              </w:rPr>
              <w:t>跌价准备</w:t>
            </w:r>
            <w:r>
              <w:rPr>
                <w:rFonts w:ascii="宋体" w:hAnsi="宋体" w:cs="宋体" w:eastAsia="宋体" w:hint="default"/>
                <w:sz w:val="21"/>
                <w:szCs w:val="21"/>
              </w:rPr>
            </w:r>
          </w:p>
        </w:tc>
        <w:tc>
          <w:tcPr>
            <w:tcW w:w="14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9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8"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spacing w:val="-1"/>
                <w:sz w:val="21"/>
              </w:rPr>
              <w:t>11,766,282.65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spacing w:val="-1"/>
                <w:sz w:val="21"/>
              </w:rPr>
              <w:t>11,766,282.65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13,708,605.44</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13,708,605.44</w:t>
            </w:r>
            <w:r>
              <w:rPr>
                <w:rFonts w:ascii="Times New Roman"/>
                <w:sz w:val="21"/>
              </w:rPr>
            </w:r>
          </w:p>
        </w:tc>
      </w:tr>
      <w:tr>
        <w:trPr>
          <w:trHeight w:val="418"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21,066,483.46</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21,066,483.46</w:t>
            </w:r>
            <w:r>
              <w:rPr>
                <w:rFonts w:ascii="Times New Roman"/>
                <w:sz w:val="21"/>
              </w:rPr>
            </w:r>
          </w:p>
        </w:tc>
      </w:tr>
      <w:tr>
        <w:trPr>
          <w:trHeight w:val="420"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45,787,304.13</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45,787,304.13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18,996,715.20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18,996,715.20</w:t>
            </w:r>
            <w:r>
              <w:rPr>
                <w:rFonts w:ascii="Times New Roman"/>
                <w:sz w:val="21"/>
              </w:rPr>
            </w:r>
          </w:p>
        </w:tc>
      </w:tr>
      <w:tr>
        <w:trPr>
          <w:trHeight w:val="418"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267,826.26</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267,826.26</w:t>
            </w:r>
            <w:r>
              <w:rPr>
                <w:rFonts w:ascii="Times New Roman"/>
                <w:sz w:val="21"/>
              </w:rPr>
            </w:r>
          </w:p>
        </w:tc>
      </w:tr>
      <w:tr>
        <w:trPr>
          <w:trHeight w:val="419"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r>
    </w:tbl>
    <w:p>
      <w:pPr>
        <w:pStyle w:val="BodyText"/>
        <w:spacing w:line="257" w:lineRule="exact"/>
        <w:ind w:left="1342" w:right="0"/>
        <w:jc w:val="left"/>
      </w:pPr>
      <w:r>
        <w:rPr>
          <w:spacing w:val="2"/>
          <w:w w:val="99"/>
        </w:rPr>
        <w:t>（</w:t>
      </w:r>
      <w:r>
        <w:rPr>
          <w:rFonts w:ascii="Times New Roman" w:hAnsi="Times New Roman" w:cs="Times New Roman" w:eastAsia="Times New Roman" w:hint="default"/>
          <w:spacing w:val="1"/>
          <w:w w:val="99"/>
        </w:rPr>
        <w:t>1</w:t>
      </w:r>
      <w:r>
        <w:rPr>
          <w:w w:val="99"/>
        </w:rPr>
        <w:t>）</w:t>
      </w:r>
      <w:r>
        <w:rPr/>
        <w:t> </w:t>
      </w:r>
      <w:r>
        <w:rPr>
          <w:spacing w:val="2"/>
          <w:w w:val="99"/>
        </w:rPr>
        <w:t>公</w:t>
      </w:r>
      <w:r>
        <w:rPr>
          <w:w w:val="99"/>
        </w:rPr>
        <w:t>司</w:t>
      </w:r>
      <w:r>
        <w:rPr>
          <w:spacing w:val="2"/>
          <w:w w:val="99"/>
        </w:rPr>
        <w:t>存</w:t>
      </w:r>
      <w:r>
        <w:rPr>
          <w:w w:val="99"/>
        </w:rPr>
        <w:t>货</w:t>
      </w:r>
      <w:r>
        <w:rPr>
          <w:spacing w:val="2"/>
          <w:w w:val="99"/>
        </w:rPr>
        <w:t>主</w:t>
      </w:r>
      <w:r>
        <w:rPr>
          <w:w w:val="99"/>
        </w:rPr>
        <w:t>要</w:t>
      </w:r>
      <w:r>
        <w:rPr>
          <w:spacing w:val="2"/>
          <w:w w:val="99"/>
        </w:rPr>
        <w:t>由</w:t>
      </w:r>
      <w:r>
        <w:rPr>
          <w:w w:val="99"/>
        </w:rPr>
        <w:t>原</w:t>
      </w:r>
      <w:r>
        <w:rPr>
          <w:spacing w:val="2"/>
          <w:w w:val="99"/>
        </w:rPr>
        <w:t>材</w:t>
      </w:r>
      <w:r>
        <w:rPr>
          <w:w w:val="99"/>
        </w:rPr>
        <w:t>料</w:t>
      </w:r>
      <w:r>
        <w:rPr>
          <w:spacing w:val="2"/>
          <w:w w:val="99"/>
        </w:rPr>
        <w:t>、</w:t>
      </w:r>
      <w:r>
        <w:rPr>
          <w:w w:val="99"/>
        </w:rPr>
        <w:t>在</w:t>
      </w:r>
      <w:r>
        <w:rPr>
          <w:spacing w:val="2"/>
          <w:w w:val="99"/>
        </w:rPr>
        <w:t>产</w:t>
      </w:r>
      <w:r>
        <w:rPr>
          <w:w w:val="99"/>
        </w:rPr>
        <w:t>品</w:t>
      </w:r>
      <w:r>
        <w:rPr>
          <w:spacing w:val="2"/>
          <w:w w:val="99"/>
        </w:rPr>
        <w:t>及</w:t>
      </w:r>
      <w:r>
        <w:rPr>
          <w:w w:val="99"/>
        </w:rPr>
        <w:t>产</w:t>
      </w:r>
      <w:r>
        <w:rPr>
          <w:spacing w:val="2"/>
          <w:w w:val="99"/>
        </w:rPr>
        <w:t>成</w:t>
      </w:r>
      <w:r>
        <w:rPr>
          <w:w w:val="99"/>
        </w:rPr>
        <w:t>品</w:t>
      </w:r>
      <w:r>
        <w:rPr>
          <w:spacing w:val="2"/>
          <w:w w:val="99"/>
        </w:rPr>
        <w:t>构</w:t>
      </w:r>
      <w:r>
        <w:rPr>
          <w:w w:val="99"/>
        </w:rPr>
        <w:t>成</w:t>
      </w:r>
      <w:r>
        <w:rPr>
          <w:spacing w:val="2"/>
          <w:w w:val="99"/>
        </w:rPr>
        <w:t>，</w:t>
      </w:r>
      <w:r>
        <w:rPr>
          <w:w w:val="99"/>
        </w:rPr>
        <w:t>主</w:t>
      </w:r>
      <w:r>
        <w:rPr>
          <w:spacing w:val="2"/>
          <w:w w:val="99"/>
        </w:rPr>
        <w:t>要</w:t>
      </w:r>
      <w:r>
        <w:rPr>
          <w:w w:val="99"/>
        </w:rPr>
        <w:t>系</w:t>
      </w:r>
      <w:r>
        <w:rPr>
          <w:spacing w:val="2"/>
          <w:w w:val="99"/>
        </w:rPr>
        <w:t>募</w:t>
      </w:r>
      <w:r>
        <w:rPr>
          <w:w w:val="99"/>
        </w:rPr>
        <w:t>投</w:t>
      </w:r>
      <w:r>
        <w:rPr>
          <w:spacing w:val="2"/>
          <w:w w:val="99"/>
        </w:rPr>
        <w:t>项</w:t>
      </w:r>
      <w:r>
        <w:rPr>
          <w:w w:val="99"/>
        </w:rPr>
        <w:t>目</w:t>
      </w:r>
      <w:r>
        <w:rPr>
          <w:spacing w:val="2"/>
          <w:w w:val="99"/>
        </w:rPr>
        <w:t>的</w:t>
      </w:r>
      <w:r>
        <w:rPr>
          <w:w w:val="99"/>
        </w:rPr>
        <w:t>逐</w:t>
      </w:r>
      <w:r>
        <w:rPr>
          <w:spacing w:val="2"/>
          <w:w w:val="99"/>
        </w:rPr>
        <w:t>步</w:t>
      </w:r>
      <w:r>
        <w:rPr>
          <w:w w:val="99"/>
        </w:rPr>
        <w:t>建成</w:t>
      </w:r>
      <w:r>
        <w:rPr>
          <w:spacing w:val="-99"/>
          <w:w w:val="99"/>
        </w:rPr>
        <w:t>，</w:t>
      </w:r>
      <w:r>
        <w:rPr>
          <w:w w:val="99"/>
        </w:rPr>
        <w:t>产</w:t>
      </w:r>
      <w:r>
        <w:rPr/>
      </w:r>
    </w:p>
    <w:p>
      <w:pPr>
        <w:pStyle w:val="BodyText"/>
        <w:spacing w:line="240" w:lineRule="auto" w:before="117"/>
        <w:ind w:left="922" w:right="0"/>
        <w:jc w:val="left"/>
      </w:pPr>
      <w:r>
        <w:rPr/>
        <w:t>能扩大，以及根据订单情况，保障产品及时交付所做的正常储备增加所致。</w:t>
      </w:r>
    </w:p>
    <w:p>
      <w:pPr>
        <w:pStyle w:val="BodyText"/>
        <w:spacing w:line="336" w:lineRule="auto" w:before="135"/>
        <w:ind w:left="922" w:right="0" w:firstLine="420"/>
        <w:jc w:val="left"/>
      </w:pPr>
      <w:r>
        <w:rPr>
          <w:w w:val="95"/>
        </w:rPr>
        <w:t>（</w:t>
      </w:r>
      <w:r>
        <w:rPr>
          <w:rFonts w:ascii="Times New Roman" w:hAnsi="Times New Roman" w:cs="Times New Roman" w:eastAsia="Times New Roman" w:hint="default"/>
          <w:w w:val="95"/>
        </w:rPr>
        <w:t>2</w:t>
      </w:r>
      <w:r>
        <w:rPr>
          <w:w w:val="95"/>
        </w:rPr>
        <w:t>）</w:t>
      </w:r>
      <w:r>
        <w:rPr>
          <w:spacing w:val="54"/>
          <w:w w:val="95"/>
        </w:rPr>
        <w:t> </w:t>
      </w:r>
      <w:r>
        <w:rPr>
          <w:w w:val="95"/>
        </w:rPr>
        <w:t>报告期末，公司对存货进行减值测试，未发生可变现净值低于账面价值的情况，</w:t>
      </w:r>
      <w:r>
        <w:rPr>
          <w:w w:val="51"/>
        </w:rPr>
        <w:t> </w:t>
      </w:r>
      <w:r>
        <w:rPr/>
        <w:t>故未提取存货跌价准备。</w:t>
      </w:r>
    </w:p>
    <w:p>
      <w:pPr>
        <w:spacing w:line="240" w:lineRule="auto" w:before="11"/>
        <w:rPr>
          <w:rFonts w:ascii="宋体" w:hAnsi="宋体" w:cs="宋体" w:eastAsia="宋体" w:hint="default"/>
          <w:sz w:val="28"/>
          <w:szCs w:val="28"/>
        </w:rPr>
      </w:pPr>
    </w:p>
    <w:p>
      <w:pPr>
        <w:pStyle w:val="BodyText"/>
        <w:spacing w:line="240" w:lineRule="auto" w:before="34"/>
        <w:ind w:left="1342" w:right="0"/>
        <w:jc w:val="left"/>
      </w:pPr>
      <w:r>
        <w:rPr>
          <w:rFonts w:ascii="Times New Roman" w:hAnsi="Times New Roman" w:cs="Times New Roman" w:eastAsia="Times New Roman" w:hint="default"/>
        </w:rPr>
        <w:t>6</w:t>
      </w:r>
      <w:r>
        <w:rPr/>
        <w:t>、重要资产情况</w:t>
      </w:r>
    </w:p>
    <w:p>
      <w:pPr>
        <w:pStyle w:val="BodyText"/>
        <w:spacing w:line="240" w:lineRule="auto" w:before="117"/>
        <w:ind w:left="0" w:right="84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804" w:type="dxa"/>
        <w:tblLayout w:type="fixed"/>
        <w:tblCellMar>
          <w:top w:w="0" w:type="dxa"/>
          <w:left w:w="0" w:type="dxa"/>
          <w:bottom w:w="0" w:type="dxa"/>
          <w:right w:w="0" w:type="dxa"/>
        </w:tblCellMar>
        <w:tblLook w:val="01E0"/>
      </w:tblPr>
      <w:tblGrid>
        <w:gridCol w:w="2585"/>
        <w:gridCol w:w="2011"/>
        <w:gridCol w:w="1980"/>
        <w:gridCol w:w="1946"/>
      </w:tblGrid>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期初账面价值</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35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占固定资产比率</w:t>
            </w:r>
            <w:r>
              <w:rPr>
                <w:rFonts w:ascii="Times New Roman" w:hAnsi="Times New Roman" w:cs="Times New Roman" w:eastAsia="Times New Roman" w:hint="default"/>
                <w:sz w:val="21"/>
                <w:szCs w:val="21"/>
              </w:rPr>
              <w:t>%</w:t>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43,778,807.97</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64,241,892.84</w:t>
            </w:r>
            <w:r>
              <w:rPr>
                <w:rFonts w:ascii="Times New Roman"/>
                <w:sz w:val="21"/>
              </w:rPr>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58.76%</w:t>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28,742,887.94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41,694,731.27</w:t>
            </w:r>
            <w:r>
              <w:rPr>
                <w:rFonts w:ascii="Times New Roman"/>
                <w:sz w:val="21"/>
              </w:rPr>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38.13%</w:t>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1,459,719.42</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2,657,808.28</w:t>
            </w:r>
            <w:r>
              <w:rPr>
                <w:rFonts w:ascii="Times New Roman"/>
                <w:sz w:val="21"/>
              </w:rPr>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2.43%</w:t>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0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276,334.50</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742,380.11</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0.68%</w:t>
            </w:r>
          </w:p>
        </w:tc>
      </w:tr>
      <w:tr>
        <w:trPr>
          <w:trHeight w:val="535" w:hRule="exact"/>
        </w:trPr>
        <w:tc>
          <w:tcPr>
            <w:tcW w:w="258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1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74,257,749.83</w:t>
            </w:r>
          </w:p>
        </w:tc>
        <w:tc>
          <w:tcPr>
            <w:tcW w:w="198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109,336,812.50</w:t>
            </w:r>
          </w:p>
        </w:tc>
        <w:tc>
          <w:tcPr>
            <w:tcW w:w="19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57" w:lineRule="exact"/>
        <w:ind w:left="1342" w:right="0"/>
        <w:jc w:val="left"/>
      </w:pPr>
      <w:r>
        <w:rPr/>
        <w:t>（</w:t>
      </w:r>
      <w:r>
        <w:rPr>
          <w:rFonts w:ascii="Times New Roman" w:hAnsi="Times New Roman" w:cs="Times New Roman" w:eastAsia="Times New Roman" w:hint="default"/>
        </w:rPr>
        <w:t>1</w:t>
      </w:r>
      <w:r>
        <w:rPr/>
        <w:t>）报告期内，公司核心资产的盈利能力没有发生变动，也未出现替代资产或资产升</w:t>
      </w:r>
    </w:p>
    <w:p>
      <w:pPr>
        <w:pStyle w:val="BodyText"/>
        <w:spacing w:line="240" w:lineRule="auto" w:before="117"/>
        <w:ind w:left="922" w:right="0"/>
        <w:jc w:val="left"/>
      </w:pPr>
      <w:r>
        <w:rPr/>
        <w:t>级导致公司核心资产盈利能力降低情形。</w:t>
      </w:r>
    </w:p>
    <w:p>
      <w:pPr>
        <w:pStyle w:val="BodyText"/>
        <w:spacing w:line="336" w:lineRule="auto" w:before="133"/>
        <w:ind w:left="922" w:right="829" w:firstLine="420"/>
        <w:jc w:val="left"/>
      </w:pPr>
      <w:r>
        <w:rPr/>
        <w:t>（</w:t>
      </w:r>
      <w:r>
        <w:rPr>
          <w:rFonts w:ascii="Times New Roman" w:hAnsi="Times New Roman" w:cs="Times New Roman" w:eastAsia="Times New Roman" w:hint="default"/>
        </w:rPr>
        <w:t>2</w:t>
      </w:r>
      <w:r>
        <w:rPr/>
        <w:t>）报告期内，公司的核心资产主要包括厂房和机械设备，资产成新率（即固定资产</w:t>
      </w:r>
      <w:r>
        <w:rPr>
          <w:w w:val="99"/>
        </w:rPr>
        <w:t> </w:t>
      </w:r>
      <w:r>
        <w:rPr/>
        <w:t>净值</w:t>
      </w:r>
      <w:r>
        <w:rPr>
          <w:rFonts w:ascii="Times New Roman" w:hAnsi="Times New Roman" w:cs="Times New Roman" w:eastAsia="Times New Roman" w:hint="default"/>
        </w:rPr>
        <w:t>/</w:t>
      </w:r>
      <w:r>
        <w:rPr/>
        <w:t>固定资产原值）为</w:t>
      </w:r>
      <w:r>
        <w:rPr>
          <w:spacing w:val="-60"/>
        </w:rPr>
        <w:t> </w:t>
      </w:r>
      <w:r>
        <w:rPr>
          <w:rFonts w:ascii="Times New Roman" w:hAnsi="Times New Roman" w:cs="Times New Roman" w:eastAsia="Times New Roman" w:hint="default"/>
        </w:rPr>
        <w:t>81.54%</w:t>
      </w:r>
      <w:r>
        <w:rPr/>
        <w:t>。</w:t>
      </w:r>
    </w:p>
    <w:p>
      <w:pPr>
        <w:spacing w:line="240" w:lineRule="auto" w:before="7"/>
        <w:rPr>
          <w:rFonts w:ascii="宋体" w:hAnsi="宋体" w:cs="宋体" w:eastAsia="宋体" w:hint="default"/>
          <w:sz w:val="29"/>
          <w:szCs w:val="29"/>
        </w:rPr>
      </w:pPr>
    </w:p>
    <w:p>
      <w:pPr>
        <w:pStyle w:val="BodyText"/>
        <w:spacing w:line="338" w:lineRule="auto"/>
        <w:ind w:left="1342" w:right="0"/>
        <w:jc w:val="left"/>
      </w:pPr>
      <w:r>
        <w:rPr>
          <w:rFonts w:ascii="Times New Roman" w:hAnsi="Times New Roman" w:cs="Times New Roman" w:eastAsia="Times New Roman" w:hint="default"/>
        </w:rPr>
        <w:t>7</w:t>
      </w:r>
      <w:r>
        <w:rPr/>
        <w:t>、主要会计政策、会计估计及核算方法变更情况和重大前期会计差错情况</w:t>
      </w:r>
      <w:r>
        <w:rPr>
          <w:w w:val="99"/>
        </w:rPr>
        <w:t> </w:t>
      </w:r>
      <w:r>
        <w:rPr>
          <w:spacing w:val="-2"/>
          <w:w w:val="99"/>
        </w:rPr>
        <w:t>报告期内公司不存在主要会计政策、会计估计及核算方法变更情况和重大前期会计差错</w:t>
      </w:r>
      <w:r>
        <w:rPr>
          <w:spacing w:val="-2"/>
        </w:rPr>
      </w:r>
    </w:p>
    <w:p>
      <w:pPr>
        <w:spacing w:after="0" w:line="338" w:lineRule="auto"/>
        <w:jc w:val="left"/>
        <w:sectPr>
          <w:footerReference w:type="default" r:id="rId13"/>
          <w:pgSz w:w="11910" w:h="16840"/>
          <w:pgMar w:footer="738" w:header="206" w:top="940" w:bottom="920" w:left="880" w:right="960"/>
          <w:pgNumType w:start="3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822" w:right="0"/>
        <w:jc w:val="left"/>
      </w:pPr>
      <w:r>
        <w:rPr/>
        <w:t>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1242" w:right="0"/>
        <w:jc w:val="left"/>
      </w:pPr>
      <w:r>
        <w:rPr>
          <w:rFonts w:ascii="Times New Roman" w:hAnsi="Times New Roman" w:cs="Times New Roman" w:eastAsia="Times New Roman" w:hint="default"/>
        </w:rPr>
        <w:t>8</w:t>
      </w:r>
      <w:r>
        <w:rPr/>
        <w:t>、长期股权投资</w:t>
      </w:r>
    </w:p>
    <w:p>
      <w:pPr>
        <w:spacing w:line="240" w:lineRule="auto" w:before="10"/>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852"/>
        <w:gridCol w:w="425"/>
        <w:gridCol w:w="1289"/>
        <w:gridCol w:w="480"/>
        <w:gridCol w:w="1320"/>
        <w:gridCol w:w="1291"/>
        <w:gridCol w:w="734"/>
        <w:gridCol w:w="720"/>
        <w:gridCol w:w="989"/>
        <w:gridCol w:w="511"/>
        <w:gridCol w:w="605"/>
        <w:gridCol w:w="566"/>
      </w:tblGrid>
      <w:tr>
        <w:trPr>
          <w:trHeight w:val="365" w:hRule="exact"/>
        </w:trPr>
        <w:tc>
          <w:tcPr>
            <w:tcW w:w="852" w:type="dxa"/>
            <w:tcBorders>
              <w:top w:val="single" w:sz="4" w:space="0" w:color="000000"/>
              <w:left w:val="nil" w:sz="6" w:space="0" w:color="auto"/>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289" w:type="dxa"/>
            <w:tcBorders>
              <w:top w:val="single" w:sz="4" w:space="0" w:color="000000"/>
              <w:left w:val="single" w:sz="4" w:space="0" w:color="000000"/>
              <w:bottom w:val="nil" w:sz="6" w:space="0" w:color="auto"/>
              <w:right w:val="single" w:sz="4" w:space="0" w:color="000000"/>
            </w:tcBorders>
          </w:tcPr>
          <w:p>
            <w:pP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46" w:right="143"/>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320"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right="180"/>
              <w:jc w:val="right"/>
              <w:rPr>
                <w:rFonts w:ascii="宋体" w:hAnsi="宋体" w:cs="宋体" w:eastAsia="宋体" w:hint="default"/>
                <w:sz w:val="18"/>
                <w:szCs w:val="18"/>
              </w:rPr>
            </w:pPr>
            <w:r>
              <w:rPr>
                <w:rFonts w:ascii="宋体" w:hAnsi="宋体" w:cs="宋体" w:eastAsia="宋体" w:hint="default"/>
                <w:sz w:val="18"/>
                <w:szCs w:val="18"/>
              </w:rPr>
              <w:t>在被</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75" w:right="0"/>
              <w:jc w:val="left"/>
              <w:rPr>
                <w:rFonts w:ascii="宋体" w:hAnsi="宋体" w:cs="宋体" w:eastAsia="宋体" w:hint="default"/>
                <w:sz w:val="18"/>
                <w:szCs w:val="18"/>
              </w:rPr>
            </w:pPr>
            <w:r>
              <w:rPr>
                <w:rFonts w:ascii="宋体" w:hAnsi="宋体" w:cs="宋体" w:eastAsia="宋体" w:hint="default"/>
                <w:sz w:val="18"/>
                <w:szCs w:val="18"/>
              </w:rPr>
              <w:t>在被</w:t>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51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60" w:right="158"/>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605"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nil" w:sz="6" w:space="0" w:color="auto"/>
            </w:tcBorders>
          </w:tcPr>
          <w:p>
            <w:pPr>
              <w:pStyle w:val="TableParagraph"/>
              <w:spacing w:line="237" w:lineRule="auto" w:before="94"/>
              <w:ind w:left="187" w:right="192"/>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233" w:hRule="exact"/>
        </w:trPr>
        <w:tc>
          <w:tcPr>
            <w:tcW w:w="852" w:type="dxa"/>
            <w:tcBorders>
              <w:top w:val="nil" w:sz="6" w:space="0" w:color="auto"/>
              <w:left w:val="nil" w:sz="6" w:space="0" w:color="auto"/>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480"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29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80"/>
              <w:jc w:val="right"/>
              <w:rPr>
                <w:rFonts w:ascii="宋体" w:hAnsi="宋体" w:cs="宋体" w:eastAsia="宋体" w:hint="default"/>
                <w:sz w:val="18"/>
                <w:szCs w:val="18"/>
              </w:rPr>
            </w:pPr>
            <w:r>
              <w:rPr>
                <w:rFonts w:ascii="宋体" w:hAnsi="宋体" w:cs="宋体" w:eastAsia="宋体" w:hint="default"/>
                <w:sz w:val="18"/>
                <w:szCs w:val="18"/>
              </w:rPr>
              <w:t>投资</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单位持股</w:t>
            </w:r>
          </w:p>
        </w:tc>
        <w:tc>
          <w:tcPr>
            <w:tcW w:w="511" w:type="dxa"/>
            <w:vMerge/>
            <w:tcBorders>
              <w:left w:val="single" w:sz="4" w:space="0" w:color="000000"/>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566" w:type="dxa"/>
            <w:vMerge/>
            <w:tcBorders>
              <w:left w:val="single" w:sz="4" w:space="0" w:color="000000"/>
              <w:right w:val="nil" w:sz="6" w:space="0" w:color="auto"/>
            </w:tcBorders>
          </w:tcPr>
          <w:p>
            <w:pPr/>
          </w:p>
        </w:tc>
      </w:tr>
      <w:tr>
        <w:trPr>
          <w:trHeight w:val="468"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199" w:lineRule="exact"/>
              <w:ind w:left="247" w:right="0" w:hanging="92"/>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480"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29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82" w:right="0"/>
              <w:jc w:val="left"/>
              <w:rPr>
                <w:rFonts w:ascii="宋体" w:hAnsi="宋体" w:cs="宋体" w:eastAsia="宋体" w:hint="default"/>
                <w:sz w:val="18"/>
                <w:szCs w:val="18"/>
              </w:rPr>
            </w:pPr>
            <w:r>
              <w:rPr>
                <w:rFonts w:ascii="宋体" w:hAnsi="宋体" w:cs="宋体" w:eastAsia="宋体" w:hint="default"/>
                <w:sz w:val="18"/>
                <w:szCs w:val="18"/>
              </w:rPr>
              <w:t>单位</w:t>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5" w:right="0"/>
              <w:jc w:val="left"/>
              <w:rPr>
                <w:rFonts w:ascii="宋体" w:hAnsi="宋体" w:cs="宋体" w:eastAsia="宋体" w:hint="default"/>
                <w:sz w:val="18"/>
                <w:szCs w:val="18"/>
              </w:rPr>
            </w:pPr>
            <w:r>
              <w:rPr>
                <w:rFonts w:ascii="宋体" w:hAnsi="宋体" w:cs="宋体" w:eastAsia="宋体" w:hint="default"/>
                <w:sz w:val="18"/>
                <w:szCs w:val="18"/>
              </w:rPr>
              <w:t>单位</w:t>
            </w: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比例与表</w:t>
            </w: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决权比例</w:t>
            </w:r>
          </w:p>
        </w:tc>
        <w:tc>
          <w:tcPr>
            <w:tcW w:w="511" w:type="dxa"/>
            <w:vMerge/>
            <w:tcBorders>
              <w:left w:val="single" w:sz="4" w:space="0" w:color="000000"/>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1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减值</w:t>
            </w:r>
          </w:p>
        </w:tc>
        <w:tc>
          <w:tcPr>
            <w:tcW w:w="566" w:type="dxa"/>
            <w:vMerge/>
            <w:tcBorders>
              <w:left w:val="single" w:sz="4" w:space="0" w:color="000000"/>
              <w:right w:val="nil" w:sz="6" w:space="0" w:color="auto"/>
            </w:tcBorders>
          </w:tcPr>
          <w:p>
            <w:pPr/>
          </w:p>
        </w:tc>
      </w:tr>
      <w:tr>
        <w:trPr>
          <w:trHeight w:val="233" w:hRule="exact"/>
        </w:trPr>
        <w:tc>
          <w:tcPr>
            <w:tcW w:w="852" w:type="dxa"/>
            <w:tcBorders>
              <w:top w:val="nil" w:sz="6" w:space="0" w:color="auto"/>
              <w:left w:val="nil" w:sz="6" w:space="0" w:color="auto"/>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480" w:type="dxa"/>
            <w:vMerge/>
            <w:tcBorders>
              <w:left w:val="single" w:sz="4" w:space="0" w:color="000000"/>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29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2" w:lineRule="exact"/>
              <w:ind w:right="180"/>
              <w:jc w:val="right"/>
              <w:rPr>
                <w:rFonts w:ascii="宋体" w:hAnsi="宋体" w:cs="宋体" w:eastAsia="宋体" w:hint="default"/>
                <w:sz w:val="18"/>
                <w:szCs w:val="18"/>
              </w:rPr>
            </w:pPr>
            <w:r>
              <w:rPr>
                <w:rFonts w:ascii="宋体" w:hAnsi="宋体" w:cs="宋体" w:eastAsia="宋体" w:hint="default"/>
                <w:sz w:val="18"/>
                <w:szCs w:val="18"/>
              </w:rPr>
              <w:t>比例</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75"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不一致的</w:t>
            </w:r>
          </w:p>
        </w:tc>
        <w:tc>
          <w:tcPr>
            <w:tcW w:w="511" w:type="dxa"/>
            <w:vMerge/>
            <w:tcBorders>
              <w:left w:val="single" w:sz="4" w:space="0" w:color="000000"/>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566" w:type="dxa"/>
            <w:vMerge/>
            <w:tcBorders>
              <w:left w:val="single" w:sz="4" w:space="0" w:color="000000"/>
              <w:right w:val="nil" w:sz="6" w:space="0" w:color="auto"/>
            </w:tcBorders>
          </w:tcPr>
          <w:p>
            <w:pPr/>
          </w:p>
        </w:tc>
      </w:tr>
      <w:tr>
        <w:trPr>
          <w:trHeight w:val="230" w:hRule="exact"/>
        </w:trPr>
        <w:tc>
          <w:tcPr>
            <w:tcW w:w="852" w:type="dxa"/>
            <w:tcBorders>
              <w:top w:val="nil" w:sz="6" w:space="0" w:color="auto"/>
              <w:left w:val="nil" w:sz="6" w:space="0" w:color="auto"/>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223"/>
              <w:jc w:val="right"/>
              <w:rPr>
                <w:rFonts w:ascii="Times New Roman" w:hAnsi="Times New Roman" w:cs="Times New Roman" w:eastAsia="Times New Roman" w:hint="default"/>
                <w:sz w:val="18"/>
                <w:szCs w:val="18"/>
              </w:rPr>
            </w:pPr>
            <w:r>
              <w:rPr>
                <w:rFonts w:ascii="Times New Roman"/>
                <w:spacing w:val="-1"/>
                <w:sz w:val="18"/>
              </w:rPr>
              <w:t>(%)</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14" w:lineRule="exact"/>
              <w:ind w:left="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511" w:type="dxa"/>
            <w:vMerge/>
            <w:tcBorders>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nil" w:sz="6" w:space="0" w:color="auto"/>
            </w:tcBorders>
          </w:tcPr>
          <w:p>
            <w:pPr/>
          </w:p>
        </w:tc>
      </w:tr>
      <w:tr>
        <w:trPr>
          <w:trHeight w:val="359" w:hRule="exact"/>
        </w:trPr>
        <w:tc>
          <w:tcPr>
            <w:tcW w:w="852"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安徽华</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89" w:type="dxa"/>
            <w:tcBorders>
              <w:top w:val="single" w:sz="4" w:space="0" w:color="000000"/>
              <w:left w:val="single" w:sz="4" w:space="0" w:color="000000"/>
              <w:bottom w:val="nil" w:sz="6" w:space="0" w:color="auto"/>
              <w:right w:val="single" w:sz="4" w:space="0" w:color="000000"/>
            </w:tcBorders>
          </w:tcPr>
          <w:p>
            <w:pPr/>
          </w:p>
        </w:tc>
        <w:tc>
          <w:tcPr>
            <w:tcW w:w="480"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511"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nil" w:sz="6" w:space="0" w:color="auto"/>
            </w:tcBorders>
          </w:tcPr>
          <w:p>
            <w:pPr/>
          </w:p>
        </w:tc>
      </w:tr>
      <w:tr>
        <w:trPr>
          <w:trHeight w:val="23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菱西厨</w:t>
            </w: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480"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29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511"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nil" w:sz="6" w:space="0" w:color="auto"/>
            </w:tcBorders>
          </w:tcPr>
          <w:p>
            <w:pPr/>
          </w:p>
        </w:tc>
      </w:tr>
      <w:tr>
        <w:trPr>
          <w:trHeight w:val="259"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设备股</w:t>
            </w: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9,975,000.00</w:t>
            </w:r>
          </w:p>
        </w:tc>
        <w:tc>
          <w:tcPr>
            <w:tcW w:w="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82" w:right="0"/>
              <w:jc w:val="left"/>
              <w:rPr>
                <w:rFonts w:ascii="Times New Roman" w:hAnsi="Times New Roman" w:cs="Times New Roman" w:eastAsia="Times New Roman" w:hint="default"/>
                <w:sz w:val="18"/>
                <w:szCs w:val="18"/>
              </w:rPr>
            </w:pPr>
            <w:r>
              <w:rPr>
                <w:rFonts w:ascii="Times New Roman"/>
                <w:sz w:val="18"/>
              </w:rPr>
              <w:t>9,975,000.00</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9,975,000.00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26"/>
              <w:jc w:val="right"/>
              <w:rPr>
                <w:rFonts w:ascii="Times New Roman" w:hAnsi="Times New Roman" w:cs="Times New Roman" w:eastAsia="Times New Roman" w:hint="default"/>
                <w:sz w:val="18"/>
                <w:szCs w:val="18"/>
              </w:rPr>
            </w:pPr>
            <w:r>
              <w:rPr>
                <w:rFonts w:ascii="Times New Roman"/>
                <w:sz w:val="18"/>
              </w:rPr>
              <w:t>4.67%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24" w:right="0"/>
              <w:jc w:val="left"/>
              <w:rPr>
                <w:rFonts w:ascii="Times New Roman" w:hAnsi="Times New Roman" w:cs="Times New Roman" w:eastAsia="Times New Roman" w:hint="default"/>
                <w:sz w:val="18"/>
                <w:szCs w:val="18"/>
              </w:rPr>
            </w:pPr>
            <w:r>
              <w:rPr>
                <w:rFonts w:ascii="Times New Roman"/>
                <w:sz w:val="18"/>
              </w:rPr>
              <w:t>4.67%</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07"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181" w:lineRule="exact"/>
              <w:ind w:left="4" w:right="0"/>
              <w:jc w:val="center"/>
              <w:rPr>
                <w:rFonts w:ascii="宋体" w:hAnsi="宋体" w:cs="宋体" w:eastAsia="宋体" w:hint="default"/>
                <w:sz w:val="18"/>
                <w:szCs w:val="18"/>
              </w:rPr>
            </w:pPr>
            <w:r>
              <w:rPr>
                <w:rFonts w:ascii="宋体" w:hAnsi="宋体" w:cs="宋体" w:eastAsia="宋体" w:hint="default"/>
                <w:sz w:val="18"/>
                <w:szCs w:val="18"/>
              </w:rPr>
              <w:t>份有限</w:t>
            </w: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
        </w:tc>
        <w:tc>
          <w:tcPr>
            <w:tcW w:w="480"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291"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511" w:type="dxa"/>
            <w:tcBorders>
              <w:top w:val="nil" w:sz="6" w:space="0" w:color="auto"/>
              <w:left w:val="single" w:sz="4" w:space="0" w:color="000000"/>
              <w:bottom w:val="nil" w:sz="6" w:space="0" w:color="auto"/>
              <w:right w:val="single" w:sz="4" w:space="0" w:color="000000"/>
            </w:tcBorders>
          </w:tcPr>
          <w:p>
            <w:pPr/>
          </w:p>
        </w:tc>
        <w:tc>
          <w:tcPr>
            <w:tcW w:w="60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nil" w:sz="6" w:space="0" w:color="auto"/>
            </w:tcBorders>
          </w:tcPr>
          <w:p>
            <w:pPr/>
          </w:p>
        </w:tc>
      </w:tr>
      <w:tr>
        <w:trPr>
          <w:trHeight w:val="239" w:hRule="exact"/>
        </w:trPr>
        <w:tc>
          <w:tcPr>
            <w:tcW w:w="852"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425" w:type="dxa"/>
            <w:vMerge/>
            <w:tcBorders>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480"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511"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nil" w:sz="6" w:space="0" w:color="auto"/>
            </w:tcBorders>
          </w:tcPr>
          <w:p>
            <w:pPr/>
          </w:p>
        </w:tc>
      </w:tr>
      <w:tr>
        <w:trPr>
          <w:trHeight w:val="359" w:hRule="exact"/>
        </w:trPr>
        <w:tc>
          <w:tcPr>
            <w:tcW w:w="852"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台山市</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17" w:right="115"/>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89" w:type="dxa"/>
            <w:tcBorders>
              <w:top w:val="single" w:sz="4" w:space="0" w:color="000000"/>
              <w:left w:val="single" w:sz="4" w:space="0" w:color="000000"/>
              <w:bottom w:val="nil" w:sz="6" w:space="0" w:color="auto"/>
              <w:right w:val="single" w:sz="4" w:space="0" w:color="000000"/>
            </w:tcBorders>
          </w:tcPr>
          <w:p>
            <w:pPr/>
          </w:p>
        </w:tc>
        <w:tc>
          <w:tcPr>
            <w:tcW w:w="480"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511"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农村信</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用合作</w:t>
            </w:r>
          </w:p>
        </w:tc>
        <w:tc>
          <w:tcPr>
            <w:tcW w:w="425" w:type="dxa"/>
            <w:vMerge/>
            <w:tcBorders>
              <w:left w:val="single" w:sz="4" w:space="0" w:color="000000"/>
              <w:right w:val="single" w:sz="4" w:space="0" w:color="000000"/>
            </w:tcBorders>
          </w:tcPr>
          <w:p>
            <w:pPr/>
          </w:p>
        </w:tc>
        <w:tc>
          <w:tcPr>
            <w:tcW w:w="128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3" w:right="0"/>
              <w:jc w:val="center"/>
              <w:rPr>
                <w:rFonts w:ascii="Times New Roman" w:hAnsi="Times New Roman" w:cs="Times New Roman" w:eastAsia="Times New Roman" w:hint="default"/>
                <w:sz w:val="18"/>
                <w:szCs w:val="18"/>
              </w:rPr>
            </w:pPr>
            <w:r>
              <w:rPr>
                <w:rFonts w:ascii="Times New Roman"/>
                <w:sz w:val="18"/>
              </w:rPr>
              <w:t>50,000.00</w:t>
            </w:r>
          </w:p>
        </w:tc>
        <w:tc>
          <w:tcPr>
            <w:tcW w:w="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95" w:right="0"/>
              <w:jc w:val="left"/>
              <w:rPr>
                <w:rFonts w:ascii="Times New Roman" w:hAnsi="Times New Roman" w:cs="Times New Roman" w:eastAsia="Times New Roman" w:hint="default"/>
                <w:sz w:val="18"/>
                <w:szCs w:val="18"/>
              </w:rPr>
            </w:pPr>
            <w:r>
              <w:rPr>
                <w:rFonts w:ascii="Times New Roman"/>
                <w:sz w:val="18"/>
              </w:rPr>
              <w:t>50,000.00</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50,000.00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7" w:hRule="exact"/>
        </w:trPr>
        <w:tc>
          <w:tcPr>
            <w:tcW w:w="852" w:type="dxa"/>
            <w:tcBorders>
              <w:top w:val="nil" w:sz="6" w:space="0" w:color="auto"/>
              <w:left w:val="nil" w:sz="6" w:space="0" w:color="auto"/>
              <w:bottom w:val="single" w:sz="4" w:space="0" w:color="000000"/>
              <w:right w:val="single" w:sz="4"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联社</w:t>
            </w:r>
          </w:p>
        </w:tc>
        <w:tc>
          <w:tcPr>
            <w:tcW w:w="425" w:type="dxa"/>
            <w:vMerge/>
            <w:tcBorders>
              <w:left w:val="single" w:sz="4" w:space="0" w:color="000000"/>
              <w:bottom w:val="single" w:sz="4" w:space="0" w:color="000000"/>
              <w:right w:val="single" w:sz="4" w:space="0" w:color="000000"/>
            </w:tcBorders>
          </w:tcPr>
          <w:p>
            <w:pPr/>
          </w:p>
        </w:tc>
        <w:tc>
          <w:tcPr>
            <w:tcW w:w="1289" w:type="dxa"/>
            <w:tcBorders>
              <w:top w:val="nil" w:sz="6" w:space="0" w:color="auto"/>
              <w:left w:val="single" w:sz="4" w:space="0" w:color="000000"/>
              <w:bottom w:val="single" w:sz="4" w:space="0" w:color="000000"/>
              <w:right w:val="single" w:sz="4" w:space="0" w:color="000000"/>
            </w:tcBorders>
          </w:tcPr>
          <w:p>
            <w:pPr/>
          </w:p>
        </w:tc>
        <w:tc>
          <w:tcPr>
            <w:tcW w:w="480"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511"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nil" w:sz="6" w:space="0" w:color="auto"/>
            </w:tcBorders>
          </w:tcPr>
          <w:p>
            <w:pPr/>
          </w:p>
        </w:tc>
      </w:tr>
      <w:tr>
        <w:trPr>
          <w:trHeight w:val="362" w:hRule="exact"/>
        </w:trPr>
        <w:tc>
          <w:tcPr>
            <w:tcW w:w="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10,025,000.00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9" w:right="0"/>
              <w:jc w:val="left"/>
              <w:rPr>
                <w:rFonts w:ascii="Times New Roman" w:hAnsi="Times New Roman" w:cs="Times New Roman" w:eastAsia="Times New Roman" w:hint="default"/>
                <w:sz w:val="18"/>
                <w:szCs w:val="18"/>
              </w:rPr>
            </w:pPr>
            <w:r>
              <w:rPr>
                <w:rFonts w:ascii="Times New Roman"/>
                <w:sz w:val="18"/>
              </w:rPr>
              <w:t>10,025,000.00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10,025,000.00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3" w:lineRule="exact"/>
        <w:ind w:left="1242" w:right="0"/>
        <w:jc w:val="left"/>
      </w:pPr>
      <w:r>
        <w:rPr/>
        <w:t>除以上股权投资外，报告期内公司不存在其他证券投资等金融资产、委托理财等财务性</w:t>
      </w:r>
    </w:p>
    <w:p>
      <w:pPr>
        <w:pStyle w:val="BodyText"/>
        <w:spacing w:line="240" w:lineRule="auto" w:before="133"/>
        <w:ind w:left="1242" w:right="0" w:hanging="420"/>
        <w:jc w:val="left"/>
      </w:pPr>
      <w:r>
        <w:rPr/>
        <w:t>投资或套期保值等相关业务。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1242" w:right="0"/>
        <w:jc w:val="left"/>
      </w:pPr>
      <w:r>
        <w:rPr>
          <w:rFonts w:ascii="Times New Roman" w:hAnsi="Times New Roman" w:cs="Times New Roman" w:eastAsia="Times New Roman" w:hint="default"/>
        </w:rPr>
        <w:t>9</w:t>
      </w:r>
      <w:r>
        <w:rPr/>
        <w:t>、主要资产的计量</w:t>
      </w:r>
      <w:r>
        <w:rPr>
          <w:w w:val="99"/>
        </w:rPr>
        <w:t> </w:t>
      </w:r>
      <w:r>
        <w:rPr>
          <w:spacing w:val="-2"/>
          <w:w w:val="99"/>
        </w:rPr>
        <w:t>报告期内公司主要资产采用实际成本计量；主要资产计量属性在报告期内未发生重大变</w:t>
      </w:r>
      <w:r>
        <w:rPr>
          <w:spacing w:val="-2"/>
        </w:rPr>
      </w:r>
    </w:p>
    <w:p>
      <w:pPr>
        <w:pStyle w:val="BodyText"/>
        <w:spacing w:line="240" w:lineRule="auto" w:before="49"/>
        <w:ind w:left="822" w:right="0"/>
        <w:jc w:val="left"/>
      </w:pPr>
      <w:r>
        <w:rPr/>
        <w:t>化。</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242" w:right="0"/>
        <w:jc w:val="left"/>
      </w:pPr>
      <w:r>
        <w:rPr>
          <w:rFonts w:ascii="Times New Roman" w:hAnsi="Times New Roman" w:cs="Times New Roman" w:eastAsia="Times New Roman" w:hint="default"/>
        </w:rPr>
        <w:t>10</w:t>
      </w:r>
      <w:r>
        <w:rPr/>
        <w:t>、公司不存在</w:t>
      </w:r>
      <w:r>
        <w:rPr>
          <w:spacing w:val="-58"/>
        </w:rPr>
        <w:t> </w:t>
      </w:r>
      <w:r>
        <w:rPr>
          <w:rFonts w:ascii="Times New Roman" w:hAnsi="Times New Roman" w:cs="Times New Roman" w:eastAsia="Times New Roman" w:hint="default"/>
        </w:rPr>
        <w:t>PE</w:t>
      </w:r>
      <w:r>
        <w:rPr>
          <w:rFonts w:ascii="Times New Roman" w:hAnsi="Times New Roman" w:cs="Times New Roman" w:eastAsia="Times New Roman" w:hint="default"/>
          <w:spacing w:val="1"/>
        </w:rPr>
        <w:t> </w:t>
      </w:r>
      <w:r>
        <w:rPr/>
        <w:t>投资的情况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1242" w:right="0"/>
        <w:jc w:val="left"/>
      </w:pPr>
      <w:r>
        <w:rPr>
          <w:rFonts w:ascii="Times New Roman" w:hAnsi="Times New Roman" w:cs="Times New Roman" w:eastAsia="Times New Roman" w:hint="default"/>
        </w:rPr>
        <w:t>11</w:t>
      </w:r>
      <w:r>
        <w:rPr/>
        <w:t>、主要债务变动</w:t>
      </w:r>
    </w:p>
    <w:p>
      <w:pPr>
        <w:pStyle w:val="BodyText"/>
        <w:spacing w:line="240" w:lineRule="auto" w:before="117"/>
        <w:ind w:left="0" w:right="90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709" w:type="dxa"/>
        <w:tblLayout w:type="fixed"/>
        <w:tblCellMar>
          <w:top w:w="0" w:type="dxa"/>
          <w:left w:w="0" w:type="dxa"/>
          <w:bottom w:w="0" w:type="dxa"/>
          <w:right w:w="0" w:type="dxa"/>
        </w:tblCellMar>
        <w:tblLook w:val="01E0"/>
      </w:tblPr>
      <w:tblGrid>
        <w:gridCol w:w="2530"/>
        <w:gridCol w:w="2230"/>
        <w:gridCol w:w="1824"/>
        <w:gridCol w:w="1939"/>
      </w:tblGrid>
      <w:tr>
        <w:trPr>
          <w:trHeight w:val="5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42"/>
              <w:jc w:val="right"/>
              <w:rPr>
                <w:rFonts w:ascii="宋体" w:hAnsi="宋体" w:cs="宋体" w:eastAsia="宋体" w:hint="default"/>
                <w:sz w:val="21"/>
                <w:szCs w:val="21"/>
              </w:rPr>
            </w:pPr>
            <w:r>
              <w:rPr>
                <w:rFonts w:ascii="宋体" w:hAnsi="宋体" w:cs="宋体" w:eastAsia="宋体" w:hint="default"/>
                <w:w w:val="95"/>
                <w:sz w:val="21"/>
                <w:szCs w:val="21"/>
              </w:rPr>
              <w:t>同比增减</w:t>
            </w:r>
            <w:r>
              <w:rPr>
                <w:rFonts w:ascii="宋体" w:hAnsi="宋体" w:cs="宋体" w:eastAsia="宋体" w:hint="default"/>
                <w:sz w:val="21"/>
                <w:szCs w:val="21"/>
              </w:rPr>
            </w:r>
          </w:p>
        </w:tc>
      </w:tr>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51,378,137.86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110,080,000.00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01"/>
              <w:jc w:val="right"/>
              <w:rPr>
                <w:rFonts w:ascii="Times New Roman" w:hAnsi="Times New Roman" w:cs="Times New Roman" w:eastAsia="Times New Roman" w:hint="default"/>
                <w:sz w:val="21"/>
                <w:szCs w:val="21"/>
              </w:rPr>
            </w:pPr>
            <w:r>
              <w:rPr>
                <w:rFonts w:ascii="Times New Roman"/>
                <w:w w:val="95"/>
                <w:sz w:val="21"/>
              </w:rPr>
              <w:t>-53.33%</w:t>
            </w:r>
            <w:r>
              <w:rPr>
                <w:rFonts w:ascii="Times New Roman"/>
                <w:sz w:val="21"/>
              </w:rPr>
            </w:r>
          </w:p>
        </w:tc>
      </w:tr>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6,403,018.96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16,414,089.52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01"/>
              <w:jc w:val="right"/>
              <w:rPr>
                <w:rFonts w:ascii="Times New Roman" w:hAnsi="Times New Roman" w:cs="Times New Roman" w:eastAsia="Times New Roman" w:hint="default"/>
                <w:sz w:val="21"/>
                <w:szCs w:val="21"/>
              </w:rPr>
            </w:pPr>
            <w:r>
              <w:rPr>
                <w:rFonts w:ascii="Times New Roman"/>
                <w:w w:val="95"/>
                <w:sz w:val="21"/>
              </w:rPr>
              <w:t>-60.99%</w:t>
            </w:r>
            <w:r>
              <w:rPr>
                <w:rFonts w:ascii="Times New Roman"/>
                <w:sz w:val="21"/>
              </w:rPr>
            </w:r>
          </w:p>
        </w:tc>
      </w:tr>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3,944,749.72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2,138,951.98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37"/>
              <w:jc w:val="right"/>
              <w:rPr>
                <w:rFonts w:ascii="Times New Roman" w:hAnsi="Times New Roman" w:cs="Times New Roman" w:eastAsia="Times New Roman" w:hint="default"/>
                <w:sz w:val="21"/>
                <w:szCs w:val="21"/>
              </w:rPr>
            </w:pPr>
            <w:r>
              <w:rPr>
                <w:rFonts w:ascii="Times New Roman"/>
                <w:w w:val="95"/>
                <w:sz w:val="21"/>
              </w:rPr>
              <w:t>84.42%</w:t>
            </w:r>
            <w:r>
              <w:rPr>
                <w:rFonts w:ascii="Times New Roman"/>
                <w:sz w:val="21"/>
              </w:rPr>
            </w:r>
          </w:p>
        </w:tc>
      </w:tr>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3,679,643.15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8,635,732.66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01"/>
              <w:jc w:val="right"/>
              <w:rPr>
                <w:rFonts w:ascii="Times New Roman" w:hAnsi="Times New Roman" w:cs="Times New Roman" w:eastAsia="Times New Roman" w:hint="default"/>
                <w:sz w:val="21"/>
                <w:szCs w:val="21"/>
              </w:rPr>
            </w:pPr>
            <w:r>
              <w:rPr>
                <w:rFonts w:ascii="Times New Roman"/>
                <w:w w:val="95"/>
                <w:sz w:val="21"/>
              </w:rPr>
              <w:t>-57.39%</w:t>
            </w:r>
            <w:r>
              <w:rPr>
                <w:rFonts w:ascii="Times New Roman"/>
                <w:sz w:val="21"/>
              </w:rPr>
            </w:r>
          </w:p>
        </w:tc>
      </w:tr>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2,731,066.79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610,247.13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84"/>
              <w:jc w:val="right"/>
              <w:rPr>
                <w:rFonts w:ascii="Times New Roman" w:hAnsi="Times New Roman" w:cs="Times New Roman" w:eastAsia="Times New Roman" w:hint="default"/>
                <w:sz w:val="21"/>
                <w:szCs w:val="21"/>
              </w:rPr>
            </w:pPr>
            <w:r>
              <w:rPr>
                <w:rFonts w:ascii="Times New Roman"/>
                <w:w w:val="95"/>
                <w:sz w:val="21"/>
              </w:rPr>
              <w:t>347.53%</w:t>
            </w:r>
            <w:r>
              <w:rPr>
                <w:rFonts w:ascii="Times New Roman"/>
                <w:sz w:val="21"/>
              </w:rPr>
            </w:r>
          </w:p>
        </w:tc>
      </w:tr>
      <w:tr>
        <w:trPr>
          <w:trHeight w:val="52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6,640,000.00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54,640,000.00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01"/>
              <w:jc w:val="right"/>
              <w:rPr>
                <w:rFonts w:ascii="Times New Roman" w:hAnsi="Times New Roman" w:cs="Times New Roman" w:eastAsia="Times New Roman" w:hint="default"/>
                <w:sz w:val="21"/>
                <w:szCs w:val="21"/>
              </w:rPr>
            </w:pPr>
            <w:r>
              <w:rPr>
                <w:rFonts w:ascii="Times New Roman"/>
                <w:w w:val="95"/>
                <w:sz w:val="21"/>
              </w:rPr>
              <w:t>-87.85%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206" w:footer="738" w:top="940" w:bottom="92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530"/>
        <w:gridCol w:w="2230"/>
        <w:gridCol w:w="1824"/>
        <w:gridCol w:w="1939"/>
      </w:tblGrid>
      <w:tr>
        <w:trPr>
          <w:trHeight w:val="53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8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08" w:right="0"/>
              <w:jc w:val="left"/>
              <w:rPr>
                <w:rFonts w:ascii="Times New Roman" w:hAnsi="Times New Roman" w:cs="Times New Roman" w:eastAsia="Times New Roman" w:hint="default"/>
                <w:sz w:val="21"/>
                <w:szCs w:val="21"/>
              </w:rPr>
            </w:pPr>
            <w:r>
              <w:rPr>
                <w:rFonts w:ascii="Times New Roman"/>
                <w:sz w:val="21"/>
              </w:rPr>
              <w:t>94,792,389.06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213,562,005.60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07" w:right="0"/>
              <w:jc w:val="left"/>
              <w:rPr>
                <w:rFonts w:ascii="Times New Roman" w:hAnsi="Times New Roman" w:cs="Times New Roman" w:eastAsia="Times New Roman" w:hint="default"/>
                <w:sz w:val="21"/>
                <w:szCs w:val="21"/>
              </w:rPr>
            </w:pPr>
            <w:r>
              <w:rPr>
                <w:rFonts w:ascii="Times New Roman"/>
                <w:sz w:val="21"/>
              </w:rPr>
              <w:t>-55.61%</w:t>
            </w:r>
          </w:p>
        </w:tc>
      </w:tr>
    </w:tbl>
    <w:p>
      <w:pPr>
        <w:pStyle w:val="BodyText"/>
        <w:spacing w:line="254" w:lineRule="exact"/>
        <w:ind w:left="642" w:right="0"/>
        <w:jc w:val="left"/>
      </w:pPr>
      <w:r>
        <w:rPr/>
        <w:t>（</w:t>
      </w:r>
      <w:r>
        <w:rPr>
          <w:rFonts w:ascii="Times New Roman" w:hAnsi="Times New Roman" w:cs="Times New Roman" w:eastAsia="Times New Roman" w:hint="default"/>
        </w:rPr>
        <w:t>1</w:t>
      </w:r>
      <w:r>
        <w:rPr/>
        <w:t>）短期借款、长期借款：主要系报告期内用超募资金偿还银行借款</w:t>
      </w:r>
      <w:r>
        <w:rPr>
          <w:spacing w:val="-59"/>
        </w:rPr>
        <w:t> </w:t>
      </w:r>
      <w:r>
        <w:rPr>
          <w:rFonts w:ascii="Times New Roman" w:hAnsi="Times New Roman" w:cs="Times New Roman" w:eastAsia="Times New Roman" w:hint="default"/>
        </w:rPr>
        <w:t>15,000.00</w:t>
      </w:r>
      <w:r>
        <w:rPr>
          <w:rFonts w:ascii="Times New Roman" w:hAnsi="Times New Roman" w:cs="Times New Roman" w:eastAsia="Times New Roman" w:hint="default"/>
          <w:spacing w:val="-6"/>
        </w:rPr>
        <w:t> </w:t>
      </w:r>
      <w:r>
        <w:rPr/>
        <w:t>万元。</w:t>
      </w:r>
    </w:p>
    <w:p>
      <w:pPr>
        <w:pStyle w:val="BodyText"/>
        <w:spacing w:line="240" w:lineRule="auto" w:before="119"/>
        <w:ind w:left="642" w:right="229"/>
        <w:jc w:val="left"/>
      </w:pPr>
      <w:r>
        <w:rPr/>
        <w:t>（</w:t>
      </w:r>
      <w:r>
        <w:rPr>
          <w:rFonts w:ascii="Times New Roman" w:hAnsi="Times New Roman" w:cs="Times New Roman" w:eastAsia="Times New Roman" w:hint="default"/>
        </w:rPr>
        <w:t>2</w:t>
      </w:r>
      <w:r>
        <w:rPr/>
        <w:t>）应付账款：主要系公司上市后，资金实力增强，偿还了部分供应商货款。</w:t>
      </w:r>
    </w:p>
    <w:p>
      <w:pPr>
        <w:pStyle w:val="BodyText"/>
        <w:spacing w:line="240" w:lineRule="auto" w:before="117"/>
        <w:ind w:left="642" w:right="229"/>
        <w:jc w:val="left"/>
      </w:pPr>
      <w:r>
        <w:rPr/>
        <w:t>（</w:t>
      </w:r>
      <w:r>
        <w:rPr>
          <w:rFonts w:ascii="Times New Roman" w:hAnsi="Times New Roman" w:cs="Times New Roman" w:eastAsia="Times New Roman" w:hint="default"/>
        </w:rPr>
        <w:t>3</w:t>
      </w:r>
      <w:r>
        <w:rPr/>
        <w:t>）预收账款：主要系是主要是预收客户的预付款。</w:t>
      </w:r>
    </w:p>
    <w:p>
      <w:pPr>
        <w:pStyle w:val="BodyText"/>
        <w:spacing w:line="240" w:lineRule="auto" w:before="117"/>
        <w:ind w:left="642" w:right="229"/>
        <w:jc w:val="left"/>
      </w:pPr>
      <w:r>
        <w:rPr/>
        <w:t>（</w:t>
      </w:r>
      <w:r>
        <w:rPr>
          <w:rFonts w:ascii="Times New Roman" w:hAnsi="Times New Roman" w:cs="Times New Roman" w:eastAsia="Times New Roman" w:hint="default"/>
        </w:rPr>
        <w:t>4</w:t>
      </w:r>
      <w:r>
        <w:rPr/>
        <w:t>）应缴税费：主要系公司以及所得税减少所致。</w:t>
      </w:r>
    </w:p>
    <w:p>
      <w:pPr>
        <w:pStyle w:val="BodyText"/>
        <w:spacing w:line="336" w:lineRule="auto" w:before="117"/>
        <w:ind w:left="222" w:right="229" w:firstLine="420"/>
        <w:jc w:val="left"/>
      </w:pPr>
      <w:r>
        <w:rPr/>
        <w:t>（</w:t>
      </w:r>
      <w:r>
        <w:rPr>
          <w:rFonts w:ascii="Times New Roman" w:hAnsi="Times New Roman" w:cs="Times New Roman" w:eastAsia="Times New Roman" w:hint="default"/>
        </w:rPr>
        <w:t>5</w:t>
      </w:r>
      <w:r>
        <w:rPr/>
        <w:t>）其他应付款：主要系主要是本期新增收购中水广海钢丝绳厂约定代付原中水广海</w:t>
      </w:r>
      <w:r>
        <w:rPr>
          <w:w w:val="99"/>
        </w:rPr>
        <w:t> </w:t>
      </w:r>
      <w:r>
        <w:rPr/>
        <w:t>钢丝绳厂员工的离退休费用</w:t>
      </w:r>
      <w:r>
        <w:rPr>
          <w:spacing w:val="-55"/>
        </w:rPr>
        <w:t> </w:t>
      </w:r>
      <w:r>
        <w:rPr>
          <w:rFonts w:ascii="Times New Roman" w:hAnsi="Times New Roman" w:cs="Times New Roman" w:eastAsia="Times New Roman" w:hint="default"/>
        </w:rPr>
        <w:t>109</w:t>
      </w:r>
      <w:r>
        <w:rPr>
          <w:rFonts w:ascii="Times New Roman" w:hAnsi="Times New Roman" w:cs="Times New Roman" w:eastAsia="Times New Roman" w:hint="default"/>
          <w:spacing w:val="-3"/>
        </w:rPr>
        <w:t> </w:t>
      </w:r>
      <w:r>
        <w:rPr/>
        <w:t>万元和运输公司支付的运输保证金</w:t>
      </w:r>
      <w:r>
        <w:rPr>
          <w:spacing w:val="-55"/>
        </w:rPr>
        <w:t> </w:t>
      </w:r>
      <w:r>
        <w:rPr>
          <w:rFonts w:ascii="Times New Roman" w:hAnsi="Times New Roman" w:cs="Times New Roman" w:eastAsia="Times New Roman" w:hint="default"/>
        </w:rPr>
        <w:t>130</w:t>
      </w:r>
      <w:r>
        <w:rPr>
          <w:rFonts w:ascii="Times New Roman" w:hAnsi="Times New Roman" w:cs="Times New Roman" w:eastAsia="Times New Roman" w:hint="default"/>
          <w:spacing w:val="-1"/>
        </w:rPr>
        <w:t> </w:t>
      </w:r>
      <w:r>
        <w:rPr/>
        <w:t>万元。</w:t>
      </w:r>
    </w:p>
    <w:p>
      <w:pPr>
        <w:pStyle w:val="BodyText"/>
        <w:spacing w:line="636" w:lineRule="auto" w:before="26"/>
        <w:ind w:left="642" w:right="1427"/>
        <w:jc w:val="left"/>
      </w:pPr>
      <w:r>
        <w:rPr/>
        <w:pict>
          <v:shape style="position:absolute;margin-left:84.239998pt;margin-top:61.923672pt;width:427.2pt;height:108.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4"/>
                    <w:gridCol w:w="1728"/>
                    <w:gridCol w:w="1531"/>
                    <w:gridCol w:w="1430"/>
                    <w:gridCol w:w="1332"/>
                  </w:tblGrid>
                  <w:tr>
                    <w:trPr>
                      <w:trHeight w:val="802"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45"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4.10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4.26</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5.46</w:t>
                        </w:r>
                      </w:p>
                    </w:tc>
                  </w:tr>
                  <w:tr>
                    <w:trPr>
                      <w:trHeight w:val="799"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5.12</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7.04</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-27.32%</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7.99</w:t>
                        </w:r>
                      </w:p>
                    </w:tc>
                  </w:tr>
                </w:tbl>
                <w:p>
                  <w:pPr/>
                </w:p>
              </w:txbxContent>
            </v:textbox>
            <w10:wrap type="none"/>
          </v:shape>
        </w:pict>
      </w:r>
      <w:r>
        <w:rPr/>
        <w:t>（</w:t>
      </w:r>
      <w:r>
        <w:rPr>
          <w:rFonts w:ascii="Times New Roman" w:hAnsi="Times New Roman" w:cs="Times New Roman" w:eastAsia="Times New Roman" w:hint="default"/>
        </w:rPr>
        <w:t>6</w:t>
      </w:r>
      <w:r>
        <w:rPr/>
        <w:t>）负债合计：主要系上述因素的变动，负债合计相应下降了</w:t>
      </w:r>
      <w:r>
        <w:rPr>
          <w:spacing w:val="-61"/>
        </w:rPr>
        <w:t> </w:t>
      </w:r>
      <w:r>
        <w:rPr>
          <w:rFonts w:ascii="Times New Roman" w:hAnsi="Times New Roman" w:cs="Times New Roman" w:eastAsia="Times New Roman" w:hint="default"/>
        </w:rPr>
        <w:t>55.61%</w:t>
      </w:r>
      <w:r>
        <w:rPr/>
        <w:t>。</w:t>
      </w:r>
      <w:r>
        <w:rPr>
          <w:w w:val="99"/>
        </w:rPr>
        <w:t> </w:t>
      </w:r>
      <w:r>
        <w:rPr>
          <w:rFonts w:ascii="Times New Roman" w:hAnsi="Times New Roman" w:cs="Times New Roman" w:eastAsia="Times New Roman" w:hint="default"/>
        </w:rPr>
        <w:t>12</w:t>
      </w:r>
      <w:r>
        <w:rPr/>
        <w:t>、资本营运能力分析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36" w:lineRule="auto" w:before="34"/>
        <w:ind w:left="222" w:right="223" w:firstLine="420"/>
        <w:jc w:val="left"/>
      </w:pPr>
      <w:r>
        <w:rPr/>
        <w:t>报告期内，公司应收账款周转率</w:t>
      </w:r>
      <w:r>
        <w:rPr>
          <w:spacing w:val="-55"/>
        </w:rPr>
        <w:t> </w:t>
      </w:r>
      <w:r>
        <w:rPr>
          <w:rFonts w:ascii="Times New Roman" w:hAnsi="Times New Roman" w:cs="Times New Roman" w:eastAsia="Times New Roman" w:hint="default"/>
        </w:rPr>
        <w:t>4.1</w:t>
      </w:r>
      <w:r>
        <w:rPr/>
        <w:t>，较去年同期下降</w:t>
      </w:r>
      <w:r>
        <w:rPr>
          <w:spacing w:val="-79"/>
        </w:rPr>
        <w:t> </w:t>
      </w:r>
      <w:r>
        <w:rPr>
          <w:rFonts w:ascii="Times New Roman" w:hAnsi="Times New Roman" w:cs="Times New Roman" w:eastAsia="Times New Roman" w:hint="default"/>
        </w:rPr>
        <w:t>3.7%%</w:t>
      </w:r>
      <w:r>
        <w:rPr/>
        <w:t>，主要原因是随着公司销</w:t>
      </w:r>
      <w:r>
        <w:rPr>
          <w:w w:val="99"/>
        </w:rPr>
        <w:t> </w:t>
      </w:r>
      <w:r>
        <w:rPr/>
        <w:t>售规模扩大，应收账款占用也略有增加所致。</w:t>
      </w:r>
    </w:p>
    <w:p>
      <w:pPr>
        <w:pStyle w:val="BodyText"/>
        <w:spacing w:line="336" w:lineRule="auto" w:before="49"/>
        <w:ind w:left="222" w:right="229" w:firstLine="420"/>
        <w:jc w:val="left"/>
      </w:pPr>
      <w:r>
        <w:rPr/>
        <w:t>报告期内，公司存货周转率 </w:t>
      </w:r>
      <w:r>
        <w:rPr>
          <w:rFonts w:ascii="Times New Roman" w:hAnsi="Times New Roman" w:cs="Times New Roman" w:eastAsia="Times New Roman" w:hint="default"/>
        </w:rPr>
        <w:t>5.12</w:t>
      </w:r>
      <w:r>
        <w:rPr/>
        <w:t>，较去年同期下降</w:t>
      </w:r>
      <w:r>
        <w:rPr>
          <w:spacing w:val="-84"/>
        </w:rPr>
        <w:t> </w:t>
      </w:r>
      <w:r>
        <w:rPr>
          <w:rFonts w:ascii="Times New Roman" w:hAnsi="Times New Roman" w:cs="Times New Roman" w:eastAsia="Times New Roman" w:hint="default"/>
        </w:rPr>
        <w:t>27.32%</w:t>
      </w:r>
      <w:r>
        <w:rPr/>
        <w:t>，主要系募投项目的逐步建</w:t>
      </w:r>
      <w:r>
        <w:rPr>
          <w:w w:val="99"/>
        </w:rPr>
        <w:t> </w:t>
      </w:r>
      <w:r>
        <w:rPr/>
        <w:t>成，产能扩大，以及根据订单情况，保障产品及时交付所做的正常储备增加所致。</w:t>
      </w:r>
    </w:p>
    <w:p>
      <w:pPr>
        <w:spacing w:line="240" w:lineRule="auto" w:before="0"/>
        <w:rPr>
          <w:rFonts w:ascii="宋体" w:hAnsi="宋体" w:cs="宋体" w:eastAsia="宋体" w:hint="default"/>
          <w:sz w:val="20"/>
          <w:szCs w:val="20"/>
        </w:rPr>
      </w:pPr>
    </w:p>
    <w:p>
      <w:pPr>
        <w:pStyle w:val="BodyText"/>
        <w:spacing w:line="336" w:lineRule="auto" w:before="152"/>
        <w:ind w:left="642" w:right="5584"/>
        <w:jc w:val="left"/>
      </w:pPr>
      <w:r>
        <w:rPr>
          <w:rFonts w:ascii="Times New Roman" w:hAnsi="Times New Roman" w:cs="Times New Roman" w:eastAsia="Times New Roman" w:hint="default"/>
        </w:rPr>
        <w:t>13</w:t>
      </w:r>
      <w:r>
        <w:rPr/>
        <w:t>、研发情况</w:t>
      </w:r>
      <w:r>
        <w:rPr>
          <w:w w:val="99"/>
        </w:rPr>
        <w:t> </w:t>
      </w:r>
      <w:r>
        <w:rPr/>
        <w:t>公司近三年研发投入如下：</w:t>
      </w:r>
    </w:p>
    <w:p>
      <w:pPr>
        <w:spacing w:line="240" w:lineRule="auto" w:before="5"/>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537"/>
        <w:gridCol w:w="2100"/>
        <w:gridCol w:w="2114"/>
        <w:gridCol w:w="1769"/>
      </w:tblGrid>
      <w:tr>
        <w:trPr>
          <w:trHeight w:val="372" w:hRule="exact"/>
        </w:trPr>
        <w:tc>
          <w:tcPr>
            <w:tcW w:w="253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2008</w:t>
            </w:r>
          </w:p>
        </w:tc>
        <w:tc>
          <w:tcPr>
            <w:tcW w:w="21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w:t>
            </w:r>
          </w:p>
        </w:tc>
      </w:tr>
      <w:tr>
        <w:trPr>
          <w:trHeight w:val="420" w:hRule="exact"/>
        </w:trPr>
        <w:tc>
          <w:tcPr>
            <w:tcW w:w="25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研发投入金额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1,741,857.54</w:t>
            </w:r>
            <w:r>
              <w:rPr>
                <w:rFonts w:ascii="Times New Roman"/>
                <w:sz w:val="21"/>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2,642,026.55</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4,682,000.00</w:t>
            </w:r>
            <w:r>
              <w:rPr>
                <w:rFonts w:ascii="Times New Roman"/>
                <w:sz w:val="21"/>
              </w:rPr>
            </w:r>
          </w:p>
        </w:tc>
      </w:tr>
      <w:tr>
        <w:trPr>
          <w:trHeight w:val="418" w:hRule="exact"/>
        </w:trPr>
        <w:tc>
          <w:tcPr>
            <w:tcW w:w="25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0.44%</w:t>
            </w:r>
            <w:r>
              <w:rPr>
                <w:rFonts w:ascii="Times New Roman"/>
                <w:sz w:val="21"/>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0.64%</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0.99%</w:t>
            </w:r>
            <w:r>
              <w:rPr>
                <w:rFonts w:ascii="Times New Roman"/>
                <w:sz w:val="21"/>
              </w:rPr>
            </w:r>
          </w:p>
        </w:tc>
      </w:tr>
    </w:tbl>
    <w:p>
      <w:pPr>
        <w:pStyle w:val="BodyText"/>
        <w:spacing w:line="243" w:lineRule="exact"/>
        <w:ind w:left="222" w:right="0" w:firstLine="420"/>
        <w:jc w:val="both"/>
      </w:pPr>
      <w:r>
        <w:rPr>
          <w:spacing w:val="2"/>
          <w:w w:val="99"/>
        </w:rPr>
        <w:t>由</w:t>
      </w:r>
      <w:r>
        <w:rPr>
          <w:w w:val="99"/>
        </w:rPr>
        <w:t>于</w:t>
      </w:r>
      <w:r>
        <w:rPr>
          <w:spacing w:val="2"/>
          <w:w w:val="99"/>
        </w:rPr>
        <w:t>公</w:t>
      </w:r>
      <w:r>
        <w:rPr>
          <w:w w:val="99"/>
        </w:rPr>
        <w:t>司</w:t>
      </w:r>
      <w:r>
        <w:rPr>
          <w:spacing w:val="2"/>
          <w:w w:val="99"/>
        </w:rPr>
        <w:t>研</w:t>
      </w:r>
      <w:r>
        <w:rPr>
          <w:w w:val="99"/>
        </w:rPr>
        <w:t>发</w:t>
      </w:r>
      <w:r>
        <w:rPr>
          <w:spacing w:val="2"/>
          <w:w w:val="99"/>
        </w:rPr>
        <w:t>过</w:t>
      </w:r>
      <w:r>
        <w:rPr>
          <w:w w:val="99"/>
        </w:rPr>
        <w:t>程</w:t>
      </w:r>
      <w:r>
        <w:rPr>
          <w:spacing w:val="2"/>
          <w:w w:val="99"/>
        </w:rPr>
        <w:t>中</w:t>
      </w:r>
      <w:r>
        <w:rPr>
          <w:w w:val="99"/>
        </w:rPr>
        <w:t>形</w:t>
      </w:r>
      <w:r>
        <w:rPr>
          <w:spacing w:val="2"/>
          <w:w w:val="99"/>
        </w:rPr>
        <w:t>成</w:t>
      </w:r>
      <w:r>
        <w:rPr>
          <w:w w:val="99"/>
        </w:rPr>
        <w:t>的</w:t>
      </w:r>
      <w:r>
        <w:rPr>
          <w:spacing w:val="2"/>
          <w:w w:val="99"/>
        </w:rPr>
        <w:t>研</w:t>
      </w:r>
      <w:r>
        <w:rPr>
          <w:w w:val="99"/>
        </w:rPr>
        <w:t>发</w:t>
      </w:r>
      <w:r>
        <w:rPr>
          <w:spacing w:val="2"/>
          <w:w w:val="99"/>
        </w:rPr>
        <w:t>产</w:t>
      </w:r>
      <w:r>
        <w:rPr>
          <w:w w:val="99"/>
        </w:rPr>
        <w:t>品</w:t>
      </w:r>
      <w:r>
        <w:rPr>
          <w:spacing w:val="2"/>
          <w:w w:val="99"/>
        </w:rPr>
        <w:t>均</w:t>
      </w:r>
      <w:r>
        <w:rPr>
          <w:w w:val="99"/>
        </w:rPr>
        <w:t>具</w:t>
      </w:r>
      <w:r>
        <w:rPr>
          <w:spacing w:val="2"/>
          <w:w w:val="99"/>
        </w:rPr>
        <w:t>有</w:t>
      </w:r>
      <w:r>
        <w:rPr>
          <w:w w:val="99"/>
        </w:rPr>
        <w:t>一</w:t>
      </w:r>
      <w:r>
        <w:rPr>
          <w:spacing w:val="2"/>
          <w:w w:val="99"/>
        </w:rPr>
        <w:t>定</w:t>
      </w:r>
      <w:r>
        <w:rPr>
          <w:w w:val="99"/>
        </w:rPr>
        <w:t>市</w:t>
      </w:r>
      <w:r>
        <w:rPr>
          <w:spacing w:val="2"/>
          <w:w w:val="99"/>
        </w:rPr>
        <w:t>场</w:t>
      </w:r>
      <w:r>
        <w:rPr>
          <w:w w:val="99"/>
        </w:rPr>
        <w:t>价</w:t>
      </w:r>
      <w:r>
        <w:rPr>
          <w:spacing w:val="2"/>
          <w:w w:val="99"/>
        </w:rPr>
        <w:t>值</w:t>
      </w:r>
      <w:r>
        <w:rPr>
          <w:spacing w:val="-99"/>
          <w:w w:val="99"/>
        </w:rPr>
        <w:t>，</w:t>
      </w:r>
      <w:r>
        <w:rPr>
          <w:spacing w:val="2"/>
          <w:w w:val="99"/>
        </w:rPr>
        <w:t>均</w:t>
      </w:r>
      <w:r>
        <w:rPr>
          <w:w w:val="99"/>
        </w:rPr>
        <w:t>能</w:t>
      </w:r>
      <w:r>
        <w:rPr>
          <w:spacing w:val="2"/>
          <w:w w:val="99"/>
        </w:rPr>
        <w:t>作</w:t>
      </w:r>
      <w:r>
        <w:rPr>
          <w:w w:val="99"/>
        </w:rPr>
        <w:t>为</w:t>
      </w:r>
      <w:r>
        <w:rPr>
          <w:spacing w:val="2"/>
          <w:w w:val="99"/>
        </w:rPr>
        <w:t>不</w:t>
      </w:r>
      <w:r>
        <w:rPr>
          <w:w w:val="99"/>
        </w:rPr>
        <w:t>同</w:t>
      </w:r>
      <w:r>
        <w:rPr>
          <w:spacing w:val="2"/>
          <w:w w:val="99"/>
        </w:rPr>
        <w:t>类</w:t>
      </w:r>
      <w:r>
        <w:rPr>
          <w:w w:val="99"/>
        </w:rPr>
        <w:t>产</w:t>
      </w:r>
      <w:r>
        <w:rPr>
          <w:spacing w:val="2"/>
          <w:w w:val="99"/>
        </w:rPr>
        <w:t>品</w:t>
      </w:r>
      <w:r>
        <w:rPr>
          <w:w w:val="99"/>
        </w:rPr>
        <w:t>进</w:t>
      </w:r>
      <w:r>
        <w:rPr>
          <w:spacing w:val="2"/>
          <w:w w:val="99"/>
        </w:rPr>
        <w:t>行</w:t>
      </w:r>
      <w:r>
        <w:rPr>
          <w:w w:val="99"/>
        </w:rPr>
        <w:t>销</w:t>
      </w:r>
      <w:r>
        <w:rPr/>
      </w:r>
    </w:p>
    <w:p>
      <w:pPr>
        <w:pStyle w:val="BodyText"/>
        <w:spacing w:line="355" w:lineRule="auto" w:before="133"/>
        <w:ind w:left="222" w:right="229"/>
        <w:jc w:val="left"/>
      </w:pPr>
      <w:r>
        <w:rPr>
          <w:spacing w:val="-2"/>
          <w:w w:val="95"/>
        </w:rPr>
        <w:t>售，按照配比原则，研发过程中消耗的材料、动力等均计入了营业成本，上述统计仅计算计</w:t>
      </w:r>
      <w:r>
        <w:rPr>
          <w:spacing w:val="94"/>
          <w:w w:val="95"/>
        </w:rPr>
        <w:t> </w:t>
      </w:r>
      <w:r>
        <w:rPr>
          <w:spacing w:val="94"/>
          <w:w w:val="95"/>
        </w:rPr>
      </w:r>
      <w:r>
        <w:rPr/>
        <w:t>入费用的部分，比率相对不太高。</w:t>
      </w:r>
    </w:p>
    <w:p>
      <w:pPr>
        <w:pStyle w:val="BodyText"/>
        <w:spacing w:line="357" w:lineRule="auto" w:before="32"/>
        <w:ind w:left="222" w:right="241" w:firstLine="420"/>
        <w:jc w:val="both"/>
      </w:pPr>
      <w:r>
        <w:rPr>
          <w:spacing w:val="-2"/>
          <w:w w:val="95"/>
        </w:rPr>
        <w:t>本公司设立了技术中心，并被认定为省级企业技术中心，同时获准成立企业博士后工作</w:t>
      </w:r>
      <w:r>
        <w:rPr>
          <w:w w:val="99"/>
        </w:rPr>
        <w:t> </w:t>
      </w:r>
      <w:r>
        <w:rPr>
          <w:spacing w:val="-2"/>
          <w:w w:val="95"/>
        </w:rPr>
        <w:t>站，利用这一系列载体，公司着力于稀土新材料研发与应用，力争成为该领域的技术创新和</w:t>
      </w:r>
      <w:r>
        <w:rPr>
          <w:spacing w:val="90"/>
          <w:w w:val="95"/>
        </w:rPr>
        <w:t> </w:t>
      </w:r>
      <w:r>
        <w:rPr>
          <w:spacing w:val="90"/>
          <w:w w:val="95"/>
        </w:rPr>
      </w:r>
      <w:r>
        <w:rPr>
          <w:w w:val="95"/>
        </w:rPr>
        <w:t>领导者。技术中心具有国内先进的试验和检测手段，配有一系列完善的产品开发试验装置。</w:t>
      </w:r>
      <w:r>
        <w:rPr>
          <w:spacing w:val="12"/>
          <w:w w:val="95"/>
        </w:rPr>
        <w:t> </w:t>
      </w:r>
      <w:r>
        <w:rPr>
          <w:spacing w:val="12"/>
          <w:w w:val="95"/>
        </w:rPr>
      </w:r>
      <w:r>
        <w:rPr>
          <w:w w:val="95"/>
        </w:rPr>
        <w:t>公司建立了科学的人员培训机制，通过引进、聘用等途径，拥有了一支素质高、经验丰富、</w:t>
      </w:r>
      <w:r>
        <w:rPr>
          <w:spacing w:val="12"/>
          <w:w w:val="95"/>
        </w:rPr>
        <w:t> </w:t>
      </w:r>
      <w:r>
        <w:rPr>
          <w:spacing w:val="12"/>
          <w:w w:val="95"/>
        </w:rPr>
      </w:r>
      <w:r>
        <w:rPr>
          <w:spacing w:val="-2"/>
          <w:w w:val="95"/>
        </w:rPr>
        <w:t>创新力强的科技队伍，本公司研发人员掌握了一系列实用性非常强的公司自有技术，并在公</w:t>
      </w:r>
      <w:r>
        <w:rPr>
          <w:spacing w:val="91"/>
          <w:w w:val="95"/>
        </w:rPr>
        <w:t> </w:t>
      </w:r>
      <w:r>
        <w:rPr>
          <w:spacing w:val="91"/>
          <w:w w:val="95"/>
        </w:rPr>
      </w:r>
      <w:r>
        <w:rPr/>
        <w:t>司产品开发、新工艺开发应用和外部技术合作中发挥了重要作用。</w:t>
      </w:r>
    </w:p>
    <w:p>
      <w:pPr>
        <w:spacing w:after="0" w:line="357" w:lineRule="auto"/>
        <w:jc w:val="both"/>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34"/>
        <w:ind w:left="642" w:right="0"/>
        <w:jc w:val="left"/>
      </w:pPr>
      <w:r>
        <w:rPr>
          <w:rFonts w:ascii="Times New Roman" w:hAnsi="Times New Roman" w:cs="Times New Roman" w:eastAsia="Times New Roman" w:hint="default"/>
        </w:rPr>
        <w:t>14</w:t>
      </w:r>
      <w:r>
        <w:rPr/>
        <w:t>、主要子公司及参股公司情况</w:t>
      </w:r>
    </w:p>
    <w:p>
      <w:pPr>
        <w:pStyle w:val="BodyText"/>
        <w:spacing w:line="240" w:lineRule="auto" w:before="117"/>
        <w:ind w:left="0" w:right="22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25"/>
        <w:gridCol w:w="857"/>
        <w:gridCol w:w="1080"/>
        <w:gridCol w:w="1363"/>
        <w:gridCol w:w="1277"/>
        <w:gridCol w:w="1097"/>
        <w:gridCol w:w="1217"/>
      </w:tblGrid>
      <w:tr>
        <w:trPr>
          <w:trHeight w:val="123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319" w:right="108"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15" w:right="113"/>
              <w:jc w:val="left"/>
              <w:rPr>
                <w:rFonts w:ascii="宋体" w:hAnsi="宋体" w:cs="宋体" w:eastAsia="宋体" w:hint="default"/>
                <w:sz w:val="21"/>
                <w:szCs w:val="21"/>
              </w:rPr>
            </w:pPr>
            <w:r>
              <w:rPr>
                <w:rFonts w:ascii="宋体" w:hAnsi="宋体" w:cs="宋体" w:eastAsia="宋体" w:hint="default"/>
                <w:sz w:val="21"/>
                <w:szCs w:val="21"/>
              </w:rPr>
              <w:t>是否列入</w:t>
            </w:r>
            <w:r>
              <w:rPr>
                <w:rFonts w:ascii="宋体" w:hAnsi="宋体" w:cs="宋体" w:eastAsia="宋体" w:hint="default"/>
                <w:w w:val="99"/>
                <w:sz w:val="21"/>
                <w:szCs w:val="21"/>
              </w:rPr>
              <w:t> </w:t>
            </w:r>
            <w:r>
              <w:rPr>
                <w:rFonts w:ascii="宋体" w:hAnsi="宋体" w:cs="宋体" w:eastAsia="宋体" w:hint="default"/>
                <w:sz w:val="21"/>
                <w:szCs w:val="21"/>
              </w:rPr>
              <w:t>合并报表</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0"/>
              <w:ind w:left="468" w:right="125" w:hanging="341"/>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年度净</w:t>
            </w:r>
            <w:r>
              <w:rPr>
                <w:rFonts w:ascii="宋体" w:hAnsi="宋体" w:cs="宋体" w:eastAsia="宋体" w:hint="default"/>
                <w:w w:val="99"/>
                <w:sz w:val="21"/>
                <w:szCs w:val="21"/>
              </w:rPr>
              <w:t> </w:t>
            </w:r>
            <w:r>
              <w:rPr>
                <w:rFonts w:ascii="宋体" w:hAnsi="宋体" w:cs="宋体" w:eastAsia="宋体" w:hint="default"/>
                <w:sz w:val="21"/>
                <w:szCs w:val="21"/>
              </w:rPr>
              <w:t>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0"/>
              <w:ind w:left="319" w:right="185" w:hanging="132"/>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r>
              <w:rPr>
                <w:rFonts w:ascii="宋体" w:hAnsi="宋体" w:cs="宋体" w:eastAsia="宋体" w:hint="default"/>
                <w:w w:val="99"/>
                <w:sz w:val="21"/>
                <w:szCs w:val="21"/>
              </w:rPr>
              <w:t> </w:t>
            </w:r>
            <w:r>
              <w:rPr>
                <w:rFonts w:ascii="宋体" w:hAnsi="宋体" w:cs="宋体" w:eastAsia="宋体" w:hint="default"/>
                <w:sz w:val="21"/>
                <w:szCs w:val="21"/>
              </w:rPr>
              <w:t>净利润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247" w:right="120" w:hanging="123"/>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同比变动</w:t>
            </w:r>
            <w:r>
              <w:rPr>
                <w:rFonts w:ascii="宋体" w:hAnsi="宋体" w:cs="宋体" w:eastAsia="宋体" w:hint="default"/>
                <w:w w:val="9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对合并净</w:t>
            </w:r>
          </w:p>
          <w:p>
            <w:pPr>
              <w:pStyle w:val="TableParagraph"/>
              <w:spacing w:line="355" w:lineRule="auto" w:before="133"/>
              <w:ind w:left="201" w:right="180" w:hanging="17"/>
              <w:jc w:val="left"/>
              <w:rPr>
                <w:rFonts w:ascii="Times New Roman" w:hAnsi="Times New Roman" w:cs="Times New Roman" w:eastAsia="Times New Roman" w:hint="default"/>
                <w:sz w:val="21"/>
                <w:szCs w:val="21"/>
              </w:rPr>
            </w:pPr>
            <w:r>
              <w:rPr>
                <w:rFonts w:ascii="宋体" w:hAnsi="宋体" w:cs="宋体" w:eastAsia="宋体" w:hint="default"/>
                <w:sz w:val="21"/>
                <w:szCs w:val="21"/>
              </w:rPr>
              <w:t>利润的影</w:t>
            </w:r>
            <w:r>
              <w:rPr>
                <w:rFonts w:ascii="宋体" w:hAnsi="宋体" w:cs="宋体" w:eastAsia="宋体" w:hint="default"/>
                <w:w w:val="99"/>
                <w:sz w:val="21"/>
                <w:szCs w:val="21"/>
              </w:rPr>
              <w:t> </w:t>
            </w:r>
            <w:r>
              <w:rPr>
                <w:rFonts w:ascii="宋体" w:hAnsi="宋体" w:cs="宋体" w:eastAsia="宋体" w:hint="default"/>
                <w:sz w:val="21"/>
                <w:szCs w:val="21"/>
              </w:rPr>
              <w:t>响比例</w:t>
            </w:r>
            <w:r>
              <w:rPr>
                <w:rFonts w:ascii="Times New Roman" w:hAnsi="Times New Roman" w:cs="Times New Roman" w:eastAsia="Times New Roman" w:hint="default"/>
                <w:sz w:val="21"/>
                <w:szCs w:val="21"/>
              </w:rPr>
              <w:t>%</w:t>
            </w:r>
          </w:p>
        </w:tc>
      </w:tr>
      <w:tr>
        <w:trPr>
          <w:trHeight w:val="343" w:hRule="exact"/>
        </w:trPr>
        <w:tc>
          <w:tcPr>
            <w:tcW w:w="1625"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重庆市渝神科</w:t>
            </w:r>
          </w:p>
        </w:tc>
        <w:tc>
          <w:tcPr>
            <w:tcW w:w="857"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217" w:type="dxa"/>
            <w:tcBorders>
              <w:top w:val="single" w:sz="4" w:space="0" w:color="000000"/>
              <w:left w:val="single" w:sz="4" w:space="0" w:color="000000"/>
              <w:bottom w:val="nil" w:sz="6" w:space="0" w:color="auto"/>
              <w:right w:val="single" w:sz="4" w:space="0" w:color="000000"/>
            </w:tcBorders>
          </w:tcPr>
          <w:p>
            <w:pPr/>
          </w:p>
        </w:tc>
      </w:tr>
      <w:tr>
        <w:trPr>
          <w:trHeight w:val="510" w:hRule="exact"/>
        </w:trPr>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技有限责任公</w:t>
            </w:r>
          </w:p>
        </w:tc>
        <w:tc>
          <w:tcPr>
            <w:tcW w:w="85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74"/>
              <w:jc w:val="right"/>
              <w:rPr>
                <w:rFonts w:ascii="Times New Roman" w:hAnsi="Times New Roman" w:cs="Times New Roman" w:eastAsia="Times New Roman" w:hint="default"/>
                <w:sz w:val="21"/>
                <w:szCs w:val="21"/>
              </w:rPr>
            </w:pPr>
            <w:r>
              <w:rPr>
                <w:rFonts w:ascii="Times New Roman"/>
                <w:sz w:val="21"/>
              </w:rPr>
              <w:t>100%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23,372.28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990,808.82</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sz w:val="21"/>
              </w:rPr>
              <w:t>-97.64%</w:t>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333" w:right="0"/>
              <w:jc w:val="left"/>
              <w:rPr>
                <w:rFonts w:ascii="Times New Roman" w:hAnsi="Times New Roman" w:cs="Times New Roman" w:eastAsia="Times New Roman" w:hint="default"/>
                <w:sz w:val="21"/>
                <w:szCs w:val="21"/>
              </w:rPr>
            </w:pPr>
            <w:r>
              <w:rPr>
                <w:rFonts w:ascii="Times New Roman"/>
                <w:sz w:val="21"/>
              </w:rPr>
              <w:t>0.10%</w:t>
            </w:r>
          </w:p>
        </w:tc>
      </w:tr>
      <w:tr>
        <w:trPr>
          <w:trHeight w:val="383" w:hRule="exact"/>
        </w:trPr>
        <w:tc>
          <w:tcPr>
            <w:tcW w:w="1625"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7"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重庆市隆泰稀</w:t>
            </w:r>
          </w:p>
        </w:tc>
        <w:tc>
          <w:tcPr>
            <w:tcW w:w="857"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217" w:type="dxa"/>
            <w:tcBorders>
              <w:top w:val="single" w:sz="4" w:space="0" w:color="000000"/>
              <w:left w:val="single" w:sz="4" w:space="0" w:color="000000"/>
              <w:bottom w:val="nil" w:sz="6" w:space="0" w:color="auto"/>
              <w:right w:val="single" w:sz="4" w:space="0" w:color="000000"/>
            </w:tcBorders>
          </w:tcPr>
          <w:p>
            <w:pPr/>
          </w:p>
        </w:tc>
      </w:tr>
      <w:tr>
        <w:trPr>
          <w:trHeight w:val="507" w:hRule="exact"/>
        </w:trPr>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土新材料有限</w:t>
            </w:r>
          </w:p>
        </w:tc>
        <w:tc>
          <w:tcPr>
            <w:tcW w:w="85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74"/>
              <w:jc w:val="right"/>
              <w:rPr>
                <w:rFonts w:ascii="Times New Roman" w:hAnsi="Times New Roman" w:cs="Times New Roman" w:eastAsia="Times New Roman" w:hint="default"/>
                <w:sz w:val="21"/>
                <w:szCs w:val="21"/>
              </w:rPr>
            </w:pPr>
            <w:r>
              <w:rPr>
                <w:rFonts w:ascii="Times New Roman"/>
                <w:sz w:val="21"/>
              </w:rPr>
              <w:t>100%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-133,492.72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300" w:right="0"/>
              <w:jc w:val="left"/>
              <w:rPr>
                <w:rFonts w:ascii="Times New Roman" w:hAnsi="Times New Roman" w:cs="Times New Roman" w:eastAsia="Times New Roman" w:hint="default"/>
                <w:sz w:val="21"/>
                <w:szCs w:val="21"/>
              </w:rPr>
            </w:pPr>
            <w:r>
              <w:rPr>
                <w:rFonts w:ascii="Times New Roman"/>
                <w:sz w:val="21"/>
              </w:rPr>
              <w:t>-0.56%</w:t>
            </w:r>
          </w:p>
        </w:tc>
      </w:tr>
      <w:tr>
        <w:trPr>
          <w:trHeight w:val="381" w:hRule="exact"/>
        </w:trPr>
        <w:tc>
          <w:tcPr>
            <w:tcW w:w="1625"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2" w:right="0"/>
              <w:jc w:val="center"/>
              <w:rPr>
                <w:rFonts w:ascii="宋体" w:hAnsi="宋体" w:cs="宋体" w:eastAsia="宋体" w:hint="default"/>
                <w:sz w:val="21"/>
                <w:szCs w:val="21"/>
              </w:rPr>
            </w:pPr>
            <w:r>
              <w:rPr>
                <w:rFonts w:ascii="宋体" w:hAnsi="宋体" w:cs="宋体" w:eastAsia="宋体" w:hint="default"/>
                <w:sz w:val="21"/>
                <w:szCs w:val="21"/>
              </w:rPr>
              <w:t>责任公司</w:t>
            </w:r>
          </w:p>
        </w:tc>
        <w:tc>
          <w:tcPr>
            <w:tcW w:w="857"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26"/>
        <w:ind w:left="702" w:right="0"/>
        <w:jc w:val="left"/>
      </w:pPr>
      <w:r>
        <w:rPr/>
        <w:t>二、对公司未来发展的展望</w:t>
      </w:r>
    </w:p>
    <w:p>
      <w:pPr>
        <w:pStyle w:val="BodyText"/>
        <w:spacing w:line="355" w:lineRule="auto" w:before="157"/>
        <w:ind w:left="642" w:right="0"/>
        <w:jc w:val="left"/>
      </w:pPr>
      <w:r>
        <w:rPr/>
        <w:t>1、行业所处的发展趋势及面临的市场竞争格局</w:t>
      </w:r>
      <w:r>
        <w:rPr>
          <w:w w:val="99"/>
        </w:rPr>
        <w:t> </w:t>
      </w:r>
      <w:r>
        <w:rPr>
          <w:spacing w:val="-2"/>
          <w:w w:val="99"/>
        </w:rPr>
        <w:t>公司所属金属制品制造行业，公司依靠核心技术稀土镀层技术产品已经占据了一定的市</w:t>
      </w:r>
      <w:r>
        <w:rPr>
          <w:spacing w:val="-2"/>
        </w:rPr>
      </w:r>
    </w:p>
    <w:p>
      <w:pPr>
        <w:pStyle w:val="BodyText"/>
        <w:spacing w:line="357" w:lineRule="auto" w:before="32"/>
        <w:ind w:left="222" w:right="217"/>
        <w:jc w:val="both"/>
      </w:pPr>
      <w:r>
        <w:rPr>
          <w:spacing w:val="-2"/>
          <w:w w:val="95"/>
        </w:rPr>
        <w:t>场份额，产品主要销售对象为国家电网用于国内电网建设，根据国务院总理温家宝主持召开</w:t>
      </w:r>
      <w:r>
        <w:rPr>
          <w:spacing w:val="93"/>
          <w:w w:val="95"/>
        </w:rPr>
        <w:t> </w:t>
      </w:r>
      <w:r>
        <w:rPr>
          <w:spacing w:val="93"/>
          <w:w w:val="95"/>
        </w:rPr>
      </w:r>
      <w:r>
        <w:rPr>
          <w:spacing w:val="-2"/>
          <w:w w:val="99"/>
        </w:rPr>
        <w:t>国务院常务会议，“十二五”期间，将实施新一轮农村电网改造升级工程。会议提出，要加</w:t>
      </w:r>
      <w:r>
        <w:rPr>
          <w:spacing w:val="-91"/>
          <w:w w:val="99"/>
        </w:rPr>
        <w:t> </w:t>
      </w:r>
      <w:r>
        <w:rPr>
          <w:spacing w:val="-91"/>
          <w:w w:val="99"/>
        </w:rPr>
      </w:r>
      <w:r>
        <w:rPr>
          <w:spacing w:val="-2"/>
          <w:w w:val="95"/>
        </w:rPr>
        <w:t>大资金支持力度。中西部地区农村电网改造升级工程项目资本金主要由中央安排。国家电网</w:t>
      </w:r>
      <w:r>
        <w:rPr>
          <w:spacing w:val="93"/>
          <w:w w:val="95"/>
        </w:rPr>
        <w:t> </w:t>
      </w:r>
      <w:r>
        <w:rPr>
          <w:spacing w:val="93"/>
          <w:w w:val="95"/>
        </w:rPr>
      </w:r>
      <w:r>
        <w:rPr/>
        <w:t>公司于</w:t>
      </w:r>
      <w:r>
        <w:rPr>
          <w:spacing w:val="-56"/>
        </w:rPr>
        <w:t> </w:t>
      </w:r>
      <w:r>
        <w:rPr/>
        <w:t>2011</w:t>
      </w:r>
      <w:r>
        <w:rPr>
          <w:spacing w:val="-54"/>
        </w:rPr>
        <w:t> </w:t>
      </w:r>
      <w:r>
        <w:rPr/>
        <w:t>年</w:t>
      </w:r>
      <w:r>
        <w:rPr>
          <w:spacing w:val="-56"/>
        </w:rPr>
        <w:t> </w:t>
      </w:r>
      <w:r>
        <w:rPr/>
        <w:t>1</w:t>
      </w:r>
      <w:r>
        <w:rPr>
          <w:spacing w:val="-54"/>
        </w:rPr>
        <w:t> </w:t>
      </w:r>
      <w:r>
        <w:rPr/>
        <w:t>月</w:t>
      </w:r>
      <w:r>
        <w:rPr>
          <w:spacing w:val="-56"/>
        </w:rPr>
        <w:t> </w:t>
      </w:r>
      <w:r>
        <w:rPr/>
        <w:t>6</w:t>
      </w:r>
      <w:r>
        <w:rPr>
          <w:spacing w:val="-54"/>
        </w:rPr>
        <w:t> </w:t>
      </w:r>
      <w:r>
        <w:rPr>
          <w:spacing w:val="-4"/>
        </w:rPr>
        <w:t>日宣布，未来</w:t>
      </w:r>
      <w:r>
        <w:rPr>
          <w:spacing w:val="-53"/>
        </w:rPr>
        <w:t> </w:t>
      </w:r>
      <w:r>
        <w:rPr/>
        <w:t>5</w:t>
      </w:r>
      <w:r>
        <w:rPr>
          <w:spacing w:val="-57"/>
        </w:rPr>
        <w:t> </w:t>
      </w:r>
      <w:r>
        <w:rPr/>
        <w:t>年我国将投资超过</w:t>
      </w:r>
      <w:r>
        <w:rPr>
          <w:spacing w:val="-53"/>
        </w:rPr>
        <w:t> </w:t>
      </w:r>
      <w:r>
        <w:rPr/>
        <w:t>5000</w:t>
      </w:r>
      <w:r>
        <w:rPr>
          <w:spacing w:val="-54"/>
        </w:rPr>
        <w:t> </w:t>
      </w:r>
      <w:r>
        <w:rPr>
          <w:spacing w:val="-5"/>
        </w:rPr>
        <w:t>亿元，建成“三纵三横”特高</w:t>
      </w:r>
    </w:p>
    <w:p>
      <w:pPr>
        <w:pStyle w:val="BodyText"/>
        <w:spacing w:line="357" w:lineRule="auto" w:before="30"/>
        <w:ind w:left="222" w:right="116"/>
        <w:jc w:val="both"/>
      </w:pPr>
      <w:r>
        <w:rPr/>
        <w:t>压交流骨干网架和</w:t>
      </w:r>
      <w:r>
        <w:rPr>
          <w:spacing w:val="-55"/>
        </w:rPr>
        <w:t> </w:t>
      </w:r>
      <w:r>
        <w:rPr/>
        <w:t>11</w:t>
      </w:r>
      <w:r>
        <w:rPr>
          <w:spacing w:val="-53"/>
        </w:rPr>
        <w:t> </w:t>
      </w:r>
      <w:r>
        <w:rPr/>
        <w:t>项特高压直流输电工程，特高压输电线路总长将达</w:t>
      </w:r>
      <w:r>
        <w:rPr>
          <w:spacing w:val="-50"/>
        </w:rPr>
        <w:t> </w:t>
      </w:r>
      <w:r>
        <w:rPr/>
        <w:t>4</w:t>
      </w:r>
      <w:r>
        <w:rPr>
          <w:spacing w:val="-56"/>
        </w:rPr>
        <w:t> </w:t>
      </w:r>
      <w:r>
        <w:rPr/>
        <w:t>万公里，形成交</w:t>
      </w:r>
      <w:r>
        <w:rPr>
          <w:w w:val="99"/>
        </w:rPr>
        <w:t> </w:t>
      </w:r>
      <w:r>
        <w:rPr>
          <w:w w:val="95"/>
        </w:rPr>
        <w:t>直流协调发展的坚强电网网架。目前，我国反复出现煤电运紧张局面，国家电网公司认为主</w:t>
      </w:r>
      <w:r>
        <w:rPr>
          <w:spacing w:val="10"/>
          <w:w w:val="95"/>
        </w:rPr>
        <w:t> </w:t>
      </w:r>
      <w:r>
        <w:rPr>
          <w:spacing w:val="10"/>
          <w:w w:val="95"/>
        </w:rPr>
      </w:r>
      <w:r>
        <w:rPr>
          <w:w w:val="95"/>
        </w:rPr>
        <w:t>要是因为能源配置过度依赖输煤，而输电比重明显偏低，电网在能源综合运输体系中的作用</w:t>
      </w:r>
      <w:r>
        <w:rPr>
          <w:spacing w:val="12"/>
          <w:w w:val="95"/>
        </w:rPr>
        <w:t> </w:t>
      </w:r>
      <w:r>
        <w:rPr>
          <w:spacing w:val="12"/>
          <w:w w:val="95"/>
        </w:rPr>
      </w:r>
      <w:r>
        <w:rPr>
          <w:spacing w:val="-5"/>
          <w:w w:val="95"/>
        </w:rPr>
        <w:t>还明显不够。因此，需要加快转变电力发展方式，实现输煤输电并举，特别是优先发展输电。</w:t>
      </w:r>
      <w:r>
        <w:rPr>
          <w:spacing w:val="-5"/>
        </w:rPr>
      </w:r>
    </w:p>
    <w:p>
      <w:pPr>
        <w:pStyle w:val="BodyText"/>
        <w:spacing w:line="355" w:lineRule="auto" w:before="30"/>
        <w:ind w:left="222" w:right="221" w:firstLine="420"/>
        <w:jc w:val="both"/>
      </w:pPr>
      <w:r>
        <w:rPr>
          <w:spacing w:val="-2"/>
          <w:w w:val="95"/>
        </w:rPr>
        <w:t>尽管“十一五”末期由于国家电网投资力度稍有缓和，公司所属行业企业均出现不同程</w:t>
      </w:r>
      <w:r>
        <w:rPr>
          <w:w w:val="99"/>
        </w:rPr>
        <w:t> </w:t>
      </w:r>
      <w:r>
        <w:rPr>
          <w:spacing w:val="-2"/>
          <w:w w:val="95"/>
        </w:rPr>
        <w:t>度的效益下滑，但公司产品将在“十二五”受益于国家电网的大规模投资，产品的行业前景</w:t>
      </w:r>
      <w:r>
        <w:rPr>
          <w:spacing w:val="92"/>
          <w:w w:val="95"/>
        </w:rPr>
        <w:t> </w:t>
      </w:r>
      <w:r>
        <w:rPr>
          <w:spacing w:val="92"/>
          <w:w w:val="95"/>
        </w:rPr>
      </w:r>
      <w:r>
        <w:rPr/>
        <w:t>依然有巨大发展空间。</w:t>
      </w:r>
    </w:p>
    <w:p>
      <w:pPr>
        <w:pStyle w:val="BodyText"/>
        <w:spacing w:line="350" w:lineRule="auto" w:before="34"/>
        <w:ind w:left="222" w:right="217" w:firstLine="420"/>
        <w:jc w:val="both"/>
      </w:pPr>
      <w:r>
        <w:rPr>
          <w:spacing w:val="-2"/>
          <w:w w:val="95"/>
        </w:rPr>
        <w:t>国际市场上近年来电力建设投资也十分旺盛，对公司产品的需求量也逐渐增加，逐渐摆</w:t>
      </w:r>
      <w:r>
        <w:rPr>
          <w:w w:val="99"/>
        </w:rPr>
        <w:t> </w:t>
      </w:r>
      <w:r>
        <w:rPr>
          <w:spacing w:val="-2"/>
          <w:w w:val="95"/>
        </w:rPr>
        <w:t>脱了金融危机带来的影响。据北京中恒远策信息咨询公司《中国钢绞线行业竞争态势预测报</w:t>
      </w:r>
      <w:r>
        <w:rPr>
          <w:spacing w:val="93"/>
          <w:w w:val="95"/>
        </w:rPr>
        <w:t> </w:t>
      </w:r>
      <w:r>
        <w:rPr>
          <w:spacing w:val="93"/>
          <w:w w:val="95"/>
        </w:rPr>
      </w:r>
      <w:r>
        <w:rPr>
          <w:spacing w:val="-17"/>
          <w:w w:val="99"/>
        </w:rPr>
        <w:t>告》，</w:t>
      </w:r>
      <w:r>
        <w:rPr>
          <w:rFonts w:ascii="Times New Roman" w:hAnsi="Times New Roman" w:cs="Times New Roman" w:eastAsia="Times New Roman" w:hint="default"/>
          <w:spacing w:val="-17"/>
          <w:w w:val="99"/>
        </w:rPr>
        <w:t>2011</w:t>
      </w:r>
      <w:r>
        <w:rPr>
          <w:rFonts w:ascii="Times New Roman" w:hAnsi="Times New Roman" w:cs="Times New Roman" w:eastAsia="Times New Roman" w:hint="default"/>
          <w:spacing w:val="5"/>
          <w:w w:val="99"/>
        </w:rPr>
        <w:t> </w:t>
      </w:r>
      <w:r>
        <w:rPr>
          <w:w w:val="99"/>
        </w:rPr>
        <w:t>年我国钢绞线的出口量有望达</w:t>
      </w:r>
      <w:r>
        <w:rPr>
          <w:spacing w:val="-40"/>
          <w:w w:val="99"/>
        </w:rPr>
        <w:t> </w:t>
      </w:r>
      <w:r>
        <w:rPr>
          <w:rFonts w:ascii="Times New Roman" w:hAnsi="Times New Roman" w:cs="Times New Roman" w:eastAsia="Times New Roman" w:hint="default"/>
          <w:w w:val="99"/>
        </w:rPr>
        <w:t>200</w:t>
      </w:r>
      <w:r>
        <w:rPr>
          <w:rFonts w:ascii="Times New Roman" w:hAnsi="Times New Roman" w:cs="Times New Roman" w:eastAsia="Times New Roman" w:hint="default"/>
          <w:spacing w:val="8"/>
          <w:w w:val="99"/>
        </w:rPr>
        <w:t> </w:t>
      </w:r>
      <w:r>
        <w:rPr>
          <w:spacing w:val="-1"/>
          <w:w w:val="99"/>
        </w:rPr>
        <w:t>万吨。根据我国镀层合金钢丝、钢绞线企业的</w:t>
      </w:r>
      <w:r>
        <w:rPr>
          <w:spacing w:val="-102"/>
          <w:w w:val="99"/>
        </w:rPr>
        <w:t> </w:t>
      </w:r>
      <w:r>
        <w:rPr>
          <w:spacing w:val="-102"/>
          <w:w w:val="99"/>
        </w:rPr>
      </w:r>
      <w:r>
        <w:rPr/>
        <w:t>竞争状况，并结合海外市场需求状况分析，预计到</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年，合金镀层钢丝、钢绞线出口总</w:t>
      </w:r>
    </w:p>
    <w:p>
      <w:pPr>
        <w:pStyle w:val="BodyText"/>
        <w:spacing w:line="336" w:lineRule="auto" w:before="12"/>
        <w:ind w:left="642" w:right="0" w:hanging="420"/>
        <w:jc w:val="left"/>
        <w:rPr>
          <w:rFonts w:ascii="Times New Roman" w:hAnsi="Times New Roman" w:cs="Times New Roman" w:eastAsia="Times New Roman" w:hint="default"/>
        </w:rPr>
      </w:pPr>
      <w:r>
        <w:rPr/>
        <w:t>量将达</w:t>
      </w:r>
      <w:r>
        <w:rPr>
          <w:spacing w:val="-53"/>
        </w:rPr>
        <w:t> </w:t>
      </w:r>
      <w:r>
        <w:rPr>
          <w:rFonts w:ascii="Times New Roman" w:hAnsi="Times New Roman" w:cs="Times New Roman" w:eastAsia="Times New Roman" w:hint="default"/>
        </w:rPr>
        <w:t>200 </w:t>
      </w:r>
      <w:r>
        <w:rPr/>
        <w:t>万吨。</w:t>
      </w:r>
      <w:r>
        <w:rPr>
          <w:w w:val="99"/>
        </w:rPr>
        <w:t> </w:t>
      </w:r>
      <w:r>
        <w:rPr>
          <w:spacing w:val="3"/>
        </w:rPr>
        <w:t>目前国内生产镀层钢丝、钢绞线的厂家有近百家，其中大部分企业年产量在</w:t>
      </w:r>
      <w:r>
        <w:rPr>
          <w:spacing w:val="-19"/>
        </w:rPr>
        <w:t> </w:t>
      </w:r>
      <w:r>
        <w:rPr>
          <w:rFonts w:ascii="Times New Roman" w:hAnsi="Times New Roman" w:cs="Times New Roman" w:eastAsia="Times New Roman" w:hint="default"/>
        </w:rPr>
        <w:t>0.1</w:t>
      </w:r>
      <w:r>
        <w:rPr/>
        <w:t>－</w:t>
      </w:r>
      <w:r>
        <w:rPr>
          <w:rFonts w:ascii="Times New Roman" w:hAnsi="Times New Roman" w:cs="Times New Roman" w:eastAsia="Times New Roman" w:hint="default"/>
        </w:rPr>
        <w:t>0.5</w:t>
      </w:r>
    </w:p>
    <w:p>
      <w:pPr>
        <w:spacing w:after="0" w:line="336" w:lineRule="auto"/>
        <w:jc w:val="left"/>
        <w:rPr>
          <w:rFonts w:ascii="Times New Roman" w:hAnsi="Times New Roman" w:cs="Times New Roman" w:eastAsia="Times New Roman" w:hint="default"/>
        </w:rPr>
        <w:sectPr>
          <w:pgSz w:w="11910" w:h="16840"/>
          <w:pgMar w:header="206" w:footer="738" w:top="940" w:bottom="92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BodyText"/>
        <w:spacing w:line="350" w:lineRule="auto" w:before="34"/>
        <w:ind w:right="201"/>
        <w:jc w:val="both"/>
      </w:pPr>
      <w:r>
        <w:rPr>
          <w:spacing w:val="-2"/>
          <w:w w:val="99"/>
        </w:rPr>
        <w:t>万吨，这些企业技术水平低、工艺装备差、生产规模小、产品质量不稳定，仅作为固定、拴</w:t>
      </w:r>
      <w:r>
        <w:rPr>
          <w:spacing w:val="-87"/>
          <w:w w:val="99"/>
        </w:rPr>
        <w:t> </w:t>
      </w:r>
      <w:r>
        <w:rPr>
          <w:spacing w:val="-87"/>
          <w:w w:val="99"/>
        </w:rPr>
      </w:r>
      <w:r>
        <w:rPr>
          <w:spacing w:val="-2"/>
          <w:w w:val="95"/>
        </w:rPr>
        <w:t>系等一般性用途，不能满足国家重点行业或重点工程对产品防腐性能、质量和服务等方面的</w:t>
      </w:r>
      <w:r>
        <w:rPr>
          <w:spacing w:val="91"/>
          <w:w w:val="95"/>
        </w:rPr>
        <w:t> </w:t>
      </w:r>
      <w:r>
        <w:rPr>
          <w:spacing w:val="91"/>
          <w:w w:val="95"/>
        </w:rPr>
      </w:r>
      <w:r>
        <w:rPr>
          <w:spacing w:val="-2"/>
          <w:w w:val="95"/>
        </w:rPr>
        <w:t>高要求。在涉及国民经济安全运行等应用领域，如电力电网的建设中，在工程设计和招标采</w:t>
      </w:r>
      <w:r>
        <w:rPr>
          <w:spacing w:val="90"/>
          <w:w w:val="95"/>
        </w:rPr>
        <w:t> </w:t>
      </w:r>
      <w:r>
        <w:rPr>
          <w:spacing w:val="90"/>
          <w:w w:val="95"/>
        </w:rPr>
      </w:r>
      <w:r>
        <w:rPr>
          <w:spacing w:val="-2"/>
          <w:w w:val="95"/>
        </w:rPr>
        <w:t>购时，对投标人都有严格的资格认证。原国家电力部、机械部和国家计委稀土办曾明确要求</w:t>
      </w:r>
      <w:r>
        <w:rPr>
          <w:spacing w:val="92"/>
          <w:w w:val="95"/>
        </w:rPr>
        <w:t> </w:t>
      </w:r>
      <w:r>
        <w:rPr>
          <w:spacing w:val="92"/>
          <w:w w:val="95"/>
        </w:rPr>
      </w:r>
      <w:r>
        <w:rPr>
          <w:spacing w:val="-2"/>
          <w:w w:val="95"/>
        </w:rPr>
        <w:t>在电力工程建设中，选用通过联合鉴定的大中型企业生产的产品。原国家电力部电力规划设</w:t>
      </w:r>
      <w:r>
        <w:rPr>
          <w:spacing w:val="92"/>
          <w:w w:val="95"/>
        </w:rPr>
        <w:t> </w:t>
      </w:r>
      <w:r>
        <w:rPr>
          <w:spacing w:val="92"/>
          <w:w w:val="95"/>
        </w:rPr>
      </w:r>
      <w:r>
        <w:rPr/>
        <w:t>计总院要求</w:t>
      </w:r>
      <w:r>
        <w:rPr>
          <w:rFonts w:ascii="Times New Roman" w:hAnsi="Times New Roman" w:cs="Times New Roman" w:eastAsia="Times New Roman" w:hint="default"/>
        </w:rPr>
        <w:t>“</w:t>
      </w:r>
      <w:r>
        <w:rPr/>
        <w:t>钢芯稀土铝导线的钢芯配用稀土合金镀层钢绞线，提高钢芯铝绞线的整体耐腐</w:t>
      </w:r>
      <w:r>
        <w:rPr>
          <w:w w:val="99"/>
        </w:rPr>
        <w:t> </w:t>
      </w:r>
      <w:r>
        <w:rPr/>
        <w:t>蚀能力</w:t>
      </w:r>
      <w:r>
        <w:rPr>
          <w:rFonts w:ascii="Times New Roman" w:hAnsi="Times New Roman" w:cs="Times New Roman" w:eastAsia="Times New Roman" w:hint="default"/>
        </w:rPr>
        <w:t>”</w:t>
      </w:r>
      <w:r>
        <w:rPr/>
        <w:t>，只有具有技术实力的大中型企业才能进入对产品质量和安全性要求较高的高端市</w:t>
      </w:r>
      <w:r>
        <w:rPr>
          <w:w w:val="99"/>
        </w:rPr>
        <w:t> </w:t>
      </w:r>
      <w:r>
        <w:rPr/>
        <w:t>场。</w:t>
      </w:r>
    </w:p>
    <w:p>
      <w:pPr>
        <w:pStyle w:val="BodyText"/>
        <w:spacing w:line="357" w:lineRule="auto" w:before="36"/>
        <w:ind w:right="101" w:firstLine="420"/>
        <w:jc w:val="both"/>
      </w:pPr>
      <w:r>
        <w:rPr>
          <w:spacing w:val="-2"/>
          <w:w w:val="99"/>
        </w:rPr>
        <w:t>本公司作为国内第一家自主研发生产新一代稀土镀层防腐材料的企业，稀土合金镀层钢</w:t>
      </w:r>
      <w:r>
        <w:rPr>
          <w:w w:val="99"/>
        </w:rPr>
        <w:t> </w:t>
      </w:r>
      <w:r>
        <w:rPr>
          <w:w w:val="95"/>
        </w:rPr>
        <w:t>丝、钢绞线系列产品通过了国家级的产品技术鉴定，并被列入国家级重点新产品项目计划和</w:t>
      </w:r>
      <w:r>
        <w:rPr>
          <w:spacing w:val="11"/>
          <w:w w:val="95"/>
        </w:rPr>
        <w:t> </w:t>
      </w:r>
      <w:r>
        <w:rPr>
          <w:spacing w:val="11"/>
          <w:w w:val="95"/>
        </w:rPr>
      </w:r>
      <w:r>
        <w:rPr>
          <w:w w:val="95"/>
        </w:rPr>
        <w:t>原国家科委的国家科技成果重点推广项目计划。公司作为行业标准的主持制定者与参与者，</w:t>
      </w:r>
      <w:r>
        <w:rPr>
          <w:spacing w:val="12"/>
          <w:w w:val="95"/>
        </w:rPr>
        <w:t> </w:t>
      </w:r>
      <w:r>
        <w:rPr>
          <w:spacing w:val="12"/>
          <w:w w:val="95"/>
        </w:rPr>
      </w:r>
      <w:r>
        <w:rPr>
          <w:spacing w:val="-2"/>
          <w:w w:val="99"/>
        </w:rPr>
        <w:t>本公司生产的多种稀土合金镀层产品不仅能够满足电力电网工程建设的要求，而且还用于替</w:t>
      </w:r>
      <w:r>
        <w:rPr>
          <w:spacing w:val="-84"/>
          <w:w w:val="99"/>
        </w:rPr>
        <w:t> </w:t>
      </w:r>
      <w:r>
        <w:rPr>
          <w:spacing w:val="-84"/>
          <w:w w:val="99"/>
        </w:rPr>
      </w:r>
      <w:r>
        <w:rPr/>
        <w:t>代进口，获得了市场高端用户的认可，成为国家电网公司、南方电网公司的重要合作伙伴。</w:t>
      </w:r>
    </w:p>
    <w:p>
      <w:pPr>
        <w:spacing w:line="240" w:lineRule="auto" w:before="0"/>
        <w:rPr>
          <w:rFonts w:ascii="宋体" w:hAnsi="宋体" w:cs="宋体" w:eastAsia="宋体" w:hint="default"/>
          <w:sz w:val="20"/>
          <w:szCs w:val="20"/>
        </w:rPr>
      </w:pPr>
    </w:p>
    <w:p>
      <w:pPr>
        <w:pStyle w:val="BodyText"/>
        <w:spacing w:line="336" w:lineRule="auto" w:before="131"/>
        <w:ind w:left="542" w:right="185"/>
        <w:jc w:val="left"/>
      </w:pPr>
      <w:r>
        <w:rPr>
          <w:rFonts w:ascii="Times New Roman" w:hAnsi="Times New Roman" w:cs="Times New Roman" w:eastAsia="Times New Roman" w:hint="default"/>
        </w:rPr>
        <w:t>2</w:t>
      </w:r>
      <w:r>
        <w:rPr/>
        <w:t>、发展规划</w:t>
      </w:r>
      <w:r>
        <w:rPr>
          <w:w w:val="99"/>
        </w:rPr>
        <w:t> </w:t>
      </w:r>
      <w:r>
        <w:rPr>
          <w:spacing w:val="-2"/>
          <w:w w:val="95"/>
        </w:rPr>
        <w:t>在已经到来的“十二五”时期，公司将高举中国特色社会主义伟大旗帜，以邓小平理论</w:t>
      </w:r>
      <w:r>
        <w:rPr>
          <w:spacing w:val="-2"/>
        </w:rPr>
      </w:r>
    </w:p>
    <w:p>
      <w:pPr>
        <w:pStyle w:val="BodyText"/>
        <w:spacing w:line="355" w:lineRule="auto" w:before="51"/>
        <w:ind w:right="201"/>
        <w:jc w:val="both"/>
      </w:pPr>
      <w:r>
        <w:rPr>
          <w:spacing w:val="-2"/>
          <w:w w:val="95"/>
        </w:rPr>
        <w:t>和“三个代表”重要思想为指导，深入贯彻落实科学发展观，适应国内外形势新变化，加快</w:t>
      </w:r>
      <w:r>
        <w:rPr>
          <w:spacing w:val="91"/>
          <w:w w:val="95"/>
        </w:rPr>
        <w:t> </w:t>
      </w:r>
      <w:r>
        <w:rPr>
          <w:spacing w:val="91"/>
          <w:w w:val="95"/>
        </w:rPr>
      </w:r>
      <w:r>
        <w:rPr/>
        <w:t>发展、加快转变，坚持做到：</w:t>
      </w:r>
    </w:p>
    <w:p>
      <w:pPr>
        <w:pStyle w:val="BodyText"/>
        <w:spacing w:line="336" w:lineRule="auto" w:before="32"/>
        <w:ind w:left="525" w:right="185" w:firstLine="16"/>
        <w:jc w:val="left"/>
      </w:pPr>
      <w:r>
        <w:rPr/>
        <w:t>（</w:t>
      </w:r>
      <w:r>
        <w:rPr>
          <w:rFonts w:ascii="Times New Roman" w:hAnsi="Times New Roman" w:cs="Times New Roman" w:eastAsia="Times New Roman" w:hint="default"/>
        </w:rPr>
        <w:t>1</w:t>
      </w:r>
      <w:r>
        <w:rPr/>
        <w:t>）认清形势，继续加强主营业务的盈利能力；</w:t>
      </w:r>
      <w:r>
        <w:rPr>
          <w:w w:val="99"/>
        </w:rPr>
        <w:t> </w:t>
      </w:r>
      <w:r>
        <w:rPr>
          <w:spacing w:val="-2"/>
          <w:w w:val="95"/>
        </w:rPr>
        <w:t>发展是硬道理，做大做强主营业务是公司一直秉承的发展目标。公司拥有国内先进技术</w:t>
      </w:r>
      <w:r>
        <w:rPr>
          <w:spacing w:val="-2"/>
        </w:rPr>
      </w:r>
    </w:p>
    <w:p>
      <w:pPr>
        <w:pStyle w:val="BodyText"/>
        <w:spacing w:line="338" w:lineRule="auto" w:before="49"/>
        <w:ind w:right="201"/>
        <w:jc w:val="both"/>
      </w:pPr>
      <w:r>
        <w:rPr>
          <w:spacing w:val="-1"/>
          <w:w w:val="95"/>
        </w:rPr>
        <w:t>产业化的稀土防腐镀层产品，在过去的</w:t>
      </w:r>
      <w:r>
        <w:rPr>
          <w:rFonts w:ascii="Times New Roman" w:hAnsi="Times New Roman" w:cs="Times New Roman" w:eastAsia="Times New Roman" w:hint="default"/>
          <w:spacing w:val="-1"/>
          <w:w w:val="95"/>
        </w:rPr>
        <w:t>“</w:t>
      </w:r>
      <w:r>
        <w:rPr>
          <w:spacing w:val="-1"/>
          <w:w w:val="95"/>
        </w:rPr>
        <w:t>十一五</w:t>
      </w:r>
      <w:r>
        <w:rPr>
          <w:rFonts w:ascii="Times New Roman" w:hAnsi="Times New Roman" w:cs="Times New Roman" w:eastAsia="Times New Roman" w:hint="default"/>
          <w:spacing w:val="-1"/>
          <w:w w:val="95"/>
        </w:rPr>
        <w:t>”</w:t>
      </w:r>
      <w:r>
        <w:rPr>
          <w:spacing w:val="-1"/>
          <w:w w:val="95"/>
        </w:rPr>
        <w:t>期间产品技术不断取得突破，但存在推广不</w:t>
      </w:r>
      <w:r>
        <w:rPr>
          <w:spacing w:val="76"/>
          <w:w w:val="95"/>
        </w:rPr>
        <w:t> </w:t>
      </w:r>
      <w:r>
        <w:rPr>
          <w:spacing w:val="76"/>
          <w:w w:val="95"/>
        </w:rPr>
      </w:r>
      <w:r>
        <w:rPr/>
        <w:t>够深入的情况，公司在</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时期将进一步加大主营业务的发展创新工作；</w:t>
      </w:r>
    </w:p>
    <w:p>
      <w:pPr>
        <w:pStyle w:val="BodyText"/>
        <w:spacing w:line="336" w:lineRule="auto" w:before="22"/>
        <w:ind w:left="542" w:right="185" w:hanging="123"/>
        <w:jc w:val="left"/>
      </w:pPr>
      <w:r>
        <w:rPr/>
        <w:t>（</w:t>
      </w:r>
      <w:r>
        <w:rPr>
          <w:rFonts w:ascii="Times New Roman" w:hAnsi="Times New Roman" w:cs="Times New Roman" w:eastAsia="Times New Roman" w:hint="default"/>
        </w:rPr>
        <w:t>2</w:t>
      </w:r>
      <w:r>
        <w:rPr/>
        <w:t>）分析市场，取得复杂市场的主动地位；</w:t>
      </w:r>
      <w:r>
        <w:rPr>
          <w:w w:val="99"/>
        </w:rPr>
        <w:t> </w:t>
      </w:r>
      <w:r>
        <w:rPr>
          <w:spacing w:val="-2"/>
          <w:w w:val="95"/>
        </w:rPr>
        <w:t>复杂多变的市场，使得公司产品主要原材料线材和锌的市场价格产生较大波动，对公司</w:t>
      </w:r>
      <w:r>
        <w:rPr>
          <w:spacing w:val="-2"/>
        </w:rPr>
      </w:r>
    </w:p>
    <w:p>
      <w:pPr>
        <w:pStyle w:val="BodyText"/>
        <w:spacing w:line="355" w:lineRule="auto" w:before="49"/>
        <w:ind w:right="202"/>
        <w:jc w:val="both"/>
      </w:pPr>
      <w:r>
        <w:rPr>
          <w:spacing w:val="-2"/>
          <w:w w:val="99"/>
        </w:rPr>
        <w:t>生产成本及盈利水平造成不可预期的影响，“十二五”时期公司需要继续加强市场分析、动</w:t>
      </w:r>
      <w:r>
        <w:rPr>
          <w:spacing w:val="-87"/>
          <w:w w:val="99"/>
        </w:rPr>
        <w:t> </w:t>
      </w:r>
      <w:r>
        <w:rPr>
          <w:spacing w:val="-87"/>
          <w:w w:val="99"/>
        </w:rPr>
      </w:r>
      <w:r>
        <w:rPr/>
        <w:t>态把握，力争在复杂多变的市场上占得主动地位；</w:t>
      </w:r>
    </w:p>
    <w:p>
      <w:pPr>
        <w:pStyle w:val="BodyText"/>
        <w:spacing w:line="336" w:lineRule="auto" w:before="34"/>
        <w:ind w:left="542" w:right="185"/>
        <w:jc w:val="left"/>
      </w:pPr>
      <w:r>
        <w:rPr/>
        <w:t>（</w:t>
      </w:r>
      <w:r>
        <w:rPr>
          <w:rFonts w:ascii="Times New Roman" w:hAnsi="Times New Roman" w:cs="Times New Roman" w:eastAsia="Times New Roman" w:hint="default"/>
        </w:rPr>
        <w:t>3</w:t>
      </w:r>
      <w:r>
        <w:rPr/>
        <w:t>）推广项目，加大新产品新技术的创新动力；</w:t>
      </w:r>
      <w:r>
        <w:rPr>
          <w:w w:val="99"/>
        </w:rPr>
        <w:t> </w:t>
      </w:r>
      <w:r>
        <w:rPr>
          <w:spacing w:val="-2"/>
        </w:rPr>
        <w:t>在过去的</w:t>
      </w:r>
      <w:r>
        <w:rPr>
          <w:rFonts w:ascii="Times New Roman" w:hAnsi="Times New Roman" w:cs="Times New Roman" w:eastAsia="Times New Roman" w:hint="default"/>
          <w:spacing w:val="-2"/>
        </w:rPr>
        <w:t>“</w:t>
      </w:r>
      <w:r>
        <w:rPr>
          <w:spacing w:val="-2"/>
        </w:rPr>
        <w:t>十一五</w:t>
      </w:r>
      <w:r>
        <w:rPr>
          <w:rFonts w:ascii="Times New Roman" w:hAnsi="Times New Roman" w:cs="Times New Roman" w:eastAsia="Times New Roman" w:hint="default"/>
          <w:spacing w:val="-2"/>
        </w:rPr>
        <w:t>”</w:t>
      </w:r>
      <w:r>
        <w:rPr>
          <w:spacing w:val="-2"/>
        </w:rPr>
        <w:t>时期，公司完成了一系列重大项目的申报建设工作，并成功将公司带</w:t>
      </w:r>
    </w:p>
    <w:p>
      <w:pPr>
        <w:pStyle w:val="BodyText"/>
        <w:spacing w:line="350" w:lineRule="auto" w:before="24"/>
        <w:ind w:right="201"/>
        <w:jc w:val="both"/>
      </w:pPr>
      <w:r>
        <w:rPr>
          <w:spacing w:val="-2"/>
          <w:w w:val="95"/>
        </w:rPr>
        <w:t>入资本市场，但是科研力量薄弱、科研成果缺乏的现象严重制约公司的创新发展之路，公司</w:t>
      </w:r>
      <w:r>
        <w:rPr>
          <w:spacing w:val="92"/>
          <w:w w:val="95"/>
        </w:rPr>
        <w:t> </w:t>
      </w:r>
      <w:r>
        <w:rPr>
          <w:spacing w:val="92"/>
          <w:w w:val="95"/>
        </w:rPr>
      </w:r>
      <w:r>
        <w:rPr>
          <w:spacing w:val="-1"/>
          <w:w w:val="95"/>
        </w:rPr>
        <w:t>在新的</w:t>
      </w:r>
      <w:r>
        <w:rPr>
          <w:rFonts w:ascii="Times New Roman" w:hAnsi="Times New Roman" w:cs="Times New Roman" w:eastAsia="Times New Roman" w:hint="default"/>
          <w:spacing w:val="-1"/>
          <w:w w:val="95"/>
        </w:rPr>
        <w:t>“</w:t>
      </w:r>
      <w:r>
        <w:rPr>
          <w:spacing w:val="-1"/>
          <w:w w:val="95"/>
        </w:rPr>
        <w:t>十二五</w:t>
      </w:r>
      <w:r>
        <w:rPr>
          <w:rFonts w:ascii="Times New Roman" w:hAnsi="Times New Roman" w:cs="Times New Roman" w:eastAsia="Times New Roman" w:hint="default"/>
          <w:spacing w:val="-1"/>
          <w:w w:val="95"/>
        </w:rPr>
        <w:t>”</w:t>
      </w:r>
      <w:r>
        <w:rPr>
          <w:spacing w:val="-1"/>
          <w:w w:val="95"/>
        </w:rPr>
        <w:t>时期将加大科研队伍的培养、科研项目的建设及科研的投入，使得公司创新</w:t>
      </w:r>
      <w:r>
        <w:rPr>
          <w:spacing w:val="76"/>
          <w:w w:val="95"/>
        </w:rPr>
        <w:t> </w:t>
      </w:r>
      <w:r>
        <w:rPr>
          <w:spacing w:val="76"/>
          <w:w w:val="95"/>
        </w:rPr>
      </w:r>
      <w:r>
        <w:rPr>
          <w:spacing w:val="-2"/>
          <w:w w:val="95"/>
        </w:rPr>
        <w:t>发展取得突破；同时公司将不断更新新技术新工艺，完成技术改造任务，为公司的产品提升</w:t>
      </w:r>
      <w:r>
        <w:rPr>
          <w:spacing w:val="92"/>
          <w:w w:val="95"/>
        </w:rPr>
        <w:t> </w:t>
      </w:r>
      <w:r>
        <w:rPr>
          <w:spacing w:val="92"/>
          <w:w w:val="95"/>
        </w:rPr>
      </w:r>
      <w:r>
        <w:rPr/>
        <w:t>做好保障；</w:t>
      </w:r>
    </w:p>
    <w:p>
      <w:pPr>
        <w:pStyle w:val="BodyText"/>
        <w:spacing w:line="336" w:lineRule="auto" w:before="36"/>
        <w:ind w:left="542" w:right="189"/>
        <w:jc w:val="left"/>
      </w:pPr>
      <w:r>
        <w:rPr/>
        <w:t>（</w:t>
      </w:r>
      <w:r>
        <w:rPr>
          <w:rFonts w:ascii="Times New Roman" w:hAnsi="Times New Roman" w:cs="Times New Roman" w:eastAsia="Times New Roman" w:hint="default"/>
        </w:rPr>
        <w:t>4</w:t>
      </w:r>
      <w:r>
        <w:rPr/>
        <w:t>）管理先行，用科学先进的管理模式确保完成发展目标；</w:t>
      </w:r>
      <w:r>
        <w:rPr>
          <w:w w:val="99"/>
        </w:rPr>
        <w:t> </w:t>
      </w:r>
      <w:r>
        <w:rPr>
          <w:spacing w:val="-3"/>
          <w:w w:val="98"/>
        </w:rPr>
        <w:t>过去的</w:t>
      </w:r>
      <w:r>
        <w:rPr>
          <w:rFonts w:ascii="Times New Roman" w:hAnsi="Times New Roman" w:cs="Times New Roman" w:eastAsia="Times New Roman" w:hint="default"/>
          <w:spacing w:val="-3"/>
          <w:w w:val="98"/>
        </w:rPr>
        <w:t>“</w:t>
      </w:r>
      <w:r>
        <w:rPr>
          <w:spacing w:val="-3"/>
          <w:w w:val="98"/>
        </w:rPr>
        <w:t>十一五</w:t>
      </w:r>
      <w:r>
        <w:rPr>
          <w:rFonts w:ascii="Times New Roman" w:hAnsi="Times New Roman" w:cs="Times New Roman" w:eastAsia="Times New Roman" w:hint="default"/>
          <w:spacing w:val="-3"/>
          <w:w w:val="98"/>
        </w:rPr>
        <w:t>”</w:t>
      </w:r>
      <w:r>
        <w:rPr>
          <w:spacing w:val="-3"/>
          <w:w w:val="98"/>
        </w:rPr>
        <w:t>期间，公司的整体规模不断扩大，管理漏洞也有所凸显，</w:t>
      </w:r>
      <w:r>
        <w:rPr>
          <w:rFonts w:ascii="Times New Roman" w:hAnsi="Times New Roman" w:cs="Times New Roman" w:eastAsia="Times New Roman" w:hint="default"/>
          <w:spacing w:val="-3"/>
          <w:w w:val="98"/>
        </w:rPr>
        <w:t>“</w:t>
      </w:r>
      <w:r>
        <w:rPr>
          <w:spacing w:val="-3"/>
          <w:w w:val="98"/>
        </w:rPr>
        <w:t>十二五</w:t>
      </w:r>
      <w:r>
        <w:rPr>
          <w:rFonts w:ascii="Times New Roman" w:hAnsi="Times New Roman" w:cs="Times New Roman" w:eastAsia="Times New Roman" w:hint="default"/>
          <w:spacing w:val="-3"/>
          <w:w w:val="98"/>
        </w:rPr>
        <w:t>”</w:t>
      </w:r>
      <w:r>
        <w:rPr>
          <w:spacing w:val="-3"/>
          <w:w w:val="98"/>
        </w:rPr>
        <w:t>时期，</w:t>
      </w:r>
      <w:r>
        <w:rPr>
          <w:spacing w:val="-3"/>
        </w:rPr>
      </w:r>
    </w:p>
    <w:p>
      <w:pPr>
        <w:spacing w:after="0" w:line="336" w:lineRule="auto"/>
        <w:jc w:val="left"/>
        <w:sectPr>
          <w:pgSz w:w="11910" w:h="16840"/>
          <w:pgMar w:header="206" w:footer="738" w:top="940" w:bottom="920" w:left="168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left="902" w:right="861"/>
        <w:jc w:val="both"/>
      </w:pPr>
      <w:r>
        <w:rPr>
          <w:w w:val="95"/>
        </w:rPr>
        <w:t>公司的整体规模将逐年跨越式增长，科学先进的管理模式对公司管理层提出了更高的要求，</w:t>
      </w:r>
      <w:r>
        <w:rPr>
          <w:spacing w:val="12"/>
          <w:w w:val="95"/>
        </w:rPr>
        <w:t> </w:t>
      </w:r>
      <w:r>
        <w:rPr>
          <w:spacing w:val="12"/>
          <w:w w:val="95"/>
        </w:rPr>
      </w:r>
      <w:r>
        <w:rPr>
          <w:spacing w:val="-2"/>
          <w:w w:val="99"/>
        </w:rPr>
        <w:t>现场管理、基础管理、专项管理分类目标要明确，成本、资金、市场、人力资源、供应、外</w:t>
      </w:r>
      <w:r>
        <w:rPr>
          <w:spacing w:val="-87"/>
          <w:w w:val="99"/>
        </w:rPr>
        <w:t> </w:t>
      </w:r>
      <w:r>
        <w:rPr>
          <w:spacing w:val="-87"/>
          <w:w w:val="99"/>
        </w:rPr>
      </w:r>
      <w:r>
        <w:rPr/>
        <w:t>贸等管理专项更应科学合理。</w:t>
      </w:r>
    </w:p>
    <w:p>
      <w:pPr>
        <w:pStyle w:val="BodyText"/>
        <w:spacing w:line="336" w:lineRule="auto" w:before="32"/>
        <w:ind w:left="1322" w:right="0"/>
        <w:jc w:val="left"/>
      </w:pPr>
      <w:r>
        <w:rPr/>
        <w:t>（</w:t>
      </w:r>
      <w:r>
        <w:rPr>
          <w:rFonts w:ascii="Times New Roman" w:hAnsi="Times New Roman" w:cs="Times New Roman" w:eastAsia="Times New Roman" w:hint="default"/>
        </w:rPr>
        <w:t>5</w:t>
      </w:r>
      <w:r>
        <w:rPr/>
        <w:t>）思维突破，大胆</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拓宽公司各项业务水平；</w:t>
      </w:r>
      <w:r>
        <w:rPr>
          <w:w w:val="99"/>
        </w:rPr>
        <w:t> </w:t>
      </w:r>
      <w:r>
        <w:rPr>
          <w:spacing w:val="-2"/>
          <w:w w:val="95"/>
        </w:rPr>
        <w:t>在全球经济一体化的大时代背景下，思维局限、目光短浅将在激烈的市场竞争中处于劣</w:t>
      </w:r>
      <w:r>
        <w:rPr>
          <w:spacing w:val="-2"/>
        </w:rPr>
      </w:r>
    </w:p>
    <w:p>
      <w:pPr>
        <w:pStyle w:val="BodyText"/>
        <w:spacing w:line="338" w:lineRule="auto" w:before="49"/>
        <w:ind w:left="902" w:right="861"/>
        <w:jc w:val="both"/>
      </w:pPr>
      <w:r>
        <w:rPr>
          <w:spacing w:val="-1"/>
          <w:w w:val="95"/>
        </w:rPr>
        <w:t>势，</w:t>
      </w:r>
      <w:r>
        <w:rPr>
          <w:rFonts w:ascii="Times New Roman" w:hAnsi="Times New Roman" w:cs="Times New Roman" w:eastAsia="Times New Roman" w:hint="default"/>
          <w:spacing w:val="-1"/>
          <w:w w:val="95"/>
        </w:rPr>
        <w:t>“</w:t>
      </w:r>
      <w:r>
        <w:rPr>
          <w:spacing w:val="-1"/>
          <w:w w:val="95"/>
        </w:rPr>
        <w:t>十二五</w:t>
      </w:r>
      <w:r>
        <w:rPr>
          <w:rFonts w:ascii="Times New Roman" w:hAnsi="Times New Roman" w:cs="Times New Roman" w:eastAsia="Times New Roman" w:hint="default"/>
          <w:spacing w:val="-1"/>
          <w:w w:val="95"/>
        </w:rPr>
        <w:t>”</w:t>
      </w:r>
      <w:r>
        <w:rPr>
          <w:spacing w:val="-1"/>
          <w:w w:val="95"/>
        </w:rPr>
        <w:t>时期的国际国内经济发展形式都将对公司管理者的思维方式提出巨大挑战，公</w:t>
      </w:r>
      <w:r>
        <w:rPr>
          <w:spacing w:val="75"/>
          <w:w w:val="95"/>
        </w:rPr>
        <w:t> </w:t>
      </w:r>
      <w:r>
        <w:rPr>
          <w:spacing w:val="75"/>
          <w:w w:val="95"/>
        </w:rPr>
      </w:r>
      <w:r>
        <w:rPr/>
        <w:t>司将不断以新视角、新观念适应形势的变化，加强对外沟通，寻求不断自我提升。</w:t>
      </w:r>
    </w:p>
    <w:p>
      <w:pPr>
        <w:pStyle w:val="BodyText"/>
        <w:spacing w:line="240" w:lineRule="auto" w:before="47"/>
        <w:ind w:left="1322" w:right="0"/>
        <w:jc w:val="left"/>
      </w:pPr>
      <w:r>
        <w:rPr/>
        <w:t>（</w:t>
      </w:r>
      <w:r>
        <w:rPr>
          <w:rFonts w:ascii="Times New Roman" w:hAnsi="Times New Roman" w:cs="Times New Roman" w:eastAsia="Times New Roman" w:hint="default"/>
        </w:rPr>
        <w:t>6</w:t>
      </w:r>
      <w:r>
        <w:rPr/>
        <w:t>）谋求转型，以科学合理的产业格局实现公司的可持续发展；</w:t>
      </w:r>
    </w:p>
    <w:p>
      <w:pPr>
        <w:pStyle w:val="BodyText"/>
        <w:spacing w:line="336" w:lineRule="auto" w:before="117"/>
        <w:ind w:left="902" w:right="872" w:firstLine="525"/>
        <w:jc w:val="left"/>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时期，全国上下以转方式、调结构为发展主线，公司也将在新形势下对公司</w:t>
      </w:r>
      <w:r>
        <w:rPr>
          <w:w w:val="99"/>
        </w:rPr>
        <w:t> </w:t>
      </w:r>
      <w:r>
        <w:rPr/>
        <w:t>的产业格局重新布局，以寻求公司成功转型升级为目标，实现可持续发展。</w:t>
      </w:r>
    </w:p>
    <w:p>
      <w:pPr>
        <w:spacing w:line="240" w:lineRule="auto" w:before="0"/>
        <w:rPr>
          <w:rFonts w:ascii="宋体" w:hAnsi="宋体" w:cs="宋体" w:eastAsia="宋体" w:hint="default"/>
          <w:sz w:val="20"/>
          <w:szCs w:val="20"/>
        </w:rPr>
      </w:pPr>
    </w:p>
    <w:p>
      <w:pPr>
        <w:pStyle w:val="BodyText"/>
        <w:spacing w:line="240" w:lineRule="auto" w:before="150"/>
        <w:ind w:left="1322" w:right="0"/>
        <w:jc w:val="left"/>
      </w:pPr>
      <w:r>
        <w:rPr>
          <w:rFonts w:ascii="Times New Roman" w:hAnsi="Times New Roman" w:cs="Times New Roman" w:eastAsia="Times New Roman" w:hint="default"/>
        </w:rPr>
        <w:t>3</w:t>
      </w:r>
      <w:r>
        <w:rPr/>
        <w:t>、风险分析</w:t>
      </w:r>
    </w:p>
    <w:p>
      <w:pPr>
        <w:pStyle w:val="BodyText"/>
        <w:spacing w:line="240" w:lineRule="auto" w:before="117"/>
        <w:ind w:left="132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年公司风险因素如下：</w:t>
      </w:r>
    </w:p>
    <w:p>
      <w:pPr>
        <w:pStyle w:val="BodyText"/>
        <w:spacing w:line="336" w:lineRule="auto" w:before="119"/>
        <w:ind w:left="1322" w:right="0"/>
        <w:jc w:val="left"/>
      </w:pPr>
      <w:r>
        <w:rPr/>
        <w:t>（</w:t>
      </w:r>
      <w:r>
        <w:rPr>
          <w:rFonts w:ascii="Times New Roman" w:hAnsi="Times New Roman" w:cs="Times New Roman" w:eastAsia="Times New Roman" w:hint="default"/>
        </w:rPr>
        <w:t>1</w:t>
      </w:r>
      <w:r>
        <w:rPr/>
        <w:t>）主要原材料价格波动的风险</w:t>
      </w:r>
      <w:r>
        <w:rPr>
          <w:w w:val="99"/>
        </w:rPr>
        <w:t> </w:t>
      </w:r>
      <w:r>
        <w:rPr>
          <w:spacing w:val="-2"/>
          <w:w w:val="95"/>
        </w:rPr>
        <w:t>由于钢材价格受国际、国内多种因素影响，未来钢材价格仍存在一定不确定性。尽管公</w:t>
      </w:r>
      <w:r>
        <w:rPr>
          <w:spacing w:val="-2"/>
        </w:rPr>
      </w:r>
    </w:p>
    <w:p>
      <w:pPr>
        <w:pStyle w:val="BodyText"/>
        <w:spacing w:line="338" w:lineRule="auto" w:before="49"/>
        <w:ind w:left="902" w:right="862"/>
        <w:jc w:val="both"/>
      </w:pPr>
      <w:r>
        <w:rPr>
          <w:spacing w:val="-1"/>
          <w:w w:val="95"/>
        </w:rPr>
        <w:t>司在实际生产中采取了</w:t>
      </w:r>
      <w:r>
        <w:rPr>
          <w:rFonts w:ascii="Times New Roman" w:hAnsi="Times New Roman" w:cs="Times New Roman" w:eastAsia="Times New Roman" w:hint="default"/>
          <w:spacing w:val="-1"/>
          <w:w w:val="95"/>
        </w:rPr>
        <w:t>“</w:t>
      </w:r>
      <w:r>
        <w:rPr>
          <w:spacing w:val="-1"/>
          <w:w w:val="95"/>
        </w:rPr>
        <w:t>以销定产</w:t>
      </w:r>
      <w:r>
        <w:rPr>
          <w:rFonts w:ascii="Times New Roman" w:hAnsi="Times New Roman" w:cs="Times New Roman" w:eastAsia="Times New Roman" w:hint="default"/>
          <w:spacing w:val="-1"/>
          <w:w w:val="95"/>
        </w:rPr>
        <w:t>”</w:t>
      </w:r>
      <w:r>
        <w:rPr>
          <w:spacing w:val="-1"/>
          <w:w w:val="95"/>
        </w:rPr>
        <w:t>和</w:t>
      </w:r>
      <w:r>
        <w:rPr>
          <w:rFonts w:ascii="Times New Roman" w:hAnsi="Times New Roman" w:cs="Times New Roman" w:eastAsia="Times New Roman" w:hint="default"/>
          <w:spacing w:val="-1"/>
          <w:w w:val="95"/>
        </w:rPr>
        <w:t>“</w:t>
      </w:r>
      <w:r>
        <w:rPr>
          <w:spacing w:val="-1"/>
          <w:w w:val="95"/>
        </w:rPr>
        <w:t>以产订购</w:t>
      </w:r>
      <w:r>
        <w:rPr>
          <w:rFonts w:ascii="Times New Roman" w:hAnsi="Times New Roman" w:cs="Times New Roman" w:eastAsia="Times New Roman" w:hint="default"/>
          <w:spacing w:val="-1"/>
          <w:w w:val="95"/>
        </w:rPr>
        <w:t>”</w:t>
      </w:r>
      <w:r>
        <w:rPr>
          <w:spacing w:val="-1"/>
          <w:w w:val="95"/>
        </w:rPr>
        <w:t>的经营策略，但如果未来钢材市场价格发生</w:t>
      </w:r>
      <w:r>
        <w:rPr>
          <w:spacing w:val="95"/>
          <w:w w:val="95"/>
        </w:rPr>
        <w:t> </w:t>
      </w:r>
      <w:r>
        <w:rPr>
          <w:spacing w:val="95"/>
          <w:w w:val="95"/>
        </w:rPr>
      </w:r>
      <w:r>
        <w:rPr/>
        <w:t>较大波动，仍将影响公司产品的盈利情况。</w:t>
      </w:r>
    </w:p>
    <w:p>
      <w:pPr>
        <w:pStyle w:val="BodyText"/>
        <w:spacing w:line="240" w:lineRule="auto" w:before="47"/>
        <w:ind w:left="1322" w:right="0"/>
        <w:jc w:val="left"/>
      </w:pPr>
      <w:r>
        <w:rPr/>
        <w:t>（</w:t>
      </w:r>
      <w:r>
        <w:rPr>
          <w:rFonts w:ascii="Times New Roman" w:hAnsi="Times New Roman" w:cs="Times New Roman" w:eastAsia="Times New Roman" w:hint="default"/>
        </w:rPr>
        <w:t>2</w:t>
      </w:r>
      <w:r>
        <w:rPr/>
        <w:t>）新产品新项目市场预期风险</w:t>
      </w:r>
    </w:p>
    <w:p>
      <w:pPr>
        <w:pStyle w:val="BodyText"/>
        <w:spacing w:line="350" w:lineRule="auto" w:before="117"/>
        <w:ind w:left="902" w:right="861" w:firstLine="420"/>
        <w:jc w:val="both"/>
      </w:pPr>
      <w:r>
        <w:rPr/>
        <w:t>公司于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年初经公司董事会、监事会、股东大会审议通过了对全资子公司投资项目</w:t>
      </w:r>
      <w:r>
        <w:rPr>
          <w:w w:val="99"/>
        </w:rPr>
        <w:t> </w:t>
      </w:r>
      <w:r>
        <w:rPr>
          <w:spacing w:val="-2"/>
          <w:w w:val="95"/>
        </w:rPr>
        <w:t>的议案，尽管项目投资经过充分的市场调研，但是未来市场销售预期不明确，因此会有一定</w:t>
      </w:r>
      <w:r>
        <w:rPr>
          <w:spacing w:val="92"/>
          <w:w w:val="95"/>
        </w:rPr>
        <w:t> </w:t>
      </w:r>
      <w:r>
        <w:rPr>
          <w:spacing w:val="92"/>
          <w:w w:val="95"/>
        </w:rPr>
      </w:r>
      <w:r>
        <w:rPr>
          <w:spacing w:val="-5"/>
          <w:w w:val="95"/>
        </w:rPr>
        <w:t>的市场风险，为此公司已经对销售部门提出更多前期市场调研、宣传等要求，确保市场准入、</w:t>
      </w:r>
      <w:r>
        <w:rPr>
          <w:spacing w:val="26"/>
          <w:w w:val="95"/>
        </w:rPr>
        <w:t> </w:t>
      </w:r>
      <w:r>
        <w:rPr>
          <w:spacing w:val="26"/>
          <w:w w:val="95"/>
        </w:rPr>
      </w:r>
      <w:r>
        <w:rPr/>
        <w:t>接受至量化过程顺利完成。</w:t>
      </w:r>
    </w:p>
    <w:p>
      <w:pPr>
        <w:spacing w:line="240" w:lineRule="auto" w:before="0"/>
        <w:rPr>
          <w:rFonts w:ascii="宋体" w:hAnsi="宋体" w:cs="宋体" w:eastAsia="宋体" w:hint="default"/>
          <w:sz w:val="20"/>
          <w:szCs w:val="20"/>
        </w:rPr>
      </w:pPr>
    </w:p>
    <w:p>
      <w:pPr>
        <w:pStyle w:val="Heading3"/>
        <w:spacing w:line="240" w:lineRule="auto" w:before="133"/>
        <w:ind w:left="1322" w:right="0"/>
        <w:jc w:val="left"/>
      </w:pPr>
      <w:r>
        <w:rPr/>
        <w:t>三、报告期内投资情况</w:t>
      </w:r>
    </w:p>
    <w:p>
      <w:pPr>
        <w:pStyle w:val="BodyText"/>
        <w:spacing w:line="240" w:lineRule="auto" w:before="155"/>
        <w:ind w:left="1322" w:right="0"/>
        <w:jc w:val="left"/>
      </w:pPr>
      <w:r>
        <w:rPr/>
        <w:t>1、募集资金项目投资情况</w:t>
      </w:r>
    </w:p>
    <w:p>
      <w:pPr>
        <w:pStyle w:val="BodyText"/>
        <w:spacing w:line="338" w:lineRule="auto" w:before="133"/>
        <w:ind w:left="902" w:right="855" w:firstLine="420"/>
        <w:jc w:val="both"/>
      </w:pPr>
      <w:r>
        <w:rPr>
          <w:w w:val="99"/>
        </w:rPr>
        <w:t>经中国证券监督管理委员会证监许可</w:t>
      </w:r>
      <w:r>
        <w:rPr>
          <w:rFonts w:ascii="Times New Roman" w:hAnsi="Times New Roman" w:cs="Times New Roman" w:eastAsia="Times New Roman" w:hint="default"/>
          <w:w w:val="99"/>
        </w:rPr>
        <w:t>[2010]41</w:t>
      </w:r>
      <w:r>
        <w:rPr>
          <w:rFonts w:ascii="Times New Roman" w:hAnsi="Times New Roman" w:cs="Times New Roman" w:eastAsia="Times New Roman" w:hint="default"/>
          <w:spacing w:val="17"/>
          <w:w w:val="99"/>
        </w:rPr>
        <w:t> </w:t>
      </w:r>
      <w:r>
        <w:rPr>
          <w:spacing w:val="-4"/>
          <w:w w:val="99"/>
        </w:rPr>
        <w:t>号文核准，公司向社会公众发行人民币普</w:t>
      </w:r>
      <w:r>
        <w:rPr>
          <w:w w:val="99"/>
        </w:rPr>
        <w:t> </w:t>
      </w:r>
      <w:r>
        <w:rPr>
          <w:spacing w:val="-4"/>
        </w:rPr>
        <w:t>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1,950</w:t>
      </w:r>
      <w:r>
        <w:rPr>
          <w:rFonts w:ascii="Times New Roman" w:hAnsi="Times New Roman" w:cs="Times New Roman" w:eastAsia="Times New Roman" w:hint="default"/>
          <w:spacing w:val="-20"/>
        </w:rPr>
        <w:t> </w:t>
      </w:r>
      <w:r>
        <w:rPr/>
        <w:t>万股，发行价格为</w:t>
      </w:r>
      <w:r>
        <w:rPr>
          <w:spacing w:val="-69"/>
        </w:rPr>
        <w:t> </w:t>
      </w:r>
      <w:r>
        <w:rPr>
          <w:rFonts w:ascii="Times New Roman" w:hAnsi="Times New Roman" w:cs="Times New Roman" w:eastAsia="Times New Roman" w:hint="default"/>
        </w:rPr>
        <w:t>32</w:t>
      </w:r>
      <w:r>
        <w:rPr>
          <w:rFonts w:ascii="Times New Roman" w:hAnsi="Times New Roman" w:cs="Times New Roman" w:eastAsia="Times New Roman" w:hint="default"/>
          <w:spacing w:val="-20"/>
        </w:rPr>
        <w:t> </w:t>
      </w:r>
      <w:r>
        <w:rPr/>
        <w:t>元</w:t>
      </w:r>
      <w:r>
        <w:rPr>
          <w:rFonts w:ascii="Times New Roman" w:hAnsi="Times New Roman" w:cs="Times New Roman" w:eastAsia="Times New Roman" w:hint="default"/>
        </w:rPr>
        <w:t>/</w:t>
      </w:r>
      <w:r>
        <w:rPr/>
        <w:t>股，募集资金总额为人民币</w:t>
      </w:r>
      <w:r>
        <w:rPr>
          <w:spacing w:val="-73"/>
        </w:rPr>
        <w:t> </w:t>
      </w:r>
      <w:r>
        <w:rPr>
          <w:rFonts w:ascii="Times New Roman" w:hAnsi="Times New Roman" w:cs="Times New Roman" w:eastAsia="Times New Roman" w:hint="default"/>
        </w:rPr>
        <w:t>624,000,000.00</w:t>
      </w:r>
      <w:r>
        <w:rPr>
          <w:rFonts w:ascii="Times New Roman" w:hAnsi="Times New Roman" w:cs="Times New Roman" w:eastAsia="Times New Roman" w:hint="default"/>
          <w:spacing w:val="-16"/>
        </w:rPr>
        <w:t> </w:t>
      </w:r>
      <w:r>
        <w:rPr/>
        <w:t>元，</w:t>
      </w:r>
      <w:r>
        <w:rPr>
          <w:w w:val="49"/>
        </w:rPr>
        <w:t> </w:t>
      </w:r>
      <w:r>
        <w:rPr/>
        <w:t>扣除发行费用后募集资金净额为人民币</w:t>
      </w:r>
      <w:r>
        <w:rPr>
          <w:spacing w:val="-55"/>
        </w:rPr>
        <w:t> </w:t>
      </w:r>
      <w:r>
        <w:rPr>
          <w:rFonts w:ascii="Times New Roman" w:hAnsi="Times New Roman" w:cs="Times New Roman" w:eastAsia="Times New Roman" w:hint="default"/>
        </w:rPr>
        <w:t>580,850,676.86</w:t>
      </w:r>
      <w:r>
        <w:rPr>
          <w:rFonts w:ascii="Times New Roman" w:hAnsi="Times New Roman" w:cs="Times New Roman" w:eastAsia="Times New Roman" w:hint="default"/>
          <w:spacing w:val="-6"/>
        </w:rPr>
        <w:t> </w:t>
      </w:r>
      <w:r>
        <w:rPr>
          <w:spacing w:val="-3"/>
        </w:rPr>
        <w:t>元。深圳市鹏城会计师事务所有限公</w:t>
      </w:r>
      <w:r>
        <w:rPr>
          <w:w w:val="99"/>
        </w:rPr>
        <w:t> </w:t>
      </w:r>
      <w:r>
        <w:rPr>
          <w:w w:val="95"/>
        </w:rPr>
        <w:t>司对发行人首次公开发行股票的资金到位情况进行了审验，并出具了</w:t>
      </w:r>
      <w:r>
        <w:rPr>
          <w:rFonts w:ascii="Times New Roman" w:hAnsi="Times New Roman" w:cs="Times New Roman" w:eastAsia="Times New Roman" w:hint="default"/>
          <w:w w:val="95"/>
        </w:rPr>
        <w:t>“</w:t>
      </w:r>
      <w:r>
        <w:rPr>
          <w:w w:val="95"/>
        </w:rPr>
        <w:t>深鹏所验字</w:t>
      </w:r>
      <w:r>
        <w:rPr>
          <w:rFonts w:ascii="Times New Roman" w:hAnsi="Times New Roman" w:cs="Times New Roman" w:eastAsia="Times New Roman" w:hint="default"/>
          <w:w w:val="95"/>
        </w:rPr>
        <w:t>[2010]040</w:t>
      </w:r>
      <w:r>
        <w:rPr>
          <w:rFonts w:ascii="Times New Roman" w:hAnsi="Times New Roman" w:cs="Times New Roman" w:eastAsia="Times New Roman" w:hint="default"/>
          <w:spacing w:val="41"/>
          <w:w w:val="95"/>
        </w:rPr>
        <w:t> </w:t>
      </w:r>
      <w:r>
        <w:rPr>
          <w:rFonts w:ascii="Times New Roman" w:hAnsi="Times New Roman" w:cs="Times New Roman" w:eastAsia="Times New Roman" w:hint="default"/>
          <w:spacing w:val="41"/>
          <w:w w:val="95"/>
        </w:rPr>
      </w:r>
      <w:r>
        <w:rPr>
          <w:spacing w:val="-11"/>
          <w:w w:val="99"/>
        </w:rPr>
        <w:t>号</w:t>
      </w:r>
      <w:r>
        <w:rPr>
          <w:rFonts w:ascii="Times New Roman" w:hAnsi="Times New Roman" w:cs="Times New Roman" w:eastAsia="Times New Roman" w:hint="default"/>
          <w:spacing w:val="-11"/>
          <w:w w:val="99"/>
        </w:rPr>
        <w:t>”</w:t>
      </w:r>
      <w:r>
        <w:rPr>
          <w:spacing w:val="-11"/>
          <w:w w:val="99"/>
        </w:rPr>
        <w:t>《验资报告》。</w:t>
      </w:r>
      <w:r>
        <w:rPr>
          <w:spacing w:val="5"/>
          <w:w w:val="99"/>
        </w:rPr>
        <w:t> </w:t>
      </w:r>
      <w:r>
        <w:rPr>
          <w:spacing w:val="1"/>
          <w:w w:val="99"/>
        </w:rPr>
        <w:t>截止</w:t>
      </w:r>
      <w:r>
        <w:rPr>
          <w:spacing w:val="-51"/>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3"/>
          <w:w w:val="99"/>
        </w:rPr>
        <w:t> </w:t>
      </w:r>
      <w:r>
        <w:rPr>
          <w:w w:val="99"/>
        </w:rPr>
        <w:t>年</w:t>
      </w:r>
      <w:r>
        <w:rPr>
          <w:spacing w:val="-51"/>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3"/>
          <w:w w:val="99"/>
        </w:rPr>
        <w:t> </w:t>
      </w:r>
      <w:r>
        <w:rPr>
          <w:w w:val="99"/>
        </w:rPr>
        <w:t>月</w:t>
      </w:r>
      <w:r>
        <w:rPr>
          <w:spacing w:val="-51"/>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1"/>
          <w:w w:val="99"/>
        </w:rPr>
        <w:t> </w:t>
      </w:r>
      <w:r>
        <w:rPr>
          <w:w w:val="99"/>
        </w:rPr>
        <w:t>日，募集资金的实际使用情况如下表：</w:t>
      </w:r>
      <w:r>
        <w:rPr/>
      </w:r>
    </w:p>
    <w:p>
      <w:pPr>
        <w:pStyle w:val="BodyText"/>
        <w:spacing w:line="240" w:lineRule="auto" w:before="24"/>
        <w:ind w:left="0" w:right="862"/>
        <w:jc w:val="right"/>
      </w:pPr>
      <w:r>
        <w:rPr>
          <w:w w:val="95"/>
        </w:rPr>
        <w:t>（单位：万元）</w:t>
      </w:r>
      <w:r>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822"/>
        <w:gridCol w:w="557"/>
        <w:gridCol w:w="638"/>
        <w:gridCol w:w="962"/>
        <w:gridCol w:w="962"/>
        <w:gridCol w:w="130"/>
        <w:gridCol w:w="494"/>
        <w:gridCol w:w="857"/>
        <w:gridCol w:w="1118"/>
        <w:gridCol w:w="209"/>
        <w:gridCol w:w="571"/>
        <w:gridCol w:w="650"/>
        <w:gridCol w:w="857"/>
      </w:tblGrid>
      <w:tr>
        <w:trPr>
          <w:trHeight w:val="242"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96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21" w:right="0"/>
              <w:jc w:val="left"/>
              <w:rPr>
                <w:rFonts w:ascii="Times New Roman" w:hAnsi="Times New Roman" w:cs="Times New Roman" w:eastAsia="Times New Roman" w:hint="default"/>
                <w:sz w:val="18"/>
                <w:szCs w:val="18"/>
              </w:rPr>
            </w:pPr>
            <w:r>
              <w:rPr>
                <w:rFonts w:ascii="Times New Roman"/>
                <w:sz w:val="18"/>
              </w:rPr>
              <w:t>58,085.07</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34"/>
              <w:ind w:left="1248" w:right="0"/>
              <w:jc w:val="left"/>
              <w:rPr>
                <w:rFonts w:ascii="Times New Roman" w:hAnsi="Times New Roman" w:cs="Times New Roman" w:eastAsia="Times New Roman" w:hint="default"/>
                <w:sz w:val="18"/>
                <w:szCs w:val="18"/>
              </w:rPr>
            </w:pPr>
            <w:r>
              <w:rPr>
                <w:rFonts w:ascii="Times New Roman"/>
                <w:sz w:val="18"/>
              </w:rPr>
              <w:t>37,883.43</w:t>
            </w:r>
          </w:p>
        </w:tc>
      </w:tr>
      <w:tr>
        <w:trPr>
          <w:trHeight w:val="245"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0.00</w:t>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2078" w:type="dxa"/>
            <w:gridSpan w:val="3"/>
            <w:vMerge/>
            <w:tcBorders>
              <w:left w:val="single" w:sz="4" w:space="0" w:color="000000"/>
              <w:bottom w:val="single" w:sz="4" w:space="0" w:color="000000"/>
              <w:right w:val="single" w:sz="4" w:space="0" w:color="000000"/>
            </w:tcBorders>
          </w:tcPr>
          <w:p>
            <w:pPr/>
          </w:p>
        </w:tc>
      </w:tr>
      <w:tr>
        <w:trPr>
          <w:trHeight w:val="242"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33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0.00</w:t>
            </w:r>
          </w:p>
        </w:tc>
        <w:tc>
          <w:tcPr>
            <w:tcW w:w="2678" w:type="dxa"/>
            <w:gridSpan w:val="4"/>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34"/>
              <w:ind w:left="1248" w:right="0"/>
              <w:jc w:val="left"/>
              <w:rPr>
                <w:rFonts w:ascii="Times New Roman" w:hAnsi="Times New Roman" w:cs="Times New Roman" w:eastAsia="Times New Roman" w:hint="default"/>
                <w:sz w:val="18"/>
                <w:szCs w:val="18"/>
              </w:rPr>
            </w:pPr>
            <w:r>
              <w:rPr>
                <w:rFonts w:ascii="Times New Roman"/>
                <w:sz w:val="18"/>
              </w:rPr>
              <w:t>41,323.79</w:t>
            </w:r>
          </w:p>
        </w:tc>
      </w:tr>
      <w:tr>
        <w:trPr>
          <w:trHeight w:val="245" w:hRule="exact"/>
        </w:trPr>
        <w:tc>
          <w:tcPr>
            <w:tcW w:w="3017"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678" w:type="dxa"/>
            <w:gridSpan w:val="4"/>
            <w:vMerge/>
            <w:tcBorders>
              <w:left w:val="single" w:sz="4" w:space="0" w:color="000000"/>
              <w:bottom w:val="single" w:sz="4" w:space="0" w:color="000000"/>
              <w:right w:val="single" w:sz="4" w:space="0" w:color="000000"/>
            </w:tcBorders>
            <w:shd w:val="clear" w:color="auto" w:fill="DBDBDB"/>
          </w:tcPr>
          <w:p>
            <w:pPr/>
          </w:p>
        </w:tc>
        <w:tc>
          <w:tcPr>
            <w:tcW w:w="2078" w:type="dxa"/>
            <w:gridSpan w:val="3"/>
            <w:vMerge/>
            <w:tcBorders>
              <w:left w:val="single" w:sz="4" w:space="0" w:color="000000"/>
              <w:bottom w:val="single" w:sz="4" w:space="0" w:color="000000"/>
              <w:right w:val="single" w:sz="4" w:space="0" w:color="000000"/>
            </w:tcBorders>
          </w:tcPr>
          <w:p>
            <w:pPr/>
          </w:p>
        </w:tc>
      </w:tr>
      <w:tr>
        <w:trPr>
          <w:trHeight w:val="242" w:hRule="exact"/>
        </w:trPr>
        <w:tc>
          <w:tcPr>
            <w:tcW w:w="18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5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9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本年度投</w:t>
            </w:r>
          </w:p>
        </w:tc>
        <w:tc>
          <w:tcPr>
            <w:tcW w:w="62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截至</w:t>
            </w:r>
          </w:p>
        </w:tc>
        <w:tc>
          <w:tcPr>
            <w:tcW w:w="8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项目达到预</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6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8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项目可</w:t>
            </w:r>
          </w:p>
        </w:tc>
      </w:tr>
    </w:tbl>
    <w:p>
      <w:pPr>
        <w:spacing w:after="0" w:line="205" w:lineRule="exact"/>
        <w:jc w:val="left"/>
        <w:rPr>
          <w:rFonts w:ascii="宋体" w:hAnsi="宋体" w:cs="宋体" w:eastAsia="宋体" w:hint="default"/>
          <w:sz w:val="18"/>
          <w:szCs w:val="18"/>
        </w:rPr>
        <w:sectPr>
          <w:pgSz w:w="11910" w:h="16840"/>
          <w:pgMar w:header="206" w:footer="738" w:top="940" w:bottom="920" w:left="900" w:right="9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819"/>
        <w:gridCol w:w="559"/>
        <w:gridCol w:w="638"/>
        <w:gridCol w:w="962"/>
        <w:gridCol w:w="960"/>
        <w:gridCol w:w="624"/>
        <w:gridCol w:w="859"/>
        <w:gridCol w:w="1118"/>
        <w:gridCol w:w="780"/>
        <w:gridCol w:w="650"/>
        <w:gridCol w:w="857"/>
      </w:tblGrid>
      <w:tr>
        <w:trPr>
          <w:trHeight w:val="237"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456"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55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right="180"/>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13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6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z w:val="18"/>
                <w:szCs w:val="18"/>
              </w:rPr>
              <w:t>资总额</w:t>
            </w:r>
          </w:p>
        </w:tc>
        <w:tc>
          <w:tcPr>
            <w:tcW w:w="96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5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末投资</w:t>
            </w:r>
          </w:p>
        </w:tc>
        <w:tc>
          <w:tcPr>
            <w:tcW w:w="1118"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定可使用状</w:t>
            </w: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实现的</w:t>
            </w:r>
          </w:p>
        </w:tc>
        <w:tc>
          <w:tcPr>
            <w:tcW w:w="65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141" w:right="0"/>
              <w:jc w:val="left"/>
              <w:rPr>
                <w:rFonts w:ascii="宋体" w:hAnsi="宋体" w:cs="宋体" w:eastAsia="宋体" w:hint="default"/>
                <w:sz w:val="18"/>
                <w:szCs w:val="18"/>
              </w:rPr>
            </w:pPr>
            <w:r>
              <w:rPr>
                <w:rFonts w:ascii="宋体" w:hAnsi="宋体" w:cs="宋体" w:eastAsia="宋体" w:hint="default"/>
                <w:sz w:val="18"/>
                <w:szCs w:val="18"/>
              </w:rPr>
              <w:t>达到</w:t>
            </w:r>
          </w:p>
        </w:tc>
        <w:tc>
          <w:tcPr>
            <w:tcW w:w="857"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sz w:val="18"/>
                <w:szCs w:val="18"/>
              </w:rPr>
              <w:t>行性是</w:t>
            </w: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right="180"/>
              <w:jc w:val="right"/>
              <w:rPr>
                <w:rFonts w:ascii="宋体" w:hAnsi="宋体" w:cs="宋体" w:eastAsia="宋体" w:hint="default"/>
                <w:sz w:val="18"/>
                <w:szCs w:val="18"/>
              </w:rPr>
            </w:pPr>
            <w:r>
              <w:rPr>
                <w:rFonts w:ascii="宋体" w:hAnsi="宋体" w:cs="宋体" w:eastAsia="宋体" w:hint="default"/>
                <w:sz w:val="18"/>
                <w:szCs w:val="18"/>
              </w:rPr>
              <w:t>已</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3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6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
              <w:ind w:left="2" w:right="0"/>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累计</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进度</w:t>
            </w: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态日期</w:t>
            </w:r>
          </w:p>
        </w:tc>
        <w:tc>
          <w:tcPr>
            <w:tcW w:w="78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效益</w:t>
            </w:r>
          </w:p>
        </w:tc>
        <w:tc>
          <w:tcPr>
            <w:tcW w:w="65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41" w:right="0"/>
              <w:jc w:val="left"/>
              <w:rPr>
                <w:rFonts w:ascii="宋体" w:hAnsi="宋体" w:cs="宋体" w:eastAsia="宋体" w:hint="default"/>
                <w:sz w:val="18"/>
                <w:szCs w:val="18"/>
              </w:rPr>
            </w:pPr>
            <w:r>
              <w:rPr>
                <w:rFonts w:ascii="宋体" w:hAnsi="宋体" w:cs="宋体" w:eastAsia="宋体" w:hint="default"/>
                <w:sz w:val="18"/>
                <w:szCs w:val="18"/>
              </w:rPr>
              <w:t>预计</w:t>
            </w:r>
          </w:p>
        </w:tc>
        <w:tc>
          <w:tcPr>
            <w:tcW w:w="85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53" w:right="0"/>
              <w:jc w:val="left"/>
              <w:rPr>
                <w:rFonts w:ascii="宋体" w:hAnsi="宋体" w:cs="宋体" w:eastAsia="宋体" w:hint="default"/>
                <w:sz w:val="18"/>
                <w:szCs w:val="18"/>
              </w:rPr>
            </w:pPr>
            <w:r>
              <w:rPr>
                <w:rFonts w:ascii="宋体" w:hAnsi="宋体" w:cs="宋体" w:eastAsia="宋体" w:hint="default"/>
                <w:sz w:val="18"/>
                <w:szCs w:val="18"/>
              </w:rPr>
              <w:t>否发生</w:t>
            </w:r>
          </w:p>
        </w:tc>
      </w:tr>
      <w:tr>
        <w:trPr>
          <w:trHeight w:val="22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right="180"/>
              <w:jc w:val="right"/>
              <w:rPr>
                <w:rFonts w:ascii="宋体" w:hAnsi="宋体" w:cs="宋体" w:eastAsia="宋体" w:hint="default"/>
                <w:sz w:val="18"/>
                <w:szCs w:val="18"/>
              </w:rPr>
            </w:pPr>
            <w:r>
              <w:rPr>
                <w:rFonts w:ascii="宋体" w:hAnsi="宋体" w:cs="宋体" w:eastAsia="宋体" w:hint="default"/>
                <w:sz w:val="18"/>
                <w:szCs w:val="18"/>
              </w:rPr>
              <w:t>变</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3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投入</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
              <w:ind w:left="4" w:right="0"/>
              <w:jc w:val="center"/>
              <w:rPr>
                <w:rFonts w:ascii="Times New Roman" w:hAnsi="Times New Roman" w:cs="Times New Roman" w:eastAsia="Times New Roman" w:hint="default"/>
                <w:sz w:val="18"/>
                <w:szCs w:val="18"/>
              </w:rPr>
            </w:pPr>
            <w:r>
              <w:rPr>
                <w:rFonts w:ascii="Times New Roman"/>
                <w:sz w:val="18"/>
              </w:rPr>
              <w:t>(%)(3)</w:t>
            </w: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41" w:right="0"/>
              <w:jc w:val="left"/>
              <w:rPr>
                <w:rFonts w:ascii="宋体" w:hAnsi="宋体" w:cs="宋体" w:eastAsia="宋体" w:hint="default"/>
                <w:sz w:val="18"/>
                <w:szCs w:val="18"/>
              </w:rPr>
            </w:pPr>
            <w:r>
              <w:rPr>
                <w:rFonts w:ascii="宋体" w:hAnsi="宋体" w:cs="宋体" w:eastAsia="宋体" w:hint="default"/>
                <w:sz w:val="18"/>
                <w:szCs w:val="18"/>
              </w:rPr>
              <w:t>效益</w:t>
            </w:r>
          </w:p>
        </w:tc>
        <w:tc>
          <w:tcPr>
            <w:tcW w:w="85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9" w:lineRule="exact"/>
              <w:ind w:left="153" w:right="0"/>
              <w:jc w:val="left"/>
              <w:rPr>
                <w:rFonts w:ascii="宋体" w:hAnsi="宋体" w:cs="宋体" w:eastAsia="宋体" w:hint="default"/>
                <w:sz w:val="18"/>
                <w:szCs w:val="18"/>
              </w:rPr>
            </w:pPr>
            <w:r>
              <w:rPr>
                <w:rFonts w:ascii="宋体" w:hAnsi="宋体" w:cs="宋体" w:eastAsia="宋体" w:hint="default"/>
                <w:sz w:val="18"/>
                <w:szCs w:val="18"/>
              </w:rPr>
              <w:t>重大变</w:t>
            </w:r>
          </w:p>
        </w:tc>
      </w:tr>
      <w:tr>
        <w:trPr>
          <w:trHeight w:val="23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0" w:lineRule="exact"/>
              <w:ind w:right="180"/>
              <w:jc w:val="right"/>
              <w:rPr>
                <w:rFonts w:ascii="宋体" w:hAnsi="宋体" w:cs="宋体" w:eastAsia="宋体" w:hint="default"/>
                <w:sz w:val="18"/>
                <w:szCs w:val="18"/>
              </w:rPr>
            </w:pPr>
            <w:r>
              <w:rPr>
                <w:rFonts w:ascii="宋体" w:hAnsi="宋体" w:cs="宋体" w:eastAsia="宋体" w:hint="default"/>
                <w:sz w:val="18"/>
                <w:szCs w:val="18"/>
              </w:rPr>
              <w:t>更</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0" w:lineRule="exact"/>
              <w:ind w:left="13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0"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3"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248"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1" w:lineRule="exact"/>
              <w:ind w:right="180"/>
              <w:jc w:val="right"/>
              <w:rPr>
                <w:rFonts w:ascii="宋体" w:hAnsi="宋体" w:cs="宋体" w:eastAsia="宋体" w:hint="default"/>
                <w:sz w:val="18"/>
                <w:szCs w:val="18"/>
              </w:rPr>
            </w:pPr>
            <w:r>
              <w:rPr>
                <w:rFonts w:ascii="宋体" w:hAnsi="宋体" w:cs="宋体" w:eastAsia="宋体" w:hint="default"/>
                <w:sz w:val="18"/>
                <w:szCs w:val="18"/>
              </w:rPr>
              <w:t>项</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5"/>
              <w:ind w:left="7" w:right="0"/>
              <w:jc w:val="center"/>
              <w:rPr>
                <w:rFonts w:ascii="Times New Roman" w:hAnsi="Times New Roman" w:cs="Times New Roman" w:eastAsia="Times New Roman" w:hint="default"/>
                <w:sz w:val="18"/>
                <w:szCs w:val="18"/>
              </w:rPr>
            </w:pPr>
            <w:r>
              <w:rPr>
                <w:rFonts w:ascii="Times New Roman"/>
                <w:sz w:val="18"/>
              </w:rPr>
              <w:t>(2)</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6" w:lineRule="exact"/>
              <w:ind w:left="9" w:right="0"/>
              <w:jc w:val="center"/>
              <w:rPr>
                <w:rFonts w:ascii="Times New Roman" w:hAnsi="Times New Roman" w:cs="Times New Roman" w:eastAsia="Times New Roman" w:hint="default"/>
                <w:sz w:val="18"/>
                <w:szCs w:val="18"/>
              </w:rPr>
            </w:pPr>
            <w:r>
              <w:rPr>
                <w:rFonts w:ascii="Times New Roman"/>
                <w:sz w:val="18"/>
              </w:rPr>
              <w:t>(2)/(1)</w:t>
            </w: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4"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right="180"/>
              <w:jc w:val="right"/>
              <w:rPr>
                <w:rFonts w:ascii="宋体" w:hAnsi="宋体" w:cs="宋体" w:eastAsia="宋体" w:hint="default"/>
                <w:sz w:val="18"/>
                <w:szCs w:val="18"/>
              </w:rPr>
            </w:pPr>
            <w:r>
              <w:rPr>
                <w:rFonts w:ascii="宋体" w:hAnsi="宋体" w:cs="宋体" w:eastAsia="宋体" w:hint="default"/>
                <w:sz w:val="18"/>
                <w:szCs w:val="18"/>
              </w:rPr>
              <w:t>目</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8"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0" w:lineRule="exact"/>
              <w:ind w:right="15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含</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29"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1" w:lineRule="exact"/>
              <w:ind w:right="180"/>
              <w:jc w:val="right"/>
              <w:rPr>
                <w:rFonts w:ascii="宋体" w:hAnsi="宋体" w:cs="宋体" w:eastAsia="宋体" w:hint="default"/>
                <w:sz w:val="18"/>
                <w:szCs w:val="18"/>
              </w:rPr>
            </w:pPr>
            <w:r>
              <w:rPr>
                <w:rFonts w:ascii="宋体" w:hAnsi="宋体" w:cs="宋体" w:eastAsia="宋体" w:hint="default"/>
                <w:sz w:val="18"/>
                <w:szCs w:val="18"/>
              </w:rPr>
              <w:t>部</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4"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right="180"/>
              <w:jc w:val="right"/>
              <w:rPr>
                <w:rFonts w:ascii="宋体" w:hAnsi="宋体" w:cs="宋体" w:eastAsia="宋体" w:hint="default"/>
                <w:sz w:val="18"/>
                <w:szCs w:val="18"/>
              </w:rPr>
            </w:pPr>
            <w:r>
              <w:rPr>
                <w:rFonts w:ascii="宋体" w:hAnsi="宋体" w:cs="宋体" w:eastAsia="宋体" w:hint="default"/>
                <w:sz w:val="18"/>
                <w:szCs w:val="18"/>
              </w:rPr>
              <w:t>分</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6" w:lineRule="exact"/>
              <w:ind w:right="180"/>
              <w:jc w:val="right"/>
              <w:rPr>
                <w:rFonts w:ascii="宋体" w:hAnsi="宋体" w:cs="宋体" w:eastAsia="宋体" w:hint="default"/>
                <w:sz w:val="18"/>
                <w:szCs w:val="18"/>
              </w:rPr>
            </w:pPr>
            <w:r>
              <w:rPr>
                <w:rFonts w:ascii="宋体" w:hAnsi="宋体" w:cs="宋体" w:eastAsia="宋体" w:hint="default"/>
                <w:sz w:val="18"/>
                <w:szCs w:val="18"/>
              </w:rPr>
              <w:t>变</w:t>
            </w:r>
          </w:p>
        </w:tc>
        <w:tc>
          <w:tcPr>
            <w:tcW w:w="638"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0"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8"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7"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6"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
        </w:tc>
        <w:tc>
          <w:tcPr>
            <w:tcW w:w="55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0" w:lineRule="exact"/>
              <w:ind w:right="149"/>
              <w:jc w:val="right"/>
              <w:rPr>
                <w:rFonts w:ascii="Times New Roman" w:hAnsi="Times New Roman" w:cs="Times New Roman" w:eastAsia="Times New Roman" w:hint="default"/>
                <w:sz w:val="18"/>
                <w:szCs w:val="18"/>
              </w:rPr>
            </w:pP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638" w:type="dxa"/>
            <w:tcBorders>
              <w:top w:val="nil" w:sz="6" w:space="0" w:color="auto"/>
              <w:left w:val="single" w:sz="4" w:space="0" w:color="000000"/>
              <w:bottom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single" w:sz="4" w:space="0" w:color="000000"/>
              <w:right w:val="single" w:sz="4" w:space="0" w:color="000000"/>
            </w:tcBorders>
            <w:shd w:val="clear" w:color="auto" w:fill="DBDBDB"/>
          </w:tcPr>
          <w:p>
            <w:pPr/>
          </w:p>
        </w:tc>
        <w:tc>
          <w:tcPr>
            <w:tcW w:w="96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859" w:type="dxa"/>
            <w:tcBorders>
              <w:top w:val="nil" w:sz="6" w:space="0" w:color="auto"/>
              <w:left w:val="single" w:sz="4" w:space="0" w:color="000000"/>
              <w:bottom w:val="single" w:sz="4" w:space="0" w:color="000000"/>
              <w:right w:val="single" w:sz="4" w:space="0" w:color="000000"/>
            </w:tcBorders>
            <w:shd w:val="clear" w:color="auto" w:fill="DBDBDB"/>
          </w:tcPr>
          <w:p>
            <w:pPr/>
          </w:p>
        </w:tc>
        <w:tc>
          <w:tcPr>
            <w:tcW w:w="1118"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tcBorders>
              <w:top w:val="nil" w:sz="6" w:space="0" w:color="auto"/>
              <w:left w:val="single" w:sz="4" w:space="0" w:color="000000"/>
              <w:bottom w:val="single" w:sz="4" w:space="0" w:color="000000"/>
              <w:right w:val="single" w:sz="4" w:space="0" w:color="000000"/>
            </w:tcBorders>
            <w:shd w:val="clear" w:color="auto" w:fill="DBDBDB"/>
          </w:tcPr>
          <w:p>
            <w:pPr/>
          </w:p>
        </w:tc>
        <w:tc>
          <w:tcPr>
            <w:tcW w:w="650" w:type="dxa"/>
            <w:tcBorders>
              <w:top w:val="nil" w:sz="6" w:space="0" w:color="auto"/>
              <w:left w:val="single" w:sz="4" w:space="0" w:color="000000"/>
              <w:bottom w:val="single" w:sz="4" w:space="0" w:color="000000"/>
              <w:right w:val="single" w:sz="4" w:space="0" w:color="000000"/>
            </w:tcBorders>
            <w:shd w:val="clear" w:color="auto" w:fill="DBDBDB"/>
          </w:tcPr>
          <w:p>
            <w:pPr/>
          </w:p>
        </w:tc>
        <w:tc>
          <w:tcPr>
            <w:tcW w:w="857"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4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36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万吨稀土多元</w:t>
            </w:r>
          </w:p>
          <w:p>
            <w:pPr>
              <w:pStyle w:val="TableParagraph"/>
              <w:spacing w:line="232" w:lineRule="exact" w:before="16"/>
              <w:ind w:left="103" w:right="98"/>
              <w:jc w:val="left"/>
              <w:rPr>
                <w:rFonts w:ascii="宋体" w:hAnsi="宋体" w:cs="宋体" w:eastAsia="宋体" w:hint="default"/>
                <w:sz w:val="18"/>
                <w:szCs w:val="18"/>
              </w:rPr>
            </w:pPr>
            <w:r>
              <w:rPr>
                <w:rFonts w:ascii="宋体" w:hAnsi="宋体" w:cs="宋体" w:eastAsia="宋体" w:hint="default"/>
                <w:spacing w:val="-2"/>
                <w:sz w:val="18"/>
                <w:szCs w:val="18"/>
              </w:rPr>
              <w:t>合金镀层钢丝、钢绞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线项目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18" w:right="0"/>
              <w:jc w:val="center"/>
              <w:rPr>
                <w:rFonts w:ascii="Times New Roman" w:hAnsi="Times New Roman" w:cs="Times New Roman" w:eastAsia="Times New Roman" w:hint="default"/>
                <w:sz w:val="18"/>
                <w:szCs w:val="18"/>
              </w:rPr>
            </w:pPr>
            <w:r>
              <w:rPr>
                <w:rFonts w:ascii="Times New Roman"/>
                <w:sz w:val="18"/>
              </w:rPr>
              <w:t>6,300</w:t>
            </w:r>
          </w:p>
          <w:p>
            <w:pPr>
              <w:pStyle w:val="TableParagraph"/>
              <w:spacing w:line="207" w:lineRule="exact"/>
              <w:ind w:left="198"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w w:val="95"/>
                <w:sz w:val="18"/>
              </w:rPr>
              <w:t>2,110.59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8" w:right="0"/>
              <w:jc w:val="center"/>
              <w:rPr>
                <w:rFonts w:ascii="Times New Roman" w:hAnsi="Times New Roman" w:cs="Times New Roman" w:eastAsia="Times New Roman" w:hint="default"/>
                <w:sz w:val="18"/>
                <w:szCs w:val="18"/>
              </w:rPr>
            </w:pPr>
            <w:r>
              <w:rPr>
                <w:rFonts w:ascii="Times New Roman"/>
                <w:sz w:val="18"/>
              </w:rPr>
              <w:t>5,550</w:t>
            </w:r>
          </w:p>
          <w:p>
            <w:pPr>
              <w:pStyle w:val="TableParagraph"/>
              <w:spacing w:line="207" w:lineRule="exact"/>
              <w:ind w:left="188" w:right="0"/>
              <w:jc w:val="center"/>
              <w:rPr>
                <w:rFonts w:ascii="Times New Roman" w:hAnsi="Times New Roman" w:cs="Times New Roman" w:eastAsia="Times New Roman" w:hint="default"/>
                <w:sz w:val="18"/>
                <w:szCs w:val="18"/>
              </w:rPr>
            </w:pPr>
            <w:r>
              <w:rPr>
                <w:rFonts w:ascii="Times New Roman"/>
                <w:sz w:val="18"/>
              </w:rPr>
              <w:t>.95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88.11%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right="100"/>
              <w:jc w:val="right"/>
              <w:rPr>
                <w:rFonts w:ascii="Times New Roman" w:hAnsi="Times New Roman" w:cs="Times New Roman" w:eastAsia="Times New Roman" w:hint="default"/>
                <w:sz w:val="18"/>
                <w:szCs w:val="18"/>
              </w:rPr>
            </w:pPr>
            <w:r>
              <w:rPr>
                <w:rFonts w:ascii="Times New Roman"/>
                <w:spacing w:val="-1"/>
                <w:sz w:val="18"/>
              </w:rPr>
              <w:t>1,360.0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先进涂镀技术与稀</w:t>
            </w:r>
          </w:p>
          <w:p>
            <w:pPr>
              <w:pStyle w:val="TableParagraph"/>
              <w:spacing w:line="232" w:lineRule="exact" w:before="23"/>
              <w:ind w:left="103" w:right="264"/>
              <w:jc w:val="left"/>
              <w:rPr>
                <w:rFonts w:ascii="宋体" w:hAnsi="宋体" w:cs="宋体" w:eastAsia="宋体" w:hint="default"/>
                <w:sz w:val="18"/>
                <w:szCs w:val="18"/>
              </w:rPr>
            </w:pPr>
            <w:r>
              <w:rPr>
                <w:rFonts w:ascii="宋体" w:hAnsi="宋体" w:cs="宋体" w:eastAsia="宋体" w:hint="default"/>
                <w:sz w:val="18"/>
                <w:szCs w:val="18"/>
              </w:rPr>
              <w:t>土材料工程中心项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44"/>
              <w:ind w:left="18" w:right="0"/>
              <w:jc w:val="center"/>
              <w:rPr>
                <w:rFonts w:ascii="Times New Roman" w:hAnsi="Times New Roman" w:cs="Times New Roman" w:eastAsia="Times New Roman" w:hint="default"/>
                <w:sz w:val="18"/>
                <w:szCs w:val="18"/>
              </w:rPr>
            </w:pPr>
            <w:r>
              <w:rPr>
                <w:rFonts w:ascii="Times New Roman"/>
                <w:sz w:val="18"/>
              </w:rPr>
              <w:t>2,484</w:t>
            </w:r>
          </w:p>
          <w:p>
            <w:pPr>
              <w:pStyle w:val="TableParagraph"/>
              <w:spacing w:line="205" w:lineRule="exact"/>
              <w:ind w:left="198"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2,484.00</w:t>
            </w:r>
          </w:p>
        </w:tc>
        <w:tc>
          <w:tcPr>
            <w:tcW w:w="96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万吨稀土锌</w:t>
            </w:r>
          </w:p>
          <w:p>
            <w:pPr>
              <w:pStyle w:val="TableParagraph"/>
              <w:spacing w:line="232" w:lineRule="exact" w:before="16"/>
              <w:ind w:left="103" w:right="98"/>
              <w:jc w:val="left"/>
              <w:rPr>
                <w:rFonts w:ascii="宋体" w:hAnsi="宋体" w:cs="宋体" w:eastAsia="宋体" w:hint="default"/>
                <w:sz w:val="18"/>
                <w:szCs w:val="18"/>
              </w:rPr>
            </w:pPr>
            <w:r>
              <w:rPr>
                <w:rFonts w:ascii="宋体" w:hAnsi="宋体" w:cs="宋体" w:eastAsia="宋体" w:hint="default"/>
                <w:spacing w:val="-2"/>
                <w:sz w:val="18"/>
                <w:szCs w:val="18"/>
              </w:rPr>
              <w:t>铝合金镀层钢丝、钢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绞线项目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18"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07" w:lineRule="exact"/>
              <w:ind w:left="198"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1,025.95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8" w:right="0"/>
              <w:jc w:val="center"/>
              <w:rPr>
                <w:rFonts w:ascii="Times New Roman" w:hAnsi="Times New Roman" w:cs="Times New Roman" w:eastAsia="Times New Roman" w:hint="default"/>
                <w:sz w:val="18"/>
                <w:szCs w:val="18"/>
              </w:rPr>
            </w:pPr>
            <w:r>
              <w:rPr>
                <w:rFonts w:ascii="Times New Roman"/>
                <w:sz w:val="18"/>
              </w:rPr>
              <w:t>1,025</w:t>
            </w:r>
          </w:p>
          <w:p>
            <w:pPr>
              <w:pStyle w:val="TableParagraph"/>
              <w:spacing w:line="207" w:lineRule="exact"/>
              <w:ind w:left="188" w:right="0"/>
              <w:jc w:val="center"/>
              <w:rPr>
                <w:rFonts w:ascii="Times New Roman" w:hAnsi="Times New Roman" w:cs="Times New Roman" w:eastAsia="Times New Roman" w:hint="default"/>
                <w:sz w:val="18"/>
                <w:szCs w:val="18"/>
              </w:rPr>
            </w:pPr>
            <w:r>
              <w:rPr>
                <w:rFonts w:ascii="Times New Roman"/>
                <w:sz w:val="18"/>
              </w:rPr>
              <w:t>.95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19.00%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455.00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1"/>
              <w:ind w:left="18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0" w:right="0"/>
              <w:jc w:val="left"/>
              <w:rPr>
                <w:rFonts w:ascii="Times New Roman" w:hAnsi="Times New Roman" w:cs="Times New Roman" w:eastAsia="Times New Roman" w:hint="default"/>
                <w:sz w:val="18"/>
                <w:szCs w:val="18"/>
              </w:rPr>
            </w:pPr>
            <w:r>
              <w:rPr>
                <w:rFonts w:ascii="Times New Roman"/>
                <w:sz w:val="18"/>
              </w:rPr>
              <w:t>14,18</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14,184.00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3,136.54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 w:right="0"/>
              <w:jc w:val="center"/>
              <w:rPr>
                <w:rFonts w:ascii="Times New Roman" w:hAnsi="Times New Roman" w:cs="Times New Roman" w:eastAsia="Times New Roman" w:hint="default"/>
                <w:sz w:val="18"/>
                <w:szCs w:val="18"/>
              </w:rPr>
            </w:pPr>
            <w:r>
              <w:rPr>
                <w:rFonts w:ascii="Times New Roman"/>
                <w:sz w:val="18"/>
              </w:rPr>
              <w:t>6,576</w:t>
            </w:r>
          </w:p>
          <w:p>
            <w:pPr>
              <w:pStyle w:val="TableParagraph"/>
              <w:spacing w:line="207" w:lineRule="exact"/>
              <w:ind w:left="188" w:right="0"/>
              <w:jc w:val="center"/>
              <w:rPr>
                <w:rFonts w:ascii="Times New Roman" w:hAnsi="Times New Roman" w:cs="Times New Roman" w:eastAsia="Times New Roman" w:hint="default"/>
                <w:sz w:val="18"/>
                <w:szCs w:val="18"/>
              </w:rPr>
            </w:pPr>
            <w:r>
              <w:rPr>
                <w:rFonts w:ascii="Times New Roman"/>
                <w:sz w:val="18"/>
              </w:rPr>
              <w:t>.90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9" w:lineRule="exact"/>
              <w:ind w:left="367"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收购广海分公司</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8" w:right="0"/>
              <w:jc w:val="center"/>
              <w:rPr>
                <w:rFonts w:ascii="Times New Roman" w:hAnsi="Times New Roman" w:cs="Times New Roman" w:eastAsia="Times New Roman" w:hint="default"/>
                <w:sz w:val="18"/>
                <w:szCs w:val="18"/>
              </w:rPr>
            </w:pPr>
            <w:r>
              <w:rPr>
                <w:rFonts w:ascii="Times New Roman"/>
                <w:sz w:val="18"/>
              </w:rPr>
              <w:t>5,263</w:t>
            </w:r>
          </w:p>
          <w:p>
            <w:pPr>
              <w:pStyle w:val="TableParagraph"/>
              <w:spacing w:line="207" w:lineRule="exact"/>
              <w:ind w:left="198" w:right="0"/>
              <w:jc w:val="center"/>
              <w:rPr>
                <w:rFonts w:ascii="Times New Roman" w:hAnsi="Times New Roman" w:cs="Times New Roman" w:eastAsia="Times New Roman" w:hint="default"/>
                <w:sz w:val="18"/>
                <w:szCs w:val="18"/>
              </w:rPr>
            </w:pPr>
            <w:r>
              <w:rPr>
                <w:rFonts w:ascii="Times New Roman"/>
                <w:sz w:val="18"/>
              </w:rPr>
              <w:t>.22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5,263.22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5,263.22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8" w:right="0"/>
              <w:jc w:val="center"/>
              <w:rPr>
                <w:rFonts w:ascii="Times New Roman" w:hAnsi="Times New Roman" w:cs="Times New Roman" w:eastAsia="Times New Roman" w:hint="default"/>
                <w:sz w:val="18"/>
                <w:szCs w:val="18"/>
              </w:rPr>
            </w:pPr>
            <w:r>
              <w:rPr>
                <w:rFonts w:ascii="Times New Roman"/>
                <w:sz w:val="18"/>
              </w:rPr>
              <w:t>5,263</w:t>
            </w:r>
          </w:p>
          <w:p>
            <w:pPr>
              <w:pStyle w:val="TableParagraph"/>
              <w:spacing w:line="207" w:lineRule="exact"/>
              <w:ind w:left="188" w:right="0"/>
              <w:jc w:val="center"/>
              <w:rPr>
                <w:rFonts w:ascii="Times New Roman" w:hAnsi="Times New Roman" w:cs="Times New Roman" w:eastAsia="Times New Roman" w:hint="default"/>
                <w:sz w:val="18"/>
                <w:szCs w:val="18"/>
              </w:rPr>
            </w:pPr>
            <w:r>
              <w:rPr>
                <w:rFonts w:ascii="Times New Roman"/>
                <w:sz w:val="18"/>
              </w:rPr>
              <w:t>.22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竞买全资子公司发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展用地</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7"/>
              <w:ind w:left="27" w:right="0"/>
              <w:jc w:val="center"/>
              <w:rPr>
                <w:rFonts w:ascii="Times New Roman" w:hAnsi="Times New Roman" w:cs="Times New Roman" w:eastAsia="Times New Roman" w:hint="default"/>
                <w:sz w:val="18"/>
                <w:szCs w:val="18"/>
              </w:rPr>
            </w:pPr>
            <w:r>
              <w:rPr>
                <w:rFonts w:ascii="Times New Roman"/>
                <w:sz w:val="18"/>
              </w:rPr>
              <w:t>3,311</w:t>
            </w:r>
          </w:p>
          <w:p>
            <w:pPr>
              <w:pStyle w:val="TableParagraph"/>
              <w:spacing w:line="205" w:lineRule="exact"/>
              <w:ind w:left="198" w:right="0"/>
              <w:jc w:val="center"/>
              <w:rPr>
                <w:rFonts w:ascii="Times New Roman" w:hAnsi="Times New Roman" w:cs="Times New Roman" w:eastAsia="Times New Roman" w:hint="default"/>
                <w:sz w:val="18"/>
                <w:szCs w:val="18"/>
              </w:rPr>
            </w:pPr>
            <w:r>
              <w:rPr>
                <w:rFonts w:ascii="Times New Roman"/>
                <w:sz w:val="18"/>
              </w:rPr>
              <w:t>.27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3,311.27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3,311.27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7"/>
              <w:ind w:left="17" w:right="0"/>
              <w:jc w:val="center"/>
              <w:rPr>
                <w:rFonts w:ascii="Times New Roman" w:hAnsi="Times New Roman" w:cs="Times New Roman" w:eastAsia="Times New Roman" w:hint="default"/>
                <w:sz w:val="18"/>
                <w:szCs w:val="18"/>
              </w:rPr>
            </w:pPr>
            <w:r>
              <w:rPr>
                <w:rFonts w:ascii="Times New Roman"/>
                <w:sz w:val="18"/>
              </w:rPr>
              <w:t>3,311</w:t>
            </w:r>
          </w:p>
          <w:p>
            <w:pPr>
              <w:pStyle w:val="TableParagraph"/>
              <w:spacing w:line="205" w:lineRule="exact"/>
              <w:ind w:left="188" w:right="0"/>
              <w:jc w:val="center"/>
              <w:rPr>
                <w:rFonts w:ascii="Times New Roman" w:hAnsi="Times New Roman" w:cs="Times New Roman" w:eastAsia="Times New Roman" w:hint="default"/>
                <w:sz w:val="18"/>
                <w:szCs w:val="18"/>
              </w:rPr>
            </w:pPr>
            <w:r>
              <w:rPr>
                <w:rFonts w:ascii="Times New Roman"/>
                <w:sz w:val="18"/>
              </w:rPr>
              <w:t>.27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7"/>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归还银行贷款（如</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20"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15,000.00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15,000.00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08"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07" w:lineRule="exact"/>
              <w:ind w:left="199" w:right="0"/>
              <w:jc w:val="left"/>
              <w:rPr>
                <w:rFonts w:ascii="Times New Roman" w:hAnsi="Times New Roman" w:cs="Times New Roman" w:eastAsia="Times New Roman" w:hint="default"/>
                <w:sz w:val="18"/>
                <w:szCs w:val="18"/>
              </w:rPr>
            </w:pPr>
            <w:r>
              <w:rPr>
                <w:rFonts w:ascii="Times New Roman"/>
                <w:sz w:val="18"/>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补充流动资金（如</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27" w:right="0"/>
              <w:jc w:val="left"/>
              <w:rPr>
                <w:rFonts w:ascii="Times New Roman" w:hAnsi="Times New Roman" w:cs="Times New Roman" w:eastAsia="Times New Roman" w:hint="default"/>
                <w:sz w:val="18"/>
                <w:szCs w:val="18"/>
              </w:rPr>
            </w:pPr>
            <w:r>
              <w:rPr>
                <w:rFonts w:ascii="Times New Roman"/>
                <w:sz w:val="18"/>
              </w:rPr>
              <w:t>11,17</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2.40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2"/>
                <w:sz w:val="18"/>
              </w:rPr>
              <w:t>11,172.40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11,172.40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15" w:right="0"/>
              <w:jc w:val="left"/>
              <w:rPr>
                <w:rFonts w:ascii="Times New Roman" w:hAnsi="Times New Roman" w:cs="Times New Roman" w:eastAsia="Times New Roman" w:hint="default"/>
                <w:sz w:val="18"/>
                <w:szCs w:val="18"/>
              </w:rPr>
            </w:pPr>
            <w:r>
              <w:rPr>
                <w:rFonts w:ascii="Times New Roman"/>
                <w:sz w:val="18"/>
              </w:rPr>
              <w:t>11,17</w:t>
            </w:r>
          </w:p>
          <w:p>
            <w:pPr>
              <w:pStyle w:val="TableParagraph"/>
              <w:spacing w:line="207" w:lineRule="exact"/>
              <w:ind w:left="199" w:right="0"/>
              <w:jc w:val="left"/>
              <w:rPr>
                <w:rFonts w:ascii="Times New Roman" w:hAnsi="Times New Roman" w:cs="Times New Roman" w:eastAsia="Times New Roman" w:hint="default"/>
                <w:sz w:val="18"/>
                <w:szCs w:val="18"/>
              </w:rPr>
            </w:pPr>
            <w:r>
              <w:rPr>
                <w:rFonts w:ascii="Times New Roman"/>
                <w:sz w:val="18"/>
              </w:rPr>
              <w:t>2.40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1"/>
              <w:ind w:left="187"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0" w:right="0"/>
              <w:jc w:val="left"/>
              <w:rPr>
                <w:rFonts w:ascii="Times New Roman" w:hAnsi="Times New Roman" w:cs="Times New Roman" w:eastAsia="Times New Roman" w:hint="default"/>
                <w:sz w:val="18"/>
                <w:szCs w:val="18"/>
              </w:rPr>
            </w:pPr>
            <w:r>
              <w:rPr>
                <w:rFonts w:ascii="Times New Roman"/>
                <w:sz w:val="18"/>
              </w:rPr>
              <w:t>34,74</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6.89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34,746.89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34,746.89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8" w:right="0"/>
              <w:jc w:val="left"/>
              <w:rPr>
                <w:rFonts w:ascii="Times New Roman" w:hAnsi="Times New Roman" w:cs="Times New Roman" w:eastAsia="Times New Roman" w:hint="default"/>
                <w:sz w:val="18"/>
                <w:szCs w:val="18"/>
              </w:rPr>
            </w:pPr>
            <w:r>
              <w:rPr>
                <w:rFonts w:ascii="Times New Roman"/>
                <w:sz w:val="18"/>
              </w:rPr>
              <w:t>34,74</w:t>
            </w:r>
          </w:p>
          <w:p>
            <w:pPr>
              <w:pStyle w:val="TableParagraph"/>
              <w:spacing w:line="207" w:lineRule="exact"/>
              <w:ind w:left="199" w:right="0"/>
              <w:jc w:val="left"/>
              <w:rPr>
                <w:rFonts w:ascii="Times New Roman" w:hAnsi="Times New Roman" w:cs="Times New Roman" w:eastAsia="Times New Roman" w:hint="default"/>
                <w:sz w:val="18"/>
                <w:szCs w:val="18"/>
              </w:rPr>
            </w:pPr>
            <w:r>
              <w:rPr>
                <w:rFonts w:ascii="Times New Roman"/>
                <w:sz w:val="18"/>
              </w:rPr>
              <w:t>6.89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
              <w:ind w:left="120" w:right="0"/>
              <w:jc w:val="left"/>
              <w:rPr>
                <w:rFonts w:ascii="Times New Roman" w:hAnsi="Times New Roman" w:cs="Times New Roman" w:eastAsia="Times New Roman" w:hint="default"/>
                <w:sz w:val="18"/>
                <w:szCs w:val="18"/>
              </w:rPr>
            </w:pPr>
            <w:r>
              <w:rPr>
                <w:rFonts w:ascii="Times New Roman"/>
                <w:sz w:val="18"/>
              </w:rPr>
              <w:t>48,93</w:t>
            </w:r>
          </w:p>
          <w:p>
            <w:pPr>
              <w:pStyle w:val="TableParagraph"/>
              <w:spacing w:line="205" w:lineRule="exact"/>
              <w:ind w:left="211" w:right="0"/>
              <w:jc w:val="left"/>
              <w:rPr>
                <w:rFonts w:ascii="Times New Roman" w:hAnsi="Times New Roman" w:cs="Times New Roman" w:eastAsia="Times New Roman" w:hint="default"/>
                <w:sz w:val="18"/>
                <w:szCs w:val="18"/>
              </w:rPr>
            </w:pPr>
            <w:r>
              <w:rPr>
                <w:rFonts w:ascii="Times New Roman"/>
                <w:sz w:val="18"/>
              </w:rPr>
              <w:t>0.89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48,930.89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37,883.43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
              <w:ind w:left="108" w:right="0"/>
              <w:jc w:val="left"/>
              <w:rPr>
                <w:rFonts w:ascii="Times New Roman" w:hAnsi="Times New Roman" w:cs="Times New Roman" w:eastAsia="Times New Roman" w:hint="default"/>
                <w:sz w:val="18"/>
                <w:szCs w:val="18"/>
              </w:rPr>
            </w:pPr>
            <w:r>
              <w:rPr>
                <w:rFonts w:ascii="Times New Roman"/>
                <w:sz w:val="18"/>
              </w:rPr>
              <w:t>41,32</w:t>
            </w:r>
          </w:p>
          <w:p>
            <w:pPr>
              <w:pStyle w:val="TableParagraph"/>
              <w:spacing w:line="205" w:lineRule="exact"/>
              <w:ind w:left="199" w:right="0"/>
              <w:jc w:val="left"/>
              <w:rPr>
                <w:rFonts w:ascii="Times New Roman" w:hAnsi="Times New Roman" w:cs="Times New Roman" w:eastAsia="Times New Roman" w:hint="default"/>
                <w:sz w:val="18"/>
                <w:szCs w:val="18"/>
              </w:rPr>
            </w:pPr>
            <w:r>
              <w:rPr>
                <w:rFonts w:ascii="Times New Roman"/>
                <w:sz w:val="18"/>
              </w:rPr>
              <w:t>3.79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9"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8009" w:type="dxa"/>
            <w:gridSpan w:val="10"/>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8009"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39"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8009" w:type="dxa"/>
            <w:gridSpan w:val="10"/>
            <w:tcBorders>
              <w:top w:val="nil" w:sz="6" w:space="0" w:color="auto"/>
              <w:left w:val="single" w:sz="4" w:space="0" w:color="000000"/>
              <w:bottom w:val="single" w:sz="4" w:space="0" w:color="000000"/>
              <w:right w:val="single" w:sz="4" w:space="0" w:color="000000"/>
            </w:tcBorders>
          </w:tcPr>
          <w:p>
            <w:pPr/>
          </w:p>
        </w:tc>
      </w:tr>
      <w:tr>
        <w:trPr>
          <w:trHeight w:val="47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4"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w:t>
            </w:r>
          </w:p>
        </w:tc>
        <w:tc>
          <w:tcPr>
            <w:tcW w:w="8009" w:type="dxa"/>
            <w:gridSpan w:val="10"/>
            <w:vMerge w:val="restart"/>
            <w:tcBorders>
              <w:top w:val="single" w:sz="4" w:space="0" w:color="000000"/>
              <w:left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公司超募资金金额为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43,901.07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万元，本年度使用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34,746.89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9,154.18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万元，存放于募集资</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金专户中。本年度超募资金使用如下：偿还银行借款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万元，收购中水广海钢丝绳厂产权</w:t>
            </w:r>
          </w:p>
          <w:p>
            <w:pPr>
              <w:pStyle w:val="TableParagraph"/>
              <w:spacing w:line="234"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竞买武隆县白马工业园</w:t>
            </w:r>
            <w:r>
              <w:rPr>
                <w:rFonts w:ascii="宋体" w:hAnsi="宋体" w:cs="宋体" w:eastAsia="宋体" w:hint="default"/>
                <w:spacing w:val="2"/>
                <w:sz w:val="18"/>
                <w:szCs w:val="18"/>
              </w:rPr>
              <w:t>土</w:t>
            </w:r>
            <w:r>
              <w:rPr>
                <w:rFonts w:ascii="宋体" w:hAnsi="宋体" w:cs="宋体" w:eastAsia="宋体" w:hint="default"/>
                <w:sz w:val="18"/>
                <w:szCs w:val="18"/>
              </w:rPr>
              <w:t>地</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补充流动资金</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合计</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万元。上述均已实施。</w:t>
            </w:r>
          </w:p>
        </w:tc>
      </w:tr>
      <w:tr>
        <w:trPr>
          <w:trHeight w:val="591"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8009" w:type="dxa"/>
            <w:gridSpan w:val="10"/>
            <w:vMerge/>
            <w:tcBorders>
              <w:left w:val="single" w:sz="4" w:space="0" w:color="000000"/>
              <w:bottom w:val="single" w:sz="4" w:space="0" w:color="000000"/>
              <w:right w:val="single" w:sz="4" w:space="0" w:color="000000"/>
            </w:tcBorders>
          </w:tcPr>
          <w:p>
            <w:pPr/>
          </w:p>
        </w:tc>
      </w:tr>
      <w:tr>
        <w:trPr>
          <w:trHeight w:val="245"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87"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8009" w:type="dxa"/>
            <w:gridSpan w:val="10"/>
            <w:vMerge w:val="restart"/>
            <w:tcBorders>
              <w:top w:val="single" w:sz="4" w:space="0" w:color="000000"/>
              <w:left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年度第一次临</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时股东大会审议通过，鼎泰新材于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日在北京产权交易所获得中国华农资产经营公司</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挂牌交易其所属中水广海钢丝绳厂整体资产的受让资格，并于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与中国华农资产经营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公司签署</w:t>
            </w:r>
            <w:r>
              <w:rPr>
                <w:rFonts w:ascii="宋体" w:hAnsi="宋体" w:cs="宋体" w:eastAsia="宋体" w:hint="default"/>
                <w:spacing w:val="-10"/>
                <w:sz w:val="18"/>
                <w:szCs w:val="18"/>
              </w:rPr>
              <w:t>了</w:t>
            </w:r>
            <w:r>
              <w:rPr>
                <w:rFonts w:ascii="宋体" w:hAnsi="宋体" w:cs="宋体" w:eastAsia="宋体" w:hint="default"/>
                <w:sz w:val="18"/>
                <w:szCs w:val="18"/>
              </w:rPr>
              <w:t>《产权交易合同</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第一届董事会第十一次董事会审议通过</w:t>
            </w:r>
            <w:r>
              <w:rPr>
                <w:rFonts w:ascii="宋体" w:hAnsi="宋体" w:cs="宋体" w:eastAsia="宋体" w:hint="default"/>
                <w:spacing w:val="-8"/>
                <w:sz w:val="18"/>
                <w:szCs w:val="18"/>
              </w:rPr>
              <w:t>，</w:t>
            </w:r>
            <w:r>
              <w:rPr>
                <w:rFonts w:ascii="宋体" w:hAnsi="宋体" w:cs="宋体" w:eastAsia="宋体" w:hint="default"/>
                <w:sz w:val="18"/>
                <w:szCs w:val="18"/>
              </w:rPr>
              <w:t>同意</w:t>
            </w:r>
          </w:p>
          <w:p>
            <w:pPr>
              <w:pStyle w:val="TableParagraph"/>
              <w:spacing w:line="232" w:lineRule="exact" w:before="16"/>
              <w:ind w:left="105" w:right="197"/>
              <w:jc w:val="left"/>
              <w:rPr>
                <w:rFonts w:ascii="宋体" w:hAnsi="宋体" w:cs="宋体" w:eastAsia="宋体" w:hint="default"/>
                <w:sz w:val="18"/>
                <w:szCs w:val="18"/>
              </w:rPr>
            </w:pPr>
            <w:r>
              <w:rPr>
                <w:rFonts w:ascii="宋体" w:hAnsi="宋体" w:cs="宋体" w:eastAsia="宋体" w:hint="default"/>
                <w:sz w:val="18"/>
                <w:szCs w:val="18"/>
              </w:rPr>
              <w:t>将募投项目之一年产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万吨稀土锌铝合金镀层钢丝钢绞线项目实施地点变更为公司分公司中水广 海钢丝绳厂内。</w:t>
            </w:r>
          </w:p>
        </w:tc>
      </w:tr>
      <w:tr>
        <w:trPr>
          <w:trHeight w:val="829"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8009" w:type="dxa"/>
            <w:gridSpan w:val="10"/>
            <w:vMerge/>
            <w:tcBorders>
              <w:left w:val="single" w:sz="4" w:space="0" w:color="000000"/>
              <w:bottom w:val="single" w:sz="4" w:space="0" w:color="000000"/>
              <w:right w:val="single" w:sz="4" w:space="0" w:color="000000"/>
            </w:tcBorders>
          </w:tcPr>
          <w:p>
            <w:pPr/>
          </w:p>
        </w:tc>
      </w:tr>
      <w:tr>
        <w:trPr>
          <w:trHeight w:val="24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2"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8009" w:type="dxa"/>
            <w:gridSpan w:val="10"/>
            <w:vMerge w:val="restart"/>
            <w:tcBorders>
              <w:top w:val="single" w:sz="4" w:space="0" w:color="000000"/>
              <w:left w:val="single" w:sz="4" w:space="0" w:color="000000"/>
              <w:right w:val="single" w:sz="4" w:space="0" w:color="000000"/>
            </w:tcBorders>
          </w:tcPr>
          <w:p>
            <w:pPr>
              <w:pStyle w:val="TableParagraph"/>
              <w:spacing w:line="211"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万吨稀土多元合金镀层钢丝、钢绞线项目：截至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日，公司以自筹资金预先</w:t>
            </w:r>
          </w:p>
          <w:p>
            <w:pPr>
              <w:pStyle w:val="TableParagraph"/>
              <w:spacing w:line="225" w:lineRule="auto" w:before="4"/>
              <w:ind w:left="105"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投入募集资金投资项目的实际投资额为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5,054.46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 股专字</w:t>
            </w:r>
            <w:r>
              <w:rPr>
                <w:rFonts w:ascii="Times New Roman" w:hAnsi="Times New Roman" w:cs="Times New Roman" w:eastAsia="Times New Roman" w:hint="default"/>
                <w:sz w:val="18"/>
                <w:szCs w:val="18"/>
              </w:rPr>
              <w:t>[2010]133 </w:t>
            </w:r>
            <w:r>
              <w:rPr>
                <w:rFonts w:ascii="宋体" w:hAnsi="宋体" w:cs="宋体" w:eastAsia="宋体" w:hint="default"/>
                <w:sz w:val="18"/>
                <w:szCs w:val="18"/>
              </w:rPr>
              <w:t>号和深鹏所股专字</w:t>
            </w:r>
            <w:r>
              <w:rPr>
                <w:rFonts w:ascii="Times New Roman" w:hAnsi="Times New Roman" w:cs="Times New Roman" w:eastAsia="Times New Roman" w:hint="default"/>
                <w:sz w:val="18"/>
                <w:szCs w:val="18"/>
              </w:rPr>
              <w:t>[2010]417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专项鉴证报告确认。经公司董事会审议通过，保 </w:t>
            </w:r>
            <w:r>
              <w:rPr>
                <w:rFonts w:ascii="宋体" w:hAnsi="宋体" w:cs="宋体" w:eastAsia="宋体" w:hint="default"/>
                <w:spacing w:val="-3"/>
                <w:sz w:val="18"/>
                <w:szCs w:val="18"/>
              </w:rPr>
              <w:t>荐机构发表明确同意意见后，公司以募集资金置换预先已投入募集资金投资项目的自筹资金</w:t>
            </w:r>
            <w:r>
              <w:rPr>
                <w:rFonts w:ascii="宋体" w:hAnsi="宋体" w:cs="宋体" w:eastAsia="宋体" w:hint="default"/>
                <w:spacing w:val="-5"/>
                <w:sz w:val="18"/>
                <w:szCs w:val="18"/>
              </w:rPr>
              <w:t> </w:t>
            </w:r>
            <w:r>
              <w:rPr>
                <w:rFonts w:ascii="Times New Roman" w:hAnsi="Times New Roman" w:cs="Times New Roman" w:eastAsia="Times New Roman" w:hint="default"/>
                <w:spacing w:val="-1"/>
                <w:sz w:val="18"/>
                <w:szCs w:val="18"/>
              </w:rPr>
              <w:t>5,054.46</w:t>
            </w: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8009" w:type="dxa"/>
            <w:gridSpan w:val="10"/>
            <w:vMerge/>
            <w:tcBorders>
              <w:left w:val="single" w:sz="4" w:space="0" w:color="000000"/>
              <w:right w:val="single" w:sz="4" w:space="0" w:color="000000"/>
            </w:tcBorders>
          </w:tcPr>
          <w:p>
            <w:pPr/>
          </w:p>
        </w:tc>
      </w:tr>
      <w:tr>
        <w:trPr>
          <w:trHeight w:val="476"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8009" w:type="dxa"/>
            <w:gridSpan w:val="10"/>
            <w:vMerge/>
            <w:tcBorders>
              <w:left w:val="single" w:sz="4" w:space="0" w:color="000000"/>
              <w:bottom w:val="single" w:sz="4" w:space="0" w:color="000000"/>
              <w:right w:val="single" w:sz="4" w:space="0" w:color="000000"/>
            </w:tcBorders>
          </w:tcPr>
          <w:p>
            <w:pPr/>
          </w:p>
        </w:tc>
      </w:tr>
    </w:tbl>
    <w:p>
      <w:pPr>
        <w:spacing w:after="0"/>
        <w:sectPr>
          <w:pgSz w:w="11910" w:h="16840"/>
          <w:pgMar w:header="206" w:footer="738" w:top="940" w:bottom="920" w:left="900" w:right="9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819"/>
        <w:gridCol w:w="8009"/>
      </w:tblGrid>
      <w:tr>
        <w:trPr>
          <w:trHeight w:val="117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32" w:lineRule="exact" w:before="23"/>
              <w:ind w:left="105"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万吨稀土锌铝合金镀层钢丝、钢绞线项目：公司以自筹资金预先投入募集资金投资项目 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[2010]417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号号</w:t>
            </w:r>
            <w:r>
              <w:rPr>
                <w:rFonts w:ascii="Times New Roman" w:hAnsi="Times New Roman" w:cs="Times New Roman" w:eastAsia="Times New Roman" w:hint="default"/>
                <w:sz w:val="18"/>
                <w:szCs w:val="18"/>
              </w:rPr>
              <w:t>”</w:t>
            </w:r>
            <w:r>
              <w:rPr>
                <w:rFonts w:ascii="宋体" w:hAnsi="宋体" w:cs="宋体" w:eastAsia="宋体" w:hint="default"/>
                <w:sz w:val="18"/>
                <w:szCs w:val="18"/>
              </w:rPr>
              <w:t>专 项鉴证报告确认。经公司董事会审议通过，保荐机构发表明确同意意见后，公司以募集资金置换预 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24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87"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尚未使用的募集资</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金用途及去向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p>
            <w:pPr>
              <w:pStyle w:val="TableParagraph"/>
              <w:spacing w:line="232" w:lineRule="exact" w:before="23"/>
              <w:ind w:left="547" w:right="180" w:hanging="360"/>
              <w:jc w:val="left"/>
              <w:rPr>
                <w:rFonts w:ascii="宋体" w:hAnsi="宋体" w:cs="宋体" w:eastAsia="宋体" w:hint="default"/>
                <w:sz w:val="18"/>
                <w:szCs w:val="18"/>
              </w:rPr>
            </w:pPr>
            <w:r>
              <w:rPr>
                <w:rFonts w:ascii="宋体" w:hAnsi="宋体" w:cs="宋体" w:eastAsia="宋体" w:hint="default"/>
                <w:sz w:val="18"/>
                <w:szCs w:val="18"/>
              </w:rPr>
              <w:t>露中存在的问题或 其他情况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5"/>
          <w:szCs w:val="25"/>
        </w:rPr>
      </w:pPr>
    </w:p>
    <w:p>
      <w:pPr>
        <w:pStyle w:val="BodyText"/>
        <w:spacing w:line="338" w:lineRule="auto" w:before="34"/>
        <w:ind w:left="1322" w:right="0"/>
        <w:jc w:val="left"/>
      </w:pPr>
      <w:r>
        <w:rPr>
          <w:rFonts w:ascii="Times New Roman" w:hAnsi="Times New Roman" w:cs="Times New Roman" w:eastAsia="Times New Roman" w:hint="default"/>
        </w:rPr>
        <w:t>2</w:t>
      </w:r>
      <w:r>
        <w:rPr/>
        <w:t>、变更募集资金投资项目的资金使用情况</w:t>
      </w:r>
      <w:r>
        <w:rPr>
          <w:w w:val="99"/>
        </w:rPr>
        <w:t> </w:t>
      </w:r>
      <w:r>
        <w:rPr>
          <w:spacing w:val="-2"/>
          <w:w w:val="95"/>
        </w:rPr>
        <w:t>报告期内，公司未发生募集资金投资项目变更的情形；不存在募集资金投资项目对外转</w:t>
      </w:r>
      <w:r>
        <w:rPr>
          <w:spacing w:val="-2"/>
        </w:rPr>
      </w:r>
    </w:p>
    <w:p>
      <w:pPr>
        <w:pStyle w:val="BodyText"/>
        <w:spacing w:line="240" w:lineRule="auto" w:before="47"/>
        <w:ind w:left="902" w:right="0"/>
        <w:jc w:val="both"/>
      </w:pPr>
      <w:r>
        <w:rPr/>
        <w:t>让或置换的情形。</w:t>
      </w:r>
    </w:p>
    <w:p>
      <w:pPr>
        <w:pStyle w:val="BodyText"/>
        <w:spacing w:line="336" w:lineRule="auto" w:before="133"/>
        <w:ind w:left="1322" w:right="853"/>
        <w:jc w:val="left"/>
      </w:pPr>
      <w:r>
        <w:rPr>
          <w:rFonts w:ascii="Times New Roman" w:hAnsi="Times New Roman" w:cs="Times New Roman" w:eastAsia="Times New Roman" w:hint="default"/>
        </w:rPr>
        <w:t>3</w:t>
      </w:r>
      <w:r>
        <w:rPr/>
        <w:t>、募集资金使用及披露中存在的问题</w:t>
      </w:r>
      <w:r>
        <w:rPr>
          <w:w w:val="99"/>
        </w:rPr>
        <w:t> </w:t>
      </w:r>
      <w:r>
        <w:rPr>
          <w:spacing w:val="-7"/>
          <w:w w:val="99"/>
        </w:rPr>
        <w:t>本公司严格按照深圳证券交易所《中小企业板上市公司募集资金管理细则》、本公司《募</w:t>
      </w:r>
      <w:r>
        <w:rPr>
          <w:spacing w:val="-7"/>
        </w:rPr>
      </w:r>
    </w:p>
    <w:p>
      <w:pPr>
        <w:pStyle w:val="BodyText"/>
        <w:spacing w:line="355" w:lineRule="auto" w:before="51"/>
        <w:ind w:left="902" w:right="861"/>
        <w:jc w:val="both"/>
      </w:pPr>
      <w:r>
        <w:rPr>
          <w:spacing w:val="-5"/>
          <w:w w:val="95"/>
        </w:rPr>
        <w:t>集资金管理办法》等规定使用募集资金，并及时、真实、准确、完整履行相关信息披露工作，</w:t>
      </w:r>
      <w:r>
        <w:rPr>
          <w:spacing w:val="27"/>
          <w:w w:val="95"/>
        </w:rPr>
        <w:t> </w:t>
      </w:r>
      <w:r>
        <w:rPr>
          <w:spacing w:val="27"/>
          <w:w w:val="95"/>
        </w:rPr>
      </w:r>
      <w:r>
        <w:rPr/>
        <w:t>不存在违规使用募集资金的情形。</w:t>
      </w:r>
    </w:p>
    <w:p>
      <w:pPr>
        <w:pStyle w:val="BodyText"/>
        <w:spacing w:line="355" w:lineRule="auto" w:before="32"/>
        <w:ind w:left="1322" w:right="4104"/>
        <w:jc w:val="left"/>
      </w:pPr>
      <w:r>
        <w:rPr/>
        <w:t>4、非募集资金投资情况</w:t>
      </w:r>
      <w:r>
        <w:rPr>
          <w:w w:val="99"/>
        </w:rPr>
        <w:t> </w:t>
      </w:r>
      <w:r>
        <w:rPr/>
        <w:t>报告期内，公司未发生重大非募集资金投资情况。</w:t>
      </w:r>
    </w:p>
    <w:p>
      <w:pPr>
        <w:spacing w:line="240" w:lineRule="auto" w:before="11"/>
        <w:rPr>
          <w:rFonts w:ascii="宋体" w:hAnsi="宋体" w:cs="宋体" w:eastAsia="宋体" w:hint="default"/>
          <w:sz w:val="29"/>
          <w:szCs w:val="29"/>
        </w:rPr>
      </w:pPr>
    </w:p>
    <w:p>
      <w:pPr>
        <w:pStyle w:val="Heading3"/>
        <w:spacing w:line="240" w:lineRule="auto"/>
        <w:ind w:left="1382" w:right="0"/>
        <w:jc w:val="left"/>
      </w:pPr>
      <w:r>
        <w:rPr/>
        <w:t>四、董事会的日常工作情况</w:t>
      </w:r>
    </w:p>
    <w:p>
      <w:pPr>
        <w:pStyle w:val="BodyText"/>
        <w:spacing w:line="240" w:lineRule="auto" w:before="157"/>
        <w:ind w:left="1322" w:right="0"/>
        <w:jc w:val="left"/>
      </w:pPr>
      <w:r>
        <w:rPr/>
        <w:t>1、报告期内董事会的会议情况及决议内容</w:t>
      </w:r>
    </w:p>
    <w:p>
      <w:pPr>
        <w:pStyle w:val="BodyText"/>
        <w:spacing w:line="355" w:lineRule="auto" w:before="133"/>
        <w:ind w:left="902" w:right="0" w:firstLine="420"/>
        <w:jc w:val="left"/>
      </w:pPr>
      <w:r>
        <w:rPr/>
        <w:t>2010</w:t>
      </w:r>
      <w:r>
        <w:rPr>
          <w:spacing w:val="-33"/>
        </w:rPr>
        <w:t> </w:t>
      </w:r>
      <w:r>
        <w:rPr/>
        <w:t>年度，公司董事会共筹备召开九次会议，会议的召集、召开与表决程序符合《公</w:t>
      </w:r>
      <w:r>
        <w:rPr>
          <w:w w:val="99"/>
        </w:rPr>
        <w:t> </w:t>
      </w:r>
      <w:r>
        <w:rPr/>
        <w:t>司法》及《公司章程》等法律、法规和规范性文件的规定。会议的具体情况如下：</w:t>
      </w:r>
    </w:p>
    <w:p>
      <w:pPr>
        <w:pStyle w:val="BodyText"/>
        <w:spacing w:line="240" w:lineRule="auto" w:before="32"/>
        <w:ind w:left="1322" w:right="0"/>
        <w:jc w:val="left"/>
      </w:pPr>
      <w:r>
        <w:rPr/>
        <w:t>（</w:t>
      </w:r>
      <w:r>
        <w:rPr>
          <w:rFonts w:ascii="Times New Roman" w:hAnsi="Times New Roman" w:cs="Times New Roman" w:eastAsia="Times New Roman" w:hint="default"/>
        </w:rPr>
        <w:t>1</w:t>
      </w:r>
      <w:r>
        <w:rPr/>
        <w:t>）公司于</w:t>
      </w:r>
      <w:r>
        <w:rPr>
          <w:spacing w:val="-50"/>
        </w:rPr>
        <w:t> </w:t>
      </w:r>
      <w:r>
        <w:rPr/>
        <w:t>2010</w:t>
      </w:r>
      <w:r>
        <w:rPr>
          <w:spacing w:val="-51"/>
        </w:rPr>
        <w:t> </w:t>
      </w:r>
      <w:r>
        <w:rPr/>
        <w:t>年</w:t>
      </w:r>
      <w:r>
        <w:rPr>
          <w:spacing w:val="-50"/>
        </w:rPr>
        <w:t> </w:t>
      </w:r>
      <w:r>
        <w:rPr/>
        <w:t>2</w:t>
      </w:r>
      <w:r>
        <w:rPr>
          <w:spacing w:val="-51"/>
        </w:rPr>
        <w:t> </w:t>
      </w:r>
      <w:r>
        <w:rPr/>
        <w:t>月</w:t>
      </w:r>
      <w:r>
        <w:rPr>
          <w:spacing w:val="-50"/>
        </w:rPr>
        <w:t> </w:t>
      </w:r>
      <w:r>
        <w:rPr/>
        <w:t>22</w:t>
      </w:r>
      <w:r>
        <w:rPr>
          <w:spacing w:val="-51"/>
        </w:rPr>
        <w:t> </w:t>
      </w:r>
      <w:r>
        <w:rPr>
          <w:spacing w:val="3"/>
        </w:rPr>
        <w:t>日以现场表决的方式召开了第一届董事会第十次会议，9</w:t>
      </w:r>
    </w:p>
    <w:p>
      <w:pPr>
        <w:pStyle w:val="BodyText"/>
        <w:spacing w:line="338" w:lineRule="auto" w:before="119"/>
        <w:ind w:left="902" w:right="858"/>
        <w:jc w:val="both"/>
      </w:pPr>
      <w:r>
        <w:rPr>
          <w:spacing w:val="-4"/>
        </w:rPr>
        <w:t>名董事参加会议。会议审议通过了《关于聘任深圳市鹏城会计师事务所有限公司为公司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w w:val="99"/>
        </w:rPr>
        <w:t> </w:t>
      </w:r>
      <w:r>
        <w:rPr>
          <w:spacing w:val="2"/>
        </w:rPr>
        <w:t>年度审计机构的议案》、《关于修订</w:t>
      </w:r>
      <w:r>
        <w:rPr>
          <w:rFonts w:ascii="Times New Roman" w:hAnsi="Times New Roman" w:cs="Times New Roman" w:eastAsia="Times New Roman" w:hint="default"/>
          <w:spacing w:val="2"/>
        </w:rPr>
        <w:t>&lt;</w:t>
      </w:r>
      <w:r>
        <w:rPr>
          <w:spacing w:val="2"/>
        </w:rPr>
        <w:t>马鞍山鼎泰稀土新材料股份有限公司章程</w:t>
      </w:r>
      <w:r>
        <w:rPr>
          <w:rFonts w:ascii="Times New Roman" w:hAnsi="Times New Roman" w:cs="Times New Roman" w:eastAsia="Times New Roman" w:hint="default"/>
          <w:spacing w:val="2"/>
        </w:rPr>
        <w:t>&gt;</w:t>
      </w:r>
      <w:r>
        <w:rPr>
          <w:spacing w:val="2"/>
        </w:rPr>
        <w:t>（首次公</w:t>
      </w:r>
      <w:r>
        <w:rPr>
          <w:w w:val="99"/>
        </w:rPr>
        <w:t> </w:t>
      </w:r>
      <w:r>
        <w:rPr>
          <w:spacing w:val="2"/>
          <w:w w:val="99"/>
        </w:rPr>
        <w:t>开发行股票并上市前草案）的议案</w:t>
      </w:r>
      <w:r>
        <w:rPr>
          <w:spacing w:val="-85"/>
          <w:w w:val="99"/>
        </w:rPr>
        <w:t> </w:t>
      </w:r>
      <w:r>
        <w:rPr>
          <w:spacing w:val="-2"/>
          <w:w w:val="99"/>
        </w:rPr>
        <w:t>》、《关于修订</w:t>
      </w:r>
      <w:r>
        <w:rPr>
          <w:rFonts w:ascii="Times New Roman" w:hAnsi="Times New Roman" w:cs="Times New Roman" w:eastAsia="Times New Roman" w:hint="default"/>
          <w:spacing w:val="-2"/>
          <w:w w:val="99"/>
        </w:rPr>
        <w:t>&lt;</w:t>
      </w:r>
      <w:r>
        <w:rPr>
          <w:spacing w:val="-2"/>
          <w:w w:val="99"/>
        </w:rPr>
        <w:t>马鞍山鼎泰稀土新材料股份有限公司股</w:t>
      </w:r>
      <w:r>
        <w:rPr>
          <w:w w:val="99"/>
        </w:rPr>
        <w:t> </w:t>
      </w:r>
      <w:r>
        <w:rPr>
          <w:spacing w:val="-3"/>
          <w:w w:val="99"/>
        </w:rPr>
        <w:t>东大会议事规则</w:t>
      </w:r>
      <w:r>
        <w:rPr>
          <w:rFonts w:ascii="Times New Roman" w:hAnsi="Times New Roman" w:cs="Times New Roman" w:eastAsia="Times New Roman" w:hint="default"/>
          <w:spacing w:val="-3"/>
          <w:w w:val="99"/>
        </w:rPr>
        <w:t>&gt;</w:t>
      </w:r>
      <w:r>
        <w:rPr>
          <w:spacing w:val="-3"/>
          <w:w w:val="99"/>
        </w:rPr>
        <w:t>等制度的议案》、《关于修订</w:t>
      </w:r>
      <w:r>
        <w:rPr>
          <w:rFonts w:ascii="Times New Roman" w:hAnsi="Times New Roman" w:cs="Times New Roman" w:eastAsia="Times New Roman" w:hint="default"/>
          <w:spacing w:val="-3"/>
          <w:w w:val="99"/>
        </w:rPr>
        <w:t>&lt;</w:t>
      </w:r>
      <w:r>
        <w:rPr>
          <w:spacing w:val="-3"/>
          <w:w w:val="99"/>
        </w:rPr>
        <w:t>马鞍山鼎泰稀土新材料股份有限公司董事会</w:t>
      </w:r>
      <w:r>
        <w:rPr>
          <w:spacing w:val="-72"/>
          <w:w w:val="99"/>
        </w:rPr>
        <w:t> </w:t>
      </w:r>
      <w:r>
        <w:rPr>
          <w:spacing w:val="-72"/>
          <w:w w:val="99"/>
        </w:rPr>
      </w:r>
      <w:r>
        <w:rPr>
          <w:w w:val="95"/>
        </w:rPr>
        <w:t>议事规则</w:t>
      </w:r>
      <w:r>
        <w:rPr>
          <w:rFonts w:ascii="Times New Roman" w:hAnsi="Times New Roman" w:cs="Times New Roman" w:eastAsia="Times New Roman" w:hint="default"/>
          <w:w w:val="95"/>
        </w:rPr>
        <w:t>&gt;</w:t>
      </w:r>
      <w:r>
        <w:rPr>
          <w:w w:val="95"/>
        </w:rPr>
        <w:t>的议案》、《关于修订</w:t>
      </w:r>
      <w:r>
        <w:rPr>
          <w:rFonts w:ascii="Times New Roman" w:hAnsi="Times New Roman" w:cs="Times New Roman" w:eastAsia="Times New Roman" w:hint="default"/>
          <w:w w:val="95"/>
        </w:rPr>
        <w:t>&lt;</w:t>
      </w:r>
      <w:r>
        <w:rPr>
          <w:w w:val="95"/>
        </w:rPr>
        <w:t>马鞍山鼎泰稀土新材料股份有限公司独立董事工作制度</w:t>
      </w:r>
      <w:r>
        <w:rPr>
          <w:rFonts w:ascii="Times New Roman" w:hAnsi="Times New Roman" w:cs="Times New Roman" w:eastAsia="Times New Roman" w:hint="default"/>
          <w:w w:val="95"/>
        </w:rPr>
        <w:t>&gt;</w:t>
      </w:r>
      <w:r>
        <w:rPr>
          <w:rFonts w:ascii="Times New Roman" w:hAnsi="Times New Roman" w:cs="Times New Roman" w:eastAsia="Times New Roman" w:hint="default"/>
          <w:spacing w:val="23"/>
          <w:w w:val="95"/>
        </w:rPr>
        <w:t> </w:t>
      </w:r>
      <w:r>
        <w:rPr>
          <w:w w:val="95"/>
        </w:rPr>
        <w:t>的议案》、《关于修订</w:t>
      </w:r>
      <w:r>
        <w:rPr>
          <w:rFonts w:ascii="Times New Roman" w:hAnsi="Times New Roman" w:cs="Times New Roman" w:eastAsia="Times New Roman" w:hint="default"/>
          <w:w w:val="95"/>
        </w:rPr>
        <w:t>&lt;</w:t>
      </w:r>
      <w:r>
        <w:rPr>
          <w:w w:val="95"/>
        </w:rPr>
        <w:t>马鞍山鼎泰稀土新材料股份有限公司募集资金管理办法</w:t>
      </w:r>
      <w:r>
        <w:rPr>
          <w:rFonts w:ascii="Times New Roman" w:hAnsi="Times New Roman" w:cs="Times New Roman" w:eastAsia="Times New Roman" w:hint="default"/>
          <w:w w:val="95"/>
        </w:rPr>
        <w:t>&gt;</w:t>
      </w:r>
      <w:r>
        <w:rPr>
          <w:w w:val="95"/>
        </w:rPr>
        <w:t>的议案》、</w:t>
      </w:r>
      <w:r>
        <w:rPr/>
      </w:r>
    </w:p>
    <w:p>
      <w:pPr>
        <w:pStyle w:val="BodyText"/>
        <w:spacing w:line="338" w:lineRule="auto" w:before="22"/>
        <w:ind w:left="902" w:right="862"/>
        <w:jc w:val="both"/>
      </w:pPr>
      <w:r>
        <w:rPr>
          <w:spacing w:val="2"/>
          <w:w w:val="95"/>
        </w:rPr>
        <w:t>《关于修订</w:t>
      </w:r>
      <w:r>
        <w:rPr>
          <w:rFonts w:ascii="Times New Roman" w:hAnsi="Times New Roman" w:cs="Times New Roman" w:eastAsia="Times New Roman" w:hint="default"/>
          <w:spacing w:val="2"/>
          <w:w w:val="95"/>
        </w:rPr>
        <w:t>&lt;</w:t>
      </w:r>
      <w:r>
        <w:rPr>
          <w:spacing w:val="2"/>
          <w:w w:val="95"/>
        </w:rPr>
        <w:t>马鞍山鼎泰稀土新材料股份有限公司信息披露管理制度 </w:t>
      </w:r>
      <w:r>
        <w:rPr>
          <w:rFonts w:ascii="Times New Roman" w:hAnsi="Times New Roman" w:cs="Times New Roman" w:eastAsia="Times New Roman" w:hint="default"/>
          <w:spacing w:val="2"/>
          <w:w w:val="95"/>
        </w:rPr>
        <w:t>&gt;</w:t>
      </w:r>
      <w:r>
        <w:rPr>
          <w:spacing w:val="2"/>
          <w:w w:val="95"/>
        </w:rPr>
        <w:t>的议案》、《关于修</w:t>
      </w:r>
      <w:r>
        <w:rPr>
          <w:spacing w:val="90"/>
          <w:w w:val="95"/>
        </w:rPr>
        <w:t> </w:t>
      </w:r>
      <w:r>
        <w:rPr>
          <w:spacing w:val="90"/>
          <w:w w:val="95"/>
        </w:rPr>
      </w:r>
      <w:r>
        <w:rPr>
          <w:spacing w:val="2"/>
        </w:rPr>
        <w:t>订</w:t>
      </w:r>
      <w:r>
        <w:rPr>
          <w:rFonts w:ascii="Times New Roman" w:hAnsi="Times New Roman" w:cs="Times New Roman" w:eastAsia="Times New Roman" w:hint="default"/>
          <w:spacing w:val="2"/>
        </w:rPr>
        <w:t>&lt;</w:t>
      </w:r>
      <w:r>
        <w:rPr>
          <w:spacing w:val="2"/>
        </w:rPr>
        <w:t>马鞍山鼎泰稀土新材料股份有限公司关联交易内部控制及决策制度</w:t>
      </w:r>
      <w:r>
        <w:rPr>
          <w:rFonts w:ascii="Times New Roman" w:hAnsi="Times New Roman" w:cs="Times New Roman" w:eastAsia="Times New Roman" w:hint="default"/>
          <w:spacing w:val="2"/>
        </w:rPr>
        <w:t>&gt;</w:t>
      </w:r>
      <w:r>
        <w:rPr>
          <w:spacing w:val="2"/>
        </w:rPr>
        <w:t>的议案》、《关于</w:t>
      </w:r>
      <w:r>
        <w:rPr>
          <w:w w:val="99"/>
        </w:rPr>
        <w:t> </w:t>
      </w:r>
      <w:r>
        <w:rPr>
          <w:spacing w:val="3"/>
        </w:rPr>
        <w:t>修订</w:t>
      </w:r>
      <w:r>
        <w:rPr>
          <w:rFonts w:ascii="Times New Roman" w:hAnsi="Times New Roman" w:cs="Times New Roman" w:eastAsia="Times New Roman" w:hint="default"/>
          <w:spacing w:val="3"/>
        </w:rPr>
        <w:t>&lt;</w:t>
      </w:r>
      <w:r>
        <w:rPr>
          <w:spacing w:val="3"/>
        </w:rPr>
        <w:t>马鞍山鼎泰稀土新材料股份有限公司内部审计制度</w:t>
      </w:r>
      <w:r>
        <w:rPr>
          <w:spacing w:val="-84"/>
        </w:rPr>
        <w:t> </w:t>
      </w:r>
      <w:r>
        <w:rPr>
          <w:rFonts w:ascii="Times New Roman" w:hAnsi="Times New Roman" w:cs="Times New Roman" w:eastAsia="Times New Roman" w:hint="default"/>
          <w:spacing w:val="3"/>
        </w:rPr>
        <w:t>&gt;</w:t>
      </w:r>
      <w:r>
        <w:rPr>
          <w:spacing w:val="3"/>
        </w:rPr>
        <w:t>及</w:t>
      </w:r>
      <w:r>
        <w:rPr>
          <w:rFonts w:ascii="Times New Roman" w:hAnsi="Times New Roman" w:cs="Times New Roman" w:eastAsia="Times New Roman" w:hint="default"/>
          <w:spacing w:val="3"/>
        </w:rPr>
        <w:t>&lt;</w:t>
      </w:r>
      <w:r>
        <w:rPr>
          <w:spacing w:val="3"/>
        </w:rPr>
        <w:t>马鞍山鼎泰稀土新材料股份</w:t>
      </w:r>
      <w:r>
        <w:rPr>
          <w:w w:val="99"/>
        </w:rPr>
        <w:t> </w:t>
      </w:r>
      <w:r>
        <w:rPr>
          <w:spacing w:val="-1"/>
          <w:w w:val="99"/>
        </w:rPr>
        <w:t>有限公司投资者关系管理办法</w:t>
      </w:r>
      <w:r>
        <w:rPr>
          <w:rFonts w:ascii="Times New Roman" w:hAnsi="Times New Roman" w:cs="Times New Roman" w:eastAsia="Times New Roman" w:hint="default"/>
          <w:spacing w:val="-1"/>
          <w:w w:val="99"/>
        </w:rPr>
        <w:t>&gt;</w:t>
      </w:r>
      <w:r>
        <w:rPr>
          <w:spacing w:val="-1"/>
          <w:w w:val="99"/>
        </w:rPr>
        <w:t>的议案》、《关于授权公司与国元证券股份有限公司、募集</w:t>
      </w:r>
      <w:r>
        <w:rPr>
          <w:spacing w:val="-68"/>
          <w:w w:val="99"/>
        </w:rPr>
        <w:t> </w:t>
      </w:r>
      <w:r>
        <w:rPr>
          <w:spacing w:val="-68"/>
          <w:w w:val="99"/>
        </w:rPr>
      </w:r>
      <w:r>
        <w:rPr>
          <w:spacing w:val="2"/>
          <w:w w:val="95"/>
        </w:rPr>
        <w:t>资金存储银行签署</w:t>
      </w:r>
      <w:r>
        <w:rPr>
          <w:rFonts w:ascii="Times New Roman" w:hAnsi="Times New Roman" w:cs="Times New Roman" w:eastAsia="Times New Roman" w:hint="default"/>
          <w:spacing w:val="2"/>
          <w:w w:val="95"/>
        </w:rPr>
        <w:t>&lt;</w:t>
      </w:r>
      <w:r>
        <w:rPr>
          <w:spacing w:val="2"/>
          <w:w w:val="95"/>
        </w:rPr>
        <w:t>募集资金三方监管协议</w:t>
      </w:r>
      <w:r>
        <w:rPr>
          <w:rFonts w:ascii="Times New Roman" w:hAnsi="Times New Roman" w:cs="Times New Roman" w:eastAsia="Times New Roman" w:hint="default"/>
          <w:spacing w:val="2"/>
          <w:w w:val="95"/>
        </w:rPr>
        <w:t>&gt;</w:t>
      </w:r>
      <w:r>
        <w:rPr>
          <w:spacing w:val="2"/>
          <w:w w:val="95"/>
        </w:rPr>
        <w:t>的议案》、《关于用部分超募资金竞买在北京</w:t>
      </w:r>
      <w:r>
        <w:rPr>
          <w:spacing w:val="2"/>
        </w:rPr>
      </w:r>
    </w:p>
    <w:p>
      <w:pPr>
        <w:spacing w:after="0" w:line="338" w:lineRule="auto"/>
        <w:jc w:val="both"/>
        <w:sectPr>
          <w:pgSz w:w="11910" w:h="16840"/>
          <w:pgMar w:header="206" w:footer="738" w:top="940" w:bottom="920" w:left="90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0" w:lineRule="auto"/>
        <w:ind w:right="0"/>
        <w:jc w:val="left"/>
      </w:pPr>
      <w:r>
        <w:rPr>
          <w:spacing w:val="-5"/>
          <w:w w:val="99"/>
        </w:rPr>
        <w:t>产权交易所挂牌交易的中国华农资产经营公司所属中水广海钢丝绳厂整体资产的议案》、《关</w:t>
      </w:r>
      <w:r>
        <w:rPr>
          <w:spacing w:val="-70"/>
          <w:w w:val="99"/>
        </w:rPr>
        <w:t> </w:t>
      </w:r>
      <w:r>
        <w:rPr>
          <w:spacing w:val="-70"/>
          <w:w w:val="99"/>
        </w:rPr>
      </w:r>
      <w:r>
        <w:rPr>
          <w:w w:val="95"/>
        </w:rPr>
        <w:t>于用部分募集资金置换预先已投入募投项目的自筹资金的议案》、《关于用部分超募资金偿</w:t>
      </w:r>
      <w:r>
        <w:rPr>
          <w:spacing w:val="12"/>
          <w:w w:val="95"/>
        </w:rPr>
        <w:t> </w:t>
      </w:r>
      <w:r>
        <w:rPr>
          <w:spacing w:val="12"/>
          <w:w w:val="95"/>
        </w:rPr>
      </w:r>
      <w:r>
        <w:rPr>
          <w:spacing w:val="-4"/>
          <w:w w:val="99"/>
        </w:rPr>
        <w:t>还银行贷款及补充流动资金的议案》、《关于召集马鞍山鼎泰稀土新材料股份有限公司</w:t>
      </w:r>
      <w:r>
        <w:rPr>
          <w:spacing w:val="-41"/>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26"/>
          <w:w w:val="99"/>
        </w:rPr>
        <w:t> </w:t>
      </w:r>
      <w:r>
        <w:rPr>
          <w:rFonts w:ascii="Times New Roman" w:hAnsi="Times New Roman" w:cs="Times New Roman" w:eastAsia="Times New Roman" w:hint="default"/>
          <w:spacing w:val="-26"/>
          <w:w w:val="99"/>
        </w:rPr>
      </w:r>
      <w:r>
        <w:rPr/>
        <w:t>年度第一次临时股东大会的议案》。</w:t>
      </w:r>
    </w:p>
    <w:p>
      <w:pPr>
        <w:pStyle w:val="BodyText"/>
        <w:spacing w:line="336" w:lineRule="auto" w:before="36"/>
        <w:ind w:right="19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6"/>
        <w:ind w:left="542" w:right="0"/>
        <w:jc w:val="left"/>
      </w:pPr>
      <w:r>
        <w:rPr/>
        <w:t>（</w:t>
      </w:r>
      <w:r>
        <w:rPr>
          <w:rFonts w:ascii="Times New Roman" w:hAnsi="Times New Roman" w:cs="Times New Roman" w:eastAsia="Times New Roman" w:hint="default"/>
        </w:rPr>
        <w:t>2</w:t>
      </w:r>
      <w:r>
        <w:rPr/>
        <w:t>）公司于</w:t>
      </w:r>
      <w:r>
        <w:rPr>
          <w:spacing w:val="-55"/>
        </w:rPr>
        <w:t> </w:t>
      </w:r>
      <w:r>
        <w:rPr/>
        <w:t>2010</w:t>
      </w:r>
      <w:r>
        <w:rPr>
          <w:spacing w:val="-56"/>
        </w:rPr>
        <w:t> </w:t>
      </w:r>
      <w:r>
        <w:rPr/>
        <w:t>年</w:t>
      </w:r>
      <w:r>
        <w:rPr>
          <w:spacing w:val="-55"/>
        </w:rPr>
        <w:t> </w:t>
      </w:r>
      <w:r>
        <w:rPr/>
        <w:t>4</w:t>
      </w:r>
      <w:r>
        <w:rPr>
          <w:spacing w:val="-53"/>
        </w:rPr>
        <w:t> </w:t>
      </w:r>
      <w:r>
        <w:rPr/>
        <w:t>月</w:t>
      </w:r>
      <w:r>
        <w:rPr>
          <w:spacing w:val="-52"/>
        </w:rPr>
        <w:t> </w:t>
      </w:r>
      <w:r>
        <w:rPr/>
        <w:t>8</w:t>
      </w:r>
      <w:r>
        <w:rPr>
          <w:spacing w:val="-56"/>
        </w:rPr>
        <w:t> </w:t>
      </w:r>
      <w:r>
        <w:rPr/>
        <w:t>日以现场表决的方式召开了第一届董事会第十一次会议，9</w:t>
      </w:r>
    </w:p>
    <w:p>
      <w:pPr>
        <w:pStyle w:val="BodyText"/>
        <w:spacing w:line="240" w:lineRule="auto" w:before="117"/>
        <w:ind w:right="0"/>
        <w:jc w:val="left"/>
        <w:rPr>
          <w:rFonts w:ascii="Times New Roman" w:hAnsi="Times New Roman" w:cs="Times New Roman" w:eastAsia="Times New Roman" w:hint="default"/>
        </w:rPr>
      </w:pPr>
      <w:r>
        <w:rPr/>
        <w:t>名董事参加会议。会议审议通过了《关于</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年度董事会工作报告的议案》、《关于</w:t>
      </w:r>
      <w:r>
        <w:rPr>
          <w:spacing w:val="-71"/>
        </w:rPr>
        <w:t> </w:t>
      </w:r>
      <w:r>
        <w:rPr>
          <w:rFonts w:ascii="Times New Roman" w:hAnsi="Times New Roman" w:cs="Times New Roman" w:eastAsia="Times New Roman" w:hint="default"/>
        </w:rPr>
        <w:t>2009</w:t>
      </w:r>
    </w:p>
    <w:p>
      <w:pPr>
        <w:pStyle w:val="BodyText"/>
        <w:spacing w:line="240" w:lineRule="auto" w:before="117"/>
        <w:ind w:right="0"/>
        <w:jc w:val="left"/>
        <w:rPr>
          <w:rFonts w:ascii="Times New Roman" w:hAnsi="Times New Roman" w:cs="Times New Roman" w:eastAsia="Times New Roman" w:hint="default"/>
        </w:rPr>
      </w:pPr>
      <w:r>
        <w:rPr/>
        <w:t>年度总经理工作报告的议案》、《关于</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年度独立董事述职报告的议案》、《关于</w:t>
      </w:r>
      <w:r>
        <w:rPr>
          <w:spacing w:val="-71"/>
        </w:rPr>
        <w:t> </w:t>
      </w:r>
      <w:r>
        <w:rPr>
          <w:rFonts w:ascii="Times New Roman" w:hAnsi="Times New Roman" w:cs="Times New Roman" w:eastAsia="Times New Roman" w:hint="default"/>
        </w:rPr>
        <w:t>2009</w:t>
      </w:r>
    </w:p>
    <w:p>
      <w:pPr>
        <w:pStyle w:val="BodyText"/>
        <w:spacing w:line="240" w:lineRule="auto" w:before="117"/>
        <w:ind w:right="0"/>
        <w:jc w:val="left"/>
      </w:pPr>
      <w:r>
        <w:rPr>
          <w:spacing w:val="-3"/>
        </w:rPr>
        <w:t>年年度报告及其摘要的议案》、《关于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3"/>
        </w:rPr>
        <w:t>年度财务决算报告的议案》、《关于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w:t>
      </w:r>
    </w:p>
    <w:p>
      <w:pPr>
        <w:pStyle w:val="BodyText"/>
        <w:spacing w:line="240" w:lineRule="auto" w:before="119"/>
        <w:ind w:right="185"/>
        <w:jc w:val="left"/>
        <w:rPr>
          <w:rFonts w:ascii="Times New Roman" w:hAnsi="Times New Roman" w:cs="Times New Roman" w:eastAsia="Times New Roman" w:hint="default"/>
        </w:rPr>
      </w:pPr>
      <w:r>
        <w:rPr>
          <w:spacing w:val="4"/>
        </w:rPr>
        <w:t>财务预算报告的议案》、《关于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spacing w:val="4"/>
        </w:rPr>
        <w:t>年度利润分配方案的议案》、《关于经审计的</w:t>
      </w:r>
      <w:r>
        <w:rPr>
          <w:spacing w:val="-50"/>
        </w:rPr>
        <w:t> </w:t>
      </w:r>
      <w:r>
        <w:rPr>
          <w:rFonts w:ascii="Times New Roman" w:hAnsi="Times New Roman" w:cs="Times New Roman" w:eastAsia="Times New Roman" w:hint="default"/>
        </w:rPr>
        <w:t>2009</w:t>
      </w:r>
    </w:p>
    <w:p>
      <w:pPr>
        <w:pStyle w:val="BodyText"/>
        <w:spacing w:line="340" w:lineRule="auto" w:before="117"/>
        <w:ind w:right="197"/>
        <w:jc w:val="both"/>
      </w:pPr>
      <w:r>
        <w:rPr/>
        <w:t>年度财务会计报告的议案》、《关于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年度内部控制自我评价报告的议案》、《关于修</w:t>
      </w:r>
      <w:r>
        <w:rPr>
          <w:w w:val="99"/>
        </w:rPr>
        <w:t> </w:t>
      </w:r>
      <w:r>
        <w:rPr>
          <w:w w:val="95"/>
        </w:rPr>
        <w:t>订</w:t>
      </w:r>
      <w:r>
        <w:rPr>
          <w:rFonts w:ascii="Times New Roman" w:hAnsi="Times New Roman" w:cs="Times New Roman" w:eastAsia="Times New Roman" w:hint="default"/>
          <w:w w:val="95"/>
        </w:rPr>
        <w:t>&lt;</w:t>
      </w:r>
      <w:r>
        <w:rPr>
          <w:w w:val="95"/>
        </w:rPr>
        <w:t>马鞍山鼎泰稀土新材料股份有限公司章程</w:t>
      </w:r>
      <w:r>
        <w:rPr>
          <w:rFonts w:ascii="Times New Roman" w:hAnsi="Times New Roman" w:cs="Times New Roman" w:eastAsia="Times New Roman" w:hint="default"/>
          <w:w w:val="95"/>
        </w:rPr>
        <w:t>&gt;</w:t>
      </w:r>
      <w:r>
        <w:rPr>
          <w:w w:val="95"/>
        </w:rPr>
        <w:t>的议案》、《关于修订</w:t>
      </w:r>
      <w:r>
        <w:rPr>
          <w:rFonts w:ascii="Times New Roman" w:hAnsi="Times New Roman" w:cs="Times New Roman" w:eastAsia="Times New Roman" w:hint="default"/>
          <w:w w:val="95"/>
        </w:rPr>
        <w:t>&lt;</w:t>
      </w:r>
      <w:r>
        <w:rPr>
          <w:w w:val="95"/>
        </w:rPr>
        <w:t>马鞍山鼎泰稀土新材</w:t>
      </w:r>
      <w:r>
        <w:rPr>
          <w:spacing w:val="71"/>
          <w:w w:val="95"/>
        </w:rPr>
        <w:t> </w:t>
      </w:r>
      <w:r>
        <w:rPr>
          <w:spacing w:val="71"/>
          <w:w w:val="95"/>
        </w:rPr>
      </w:r>
      <w:r>
        <w:rPr>
          <w:spacing w:val="2"/>
        </w:rPr>
        <w:t>料股份有限公司累积投票制实施细则</w:t>
      </w:r>
      <w:r>
        <w:rPr>
          <w:rFonts w:ascii="Times New Roman" w:hAnsi="Times New Roman" w:cs="Times New Roman" w:eastAsia="Times New Roman" w:hint="default"/>
          <w:spacing w:val="2"/>
        </w:rPr>
        <w:t>&gt;</w:t>
      </w:r>
      <w:r>
        <w:rPr>
          <w:spacing w:val="2"/>
        </w:rPr>
        <w:t>的议案》、《关于修订</w:t>
      </w:r>
      <w:r>
        <w:rPr>
          <w:rFonts w:ascii="Times New Roman" w:hAnsi="Times New Roman" w:cs="Times New Roman" w:eastAsia="Times New Roman" w:hint="default"/>
          <w:spacing w:val="2"/>
        </w:rPr>
        <w:t>&lt;</w:t>
      </w:r>
      <w:r>
        <w:rPr>
          <w:spacing w:val="2"/>
        </w:rPr>
        <w:t>马鞍山鼎泰稀土新材料股份</w:t>
      </w:r>
      <w:r>
        <w:rPr>
          <w:w w:val="99"/>
        </w:rPr>
        <w:t> </w:t>
      </w:r>
      <w:r>
        <w:rPr>
          <w:spacing w:val="2"/>
        </w:rPr>
        <w:t>有限公司对外投资管理制度</w:t>
      </w:r>
      <w:r>
        <w:rPr>
          <w:rFonts w:ascii="Times New Roman" w:hAnsi="Times New Roman" w:cs="Times New Roman" w:eastAsia="Times New Roman" w:hint="default"/>
          <w:spacing w:val="2"/>
        </w:rPr>
        <w:t>&gt;</w:t>
      </w:r>
      <w:r>
        <w:rPr>
          <w:spacing w:val="2"/>
        </w:rPr>
        <w:t>的议案》、《关于制定</w:t>
      </w:r>
      <w:r>
        <w:rPr>
          <w:rFonts w:ascii="Times New Roman" w:hAnsi="Times New Roman" w:cs="Times New Roman" w:eastAsia="Times New Roman" w:hint="default"/>
          <w:spacing w:val="2"/>
        </w:rPr>
        <w:t>&lt;</w:t>
      </w:r>
      <w:r>
        <w:rPr>
          <w:spacing w:val="2"/>
        </w:rPr>
        <w:t>马鞍山鼎泰稀土新材料股份有限公司</w:t>
      </w:r>
      <w:r>
        <w:rPr>
          <w:w w:val="99"/>
        </w:rPr>
        <w:t> </w:t>
      </w:r>
      <w:r>
        <w:rPr>
          <w:spacing w:val="2"/>
          <w:w w:val="95"/>
        </w:rPr>
        <w:t>对外担保管理制度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马鞍山鼎泰稀土新材料股份有限公司董事、监</w:t>
      </w:r>
      <w:r>
        <w:rPr>
          <w:spacing w:val="77"/>
          <w:w w:val="95"/>
        </w:rPr>
        <w:t> </w:t>
      </w:r>
      <w:r>
        <w:rPr>
          <w:spacing w:val="77"/>
          <w:w w:val="95"/>
        </w:rPr>
      </w:r>
      <w:r>
        <w:rPr>
          <w:spacing w:val="2"/>
        </w:rPr>
        <w:t>事与高级管理人员薪酬管理制度</w:t>
      </w:r>
      <w:r>
        <w:rPr>
          <w:rFonts w:ascii="Times New Roman" w:hAnsi="Times New Roman" w:cs="Times New Roman" w:eastAsia="Times New Roman" w:hint="default"/>
          <w:spacing w:val="2"/>
        </w:rPr>
        <w:t>&gt;</w:t>
      </w:r>
      <w:r>
        <w:rPr>
          <w:spacing w:val="2"/>
        </w:rPr>
        <w:t>的议案》、《关于修订</w:t>
      </w:r>
      <w:r>
        <w:rPr>
          <w:rFonts w:ascii="Times New Roman" w:hAnsi="Times New Roman" w:cs="Times New Roman" w:eastAsia="Times New Roman" w:hint="default"/>
          <w:spacing w:val="2"/>
        </w:rPr>
        <w:t>&lt;</w:t>
      </w:r>
      <w:r>
        <w:rPr>
          <w:spacing w:val="2"/>
        </w:rPr>
        <w:t>马鞍山鼎泰稀土新材料股份有限</w:t>
      </w:r>
      <w:r>
        <w:rPr>
          <w:w w:val="99"/>
        </w:rPr>
        <w:t> </w:t>
      </w:r>
      <w:r>
        <w:rPr>
          <w:spacing w:val="2"/>
        </w:rPr>
        <w:t>公司董事会专门委员会实施细则</w:t>
      </w:r>
      <w:r>
        <w:rPr>
          <w:rFonts w:ascii="Times New Roman" w:hAnsi="Times New Roman" w:cs="Times New Roman" w:eastAsia="Times New Roman" w:hint="default"/>
          <w:spacing w:val="2"/>
        </w:rPr>
        <w:t>&gt;</w:t>
      </w:r>
      <w:r>
        <w:rPr>
          <w:spacing w:val="2"/>
        </w:rPr>
        <w:t>的议案》、《关于修订</w:t>
      </w:r>
      <w:r>
        <w:rPr>
          <w:rFonts w:ascii="Times New Roman" w:hAnsi="Times New Roman" w:cs="Times New Roman" w:eastAsia="Times New Roman" w:hint="default"/>
          <w:spacing w:val="2"/>
        </w:rPr>
        <w:t>&lt;</w:t>
      </w:r>
      <w:r>
        <w:rPr>
          <w:spacing w:val="2"/>
        </w:rPr>
        <w:t>马鞍山鼎泰稀土新材料股份有限</w:t>
      </w:r>
      <w:r>
        <w:rPr>
          <w:w w:val="99"/>
        </w:rPr>
        <w:t> </w:t>
      </w:r>
      <w:r>
        <w:rPr>
          <w:spacing w:val="2"/>
          <w:w w:val="95"/>
        </w:rPr>
        <w:t>公司总经理工作细则</w:t>
      </w:r>
      <w:r>
        <w:rPr>
          <w:rFonts w:ascii="Times New Roman" w:hAnsi="Times New Roman" w:cs="Times New Roman" w:eastAsia="Times New Roman" w:hint="default"/>
          <w:spacing w:val="2"/>
          <w:w w:val="95"/>
        </w:rPr>
        <w:t>&gt;</w:t>
      </w:r>
      <w:r>
        <w:rPr>
          <w:spacing w:val="2"/>
          <w:w w:val="95"/>
        </w:rPr>
        <w:t>的议案》、《关于修订</w:t>
      </w:r>
      <w:r>
        <w:rPr>
          <w:rFonts w:ascii="Times New Roman" w:hAnsi="Times New Roman" w:cs="Times New Roman" w:eastAsia="Times New Roman" w:hint="default"/>
          <w:spacing w:val="2"/>
          <w:w w:val="95"/>
        </w:rPr>
        <w:t>&lt;</w:t>
      </w:r>
      <w:r>
        <w:rPr>
          <w:spacing w:val="2"/>
          <w:w w:val="95"/>
        </w:rPr>
        <w:t>马鞍山鼎泰稀土新材料股份有限公司董事会</w:t>
      </w:r>
      <w:r>
        <w:rPr>
          <w:spacing w:val="77"/>
          <w:w w:val="95"/>
        </w:rPr>
        <w:t> </w:t>
      </w:r>
      <w:r>
        <w:rPr>
          <w:spacing w:val="77"/>
          <w:w w:val="95"/>
        </w:rPr>
      </w:r>
      <w:r>
        <w:rPr>
          <w:spacing w:val="2"/>
          <w:w w:val="95"/>
        </w:rPr>
        <w:t>秘书工作制度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马鞍山鼎泰稀土新材料股份有限公司境内期货套期</w:t>
      </w:r>
      <w:r>
        <w:rPr>
          <w:spacing w:val="74"/>
          <w:w w:val="95"/>
        </w:rPr>
        <w:t> </w:t>
      </w:r>
      <w:r>
        <w:rPr>
          <w:spacing w:val="74"/>
          <w:w w:val="95"/>
        </w:rPr>
      </w:r>
      <w:r>
        <w:rPr>
          <w:spacing w:val="2"/>
          <w:w w:val="95"/>
        </w:rPr>
        <w:t>保值制度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马鞍山鼎泰稀土新材料股份有限公司董事、监事、高级</w:t>
      </w:r>
      <w:r>
        <w:rPr>
          <w:spacing w:val="72"/>
          <w:w w:val="95"/>
        </w:rPr>
        <w:t> </w:t>
      </w:r>
      <w:r>
        <w:rPr>
          <w:spacing w:val="72"/>
          <w:w w:val="95"/>
        </w:rPr>
      </w:r>
      <w:r>
        <w:rPr>
          <w:spacing w:val="2"/>
        </w:rPr>
        <w:t>管理人员持有和买卖本公司股票管理制度</w:t>
      </w:r>
      <w:r>
        <w:rPr>
          <w:rFonts w:ascii="Times New Roman" w:hAnsi="Times New Roman" w:cs="Times New Roman" w:eastAsia="Times New Roman" w:hint="default"/>
          <w:spacing w:val="2"/>
        </w:rPr>
        <w:t>&gt;</w:t>
      </w:r>
      <w:r>
        <w:rPr>
          <w:spacing w:val="2"/>
        </w:rPr>
        <w:t>的议案》、《关于制定</w:t>
      </w:r>
      <w:r>
        <w:rPr>
          <w:rFonts w:ascii="Times New Roman" w:hAnsi="Times New Roman" w:cs="Times New Roman" w:eastAsia="Times New Roman" w:hint="default"/>
          <w:spacing w:val="2"/>
        </w:rPr>
        <w:t>&lt;</w:t>
      </w:r>
      <w:r>
        <w:rPr>
          <w:spacing w:val="2"/>
        </w:rPr>
        <w:t>马鞍山鼎泰稀土新材料</w:t>
      </w:r>
      <w:r>
        <w:rPr>
          <w:w w:val="99"/>
        </w:rPr>
        <w:t> </w:t>
      </w:r>
      <w:r>
        <w:rPr>
          <w:spacing w:val="2"/>
        </w:rPr>
        <w:t>股份有限公司内幕信息知情人管理制度</w:t>
      </w:r>
      <w:r>
        <w:rPr>
          <w:rFonts w:ascii="Times New Roman" w:hAnsi="Times New Roman" w:cs="Times New Roman" w:eastAsia="Times New Roman" w:hint="default"/>
          <w:spacing w:val="2"/>
        </w:rPr>
        <w:t>&gt;</w:t>
      </w:r>
      <w:r>
        <w:rPr>
          <w:spacing w:val="2"/>
        </w:rPr>
        <w:t>的议案》、《关于制定</w:t>
      </w:r>
      <w:r>
        <w:rPr>
          <w:rFonts w:ascii="Times New Roman" w:hAnsi="Times New Roman" w:cs="Times New Roman" w:eastAsia="Times New Roman" w:hint="default"/>
          <w:spacing w:val="2"/>
        </w:rPr>
        <w:t>&lt;</w:t>
      </w:r>
      <w:r>
        <w:rPr>
          <w:spacing w:val="2"/>
        </w:rPr>
        <w:t>马鞍山鼎泰稀土新材料股</w:t>
      </w:r>
      <w:r>
        <w:rPr>
          <w:w w:val="99"/>
        </w:rPr>
        <w:t> </w:t>
      </w:r>
      <w:r>
        <w:rPr>
          <w:spacing w:val="2"/>
        </w:rPr>
        <w:t>份有限公司重大信息内部报告制度</w:t>
      </w:r>
      <w:r>
        <w:rPr>
          <w:rFonts w:ascii="Times New Roman" w:hAnsi="Times New Roman" w:cs="Times New Roman" w:eastAsia="Times New Roman" w:hint="default"/>
          <w:spacing w:val="2"/>
        </w:rPr>
        <w:t>&gt;</w:t>
      </w:r>
      <w:r>
        <w:rPr>
          <w:spacing w:val="2"/>
        </w:rPr>
        <w:t>的议案》、《关于制定</w:t>
      </w:r>
      <w:r>
        <w:rPr>
          <w:rFonts w:ascii="Times New Roman" w:hAnsi="Times New Roman" w:cs="Times New Roman" w:eastAsia="Times New Roman" w:hint="default"/>
          <w:spacing w:val="2"/>
        </w:rPr>
        <w:t>&lt;</w:t>
      </w:r>
      <w:r>
        <w:rPr>
          <w:spacing w:val="2"/>
        </w:rPr>
        <w:t>马鞍山鼎泰稀土新材料股份有</w:t>
      </w:r>
      <w:r>
        <w:rPr>
          <w:w w:val="99"/>
        </w:rPr>
        <w:t> </w:t>
      </w:r>
      <w:r>
        <w:rPr>
          <w:spacing w:val="2"/>
          <w:w w:val="95"/>
        </w:rPr>
        <w:t>限公司突发事件处理制度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马鞍山鼎泰稀土新材料股份有限公司内</w:t>
      </w:r>
      <w:r>
        <w:rPr>
          <w:spacing w:val="79"/>
          <w:w w:val="95"/>
        </w:rPr>
        <w:t> </w:t>
      </w:r>
      <w:r>
        <w:rPr>
          <w:spacing w:val="79"/>
          <w:w w:val="95"/>
        </w:rPr>
      </w:r>
      <w:r>
        <w:rPr>
          <w:spacing w:val="2"/>
          <w:w w:val="95"/>
        </w:rPr>
        <w:t>部问责制度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马鞍山鼎泰稀土新材料股份有限公司年报信息披露重</w:t>
      </w:r>
      <w:r>
        <w:rPr>
          <w:spacing w:val="75"/>
          <w:w w:val="95"/>
        </w:rPr>
        <w:t> </w:t>
      </w:r>
      <w:r>
        <w:rPr>
          <w:spacing w:val="75"/>
          <w:w w:val="95"/>
        </w:rPr>
      </w:r>
      <w:r>
        <w:rPr>
          <w:spacing w:val="2"/>
          <w:w w:val="95"/>
        </w:rPr>
        <w:t>大差错责任追究制度</w:t>
      </w:r>
      <w:r>
        <w:rPr>
          <w:rFonts w:ascii="Times New Roman" w:hAnsi="Times New Roman" w:cs="Times New Roman" w:eastAsia="Times New Roman" w:hint="default"/>
          <w:spacing w:val="2"/>
          <w:w w:val="95"/>
        </w:rPr>
        <w:t>&gt;</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马鞍山鼎泰稀土新材料股份有限公司董事会</w:t>
      </w:r>
      <w:r>
        <w:rPr>
          <w:spacing w:val="77"/>
          <w:w w:val="95"/>
        </w:rPr>
        <w:t> </w:t>
      </w:r>
      <w:r>
        <w:rPr>
          <w:spacing w:val="77"/>
          <w:w w:val="95"/>
        </w:rPr>
      </w:r>
      <w:r>
        <w:rPr>
          <w:w w:val="95"/>
        </w:rPr>
        <w:t>审计委员会年报工作规程</w:t>
      </w:r>
      <w:r>
        <w:rPr>
          <w:rFonts w:ascii="Times New Roman" w:hAnsi="Times New Roman" w:cs="Times New Roman" w:eastAsia="Times New Roman" w:hint="default"/>
          <w:w w:val="95"/>
        </w:rPr>
        <w:t>&gt;</w:t>
      </w:r>
      <w:r>
        <w:rPr>
          <w:w w:val="95"/>
        </w:rPr>
        <w:t>的议案》、《关于开展境内期货套期保值业务的议案》、《关于</w:t>
      </w:r>
      <w:r>
        <w:rPr>
          <w:spacing w:val="3"/>
          <w:w w:val="95"/>
        </w:rPr>
        <w:t> </w:t>
      </w:r>
      <w:r>
        <w:rPr>
          <w:spacing w:val="3"/>
          <w:w w:val="95"/>
        </w:rPr>
      </w:r>
      <w:r>
        <w:rPr>
          <w:spacing w:val="-2"/>
          <w:w w:val="95"/>
        </w:rPr>
        <w:t>童德胜先生辞去公司第一届董事会董事职务的议案》、《关于提名增补公司董事陈炬先生为</w:t>
      </w:r>
      <w:r>
        <w:rPr>
          <w:spacing w:val="93"/>
          <w:w w:val="95"/>
        </w:rPr>
        <w:t> </w:t>
      </w:r>
      <w:r>
        <w:rPr>
          <w:spacing w:val="93"/>
          <w:w w:val="95"/>
        </w:rPr>
      </w:r>
      <w:r>
        <w:rPr>
          <w:spacing w:val="-2"/>
          <w:w w:val="95"/>
        </w:rPr>
        <w:t>公司第一届董事会审计委员会委员候选人的议案》、《关于提名司徒伟廉先生为公司新任非</w:t>
      </w:r>
      <w:r>
        <w:rPr>
          <w:spacing w:val="93"/>
          <w:w w:val="95"/>
        </w:rPr>
        <w:t> </w:t>
      </w:r>
      <w:r>
        <w:rPr>
          <w:spacing w:val="93"/>
          <w:w w:val="95"/>
        </w:rPr>
      </w:r>
      <w:r>
        <w:rPr>
          <w:spacing w:val="-2"/>
          <w:w w:val="95"/>
        </w:rPr>
        <w:t>独立董事的议案》、《关于设立广海分公司的议案》、《关于变更部分募集资金投资项目实</w:t>
      </w:r>
      <w:r>
        <w:rPr>
          <w:spacing w:val="92"/>
          <w:w w:val="95"/>
        </w:rPr>
        <w:t> </w:t>
      </w:r>
      <w:r>
        <w:rPr>
          <w:spacing w:val="92"/>
          <w:w w:val="95"/>
        </w:rPr>
      </w:r>
      <w:r>
        <w:rPr/>
        <w:t>施地点的议案》、《关于召集马鞍山鼎泰稀土新材料股份有限公司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年年度股东大会的</w:t>
      </w:r>
      <w:r>
        <w:rPr>
          <w:w w:val="99"/>
        </w:rPr>
        <w:t> </w:t>
      </w:r>
      <w:r>
        <w:rPr/>
        <w:t>议案》。</w:t>
      </w:r>
    </w:p>
    <w:p>
      <w:pPr>
        <w:pStyle w:val="BodyText"/>
        <w:spacing w:line="240" w:lineRule="auto" w:before="47"/>
        <w:ind w:left="542" w:right="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5"/>
        </w:rPr>
        <w:t>日的《证券时报》、《中国证券报》和巨潮资</w:t>
      </w:r>
    </w:p>
    <w:p>
      <w:pPr>
        <w:spacing w:after="0" w:line="240" w:lineRule="auto"/>
        <w:jc w:val="left"/>
        <w:sectPr>
          <w:pgSz w:w="11910" w:h="16840"/>
          <w:pgMar w:header="206" w:footer="738" w:top="940" w:bottom="920" w:left="168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115"/>
        <w:ind w:left="542" w:right="0"/>
        <w:jc w:val="left"/>
      </w:pPr>
      <w:r>
        <w:rPr/>
        <w:t>（</w:t>
      </w:r>
      <w:r>
        <w:rPr>
          <w:rFonts w:ascii="Times New Roman" w:hAnsi="Times New Roman" w:cs="Times New Roman" w:eastAsia="Times New Roman" w:hint="default"/>
        </w:rPr>
        <w:t>3</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日以通讯表决的方式召开了第一届董事会第十二次会议，</w:t>
      </w:r>
    </w:p>
    <w:p>
      <w:pPr>
        <w:pStyle w:val="BodyText"/>
        <w:spacing w:line="336" w:lineRule="auto" w:before="119"/>
        <w:ind w:right="122"/>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2"/>
        </w:rPr>
        <w:t>名董事参与表决。会议审议通过了《马鞍山鼎泰稀土新材料股份有限公司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年第一季</w:t>
      </w:r>
      <w:r>
        <w:rPr>
          <w:w w:val="99"/>
        </w:rPr>
        <w:t> </w:t>
      </w:r>
      <w:r>
        <w:rPr/>
        <w:t>度报告》。</w:t>
      </w:r>
    </w:p>
    <w:p>
      <w:pPr>
        <w:pStyle w:val="BodyText"/>
        <w:spacing w:line="240" w:lineRule="auto" w:before="49"/>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年第一季度报告》刊登在</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日的《证券时报》、《中国证券报》和巨潮资讯网</w:t>
      </w:r>
      <w:r>
        <w:rPr>
          <w:spacing w:val="-45"/>
        </w:rPr>
        <w:t> </w:t>
      </w:r>
      <w:hyperlink r:id="rId10">
        <w:r>
          <w:rPr>
            <w:rFonts w:ascii="Times New Roman" w:hAnsi="Times New Roman" w:cs="Times New Roman" w:eastAsia="Times New Roman" w:hint="default"/>
          </w:rPr>
          <w:t>http://www.cninfo.com.cn</w:t>
        </w:r>
      </w:hyperlink>
    </w:p>
    <w:p>
      <w:pPr>
        <w:pStyle w:val="BodyText"/>
        <w:spacing w:line="240" w:lineRule="auto" w:before="119"/>
        <w:ind w:right="0"/>
        <w:jc w:val="both"/>
      </w:pPr>
      <w:r>
        <w:rPr/>
        <w:t>上。</w:t>
      </w:r>
    </w:p>
    <w:p>
      <w:pPr>
        <w:pStyle w:val="BodyText"/>
        <w:spacing w:line="240" w:lineRule="auto" w:before="133"/>
        <w:ind w:left="542" w:right="0"/>
        <w:jc w:val="left"/>
      </w:pPr>
      <w:r>
        <w:rPr/>
        <w:t>（</w:t>
      </w:r>
      <w:r>
        <w:rPr>
          <w:rFonts w:ascii="Times New Roman" w:hAnsi="Times New Roman" w:cs="Times New Roman" w:eastAsia="Times New Roman" w:hint="default"/>
        </w:rPr>
        <w:t>4</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日以现场表决的方式召开了第一届董事会第十三次会议，</w:t>
      </w:r>
    </w:p>
    <w:p>
      <w:pPr>
        <w:pStyle w:val="BodyText"/>
        <w:spacing w:line="338" w:lineRule="auto" w:before="117"/>
        <w:ind w:right="118"/>
        <w:jc w:val="both"/>
      </w:pPr>
      <w:r>
        <w:rPr>
          <w:rFonts w:ascii="Times New Roman" w:hAnsi="Times New Roman" w:cs="Times New Roman" w:eastAsia="Times New Roman" w:hint="default"/>
          <w:w w:val="95"/>
        </w:rPr>
        <w:t>9 </w:t>
      </w:r>
      <w:r>
        <w:rPr>
          <w:w w:val="95"/>
        </w:rPr>
        <w:t>名董事参加会议。会议审议通过了《关于马鞍山鼎泰稀土新材料股份有限公司专项治理自</w:t>
      </w:r>
      <w:r>
        <w:rPr>
          <w:spacing w:val="11"/>
          <w:w w:val="95"/>
        </w:rPr>
        <w:t> </w:t>
      </w:r>
      <w:r>
        <w:rPr>
          <w:spacing w:val="11"/>
          <w:w w:val="95"/>
        </w:rPr>
      </w:r>
      <w:r>
        <w:rPr>
          <w:w w:val="95"/>
        </w:rPr>
        <w:t>查报告和整改计划的议案》、《关于制定</w:t>
      </w:r>
      <w:r>
        <w:rPr>
          <w:rFonts w:ascii="Times New Roman" w:hAnsi="Times New Roman" w:cs="Times New Roman" w:eastAsia="Times New Roman" w:hint="default"/>
          <w:w w:val="95"/>
        </w:rPr>
        <w:t>&lt;</w:t>
      </w:r>
      <w:r>
        <w:rPr>
          <w:w w:val="95"/>
        </w:rPr>
        <w:t>马鞍山鼎泰稀土新材料股份有限公司分、子公司 管理制度</w:t>
      </w:r>
      <w:r>
        <w:rPr>
          <w:rFonts w:ascii="Times New Roman" w:hAnsi="Times New Roman" w:cs="Times New Roman" w:eastAsia="Times New Roman" w:hint="default"/>
          <w:w w:val="95"/>
        </w:rPr>
        <w:t>&gt;</w:t>
      </w:r>
      <w:r>
        <w:rPr>
          <w:w w:val="95"/>
        </w:rPr>
        <w:t>的议案》、《关于制定</w:t>
      </w:r>
      <w:r>
        <w:rPr>
          <w:rFonts w:ascii="Times New Roman" w:hAnsi="Times New Roman" w:cs="Times New Roman" w:eastAsia="Times New Roman" w:hint="default"/>
          <w:w w:val="95"/>
        </w:rPr>
        <w:t>&lt;</w:t>
      </w:r>
      <w:r>
        <w:rPr>
          <w:w w:val="95"/>
        </w:rPr>
        <w:t>马鞍山鼎泰稀土新材料股份有限公司印章使用管理制度</w:t>
      </w:r>
      <w:r>
        <w:rPr>
          <w:rFonts w:ascii="Times New Roman" w:hAnsi="Times New Roman" w:cs="Times New Roman" w:eastAsia="Times New Roman" w:hint="default"/>
          <w:w w:val="95"/>
        </w:rPr>
        <w:t>&gt;</w:t>
      </w:r>
      <w:r>
        <w:rPr>
          <w:rFonts w:ascii="Times New Roman" w:hAnsi="Times New Roman" w:cs="Times New Roman" w:eastAsia="Times New Roman" w:hint="default"/>
          <w:spacing w:val="23"/>
          <w:w w:val="95"/>
        </w:rPr>
        <w:t> </w:t>
      </w:r>
      <w:r>
        <w:rPr>
          <w:spacing w:val="2"/>
          <w:w w:val="95"/>
        </w:rPr>
        <w:t>的议案》、《关于制定</w:t>
      </w:r>
      <w:r>
        <w:rPr>
          <w:rFonts w:ascii="Times New Roman" w:hAnsi="Times New Roman" w:cs="Times New Roman" w:eastAsia="Times New Roman" w:hint="default"/>
          <w:spacing w:val="2"/>
          <w:w w:val="95"/>
        </w:rPr>
        <w:t>&lt;</w:t>
      </w:r>
      <w:r>
        <w:rPr>
          <w:spacing w:val="2"/>
          <w:w w:val="95"/>
        </w:rPr>
        <w:t>马鞍山鼎泰稀土新材料股份有限公司外部信息使用人管理制度 </w:t>
      </w:r>
      <w:r>
        <w:rPr>
          <w:rFonts w:ascii="Times New Roman" w:hAnsi="Times New Roman" w:cs="Times New Roman" w:eastAsia="Times New Roman" w:hint="default"/>
          <w:w w:val="95"/>
        </w:rPr>
        <w:t>&gt;</w:t>
      </w:r>
      <w:r>
        <w:rPr>
          <w:w w:val="95"/>
        </w:rPr>
        <w:t>的</w:t>
      </w:r>
      <w:r>
        <w:rPr>
          <w:spacing w:val="98"/>
          <w:w w:val="95"/>
        </w:rPr>
        <w:t> </w:t>
      </w:r>
      <w:r>
        <w:rPr>
          <w:spacing w:val="-5"/>
          <w:w w:val="98"/>
        </w:rPr>
        <w:t>议案》、《关于制定</w:t>
      </w:r>
      <w:r>
        <w:rPr>
          <w:rFonts w:ascii="Times New Roman" w:hAnsi="Times New Roman" w:cs="Times New Roman" w:eastAsia="Times New Roman" w:hint="default"/>
          <w:spacing w:val="-5"/>
          <w:w w:val="98"/>
        </w:rPr>
        <w:t>&lt;</w:t>
      </w:r>
      <w:r>
        <w:rPr>
          <w:spacing w:val="-5"/>
          <w:w w:val="98"/>
        </w:rPr>
        <w:t>马鞍山鼎泰稀土新材料股份有限公司重大资金往来控制制度</w:t>
      </w:r>
      <w:r>
        <w:rPr>
          <w:rFonts w:ascii="Times New Roman" w:hAnsi="Times New Roman" w:cs="Times New Roman" w:eastAsia="Times New Roman" w:hint="default"/>
          <w:spacing w:val="-5"/>
          <w:w w:val="98"/>
        </w:rPr>
        <w:t>&gt;</w:t>
      </w:r>
      <w:r>
        <w:rPr>
          <w:spacing w:val="-5"/>
          <w:w w:val="98"/>
        </w:rPr>
        <w:t>的议案》、</w:t>
      </w:r>
      <w:r>
        <w:rPr>
          <w:spacing w:val="-5"/>
        </w:rPr>
      </w:r>
    </w:p>
    <w:p>
      <w:pPr>
        <w:pStyle w:val="BodyText"/>
        <w:spacing w:line="336" w:lineRule="auto" w:before="22"/>
        <w:ind w:left="542" w:right="119" w:hanging="420"/>
        <w:jc w:val="left"/>
      </w:pPr>
      <w:r>
        <w:rPr/>
        <w:t>《关于修订</w:t>
      </w:r>
      <w:r>
        <w:rPr>
          <w:rFonts w:ascii="Times New Roman" w:hAnsi="Times New Roman" w:cs="Times New Roman" w:eastAsia="Times New Roman" w:hint="default"/>
        </w:rPr>
        <w:t>&lt;</w:t>
      </w:r>
      <w:r>
        <w:rPr/>
        <w:t>马鞍山鼎泰稀土新材料股份有限公司财务管理制度</w:t>
      </w:r>
      <w:r>
        <w:rPr>
          <w:rFonts w:ascii="Times New Roman" w:hAnsi="Times New Roman" w:cs="Times New Roman" w:eastAsia="Times New Roman" w:hint="default"/>
        </w:rPr>
        <w:t>&gt;</w:t>
      </w:r>
      <w:r>
        <w:rPr/>
        <w:t>的议案》。</w:t>
      </w:r>
      <w:r>
        <w:rPr>
          <w:w w:val="99"/>
        </w:rPr>
        <w:t> </w:t>
      </w: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5"/>
        </w:rPr>
        <w:t>日的《证券时报》、《中国证券报》和巨潮资</w:t>
      </w:r>
    </w:p>
    <w:p>
      <w:pPr>
        <w:pStyle w:val="BodyText"/>
        <w:spacing w:line="240" w:lineRule="auto" w:before="24"/>
        <w:ind w:right="0"/>
        <w:jc w:val="both"/>
      </w:pP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119"/>
        <w:ind w:left="542" w:right="0"/>
        <w:jc w:val="left"/>
      </w:pPr>
      <w:r>
        <w:rPr/>
        <w:t>（</w:t>
      </w:r>
      <w:r>
        <w:rPr>
          <w:rFonts w:ascii="Times New Roman" w:hAnsi="Times New Roman" w:cs="Times New Roman" w:eastAsia="Times New Roman" w:hint="default"/>
        </w:rPr>
        <w:t>5</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日以现场表决的方式召开了第一届董事会第十四次会议，</w:t>
      </w:r>
    </w:p>
    <w:p>
      <w:pPr>
        <w:pStyle w:val="BodyText"/>
        <w:spacing w:line="336" w:lineRule="auto" w:before="117"/>
        <w:ind w:right="122"/>
        <w:jc w:val="both"/>
      </w:pPr>
      <w:r>
        <w:rPr>
          <w:rFonts w:ascii="Times New Roman" w:hAnsi="Times New Roman" w:cs="Times New Roman" w:eastAsia="Times New Roman" w:hint="default"/>
          <w:w w:val="95"/>
        </w:rPr>
        <w:t>9 </w:t>
      </w:r>
      <w:r>
        <w:rPr>
          <w:w w:val="95"/>
        </w:rPr>
        <w:t>名董事参加会议。会议审议通过了《关于用部分募集资金置换预先已投入募投项目的自筹</w:t>
      </w:r>
      <w:r>
        <w:rPr>
          <w:spacing w:val="-39"/>
          <w:w w:val="95"/>
        </w:rPr>
        <w:t> </w:t>
      </w:r>
      <w:r>
        <w:rPr>
          <w:spacing w:val="-39"/>
          <w:w w:val="95"/>
        </w:rPr>
      </w:r>
      <w:r>
        <w:rPr/>
        <w:t>资金的议案》、《关于用部分超募资金偿还银行贷款及补充流动资金的议案》。</w:t>
      </w:r>
    </w:p>
    <w:p>
      <w:pPr>
        <w:pStyle w:val="BodyText"/>
        <w:spacing w:line="338" w:lineRule="auto" w:before="49"/>
        <w:ind w:right="11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2"/>
        <w:ind w:left="542" w:right="0"/>
        <w:jc w:val="left"/>
      </w:pPr>
      <w:r>
        <w:rPr/>
        <w:t>（</w:t>
      </w:r>
      <w:r>
        <w:rPr>
          <w:rFonts w:ascii="Times New Roman" w:hAnsi="Times New Roman" w:cs="Times New Roman" w:eastAsia="Times New Roman" w:hint="default"/>
        </w:rPr>
        <w:t>6</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日以现场表决的方式召开了第一届董事会第十五次会议，</w:t>
      </w:r>
    </w:p>
    <w:p>
      <w:pPr>
        <w:pStyle w:val="BodyText"/>
        <w:spacing w:line="343" w:lineRule="auto" w:before="117"/>
        <w:ind w:right="121"/>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4"/>
        </w:rPr>
        <w:t>名董事参加会议。会议审议通过了《关于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7"/>
        </w:rPr>
        <w:t>年半年度报告及摘要的议案》、《关于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w w:val="99"/>
        </w:rPr>
        <w:t> </w:t>
      </w:r>
      <w:r>
        <w:rPr>
          <w:w w:val="95"/>
        </w:rPr>
        <w:t>年半年度利润分配预案的议案》、《关于修订</w:t>
      </w:r>
      <w:r>
        <w:rPr>
          <w:rFonts w:ascii="Times New Roman" w:hAnsi="Times New Roman" w:cs="Times New Roman" w:eastAsia="Times New Roman" w:hint="default"/>
          <w:w w:val="95"/>
        </w:rPr>
        <w:t>&lt;</w:t>
      </w:r>
      <w:r>
        <w:rPr>
          <w:w w:val="95"/>
        </w:rPr>
        <w:t>马鞍山鼎泰稀土新材料股份有限公司公司章</w:t>
      </w:r>
      <w:r>
        <w:rPr>
          <w:spacing w:val="97"/>
          <w:w w:val="95"/>
        </w:rPr>
        <w:t> </w:t>
      </w:r>
      <w:r>
        <w:rPr>
          <w:spacing w:val="97"/>
          <w:w w:val="95"/>
        </w:rPr>
      </w:r>
      <w:r>
        <w:rPr>
          <w:spacing w:val="3"/>
        </w:rPr>
        <w:t>程</w:t>
      </w:r>
      <w:r>
        <w:rPr>
          <w:rFonts w:ascii="Times New Roman" w:hAnsi="Times New Roman" w:cs="Times New Roman" w:eastAsia="Times New Roman" w:hint="default"/>
          <w:spacing w:val="3"/>
        </w:rPr>
        <w:t>&gt;</w:t>
      </w:r>
      <w:r>
        <w:rPr>
          <w:spacing w:val="3"/>
        </w:rPr>
        <w:t>的议案》、《关于聘任深圳市鹏城会计师事务所有限公司为公司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年度审计机构的</w:t>
      </w:r>
      <w:r>
        <w:rPr>
          <w:w w:val="99"/>
        </w:rPr>
        <w:t> </w:t>
      </w:r>
      <w:r>
        <w:rPr>
          <w:spacing w:val="-2"/>
          <w:w w:val="95"/>
        </w:rPr>
        <w:t>议案》、《关于设立全资子公司的议案》、《关于召集马鞍山鼎泰稀土新材料股份有限公司</w:t>
      </w:r>
      <w:r>
        <w:rPr>
          <w:w w:val="95"/>
        </w:rPr>
        <w:t>  </w:t>
      </w:r>
      <w:r>
        <w:rPr>
          <w:spacing w:val="92"/>
          <w:w w:val="95"/>
        </w:rPr>
        <w:t> </w:t>
      </w:r>
      <w:r>
        <w:rPr>
          <w:spacing w:val="92"/>
          <w:w w:val="95"/>
        </w:rPr>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年度第二次临时股东大会的议案》。</w:t>
      </w:r>
    </w:p>
    <w:p>
      <w:pPr>
        <w:pStyle w:val="BodyText"/>
        <w:spacing w:line="336" w:lineRule="auto" w:before="17"/>
        <w:ind w:right="11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6"/>
        <w:ind w:left="542" w:right="0"/>
        <w:jc w:val="left"/>
      </w:pPr>
      <w:r>
        <w:rPr/>
        <w:t>（</w:t>
      </w:r>
      <w:r>
        <w:rPr>
          <w:rFonts w:ascii="Times New Roman" w:hAnsi="Times New Roman" w:cs="Times New Roman" w:eastAsia="Times New Roman" w:hint="default"/>
        </w:rPr>
        <w:t>7</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日以通讯表决的方式召开了第一届董事会第十六次会议，</w:t>
      </w:r>
    </w:p>
    <w:p>
      <w:pPr>
        <w:pStyle w:val="BodyText"/>
        <w:spacing w:line="336" w:lineRule="auto" w:before="117"/>
        <w:ind w:right="122"/>
        <w:jc w:val="both"/>
      </w:pPr>
      <w:r>
        <w:rPr>
          <w:rFonts w:ascii="Times New Roman" w:hAnsi="Times New Roman" w:cs="Times New Roman" w:eastAsia="Times New Roman" w:hint="default"/>
          <w:w w:val="95"/>
        </w:rPr>
        <w:t>9 </w:t>
      </w:r>
      <w:r>
        <w:rPr>
          <w:w w:val="95"/>
        </w:rPr>
        <w:t>名董事参与表决。会议审议通过了《关于马鞍山鼎泰稀土新材料股份有限公司公司治理专</w:t>
      </w:r>
      <w:r>
        <w:rPr>
          <w:spacing w:val="-39"/>
          <w:w w:val="95"/>
        </w:rPr>
        <w:t> </w:t>
      </w:r>
      <w:r>
        <w:rPr>
          <w:spacing w:val="-39"/>
          <w:w w:val="95"/>
        </w:rPr>
      </w:r>
      <w:r>
        <w:rPr/>
        <w:t>项活动整改报告的议案》。</w:t>
      </w:r>
    </w:p>
    <w:p>
      <w:pPr>
        <w:pStyle w:val="BodyText"/>
        <w:spacing w:line="338" w:lineRule="auto" w:before="49"/>
        <w:ind w:right="11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spacing w:after="0" w:line="338"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42" w:right="0"/>
        <w:jc w:val="left"/>
      </w:pPr>
      <w:r>
        <w:rPr/>
        <w:t>（</w:t>
      </w:r>
      <w:r>
        <w:rPr>
          <w:rFonts w:ascii="Times New Roman" w:hAnsi="Times New Roman" w:cs="Times New Roman" w:eastAsia="Times New Roman" w:hint="default"/>
        </w:rPr>
        <w:t>8</w:t>
      </w:r>
      <w:r>
        <w:rPr/>
        <w:t>）公司于</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70"/>
        </w:rPr>
        <w:t>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t>日以通讯表决的方式召开了第一届董事会第十七次会议，</w:t>
      </w:r>
    </w:p>
    <w:p>
      <w:pPr>
        <w:pStyle w:val="BodyText"/>
        <w:spacing w:line="240" w:lineRule="auto" w:before="115"/>
        <w:ind w:right="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名董事参与表决。会议审议通过了《关于公司</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年第三季度报告全文及正文的议案》。</w:t>
      </w:r>
    </w:p>
    <w:p>
      <w:pPr>
        <w:pStyle w:val="BodyText"/>
        <w:spacing w:line="240" w:lineRule="auto" w:before="119"/>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年第三季度报告》刊登在</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4"/>
        </w:rPr>
        <w:t>日的《证券时报》、《中国证券报》和巨潮资讯网</w:t>
      </w:r>
      <w:r>
        <w:rPr>
          <w:spacing w:val="-54"/>
        </w:rPr>
        <w:t> </w:t>
      </w:r>
      <w:hyperlink r:id="rId10">
        <w:r>
          <w:rPr>
            <w:rFonts w:ascii="Times New Roman" w:hAnsi="Times New Roman" w:cs="Times New Roman" w:eastAsia="Times New Roman" w:hint="default"/>
          </w:rPr>
          <w:t>http://www.cninfo.com.cn</w:t>
        </w:r>
      </w:hyperlink>
    </w:p>
    <w:p>
      <w:pPr>
        <w:pStyle w:val="BodyText"/>
        <w:spacing w:line="240" w:lineRule="auto" w:before="117"/>
        <w:ind w:right="0"/>
        <w:jc w:val="both"/>
      </w:pPr>
      <w:r>
        <w:rPr/>
        <w:t>上。</w:t>
      </w:r>
    </w:p>
    <w:p>
      <w:pPr>
        <w:pStyle w:val="BodyText"/>
        <w:spacing w:line="240" w:lineRule="auto" w:before="133"/>
        <w:ind w:left="542" w:right="0"/>
        <w:jc w:val="left"/>
      </w:pPr>
      <w:r>
        <w:rPr/>
        <w:t>（</w:t>
      </w:r>
      <w:r>
        <w:rPr>
          <w:rFonts w:ascii="Times New Roman" w:hAnsi="Times New Roman" w:cs="Times New Roman" w:eastAsia="Times New Roman" w:hint="default"/>
        </w:rPr>
        <w:t>9</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日以现场表决的方式召开了第一届董事会第十八次会议，</w:t>
      </w:r>
    </w:p>
    <w:p>
      <w:pPr>
        <w:pStyle w:val="BodyText"/>
        <w:spacing w:line="240" w:lineRule="auto" w:before="119"/>
        <w:ind w:right="0"/>
        <w:jc w:val="both"/>
      </w:pPr>
      <w:r>
        <w:rPr>
          <w:rFonts w:ascii="Times New Roman" w:hAnsi="Times New Roman" w:cs="Times New Roman" w:eastAsia="Times New Roman" w:hint="default"/>
          <w:w w:val="95"/>
        </w:rPr>
        <w:t>9       </w:t>
      </w:r>
      <w:r>
        <w:rPr>
          <w:rFonts w:ascii="Times New Roman" w:hAnsi="Times New Roman" w:cs="Times New Roman" w:eastAsia="Times New Roman" w:hint="default"/>
          <w:spacing w:val="11"/>
          <w:w w:val="95"/>
        </w:rPr>
        <w:t> </w:t>
      </w:r>
      <w:r>
        <w:rPr>
          <w:w w:val="95"/>
        </w:rPr>
        <w:t>名董事参加会议。会议审议通过了《关于公司拟用部分超募资金参与竞买土地使用权的议</w:t>
      </w:r>
      <w:r>
        <w:rPr/>
      </w:r>
    </w:p>
    <w:p>
      <w:pPr>
        <w:pStyle w:val="BodyText"/>
        <w:spacing w:line="240" w:lineRule="auto" w:before="117"/>
        <w:ind w:right="0"/>
        <w:jc w:val="both"/>
      </w:pPr>
      <w:r>
        <w:rPr>
          <w:spacing w:val="2"/>
          <w:w w:val="99"/>
        </w:rPr>
        <w:t>案</w:t>
      </w:r>
      <w:r>
        <w:rPr>
          <w:spacing w:val="-106"/>
          <w:w w:val="99"/>
        </w:rPr>
        <w:t>》</w:t>
      </w:r>
      <w:r>
        <w:rPr>
          <w:spacing w:val="-104"/>
          <w:w w:val="99"/>
        </w:rPr>
        <w:t>、</w:t>
      </w:r>
      <w:r>
        <w:rPr>
          <w:spacing w:val="2"/>
          <w:w w:val="99"/>
        </w:rPr>
        <w:t>《</w:t>
      </w:r>
      <w:r>
        <w:rPr>
          <w:w w:val="99"/>
        </w:rPr>
        <w:t>关</w:t>
      </w:r>
      <w:r>
        <w:rPr>
          <w:spacing w:val="2"/>
          <w:w w:val="99"/>
        </w:rPr>
        <w:t>于</w:t>
      </w:r>
      <w:r>
        <w:rPr>
          <w:w w:val="99"/>
        </w:rPr>
        <w:t>召</w:t>
      </w:r>
      <w:r>
        <w:rPr>
          <w:spacing w:val="2"/>
          <w:w w:val="99"/>
        </w:rPr>
        <w:t>集</w:t>
      </w:r>
      <w:r>
        <w:rPr>
          <w:w w:val="99"/>
        </w:rPr>
        <w:t>公司</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第</w:t>
      </w:r>
      <w:r>
        <w:rPr>
          <w:w w:val="99"/>
        </w:rPr>
        <w:t>三</w:t>
      </w:r>
      <w:r>
        <w:rPr>
          <w:spacing w:val="2"/>
          <w:w w:val="99"/>
        </w:rPr>
        <w:t>次</w:t>
      </w:r>
      <w:r>
        <w:rPr>
          <w:w w:val="99"/>
        </w:rPr>
        <w:t>临</w:t>
      </w:r>
      <w:r>
        <w:rPr>
          <w:spacing w:val="2"/>
          <w:w w:val="99"/>
        </w:rPr>
        <w:t>时</w:t>
      </w:r>
      <w:r>
        <w:rPr>
          <w:w w:val="99"/>
        </w:rPr>
        <w:t>股</w:t>
      </w:r>
      <w:r>
        <w:rPr>
          <w:spacing w:val="2"/>
          <w:w w:val="99"/>
        </w:rPr>
        <w:t>东</w:t>
      </w:r>
      <w:r>
        <w:rPr>
          <w:w w:val="99"/>
        </w:rPr>
        <w:t>大</w:t>
      </w:r>
      <w:r>
        <w:rPr>
          <w:spacing w:val="2"/>
          <w:w w:val="99"/>
        </w:rPr>
        <w:t>会</w:t>
      </w:r>
      <w:r>
        <w:rPr>
          <w:w w:val="99"/>
        </w:rPr>
        <w:t>的</w:t>
      </w:r>
      <w:r>
        <w:rPr>
          <w:spacing w:val="2"/>
          <w:w w:val="99"/>
        </w:rPr>
        <w:t>议案</w:t>
      </w:r>
      <w:r>
        <w:rPr>
          <w:spacing w:val="-106"/>
          <w:w w:val="99"/>
        </w:rPr>
        <w:t>》</w:t>
      </w:r>
      <w:r>
        <w:rPr>
          <w:w w:val="99"/>
        </w:rPr>
        <w:t>。</w:t>
      </w:r>
      <w:r>
        <w:rPr/>
      </w:r>
    </w:p>
    <w:p>
      <w:pPr>
        <w:pStyle w:val="BodyText"/>
        <w:spacing w:line="336" w:lineRule="auto" w:before="117"/>
        <w:ind w:right="221" w:firstLine="420"/>
        <w:jc w:val="left"/>
      </w:pPr>
      <w:r>
        <w:rPr/>
        <w:t>本次会议决议公告刊登在</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日的《证券时报》、《中国证券报》和巨潮</w:t>
      </w:r>
      <w:r>
        <w:rPr>
          <w:w w:val="99"/>
        </w:rPr>
        <w:t> </w:t>
      </w:r>
      <w:r>
        <w:rPr/>
        <w:t>资讯网</w:t>
      </w:r>
      <w:r>
        <w:rPr>
          <w:spacing w:val="-61"/>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7"/>
        </w:rPr>
        <w:t> </w:t>
      </w:r>
      <w:r>
        <w:rPr/>
        <w:t>上。</w:t>
      </w:r>
    </w:p>
    <w:p>
      <w:pPr>
        <w:spacing w:line="240" w:lineRule="auto" w:before="7"/>
        <w:rPr>
          <w:rFonts w:ascii="宋体" w:hAnsi="宋体" w:cs="宋体" w:eastAsia="宋体" w:hint="default"/>
          <w:sz w:val="29"/>
          <w:szCs w:val="29"/>
        </w:rPr>
      </w:pPr>
    </w:p>
    <w:p>
      <w:pPr>
        <w:pStyle w:val="BodyText"/>
        <w:spacing w:line="336" w:lineRule="auto"/>
        <w:ind w:left="542" w:right="0"/>
        <w:jc w:val="left"/>
      </w:pPr>
      <w:r>
        <w:rPr>
          <w:rFonts w:ascii="Times New Roman" w:hAnsi="Times New Roman" w:cs="Times New Roman" w:eastAsia="Times New Roman" w:hint="default"/>
        </w:rPr>
        <w:t>2</w:t>
      </w:r>
      <w:r>
        <w:rPr/>
        <w:t>、董事会对股东大会决议的执行情况</w:t>
      </w:r>
      <w:r>
        <w:rPr>
          <w:w w:val="99"/>
        </w:rPr>
        <w:t> </w:t>
      </w:r>
      <w:r>
        <w:rPr>
          <w:spacing w:val="-2"/>
          <w:w w:val="95"/>
        </w:rPr>
        <w:t>报告期内，公司董事会根据国家有关法律、法规及《公司章程》等有关规定，严格按照</w:t>
      </w:r>
      <w:r>
        <w:rPr>
          <w:spacing w:val="-2"/>
        </w:rPr>
      </w:r>
    </w:p>
    <w:p>
      <w:pPr>
        <w:pStyle w:val="BodyText"/>
        <w:spacing w:line="355" w:lineRule="auto" w:before="51"/>
        <w:ind w:right="222"/>
        <w:jc w:val="both"/>
      </w:pPr>
      <w:r>
        <w:rPr>
          <w:spacing w:val="-2"/>
          <w:w w:val="95"/>
        </w:rPr>
        <w:t>股东大会的决议和授权，认真执行股东大会通过的各项决议，确保股东大会决议得到有效的</w:t>
      </w:r>
      <w:r>
        <w:rPr>
          <w:spacing w:val="92"/>
          <w:w w:val="95"/>
        </w:rPr>
        <w:t> </w:t>
      </w:r>
      <w:r>
        <w:rPr>
          <w:spacing w:val="92"/>
          <w:w w:val="95"/>
        </w:rPr>
      </w:r>
      <w:r>
        <w:rPr/>
        <w:t>实施。</w:t>
      </w:r>
    </w:p>
    <w:p>
      <w:pPr>
        <w:spacing w:line="240" w:lineRule="auto" w:before="0"/>
        <w:rPr>
          <w:rFonts w:ascii="宋体" w:hAnsi="宋体" w:cs="宋体" w:eastAsia="宋体" w:hint="default"/>
          <w:sz w:val="20"/>
          <w:szCs w:val="20"/>
        </w:rPr>
      </w:pPr>
    </w:p>
    <w:p>
      <w:pPr>
        <w:pStyle w:val="BodyText"/>
        <w:spacing w:line="240" w:lineRule="auto" w:before="133"/>
        <w:ind w:left="542" w:right="0"/>
        <w:jc w:val="left"/>
      </w:pPr>
      <w:r>
        <w:rPr>
          <w:rFonts w:ascii="Times New Roman" w:hAnsi="Times New Roman" w:cs="Times New Roman" w:eastAsia="Times New Roman" w:hint="default"/>
        </w:rPr>
        <w:t>3</w:t>
      </w:r>
      <w:r>
        <w:rPr/>
        <w:t>、专门委员会履职情况</w:t>
      </w:r>
    </w:p>
    <w:p>
      <w:pPr>
        <w:pStyle w:val="BodyText"/>
        <w:spacing w:line="336" w:lineRule="auto" w:before="117"/>
        <w:ind w:left="542" w:right="0"/>
        <w:jc w:val="left"/>
      </w:pPr>
      <w:r>
        <w:rPr/>
        <w:t>（</w:t>
      </w:r>
      <w:r>
        <w:rPr>
          <w:rFonts w:ascii="Times New Roman" w:hAnsi="Times New Roman" w:cs="Times New Roman" w:eastAsia="Times New Roman" w:hint="default"/>
        </w:rPr>
        <w:t>1</w:t>
      </w:r>
      <w:r>
        <w:rPr/>
        <w:t>）审计委员会</w:t>
      </w:r>
      <w:r>
        <w:rPr>
          <w:w w:val="99"/>
        </w:rPr>
        <w:t> </w:t>
      </w:r>
      <w:r>
        <w:rPr>
          <w:spacing w:val="-2"/>
          <w:w w:val="95"/>
        </w:rPr>
        <w:t>公司董事会设审计委员会，主要由会计专业独立董事组成并担任召集人，审计委员会督</w:t>
      </w:r>
      <w:r>
        <w:rPr>
          <w:spacing w:val="-2"/>
        </w:rPr>
      </w:r>
    </w:p>
    <w:p>
      <w:pPr>
        <w:pStyle w:val="BodyText"/>
        <w:spacing w:line="355" w:lineRule="auto" w:before="51"/>
        <w:ind w:right="221"/>
        <w:jc w:val="both"/>
      </w:pPr>
      <w:r>
        <w:rPr>
          <w:spacing w:val="-2"/>
          <w:w w:val="95"/>
        </w:rPr>
        <w:t>促并检查公司的日常审计工作，审查公司内控制度的制定及执行情况，审核公司的重要会计</w:t>
      </w:r>
      <w:r>
        <w:rPr>
          <w:spacing w:val="91"/>
          <w:w w:val="95"/>
        </w:rPr>
        <w:t> </w:t>
      </w:r>
      <w:r>
        <w:rPr>
          <w:spacing w:val="91"/>
          <w:w w:val="95"/>
        </w:rPr>
      </w:r>
      <w:r>
        <w:rPr>
          <w:spacing w:val="-2"/>
          <w:w w:val="99"/>
        </w:rPr>
        <w:t>政策，了解公司的生产经营情况。报告期内，审计委员会共召开四次会议，主要内容是：听</w:t>
      </w:r>
      <w:r>
        <w:rPr>
          <w:spacing w:val="-86"/>
          <w:w w:val="99"/>
        </w:rPr>
        <w:t> </w:t>
      </w:r>
      <w:r>
        <w:rPr>
          <w:spacing w:val="-86"/>
          <w:w w:val="99"/>
        </w:rPr>
      </w:r>
      <w:r>
        <w:rPr/>
        <w:t>取和讨论公司审计部关于</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年工作总结和</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年工作计划的报告、落实</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年年报审</w:t>
      </w:r>
    </w:p>
    <w:p>
      <w:pPr>
        <w:pStyle w:val="BodyText"/>
        <w:spacing w:line="348" w:lineRule="auto" w:before="5"/>
        <w:ind w:right="221"/>
        <w:jc w:val="both"/>
      </w:pPr>
      <w:r>
        <w:rPr>
          <w:spacing w:val="-5"/>
        </w:rPr>
        <w:t>计相关工作，审阅公司</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年度财务报表并形成书面意见；审议公司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年度第一季度报</w:t>
      </w:r>
      <w:r>
        <w:rPr>
          <w:w w:val="99"/>
        </w:rPr>
        <w:t> </w:t>
      </w:r>
      <w:r>
        <w:rPr>
          <w:spacing w:val="-2"/>
          <w:w w:val="95"/>
        </w:rPr>
        <w:t>告；总结和评价外聘审计机构的年报审计工作，形成续聘决议并提交董事会讨论通过，审议</w:t>
      </w:r>
      <w:r>
        <w:rPr>
          <w:w w:val="95"/>
        </w:rPr>
        <w:t>  </w:t>
      </w:r>
      <w:r>
        <w:rPr>
          <w:spacing w:val="92"/>
          <w:w w:val="95"/>
        </w:rPr>
        <w:t> </w:t>
      </w:r>
      <w:r>
        <w:rPr>
          <w:spacing w:val="92"/>
          <w:w w:val="95"/>
        </w:rPr>
      </w: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年度半年度报告；审议公司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年度第三季度报告。</w:t>
      </w:r>
    </w:p>
    <w:p>
      <w:pPr>
        <w:pStyle w:val="BodyText"/>
        <w:spacing w:line="338" w:lineRule="auto" w:before="12"/>
        <w:ind w:left="542" w:right="0"/>
        <w:jc w:val="left"/>
      </w:pPr>
      <w:r>
        <w:rPr/>
        <w:t>（</w:t>
      </w:r>
      <w:r>
        <w:rPr>
          <w:rFonts w:ascii="Times New Roman" w:hAnsi="Times New Roman" w:cs="Times New Roman" w:eastAsia="Times New Roman" w:hint="default"/>
        </w:rPr>
        <w:t>2</w:t>
      </w:r>
      <w:r>
        <w:rPr/>
        <w:t>）战略委员会</w:t>
      </w:r>
      <w:r>
        <w:rPr>
          <w:w w:val="99"/>
        </w:rPr>
        <w:t> </w:t>
      </w:r>
      <w:r>
        <w:rPr>
          <w:spacing w:val="-2"/>
          <w:w w:val="95"/>
        </w:rPr>
        <w:t>战略委员会在董事会的领导下，依照《马鞍山鼎泰稀土新材料股份有限公司战略委员会</w:t>
      </w:r>
      <w:r>
        <w:rPr>
          <w:spacing w:val="-2"/>
        </w:rPr>
      </w:r>
    </w:p>
    <w:p>
      <w:pPr>
        <w:pStyle w:val="BodyText"/>
        <w:spacing w:line="355" w:lineRule="auto" w:before="47"/>
        <w:ind w:right="221"/>
        <w:jc w:val="both"/>
      </w:pPr>
      <w:r>
        <w:rPr>
          <w:spacing w:val="-2"/>
          <w:w w:val="99"/>
        </w:rPr>
        <w:t>工作细则》的规定，对公司长期发展战略和重大投资进行研究并提出建议，就发展战略、产</w:t>
      </w:r>
      <w:r>
        <w:rPr>
          <w:spacing w:val="-87"/>
          <w:w w:val="99"/>
        </w:rPr>
        <w:t> </w:t>
      </w:r>
      <w:r>
        <w:rPr>
          <w:spacing w:val="-87"/>
          <w:w w:val="99"/>
        </w:rPr>
      </w:r>
      <w:r>
        <w:rPr>
          <w:spacing w:val="-5"/>
          <w:w w:val="95"/>
        </w:rPr>
        <w:t>品战略、技术与创新战略、投资战略等问题为董事会决策提供了有力的参考意见。报告期内，</w:t>
      </w:r>
      <w:r>
        <w:rPr>
          <w:spacing w:val="26"/>
          <w:w w:val="95"/>
        </w:rPr>
        <w:t> </w:t>
      </w:r>
      <w:r>
        <w:rPr>
          <w:spacing w:val="26"/>
          <w:w w:val="95"/>
        </w:rPr>
      </w:r>
      <w:r>
        <w:rPr>
          <w:spacing w:val="-2"/>
          <w:w w:val="95"/>
        </w:rPr>
        <w:t>战略委员会共召开二次会议，主要内容是：审议公司竞买在北京产权交易所挂牌交易的中国</w:t>
      </w:r>
      <w:r>
        <w:rPr>
          <w:spacing w:val="92"/>
          <w:w w:val="95"/>
        </w:rPr>
        <w:t> </w:t>
      </w:r>
      <w:r>
        <w:rPr>
          <w:spacing w:val="92"/>
          <w:w w:val="95"/>
        </w:rPr>
      </w:r>
      <w:r>
        <w:rPr>
          <w:spacing w:val="-2"/>
          <w:w w:val="99"/>
        </w:rPr>
        <w:t>华农资产经营所属中水广海钢丝绳厂整体资产的议案；审议公司在重庆市武隆县白马工业园</w:t>
      </w:r>
      <w:r>
        <w:rPr>
          <w:spacing w:val="-84"/>
          <w:w w:val="99"/>
        </w:rPr>
        <w:t> </w:t>
      </w:r>
      <w:r>
        <w:rPr>
          <w:spacing w:val="-84"/>
          <w:w w:val="99"/>
        </w:rPr>
      </w:r>
      <w:r>
        <w:rPr/>
        <w:t>内设立全资子公司的议案。</w:t>
      </w:r>
    </w:p>
    <w:p>
      <w:pPr>
        <w:pStyle w:val="BodyText"/>
        <w:spacing w:line="336" w:lineRule="auto" w:before="34"/>
        <w:ind w:left="542" w:right="0"/>
        <w:jc w:val="left"/>
      </w:pPr>
      <w:r>
        <w:rPr/>
        <w:t>（</w:t>
      </w:r>
      <w:r>
        <w:rPr>
          <w:rFonts w:ascii="Times New Roman" w:hAnsi="Times New Roman" w:cs="Times New Roman" w:eastAsia="Times New Roman" w:hint="default"/>
        </w:rPr>
        <w:t>3</w:t>
      </w:r>
      <w:r>
        <w:rPr/>
        <w:t>）提名委员会</w:t>
      </w:r>
      <w:r>
        <w:rPr>
          <w:w w:val="99"/>
        </w:rPr>
        <w:t> </w:t>
      </w:r>
      <w:r>
        <w:rPr>
          <w:spacing w:val="-2"/>
          <w:w w:val="95"/>
        </w:rPr>
        <w:t>报告期内，公司董事会下设提名委员会召开了一次会议，主要内容是：提名司徒伟廉先</w:t>
      </w:r>
      <w:r>
        <w:rPr>
          <w:spacing w:val="-2"/>
        </w:rPr>
      </w:r>
    </w:p>
    <w:p>
      <w:pPr>
        <w:spacing w:after="0" w:line="336" w:lineRule="auto"/>
        <w:jc w:val="left"/>
        <w:sectPr>
          <w:footerReference w:type="default" r:id="rId14"/>
          <w:pgSz w:w="11910" w:h="16840"/>
          <w:pgMar w:footer="738" w:header="206" w:top="940" w:bottom="920" w:left="1680" w:right="1580"/>
          <w:pgNumType w:start="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9"/>
        <w:jc w:val="left"/>
      </w:pPr>
      <w:r>
        <w:rPr/>
        <w:t>生为公司第一届董事会非独立董事候选人的议案。</w:t>
      </w:r>
    </w:p>
    <w:p>
      <w:pPr>
        <w:pStyle w:val="BodyText"/>
        <w:spacing w:line="338" w:lineRule="auto" w:before="130"/>
        <w:ind w:left="542" w:right="109"/>
        <w:jc w:val="left"/>
      </w:pPr>
      <w:r>
        <w:rPr/>
        <w:t>（</w:t>
      </w:r>
      <w:r>
        <w:rPr>
          <w:rFonts w:ascii="Times New Roman" w:hAnsi="Times New Roman" w:cs="Times New Roman" w:eastAsia="Times New Roman" w:hint="default"/>
        </w:rPr>
        <w:t>4</w:t>
      </w:r>
      <w:r>
        <w:rPr/>
        <w:t>）薪酬与考核委员会</w:t>
      </w:r>
      <w:r>
        <w:rPr>
          <w:w w:val="99"/>
        </w:rPr>
        <w:t> </w:t>
      </w:r>
      <w:r>
        <w:rPr>
          <w:spacing w:val="3"/>
          <w:w w:val="95"/>
        </w:rPr>
        <w:t>公司董事会设薪酬与考核委员会，主要由独立董事组成并担任召集人。委员会审查了</w:t>
      </w:r>
      <w:r>
        <w:rPr>
          <w:spacing w:val="3"/>
        </w:rPr>
      </w:r>
    </w:p>
    <w:p>
      <w:pPr>
        <w:pStyle w:val="BodyText"/>
        <w:spacing w:line="336" w:lineRule="auto" w:before="47"/>
        <w:ind w:right="10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年年度报告中董事、监事、高级管理人员薪酬，认为其薪酬的发放符合公司绩效考评</w:t>
      </w:r>
      <w:r>
        <w:rPr>
          <w:spacing w:val="-97"/>
        </w:rPr>
        <w:t> </w:t>
      </w:r>
      <w:r>
        <w:rPr>
          <w:spacing w:val="-97"/>
        </w:rPr>
      </w:r>
      <w:r>
        <w:rPr/>
        <w:t>及薪酬制度的相关规定。</w:t>
      </w:r>
    </w:p>
    <w:p>
      <w:pPr>
        <w:spacing w:line="240" w:lineRule="auto" w:before="0"/>
        <w:rPr>
          <w:rFonts w:ascii="宋体" w:hAnsi="宋体" w:cs="宋体" w:eastAsia="宋体" w:hint="default"/>
          <w:sz w:val="20"/>
          <w:szCs w:val="20"/>
        </w:rPr>
      </w:pPr>
    </w:p>
    <w:p>
      <w:pPr>
        <w:pStyle w:val="Heading3"/>
        <w:spacing w:line="240" w:lineRule="auto" w:before="146"/>
        <w:ind w:left="542" w:right="109"/>
        <w:jc w:val="left"/>
      </w:pPr>
      <w:r>
        <w:rPr/>
        <w:t>五、利润分配情况</w:t>
      </w:r>
    </w:p>
    <w:p>
      <w:pPr>
        <w:pStyle w:val="BodyText"/>
        <w:spacing w:line="240" w:lineRule="auto" w:before="157"/>
        <w:ind w:left="542" w:right="109"/>
        <w:jc w:val="left"/>
      </w:pPr>
      <w:r>
        <w:rPr>
          <w:rFonts w:ascii="Times New Roman" w:hAnsi="Times New Roman" w:cs="Times New Roman" w:eastAsia="Times New Roman" w:hint="default"/>
        </w:rPr>
        <w:t>1</w:t>
      </w:r>
      <w:r>
        <w:rPr/>
        <w:t>、本年度利润分配预案</w:t>
      </w:r>
    </w:p>
    <w:p>
      <w:pPr>
        <w:pStyle w:val="BodyText"/>
        <w:spacing w:line="240" w:lineRule="auto" w:before="117"/>
        <w:ind w:left="602" w:right="0"/>
        <w:jc w:val="left"/>
      </w:pPr>
      <w:r>
        <w:rPr/>
        <w:t>经深圳鹏城会计师事务所有限公司审计，止于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日，归属于母公司所有</w:t>
      </w:r>
    </w:p>
    <w:p>
      <w:pPr>
        <w:pStyle w:val="BodyText"/>
        <w:spacing w:line="240" w:lineRule="auto" w:before="117"/>
        <w:ind w:right="0"/>
        <w:jc w:val="left"/>
      </w:pPr>
      <w:r>
        <w:rPr/>
        <w:t>者的未分配利润为</w:t>
      </w:r>
      <w:r>
        <w:rPr>
          <w:spacing w:val="-55"/>
        </w:rPr>
        <w:t> </w:t>
      </w:r>
      <w:r>
        <w:rPr>
          <w:rFonts w:ascii="Times New Roman" w:hAnsi="Times New Roman" w:cs="Times New Roman" w:eastAsia="Times New Roman" w:hint="default"/>
        </w:rPr>
        <w:t>46,356,158.32</w:t>
      </w:r>
      <w:r>
        <w:rPr>
          <w:rFonts w:ascii="Times New Roman" w:hAnsi="Times New Roman" w:cs="Times New Roman" w:eastAsia="Times New Roman" w:hint="default"/>
          <w:spacing w:val="-3"/>
        </w:rPr>
        <w:t> </w:t>
      </w:r>
      <w:r>
        <w:rPr>
          <w:spacing w:val="-7"/>
        </w:rPr>
        <w:t>元，公司拟以</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日的股本总数</w:t>
      </w:r>
      <w:r>
        <w:rPr>
          <w:spacing w:val="-53"/>
        </w:rPr>
        <w:t> </w:t>
      </w:r>
      <w:r>
        <w:rPr>
          <w:rFonts w:ascii="Times New Roman" w:hAnsi="Times New Roman" w:cs="Times New Roman" w:eastAsia="Times New Roman" w:hint="default"/>
        </w:rPr>
        <w:t>77,830,780</w:t>
      </w:r>
      <w:r>
        <w:rPr>
          <w:rFonts w:ascii="Times New Roman" w:hAnsi="Times New Roman" w:cs="Times New Roman" w:eastAsia="Times New Roman" w:hint="default"/>
          <w:spacing w:val="-3"/>
        </w:rPr>
        <w:t> </w:t>
      </w:r>
      <w:r>
        <w:rPr/>
        <w:t>为</w:t>
      </w:r>
    </w:p>
    <w:p>
      <w:pPr>
        <w:pStyle w:val="BodyText"/>
        <w:spacing w:line="240" w:lineRule="auto" w:before="119"/>
        <w:ind w:right="109"/>
        <w:jc w:val="left"/>
      </w:pPr>
      <w:r>
        <w:rPr/>
        <w:t>基数，拟按每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股派发现金红利</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元（含税），剩余未分配利润结转以后年度。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602" w:right="109"/>
        <w:jc w:val="left"/>
      </w:pPr>
      <w:r>
        <w:rPr>
          <w:rFonts w:ascii="Times New Roman" w:hAnsi="Times New Roman" w:cs="Times New Roman" w:eastAsia="Times New Roman" w:hint="default"/>
        </w:rPr>
        <w:t>2</w:t>
      </w:r>
      <w:r>
        <w:rPr/>
        <w:t>、最近三年又一期公司现金分红情况表</w:t>
      </w:r>
    </w:p>
    <w:p>
      <w:pPr>
        <w:pStyle w:val="BodyText"/>
        <w:spacing w:line="240" w:lineRule="auto" w:before="117"/>
        <w:ind w:left="0" w:right="12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406"/>
        <w:gridCol w:w="1423"/>
        <w:gridCol w:w="1951"/>
        <w:gridCol w:w="1913"/>
        <w:gridCol w:w="1620"/>
      </w:tblGrid>
      <w:tr>
        <w:trPr>
          <w:trHeight w:val="1236" w:hRule="exact"/>
        </w:trPr>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4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5" w:lineRule="auto" w:before="170"/>
              <w:ind w:left="182" w:right="180"/>
              <w:jc w:val="left"/>
              <w:rPr>
                <w:rFonts w:ascii="宋体" w:hAnsi="宋体" w:cs="宋体" w:eastAsia="宋体" w:hint="default"/>
                <w:sz w:val="21"/>
                <w:szCs w:val="21"/>
              </w:rPr>
            </w:pPr>
            <w:r>
              <w:rPr>
                <w:rFonts w:ascii="宋体" w:hAnsi="宋体" w:cs="宋体" w:eastAsia="宋体" w:hint="default"/>
                <w:sz w:val="21"/>
                <w:szCs w:val="21"/>
              </w:rPr>
              <w:t>现金分红金</w:t>
            </w:r>
            <w:r>
              <w:rPr>
                <w:rFonts w:ascii="宋体" w:hAnsi="宋体" w:cs="宋体" w:eastAsia="宋体" w:hint="default"/>
                <w:w w:val="99"/>
                <w:sz w:val="21"/>
                <w:szCs w:val="21"/>
              </w:rPr>
              <w:t> </w:t>
            </w:r>
            <w:r>
              <w:rPr>
                <w:rFonts w:ascii="宋体" w:hAnsi="宋体" w:cs="宋体" w:eastAsia="宋体" w:hint="default"/>
                <w:sz w:val="21"/>
                <w:szCs w:val="21"/>
              </w:rPr>
              <w:t>额（含税）</w:t>
            </w:r>
          </w:p>
        </w:tc>
        <w:tc>
          <w:tcPr>
            <w:tcW w:w="19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357" w:lineRule="auto" w:before="133"/>
              <w:ind w:left="343" w:right="127" w:hanging="212"/>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99"/>
                <w:sz w:val="21"/>
                <w:szCs w:val="21"/>
              </w:rPr>
              <w:t> </w:t>
            </w:r>
            <w:r>
              <w:rPr>
                <w:rFonts w:ascii="宋体" w:hAnsi="宋体" w:cs="宋体" w:eastAsia="宋体" w:hint="default"/>
                <w:sz w:val="21"/>
                <w:szCs w:val="21"/>
              </w:rPr>
              <w:t>股东的净利润</w:t>
            </w:r>
          </w:p>
        </w:tc>
        <w:tc>
          <w:tcPr>
            <w:tcW w:w="19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357" w:lineRule="auto" w:before="133"/>
              <w:ind w:left="321" w:right="108" w:hanging="209"/>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w w:val="99"/>
                <w:sz w:val="21"/>
                <w:szCs w:val="21"/>
              </w:rPr>
              <w:t> </w:t>
            </w:r>
            <w:r>
              <w:rPr>
                <w:rFonts w:ascii="宋体" w:hAnsi="宋体" w:cs="宋体" w:eastAsia="宋体" w:hint="default"/>
                <w:sz w:val="21"/>
                <w:szCs w:val="21"/>
              </w:rPr>
              <w:t>净利润的比率</w:t>
            </w:r>
          </w:p>
        </w:tc>
        <w:tc>
          <w:tcPr>
            <w:tcW w:w="16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5" w:lineRule="auto" w:before="170"/>
              <w:ind w:left="700" w:right="173" w:hanging="526"/>
              <w:jc w:val="left"/>
              <w:rPr>
                <w:rFonts w:ascii="宋体" w:hAnsi="宋体" w:cs="宋体" w:eastAsia="宋体" w:hint="default"/>
                <w:sz w:val="21"/>
                <w:szCs w:val="21"/>
              </w:rPr>
            </w:pPr>
            <w:r>
              <w:rPr>
                <w:rFonts w:ascii="宋体" w:hAnsi="宋体" w:cs="宋体" w:eastAsia="宋体" w:hint="default"/>
                <w:sz w:val="21"/>
                <w:szCs w:val="21"/>
              </w:rPr>
              <w:t>年度可分配利</w:t>
            </w:r>
            <w:r>
              <w:rPr>
                <w:rFonts w:ascii="宋体" w:hAnsi="宋体" w:cs="宋体" w:eastAsia="宋体" w:hint="default"/>
                <w:w w:val="99"/>
                <w:sz w:val="21"/>
                <w:szCs w:val="21"/>
              </w:rPr>
              <w:t> </w:t>
            </w:r>
            <w:r>
              <w:rPr>
                <w:rFonts w:ascii="宋体" w:hAnsi="宋体" w:cs="宋体" w:eastAsia="宋体" w:hint="default"/>
                <w:sz w:val="21"/>
                <w:szCs w:val="21"/>
              </w:rPr>
              <w:t>润</w:t>
            </w:r>
          </w:p>
        </w:tc>
      </w:tr>
      <w:tr>
        <w:trPr>
          <w:trHeight w:val="419" w:hRule="exact"/>
        </w:trPr>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年中期</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15,566,156.00</w:t>
            </w:r>
            <w:r>
              <w:rPr>
                <w:rFonts w:ascii="Times New Roman"/>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16,781,734.38</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92.77%</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w w:val="95"/>
                <w:sz w:val="21"/>
              </w:rPr>
              <w:t>57,113,592.34</w:t>
            </w:r>
            <w:r>
              <w:rPr>
                <w:rFonts w:ascii="Times New Roman"/>
                <w:spacing w:val="-1"/>
                <w:sz w:val="21"/>
              </w:rPr>
            </w:r>
          </w:p>
        </w:tc>
      </w:tr>
      <w:tr>
        <w:trPr>
          <w:trHeight w:val="419" w:hRule="exact"/>
        </w:trPr>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w w:val="95"/>
                <w:sz w:val="21"/>
              </w:rPr>
              <w:t>35,023,851.00</w:t>
            </w:r>
            <w:r>
              <w:rPr>
                <w:rFonts w:ascii="Times New Roman"/>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w w:val="95"/>
                <w:sz w:val="21"/>
              </w:rPr>
              <w:t>84.04%</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w w:val="95"/>
                <w:sz w:val="21"/>
              </w:rPr>
              <w:t>75,575,655.27</w:t>
            </w:r>
            <w:r>
              <w:rPr>
                <w:rFonts w:ascii="Times New Roman"/>
                <w:sz w:val="21"/>
              </w:rPr>
            </w:r>
          </w:p>
        </w:tc>
      </w:tr>
      <w:tr>
        <w:trPr>
          <w:trHeight w:val="418" w:hRule="exact"/>
        </w:trPr>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spacing w:val="-1"/>
                <w:sz w:val="21"/>
              </w:rPr>
              <w:t>11,666,156.00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41,584,215.35</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28.05%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49,635,893.79</w:t>
            </w:r>
            <w:r>
              <w:rPr>
                <w:rFonts w:ascii="Times New Roman"/>
                <w:sz w:val="21"/>
              </w:rPr>
            </w:r>
          </w:p>
        </w:tc>
      </w:tr>
      <w:tr>
        <w:trPr>
          <w:trHeight w:val="420" w:hRule="exact"/>
        </w:trPr>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35,724,937.98</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95"/>
                <w:sz w:val="21"/>
              </w:rPr>
              <w:t>12,097,086.09</w:t>
            </w:r>
            <w:r>
              <w:rPr>
                <w:rFonts w:ascii="Times New Roman"/>
                <w:sz w:val="21"/>
              </w:rPr>
            </w:r>
          </w:p>
        </w:tc>
      </w:tr>
      <w:tr>
        <w:trPr>
          <w:trHeight w:val="826" w:hRule="exact"/>
        </w:trPr>
        <w:tc>
          <w:tcPr>
            <w:tcW w:w="478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最近三年又一期累计现金分红金额占最近年均净</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137.57%</w:t>
            </w:r>
            <w:r>
              <w:rPr>
                <w:rFonts w:ascii="Times New Roman"/>
                <w:sz w:val="21"/>
              </w:rPr>
            </w:r>
          </w:p>
        </w:tc>
      </w:tr>
    </w:tbl>
    <w:p>
      <w:pPr>
        <w:spacing w:line="240" w:lineRule="auto" w:before="11"/>
        <w:rPr>
          <w:rFonts w:ascii="宋体" w:hAnsi="宋体" w:cs="宋体" w:eastAsia="宋体" w:hint="default"/>
          <w:sz w:val="22"/>
          <w:szCs w:val="22"/>
        </w:rPr>
      </w:pPr>
    </w:p>
    <w:p>
      <w:pPr>
        <w:pStyle w:val="Heading3"/>
        <w:spacing w:line="240" w:lineRule="auto" w:before="26"/>
        <w:ind w:left="542" w:right="109"/>
        <w:jc w:val="left"/>
      </w:pPr>
      <w:r>
        <w:rPr/>
        <w:t>六、2010</w:t>
      </w:r>
      <w:r>
        <w:rPr>
          <w:spacing w:val="-60"/>
        </w:rPr>
        <w:t> </w:t>
      </w:r>
      <w:r>
        <w:rPr/>
        <w:t>年度投资者关系管理情况</w:t>
      </w:r>
    </w:p>
    <w:p>
      <w:pPr>
        <w:pStyle w:val="BodyText"/>
        <w:spacing w:line="355" w:lineRule="auto" w:before="157"/>
        <w:ind w:right="122" w:firstLine="420"/>
        <w:jc w:val="both"/>
      </w:pPr>
      <w:r>
        <w:rPr>
          <w:spacing w:val="-2"/>
          <w:w w:val="95"/>
        </w:rPr>
        <w:t>公司建立了较完善的投资者关系管理制度和接待流程，与投资者沟通渠道畅通，效果良</w:t>
      </w:r>
      <w:r>
        <w:rPr>
          <w:w w:val="99"/>
        </w:rPr>
        <w:t> </w:t>
      </w:r>
      <w:r>
        <w:rPr/>
        <w:t>好。</w:t>
      </w:r>
    </w:p>
    <w:p>
      <w:pPr>
        <w:pStyle w:val="BodyText"/>
        <w:spacing w:line="355" w:lineRule="auto" w:before="32"/>
        <w:ind w:right="121" w:firstLine="420"/>
        <w:jc w:val="both"/>
      </w:pPr>
      <w:r>
        <w:rPr>
          <w:spacing w:val="-2"/>
          <w:w w:val="95"/>
        </w:rPr>
        <w:t>公司重视与投资者的沟通工作，以见面会、沟通会、电话联络等多种形式加强与投资者</w:t>
      </w:r>
      <w:r>
        <w:rPr>
          <w:w w:val="99"/>
        </w:rPr>
        <w:t> </w:t>
      </w:r>
      <w:r>
        <w:rPr>
          <w:spacing w:val="-2"/>
          <w:w w:val="95"/>
        </w:rPr>
        <w:t>特别是机构投资者的联系和沟通，同时积极做好投资者关系活动档案的建立和保管，切实做</w:t>
      </w:r>
      <w:r>
        <w:rPr>
          <w:spacing w:val="92"/>
          <w:w w:val="95"/>
        </w:rPr>
        <w:t> </w:t>
      </w:r>
      <w:r>
        <w:rPr>
          <w:spacing w:val="92"/>
          <w:w w:val="95"/>
        </w:rPr>
      </w:r>
      <w:r>
        <w:rPr/>
        <w:t>好相关信息的保密工作。</w:t>
      </w:r>
    </w:p>
    <w:p>
      <w:pPr>
        <w:pStyle w:val="BodyText"/>
        <w:spacing w:line="355" w:lineRule="auto" w:before="34"/>
        <w:ind w:right="121" w:firstLine="420"/>
        <w:jc w:val="both"/>
      </w:pPr>
      <w:r>
        <w:rPr>
          <w:spacing w:val="-2"/>
          <w:w w:val="95"/>
        </w:rPr>
        <w:t>公司把投资者关系管理作为一项长期、持续的工作来开展，不断学习、不断创新，以更</w:t>
      </w:r>
      <w:r>
        <w:rPr>
          <w:w w:val="99"/>
        </w:rPr>
        <w:t> </w:t>
      </w:r>
      <w:r>
        <w:rPr>
          <w:spacing w:val="-2"/>
          <w:w w:val="95"/>
        </w:rPr>
        <w:t>多的方式和途径，使广大投资者能够更多地接触和了解公司的生产经营、未来发展，参与公</w:t>
      </w:r>
      <w:r>
        <w:rPr>
          <w:spacing w:val="90"/>
          <w:w w:val="95"/>
        </w:rPr>
        <w:t> </w:t>
      </w:r>
      <w:r>
        <w:rPr>
          <w:spacing w:val="90"/>
          <w:w w:val="95"/>
        </w:rPr>
      </w:r>
      <w:r>
        <w:rPr/>
        <w:t>司的经营管理，力求维护与投资者的顺畅关系，树立公司良好的市场形象。</w:t>
      </w:r>
    </w:p>
    <w:p>
      <w:pPr>
        <w:pStyle w:val="BodyText"/>
        <w:spacing w:line="240" w:lineRule="auto" w:before="34"/>
        <w:ind w:left="542" w:right="109"/>
        <w:jc w:val="left"/>
      </w:pPr>
      <w:r>
        <w:rPr>
          <w:w w:val="95"/>
        </w:rPr>
        <w:t>公司将继续认真做好信息披露工作，确保披露信息的真实、准确、及时、完整，以便于</w:t>
      </w:r>
      <w:r>
        <w:rPr/>
      </w:r>
    </w:p>
    <w:p>
      <w:pPr>
        <w:spacing w:after="0" w:line="240" w:lineRule="auto"/>
        <w:jc w:val="left"/>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9"/>
        <w:jc w:val="left"/>
      </w:pPr>
      <w:r>
        <w:rPr/>
        <w:t>投资者及时、全面地了解公司的经营状况和各项重大事项的进展情况。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ind w:left="542" w:right="109"/>
        <w:jc w:val="left"/>
      </w:pPr>
      <w:r>
        <w:rPr/>
        <w:t>七、其他披露事项</w:t>
      </w:r>
    </w:p>
    <w:p>
      <w:pPr>
        <w:pStyle w:val="BodyText"/>
        <w:spacing w:line="345" w:lineRule="auto" w:before="157"/>
        <w:ind w:right="115" w:firstLine="420"/>
        <w:jc w:val="both"/>
      </w:pPr>
      <w:r>
        <w:rPr>
          <w:spacing w:val="-2"/>
          <w:w w:val="95"/>
        </w:rPr>
        <w:t>报告期内，公司指定信息披露的报纸为《证券时报》、《中国证券报》，指定信息披露</w:t>
      </w:r>
      <w:r>
        <w:rPr>
          <w:w w:val="99"/>
        </w:rPr>
        <w:t> </w:t>
      </w:r>
      <w:r>
        <w:rPr/>
        <w:t>网站为巨潮资讯网（</w:t>
      </w:r>
      <w:hyperlink r:id="rId10">
        <w:r>
          <w:rPr>
            <w:rFonts w:ascii="Times New Roman" w:hAnsi="Times New Roman" w:cs="Times New Roman" w:eastAsia="Times New Roman" w:hint="default"/>
          </w:rPr>
          <w:t>www.cninfo.com.cn</w:t>
        </w:r>
      </w:hyperlink>
      <w:r>
        <w:rPr/>
        <w:t>）。</w:t>
      </w:r>
      <w:r>
        <w:rPr>
          <w:rFonts w:ascii="Times New Roman" w:hAnsi="Times New Roman" w:cs="Times New Roman" w:eastAsia="Times New Roman" w:hint="default"/>
        </w:rPr>
        <w:t>2011 </w:t>
      </w:r>
      <w:r>
        <w:rPr/>
        <w:t>年将在《证券时报》和巨潮资讯网上披露</w:t>
      </w:r>
      <w:r>
        <w:rPr>
          <w:spacing w:val="-91"/>
        </w:rPr>
        <w:t> </w:t>
      </w:r>
      <w:r>
        <w:rPr>
          <w:spacing w:val="-91"/>
        </w:rPr>
      </w:r>
      <w:r>
        <w:rPr/>
        <w:t>公司相关信息。</w:t>
      </w:r>
    </w:p>
    <w:p>
      <w:pPr>
        <w:pStyle w:val="BodyText"/>
        <w:spacing w:line="355" w:lineRule="auto" w:before="43"/>
        <w:ind w:right="121" w:firstLine="420"/>
        <w:jc w:val="both"/>
      </w:pPr>
      <w:r>
        <w:rPr>
          <w:spacing w:val="-5"/>
          <w:w w:val="98"/>
        </w:rPr>
        <w:t>各位董事，过去的一年公司取得的成绩，与各位对公司董事会的信任和支持是分不开的。</w:t>
      </w:r>
      <w:r>
        <w:rPr>
          <w:w w:val="49"/>
        </w:rPr>
        <w:t> </w:t>
      </w:r>
      <w:r>
        <w:rPr>
          <w:spacing w:val="-2"/>
          <w:w w:val="99"/>
        </w:rPr>
        <w:t>新的一年中相信只要有全体股东的一如既往的支持，我们一定会把鼎泰新材的事业做好，为</w:t>
      </w:r>
      <w:r>
        <w:rPr>
          <w:spacing w:val="-86"/>
          <w:w w:val="99"/>
        </w:rPr>
        <w:t> </w:t>
      </w:r>
      <w:r>
        <w:rPr>
          <w:spacing w:val="-86"/>
          <w:w w:val="99"/>
        </w:rPr>
      </w:r>
      <w:r>
        <w:rPr/>
        <w:t>公司、为股东创造更大的财富。</w:t>
      </w:r>
    </w:p>
    <w:p>
      <w:pPr>
        <w:spacing w:after="0" w:line="355" w:lineRule="auto"/>
        <w:jc w:val="both"/>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tabs>
          <w:tab w:pos="1761" w:val="left" w:leader="none"/>
        </w:tabs>
        <w:spacing w:line="539" w:lineRule="exact"/>
        <w:ind w:right="2"/>
        <w:jc w:val="center"/>
      </w:pPr>
      <w:bookmarkStart w:name="_TOC_250003" w:id="7"/>
      <w:r>
        <w:rPr>
          <w:w w:val="95"/>
        </w:rPr>
        <w:t>第八节</w:t>
        <w:tab/>
      </w:r>
      <w:bookmarkEnd w:id="7"/>
      <w:r>
        <w:rPr/>
        <w:t>监事会报告</w:t>
      </w:r>
    </w:p>
    <w:p>
      <w:pPr>
        <w:spacing w:line="240" w:lineRule="auto" w:before="0"/>
        <w:rPr>
          <w:rFonts w:ascii="宋体" w:hAnsi="宋体" w:cs="宋体" w:eastAsia="宋体" w:hint="default"/>
          <w:sz w:val="44"/>
          <w:szCs w:val="44"/>
        </w:rPr>
      </w:pPr>
    </w:p>
    <w:p>
      <w:pPr>
        <w:spacing w:line="240" w:lineRule="auto" w:before="4"/>
        <w:rPr>
          <w:rFonts w:ascii="宋体" w:hAnsi="宋体" w:cs="宋体" w:eastAsia="宋体" w:hint="default"/>
          <w:sz w:val="41"/>
          <w:szCs w:val="41"/>
        </w:rPr>
      </w:pPr>
    </w:p>
    <w:p>
      <w:pPr>
        <w:pStyle w:val="BodyText"/>
        <w:spacing w:line="352" w:lineRule="auto"/>
        <w:ind w:right="117" w:firstLine="420"/>
        <w:jc w:val="both"/>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30"/>
          <w:w w:val="99"/>
        </w:rPr>
        <w:t> </w:t>
      </w:r>
      <w:r>
        <w:rPr>
          <w:spacing w:val="-15"/>
          <w:w w:val="99"/>
        </w:rPr>
        <w:t>年度，公司监事会根据《中华人民共和国公司法》、《证券法》、《公司章程》及《监</w:t>
      </w:r>
      <w:r>
        <w:rPr>
          <w:w w:val="99"/>
        </w:rPr>
        <w:t> </w:t>
      </w:r>
      <w:r>
        <w:rPr>
          <w:spacing w:val="-2"/>
          <w:w w:val="95"/>
        </w:rPr>
        <w:t>事会议事规则》的有关规定，本着对全体股东负责的精神，恪尽职守，认真履行法律、法规</w:t>
      </w:r>
      <w:r>
        <w:rPr>
          <w:spacing w:val="91"/>
          <w:w w:val="95"/>
        </w:rPr>
        <w:t> </w:t>
      </w:r>
      <w:r>
        <w:rPr>
          <w:spacing w:val="91"/>
          <w:w w:val="95"/>
        </w:rPr>
      </w:r>
      <w:r>
        <w:rPr>
          <w:spacing w:val="-2"/>
          <w:w w:val="95"/>
        </w:rPr>
        <w:t>所赋予的各项职权和义务，对公司经营决策程序、依法运作情况、财务状况以及内部管理等</w:t>
      </w:r>
      <w:r>
        <w:rPr>
          <w:spacing w:val="90"/>
          <w:w w:val="95"/>
        </w:rPr>
        <w:t> </w:t>
      </w:r>
      <w:r>
        <w:rPr>
          <w:spacing w:val="90"/>
          <w:w w:val="95"/>
        </w:rPr>
      </w:r>
      <w:r>
        <w:rPr>
          <w:spacing w:val="-2"/>
          <w:w w:val="95"/>
        </w:rPr>
        <w:t>方面进行了核查，并对公司董事、经理层等执行公司职务的行为进行了有效的监督，为企业</w:t>
      </w:r>
      <w:r>
        <w:rPr>
          <w:spacing w:val="89"/>
          <w:w w:val="95"/>
        </w:rPr>
        <w:t> </w:t>
      </w:r>
      <w:r>
        <w:rPr>
          <w:spacing w:val="89"/>
          <w:w w:val="95"/>
        </w:rPr>
      </w:r>
      <w:r>
        <w:rPr/>
        <w:t>的规范运作和发展起到了积极作用。现将</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年度监事会工作情况报告如下：</w:t>
      </w:r>
    </w:p>
    <w:p>
      <w:pPr>
        <w:spacing w:line="240" w:lineRule="auto" w:before="0"/>
        <w:rPr>
          <w:rFonts w:ascii="宋体" w:hAnsi="宋体" w:cs="宋体" w:eastAsia="宋体" w:hint="default"/>
          <w:sz w:val="28"/>
          <w:szCs w:val="28"/>
        </w:rPr>
      </w:pPr>
    </w:p>
    <w:p>
      <w:pPr>
        <w:pStyle w:val="Heading3"/>
        <w:spacing w:line="240" w:lineRule="auto"/>
        <w:ind w:left="602" w:right="109"/>
        <w:jc w:val="left"/>
      </w:pPr>
      <w:r>
        <w:rPr/>
        <w:t>一、报告期内主要工作情况</w:t>
      </w:r>
    </w:p>
    <w:p>
      <w:pPr>
        <w:pStyle w:val="BodyText"/>
        <w:spacing w:line="350" w:lineRule="auto" w:before="155"/>
        <w:ind w:right="121" w:firstLine="42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0"/>
        </w:rPr>
        <w:t> </w:t>
      </w:r>
      <w:r>
        <w:rPr/>
        <w:t>年监事会列席了历次董事会，对董事会执行股东大会的决议、履行义务情况进</w:t>
      </w:r>
      <w:r>
        <w:rPr>
          <w:w w:val="99"/>
        </w:rPr>
        <w:t> </w:t>
      </w:r>
      <w:r>
        <w:rPr>
          <w:spacing w:val="-2"/>
          <w:w w:val="95"/>
        </w:rPr>
        <w:t>行了监督。认为各次董事会决策程序合法，认真执行了股东大会的决议，忠实履行了诚信义</w:t>
      </w:r>
      <w:r>
        <w:rPr>
          <w:spacing w:val="92"/>
          <w:w w:val="95"/>
        </w:rPr>
        <w:t> </w:t>
      </w:r>
      <w:r>
        <w:rPr>
          <w:spacing w:val="92"/>
          <w:w w:val="95"/>
        </w:rPr>
      </w:r>
      <w:r>
        <w:rPr>
          <w:spacing w:val="-2"/>
          <w:w w:val="95"/>
        </w:rPr>
        <w:t>务，公司的内部控制制度基本健全，董事、高级管理人员执行职务过程中无损害公司利益和</w:t>
      </w:r>
      <w:r>
        <w:rPr>
          <w:spacing w:val="90"/>
          <w:w w:val="95"/>
        </w:rPr>
        <w:t> </w:t>
      </w:r>
      <w:r>
        <w:rPr>
          <w:spacing w:val="90"/>
          <w:w w:val="95"/>
        </w:rPr>
      </w:r>
      <w:r>
        <w:rPr/>
        <w:t>侵犯股东权益的行为。</w:t>
      </w:r>
    </w:p>
    <w:p>
      <w:pPr>
        <w:pStyle w:val="BodyText"/>
        <w:spacing w:line="240" w:lineRule="auto" w:before="36"/>
        <w:ind w:left="542" w:right="109"/>
        <w:jc w:val="left"/>
      </w:pPr>
      <w:r>
        <w:rPr>
          <w:rFonts w:ascii="Times New Roman" w:hAnsi="Times New Roman" w:cs="Times New Roman" w:eastAsia="Times New Roman" w:hint="default"/>
        </w:rPr>
        <w:t>2</w:t>
      </w:r>
      <w:r>
        <w:rPr/>
        <w:t>、报告期内，公司监事会共召开七次会议，会议召开情况如下：</w:t>
      </w:r>
    </w:p>
    <w:p>
      <w:pPr>
        <w:pStyle w:val="BodyText"/>
        <w:spacing w:line="240" w:lineRule="auto" w:before="119"/>
        <w:ind w:left="542" w:right="10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日以现场表决的方式召开了第一届监事会第七次会议，</w:t>
      </w:r>
      <w:r>
        <w:rPr>
          <w:rFonts w:ascii="Times New Roman" w:hAnsi="Times New Roman" w:cs="Times New Roman" w:eastAsia="Times New Roman" w:hint="default"/>
          <w:spacing w:val="3"/>
        </w:rPr>
        <w:t>3</w:t>
      </w:r>
    </w:p>
    <w:p>
      <w:pPr>
        <w:pStyle w:val="BodyText"/>
        <w:spacing w:line="343" w:lineRule="auto" w:before="117"/>
        <w:ind w:right="118"/>
        <w:jc w:val="both"/>
      </w:pPr>
      <w:r>
        <w:rPr>
          <w:spacing w:val="-4"/>
        </w:rPr>
        <w:t>名监事参加会议。会议审议通过了《关于聘任深圳市鹏城会计师事务所有限公司为公司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w w:val="99"/>
        </w:rPr>
        <w:t> </w:t>
      </w:r>
      <w:r>
        <w:rPr>
          <w:spacing w:val="2"/>
        </w:rPr>
        <w:t>年度审计机构的议案》、《关于修订</w:t>
      </w:r>
      <w:r>
        <w:rPr>
          <w:rFonts w:ascii="Times New Roman" w:hAnsi="Times New Roman" w:cs="Times New Roman" w:eastAsia="Times New Roman" w:hint="default"/>
          <w:spacing w:val="2"/>
        </w:rPr>
        <w:t>&lt;</w:t>
      </w:r>
      <w:r>
        <w:rPr>
          <w:spacing w:val="2"/>
        </w:rPr>
        <w:t>马鞍山鼎泰稀土新材料股份有限公司章程</w:t>
      </w:r>
      <w:r>
        <w:rPr>
          <w:rFonts w:ascii="Times New Roman" w:hAnsi="Times New Roman" w:cs="Times New Roman" w:eastAsia="Times New Roman" w:hint="default"/>
          <w:spacing w:val="2"/>
        </w:rPr>
        <w:t>&gt;</w:t>
      </w:r>
      <w:r>
        <w:rPr>
          <w:spacing w:val="2"/>
        </w:rPr>
        <w:t>（首次公</w:t>
      </w:r>
      <w:r>
        <w:rPr>
          <w:w w:val="99"/>
        </w:rPr>
        <w:t> </w:t>
      </w:r>
      <w:r>
        <w:rPr>
          <w:w w:val="95"/>
        </w:rPr>
        <w:t>开发行股票并上市前草案）的议案》、《关于修订</w:t>
      </w:r>
      <w:r>
        <w:rPr>
          <w:rFonts w:ascii="Times New Roman" w:hAnsi="Times New Roman" w:cs="Times New Roman" w:eastAsia="Times New Roman" w:hint="default"/>
          <w:w w:val="95"/>
        </w:rPr>
        <w:t>&lt;</w:t>
      </w:r>
      <w:r>
        <w:rPr>
          <w:w w:val="95"/>
        </w:rPr>
        <w:t>马鞍山鼎泰稀土新材料股份有限公司监</w:t>
      </w:r>
      <w:r>
        <w:rPr>
          <w:spacing w:val="1"/>
          <w:w w:val="95"/>
        </w:rPr>
        <w:t> </w:t>
      </w:r>
      <w:r>
        <w:rPr>
          <w:spacing w:val="1"/>
          <w:w w:val="95"/>
        </w:rPr>
      </w:r>
      <w:r>
        <w:rPr>
          <w:spacing w:val="-1"/>
          <w:w w:val="99"/>
        </w:rPr>
        <w:t>事会议事规则</w:t>
      </w:r>
      <w:r>
        <w:rPr>
          <w:rFonts w:ascii="Times New Roman" w:hAnsi="Times New Roman" w:cs="Times New Roman" w:eastAsia="Times New Roman" w:hint="default"/>
          <w:spacing w:val="-1"/>
          <w:w w:val="99"/>
        </w:rPr>
        <w:t>&gt;</w:t>
      </w:r>
      <w:r>
        <w:rPr>
          <w:spacing w:val="-1"/>
          <w:w w:val="99"/>
        </w:rPr>
        <w:t>的议案》、《关于用部分超募资金竞买在北京产权交易所挂牌交易的中国华</w:t>
      </w:r>
      <w:r>
        <w:rPr>
          <w:spacing w:val="-75"/>
          <w:w w:val="99"/>
        </w:rPr>
        <w:t> </w:t>
      </w:r>
      <w:r>
        <w:rPr>
          <w:spacing w:val="-75"/>
          <w:w w:val="99"/>
        </w:rPr>
      </w:r>
      <w:r>
        <w:rPr>
          <w:spacing w:val="-2"/>
          <w:w w:val="95"/>
        </w:rPr>
        <w:t>农资产经营公司所属中水广海钢丝绳厂整体资产的议案》、《关于用部分募集资金置换预先</w:t>
      </w:r>
      <w:r>
        <w:rPr>
          <w:spacing w:val="91"/>
          <w:w w:val="95"/>
        </w:rPr>
        <w:t> </w:t>
      </w:r>
      <w:r>
        <w:rPr>
          <w:spacing w:val="91"/>
          <w:w w:val="95"/>
        </w:rPr>
      </w:r>
      <w:r>
        <w:rPr>
          <w:spacing w:val="-2"/>
          <w:w w:val="95"/>
        </w:rPr>
        <w:t>已投入募投项目的自筹资金的议案》、《关于用部分超募资金偿还银行贷款及补充流动资金</w:t>
      </w:r>
      <w:r>
        <w:rPr>
          <w:spacing w:val="93"/>
          <w:w w:val="95"/>
        </w:rPr>
        <w:t> </w:t>
      </w:r>
      <w:r>
        <w:rPr>
          <w:spacing w:val="93"/>
          <w:w w:val="95"/>
        </w:rPr>
      </w:r>
      <w:r>
        <w:rPr/>
        <w:t>的议案》。</w:t>
      </w:r>
    </w:p>
    <w:p>
      <w:pPr>
        <w:pStyle w:val="BodyText"/>
        <w:spacing w:line="338" w:lineRule="auto" w:before="43"/>
        <w:ind w:right="121" w:firstLine="420"/>
        <w:jc w:val="both"/>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2"/>
        <w:ind w:left="542" w:right="0"/>
        <w:jc w:val="left"/>
      </w:pPr>
      <w:r>
        <w:rPr>
          <w:spacing w:val="-4"/>
        </w:rPr>
        <w:t>（</w:t>
      </w:r>
      <w:r>
        <w:rPr>
          <w:rFonts w:ascii="Times New Roman" w:hAnsi="Times New Roman" w:cs="Times New Roman" w:eastAsia="Times New Roman" w:hint="default"/>
          <w:spacing w:val="-4"/>
        </w:rPr>
        <w:t>2</w:t>
      </w:r>
      <w:r>
        <w:rPr>
          <w:spacing w:val="-4"/>
        </w:rPr>
        <w:t>）公司于</w:t>
      </w:r>
      <w:r>
        <w:rPr>
          <w:spacing w:val="-56"/>
        </w:rPr>
        <w:t> </w:t>
      </w:r>
      <w:r>
        <w:rPr/>
        <w:t>2010</w:t>
      </w:r>
      <w:r>
        <w:rPr>
          <w:spacing w:val="-57"/>
        </w:rPr>
        <w:t> </w:t>
      </w:r>
      <w:r>
        <w:rPr/>
        <w:t>年</w:t>
      </w:r>
      <w:r>
        <w:rPr>
          <w:spacing w:val="-59"/>
        </w:rPr>
        <w:t> </w:t>
      </w:r>
      <w:r>
        <w:rPr/>
        <w:t>4</w:t>
      </w:r>
      <w:r>
        <w:rPr>
          <w:spacing w:val="-57"/>
        </w:rPr>
        <w:t> </w:t>
      </w:r>
      <w:r>
        <w:rPr/>
        <w:t>月</w:t>
      </w:r>
      <w:r>
        <w:rPr>
          <w:spacing w:val="-59"/>
        </w:rPr>
        <w:t> </w:t>
      </w:r>
      <w:r>
        <w:rPr/>
        <w:t>8</w:t>
      </w:r>
      <w:r>
        <w:rPr>
          <w:spacing w:val="-57"/>
        </w:rPr>
        <w:t> </w:t>
      </w:r>
      <w:r>
        <w:rPr/>
        <w:t>日以现场表决的方式召开了第一届监事会第八次会议，3</w:t>
      </w:r>
      <w:r>
        <w:rPr>
          <w:spacing w:val="-57"/>
        </w:rPr>
        <w:t> </w:t>
      </w:r>
      <w:r>
        <w:rPr/>
        <w:t>名</w:t>
      </w:r>
    </w:p>
    <w:p>
      <w:pPr>
        <w:pStyle w:val="BodyText"/>
        <w:spacing w:line="240" w:lineRule="auto" w:before="117"/>
        <w:ind w:right="0"/>
        <w:jc w:val="both"/>
        <w:rPr>
          <w:rFonts w:ascii="Times New Roman" w:hAnsi="Times New Roman" w:cs="Times New Roman" w:eastAsia="Times New Roman" w:hint="default"/>
        </w:rPr>
      </w:pPr>
      <w:r>
        <w:rPr>
          <w:spacing w:val="4"/>
        </w:rPr>
        <w:t>监事参加会议。会议审议通过了《关于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4"/>
        </w:rPr>
        <w:t>年度监事会工作报告的议案》、《关于</w:t>
      </w:r>
      <w:r>
        <w:rPr>
          <w:spacing w:val="-54"/>
        </w:rPr>
        <w:t> </w:t>
      </w:r>
      <w:r>
        <w:rPr>
          <w:rFonts w:ascii="Times New Roman" w:hAnsi="Times New Roman" w:cs="Times New Roman" w:eastAsia="Times New Roman" w:hint="default"/>
        </w:rPr>
        <w:t>2009</w:t>
      </w:r>
    </w:p>
    <w:p>
      <w:pPr>
        <w:pStyle w:val="BodyText"/>
        <w:spacing w:line="240" w:lineRule="auto" w:before="117"/>
        <w:ind w:right="0"/>
        <w:jc w:val="both"/>
      </w:pPr>
      <w:r>
        <w:rPr>
          <w:spacing w:val="-3"/>
        </w:rPr>
        <w:t>年年度报告及其摘要的议案》、《关于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3"/>
        </w:rPr>
        <w:t>年度财务决算报告的议案》、《关于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w:t>
      </w:r>
    </w:p>
    <w:p>
      <w:pPr>
        <w:pStyle w:val="BodyText"/>
        <w:spacing w:line="240" w:lineRule="auto" w:before="119"/>
        <w:ind w:right="0"/>
        <w:jc w:val="both"/>
        <w:rPr>
          <w:rFonts w:ascii="Times New Roman" w:hAnsi="Times New Roman" w:cs="Times New Roman" w:eastAsia="Times New Roman" w:hint="default"/>
        </w:rPr>
      </w:pPr>
      <w:r>
        <w:rPr>
          <w:spacing w:val="4"/>
        </w:rPr>
        <w:t>财务预算报告的议案》、《关于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spacing w:val="4"/>
        </w:rPr>
        <w:t>年度利润分配方案的议案》、《关于经审计的</w:t>
      </w:r>
      <w:r>
        <w:rPr>
          <w:spacing w:val="-50"/>
        </w:rPr>
        <w:t> </w:t>
      </w:r>
      <w:r>
        <w:rPr>
          <w:rFonts w:ascii="Times New Roman" w:hAnsi="Times New Roman" w:cs="Times New Roman" w:eastAsia="Times New Roman" w:hint="default"/>
        </w:rPr>
        <w:t>2009</w:t>
      </w:r>
    </w:p>
    <w:p>
      <w:pPr>
        <w:pStyle w:val="BodyText"/>
        <w:spacing w:line="336" w:lineRule="auto" w:before="117"/>
        <w:ind w:right="121"/>
        <w:jc w:val="both"/>
      </w:pPr>
      <w:r>
        <w:rPr/>
        <w:t>年度财务会计报告的议案》、《关于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年度内部控制自我评价报告的议案》、《关于修</w:t>
      </w:r>
      <w:r>
        <w:rPr>
          <w:w w:val="99"/>
        </w:rPr>
        <w:t> </w:t>
      </w:r>
      <w:r>
        <w:rPr/>
        <w:t>订</w:t>
      </w:r>
      <w:r>
        <w:rPr>
          <w:rFonts w:ascii="Times New Roman" w:hAnsi="Times New Roman" w:cs="Times New Roman" w:eastAsia="Times New Roman" w:hint="default"/>
        </w:rPr>
        <w:t>&lt;</w:t>
      </w:r>
      <w:r>
        <w:rPr/>
        <w:t>马鞍山鼎泰稀土新材料股份有限公司章程</w:t>
      </w:r>
      <w:r>
        <w:rPr>
          <w:rFonts w:ascii="Times New Roman" w:hAnsi="Times New Roman" w:cs="Times New Roman" w:eastAsia="Times New Roman" w:hint="default"/>
        </w:rPr>
        <w:t>&gt;</w:t>
      </w:r>
      <w:r>
        <w:rPr/>
        <w:t>的议案》。</w:t>
      </w:r>
    </w:p>
    <w:p>
      <w:pPr>
        <w:pStyle w:val="BodyText"/>
        <w:spacing w:line="336" w:lineRule="auto" w:before="24"/>
        <w:ind w:right="121" w:firstLine="420"/>
        <w:jc w:val="both"/>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spacing w:after="0" w:line="336" w:lineRule="auto"/>
        <w:jc w:val="both"/>
        <w:sectPr>
          <w:pgSz w:w="11910" w:h="16840"/>
          <w:pgMar w:header="206" w:footer="738" w:top="940" w:bottom="92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42"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3</w:t>
      </w:r>
      <w:r>
        <w:rPr>
          <w:spacing w:val="3"/>
        </w:rPr>
        <w:t>）公司于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3"/>
        </w:rPr>
        <w:t>日以通讯表决的方式召开了第一届监事会第九次会议，</w:t>
      </w:r>
      <w:r>
        <w:rPr>
          <w:rFonts w:ascii="Times New Roman" w:hAnsi="Times New Roman" w:cs="Times New Roman" w:eastAsia="Times New Roman" w:hint="default"/>
          <w:spacing w:val="3"/>
        </w:rPr>
        <w:t>3</w:t>
      </w:r>
    </w:p>
    <w:p>
      <w:pPr>
        <w:pStyle w:val="BodyText"/>
        <w:spacing w:line="338" w:lineRule="auto" w:before="115"/>
        <w:ind w:right="213"/>
        <w:jc w:val="left"/>
      </w:pPr>
      <w:r>
        <w:rPr/>
        <w:t>名监事参与表决。会议审议通过了《马鞍山鼎泰稀土新材料股份有限公司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年第一季度</w:t>
      </w:r>
      <w:r>
        <w:rPr>
          <w:w w:val="99"/>
        </w:rPr>
        <w:t> </w:t>
      </w:r>
      <w:r>
        <w:rPr/>
        <w:t>报告》。</w:t>
      </w:r>
    </w:p>
    <w:p>
      <w:pPr>
        <w:pStyle w:val="BodyText"/>
        <w:spacing w:line="240" w:lineRule="auto" w:before="47"/>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年第一季度报告》刊登在</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日的《证券时报》、《中国证券报》和巨潮资讯网</w:t>
      </w:r>
      <w:r>
        <w:rPr>
          <w:spacing w:val="-45"/>
        </w:rPr>
        <w:t> </w:t>
      </w:r>
      <w:hyperlink r:id="rId10">
        <w:r>
          <w:rPr>
            <w:rFonts w:ascii="Times New Roman" w:hAnsi="Times New Roman" w:cs="Times New Roman" w:eastAsia="Times New Roman" w:hint="default"/>
          </w:rPr>
          <w:t>http://www.cninfo.com.cn</w:t>
        </w:r>
      </w:hyperlink>
    </w:p>
    <w:p>
      <w:pPr>
        <w:pStyle w:val="BodyText"/>
        <w:spacing w:line="240" w:lineRule="auto" w:before="117"/>
        <w:ind w:right="0"/>
        <w:jc w:val="both"/>
      </w:pPr>
      <w:r>
        <w:rPr/>
        <w:t>上。</w:t>
      </w:r>
    </w:p>
    <w:p>
      <w:pPr>
        <w:pStyle w:val="BodyText"/>
        <w:spacing w:line="345" w:lineRule="auto" w:before="135"/>
        <w:ind w:right="218" w:firstLine="420"/>
        <w:jc w:val="both"/>
      </w:pPr>
      <w:r>
        <w:rPr>
          <w:spacing w:val="3"/>
        </w:rPr>
        <w:t>（</w:t>
      </w:r>
      <w:r>
        <w:rPr>
          <w:rFonts w:ascii="Times New Roman" w:hAnsi="Times New Roman" w:cs="Times New Roman" w:eastAsia="Times New Roman" w:hint="default"/>
          <w:spacing w:val="3"/>
        </w:rPr>
        <w:t>4</w:t>
      </w:r>
      <w:r>
        <w:rPr>
          <w:spacing w:val="3"/>
        </w:rPr>
        <w:t>）公司于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日以现场表决的方式召开了第一届监事会第十次会议，</w:t>
      </w:r>
      <w:r>
        <w:rPr>
          <w:rFonts w:ascii="Times New Roman" w:hAnsi="Times New Roman" w:cs="Times New Roman" w:eastAsia="Times New Roman" w:hint="default"/>
          <w:spacing w:val="3"/>
        </w:rPr>
        <w:t>3</w:t>
      </w:r>
      <w:r>
        <w:rPr>
          <w:rFonts w:ascii="Times New Roman" w:hAnsi="Times New Roman" w:cs="Times New Roman" w:eastAsia="Times New Roman" w:hint="default"/>
          <w:w w:val="99"/>
        </w:rPr>
        <w:t> </w:t>
      </w:r>
      <w:r>
        <w:rPr>
          <w:spacing w:val="-2"/>
          <w:w w:val="95"/>
        </w:rPr>
        <w:t>名监事参加会议。会议审议通过了《关于用部分募集资金置换预先已投入募投项目的自筹资</w:t>
      </w:r>
      <w:r>
        <w:rPr>
          <w:spacing w:val="93"/>
          <w:w w:val="95"/>
        </w:rPr>
        <w:t> </w:t>
      </w:r>
      <w:r>
        <w:rPr>
          <w:spacing w:val="93"/>
          <w:w w:val="95"/>
        </w:rPr>
      </w:r>
      <w:r>
        <w:rPr/>
        <w:t>金的议案》、《关于用部分超募资金偿还银行贷款及补充流动资金的议案》。</w:t>
      </w:r>
    </w:p>
    <w:p>
      <w:pPr>
        <w:pStyle w:val="BodyText"/>
        <w:spacing w:line="338" w:lineRule="auto" w:before="40"/>
        <w:ind w:right="21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2"/>
        <w:ind w:left="542" w:right="0"/>
        <w:jc w:val="left"/>
      </w:pPr>
      <w:r>
        <w:rPr/>
        <w:t>（</w:t>
      </w:r>
      <w:r>
        <w:rPr>
          <w:rFonts w:ascii="Times New Roman" w:hAnsi="Times New Roman" w:cs="Times New Roman" w:eastAsia="Times New Roman" w:hint="default"/>
        </w:rPr>
        <w:t>5</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日以现场表决的方式召开了第一届监事会第十一次会议，</w:t>
      </w:r>
    </w:p>
    <w:p>
      <w:pPr>
        <w:pStyle w:val="BodyText"/>
        <w:spacing w:line="336" w:lineRule="auto" w:before="117"/>
        <w:ind w:right="22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4"/>
        </w:rPr>
        <w:t>名监事参加会议。会议审议通过了《关于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7"/>
        </w:rPr>
        <w:t>年半年度报告及摘要的议案》、《关于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w w:val="99"/>
        </w:rPr>
        <w:t> </w:t>
      </w:r>
      <w:r>
        <w:rPr>
          <w:w w:val="95"/>
        </w:rPr>
        <w:t>年半年度利润分配预案的议案》、《关于修订</w:t>
      </w:r>
      <w:r>
        <w:rPr>
          <w:rFonts w:ascii="Times New Roman" w:hAnsi="Times New Roman" w:cs="Times New Roman" w:eastAsia="Times New Roman" w:hint="default"/>
          <w:w w:val="95"/>
        </w:rPr>
        <w:t>&lt;</w:t>
      </w:r>
      <w:r>
        <w:rPr>
          <w:w w:val="95"/>
        </w:rPr>
        <w:t>马鞍山鼎泰稀土新材料股份有限公司公司章</w:t>
      </w:r>
      <w:r>
        <w:rPr>
          <w:spacing w:val="97"/>
          <w:w w:val="95"/>
        </w:rPr>
        <w:t> </w:t>
      </w:r>
      <w:r>
        <w:rPr>
          <w:spacing w:val="97"/>
          <w:w w:val="95"/>
        </w:rPr>
      </w:r>
      <w:r>
        <w:rPr>
          <w:spacing w:val="2"/>
        </w:rPr>
        <w:t>程</w:t>
      </w:r>
      <w:r>
        <w:rPr>
          <w:rFonts w:ascii="Times New Roman" w:hAnsi="Times New Roman" w:cs="Times New Roman" w:eastAsia="Times New Roman" w:hint="default"/>
          <w:spacing w:val="2"/>
        </w:rPr>
        <w:t>&gt;</w:t>
      </w:r>
      <w:r>
        <w:rPr>
          <w:spacing w:val="2"/>
        </w:rPr>
        <w:t>的议案》、《关于召集马鞍山鼎泰稀土新材料股份有限公司</w:t>
      </w:r>
      <w:r>
        <w:rPr>
          <w:spacing w:val="-3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spacing w:val="2"/>
        </w:rPr>
        <w:t>年度第二次临时股东</w:t>
      </w:r>
      <w:r>
        <w:rPr>
          <w:w w:val="99"/>
        </w:rPr>
        <w:t> </w:t>
      </w:r>
      <w:r>
        <w:rPr/>
        <w:t>大会的议案》。</w:t>
      </w:r>
    </w:p>
    <w:p>
      <w:pPr>
        <w:pStyle w:val="BodyText"/>
        <w:spacing w:line="336" w:lineRule="auto" w:before="51"/>
        <w:ind w:right="216" w:firstLine="420"/>
        <w:jc w:val="left"/>
      </w:pPr>
      <w:r>
        <w:rPr/>
        <w:t>本次会议决议公告刊登在</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5"/>
        </w:rPr>
        <w:t>日的《证券时报》、《中国证券报》和巨潮资</w:t>
      </w:r>
      <w:r>
        <w:rPr>
          <w:w w:val="99"/>
        </w:rPr>
        <w:t> </w:t>
      </w:r>
      <w:r>
        <w:rPr/>
        <w:t>讯网</w:t>
      </w:r>
      <w:r>
        <w:rPr>
          <w:spacing w:val="-60"/>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BodyText"/>
        <w:spacing w:line="240" w:lineRule="auto" w:before="24"/>
        <w:ind w:left="542" w:right="0"/>
        <w:jc w:val="left"/>
      </w:pPr>
      <w:r>
        <w:rPr/>
        <w:t>（</w:t>
      </w:r>
      <w:r>
        <w:rPr>
          <w:rFonts w:ascii="Times New Roman" w:hAnsi="Times New Roman" w:cs="Times New Roman" w:eastAsia="Times New Roman" w:hint="default"/>
        </w:rPr>
        <w:t>6</w:t>
      </w:r>
      <w:r>
        <w:rPr/>
        <w:t>）公司于</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w:t>
      </w:r>
      <w:r>
        <w:rPr>
          <w:spacing w:val="-69"/>
        </w:rPr>
        <w:t>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t>日以通讯表决的方式召开了第一届监事会第十二次会议，</w:t>
      </w:r>
    </w:p>
    <w:p>
      <w:pPr>
        <w:pStyle w:val="BodyText"/>
        <w:spacing w:line="240" w:lineRule="auto" w:before="117"/>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名监事参与表决。会议审议通过了《关于公司</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0"/>
        </w:rPr>
        <w:t> </w:t>
      </w:r>
      <w:r>
        <w:rPr/>
        <w:t>年第三季度报告全文及正文的议案》。</w:t>
      </w:r>
    </w:p>
    <w:p>
      <w:pPr>
        <w:pStyle w:val="BodyText"/>
        <w:spacing w:line="240" w:lineRule="auto" w:before="119"/>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年第三季度报告》刊登在</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4"/>
        </w:rPr>
        <w:t>日的《证券时报》、《中国证券报》和巨潮资讯网</w:t>
      </w:r>
      <w:r>
        <w:rPr>
          <w:spacing w:val="-54"/>
        </w:rPr>
        <w:t> </w:t>
      </w:r>
      <w:hyperlink r:id="rId10">
        <w:r>
          <w:rPr>
            <w:rFonts w:ascii="Times New Roman" w:hAnsi="Times New Roman" w:cs="Times New Roman" w:eastAsia="Times New Roman" w:hint="default"/>
          </w:rPr>
          <w:t>http://www.cninfo.com.cn</w:t>
        </w:r>
      </w:hyperlink>
    </w:p>
    <w:p>
      <w:pPr>
        <w:pStyle w:val="BodyText"/>
        <w:spacing w:line="240" w:lineRule="auto" w:before="117"/>
        <w:ind w:right="0"/>
        <w:jc w:val="both"/>
      </w:pPr>
      <w:r>
        <w:rPr/>
        <w:t>上。</w:t>
      </w:r>
    </w:p>
    <w:p>
      <w:pPr>
        <w:pStyle w:val="BodyText"/>
        <w:spacing w:line="240" w:lineRule="auto" w:before="135"/>
        <w:ind w:left="542" w:right="0"/>
        <w:jc w:val="left"/>
      </w:pPr>
      <w:r>
        <w:rPr/>
        <w:t>（</w:t>
      </w:r>
      <w:r>
        <w:rPr>
          <w:rFonts w:ascii="Times New Roman" w:hAnsi="Times New Roman" w:cs="Times New Roman" w:eastAsia="Times New Roman" w:hint="default"/>
        </w:rPr>
        <w:t>7</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日以现场表决的方式召开了第一届监事会第十三次会议，</w:t>
      </w:r>
    </w:p>
    <w:p>
      <w:pPr>
        <w:pStyle w:val="BodyText"/>
        <w:spacing w:line="240" w:lineRule="auto" w:before="117"/>
        <w:ind w:right="0"/>
        <w:jc w:val="both"/>
      </w:pPr>
      <w:r>
        <w:rPr>
          <w:rFonts w:ascii="Times New Roman" w:hAnsi="Times New Roman" w:cs="Times New Roman" w:eastAsia="Times New Roman" w:hint="default"/>
          <w:w w:val="95"/>
        </w:rPr>
        <w:t>3       </w:t>
      </w:r>
      <w:r>
        <w:rPr>
          <w:rFonts w:ascii="Times New Roman" w:hAnsi="Times New Roman" w:cs="Times New Roman" w:eastAsia="Times New Roman" w:hint="default"/>
          <w:spacing w:val="11"/>
          <w:w w:val="95"/>
        </w:rPr>
        <w:t> </w:t>
      </w:r>
      <w:r>
        <w:rPr>
          <w:w w:val="95"/>
        </w:rPr>
        <w:t>名监事参加会议。会议审议通过了《关于公司拟用部分超募资金参与竞买土地使用权的议</w:t>
      </w:r>
      <w:r>
        <w:rPr/>
      </w:r>
    </w:p>
    <w:p>
      <w:pPr>
        <w:pStyle w:val="BodyText"/>
        <w:spacing w:line="240" w:lineRule="auto" w:before="117"/>
        <w:ind w:right="0"/>
        <w:jc w:val="both"/>
      </w:pPr>
      <w:r>
        <w:rPr>
          <w:spacing w:val="2"/>
          <w:w w:val="99"/>
        </w:rPr>
        <w:t>案</w:t>
      </w:r>
      <w:r>
        <w:rPr>
          <w:spacing w:val="-106"/>
          <w:w w:val="99"/>
        </w:rPr>
        <w:t>》</w:t>
      </w:r>
      <w:r>
        <w:rPr>
          <w:spacing w:val="-104"/>
          <w:w w:val="99"/>
        </w:rPr>
        <w:t>、</w:t>
      </w:r>
      <w:r>
        <w:rPr>
          <w:spacing w:val="2"/>
          <w:w w:val="99"/>
        </w:rPr>
        <w:t>《</w:t>
      </w:r>
      <w:r>
        <w:rPr>
          <w:w w:val="99"/>
        </w:rPr>
        <w:t>关</w:t>
      </w:r>
      <w:r>
        <w:rPr>
          <w:spacing w:val="2"/>
          <w:w w:val="99"/>
        </w:rPr>
        <w:t>于</w:t>
      </w:r>
      <w:r>
        <w:rPr>
          <w:w w:val="99"/>
        </w:rPr>
        <w:t>召</w:t>
      </w:r>
      <w:r>
        <w:rPr>
          <w:spacing w:val="2"/>
          <w:w w:val="99"/>
        </w:rPr>
        <w:t>集</w:t>
      </w:r>
      <w:r>
        <w:rPr>
          <w:w w:val="99"/>
        </w:rPr>
        <w:t>公司</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第</w:t>
      </w:r>
      <w:r>
        <w:rPr>
          <w:w w:val="99"/>
        </w:rPr>
        <w:t>三</w:t>
      </w:r>
      <w:r>
        <w:rPr>
          <w:spacing w:val="2"/>
          <w:w w:val="99"/>
        </w:rPr>
        <w:t>次</w:t>
      </w:r>
      <w:r>
        <w:rPr>
          <w:w w:val="99"/>
        </w:rPr>
        <w:t>临</w:t>
      </w:r>
      <w:r>
        <w:rPr>
          <w:spacing w:val="2"/>
          <w:w w:val="99"/>
        </w:rPr>
        <w:t>时</w:t>
      </w:r>
      <w:r>
        <w:rPr>
          <w:w w:val="99"/>
        </w:rPr>
        <w:t>股</w:t>
      </w:r>
      <w:r>
        <w:rPr>
          <w:spacing w:val="2"/>
          <w:w w:val="99"/>
        </w:rPr>
        <w:t>东</w:t>
      </w:r>
      <w:r>
        <w:rPr>
          <w:w w:val="99"/>
        </w:rPr>
        <w:t>大</w:t>
      </w:r>
      <w:r>
        <w:rPr>
          <w:spacing w:val="2"/>
          <w:w w:val="99"/>
        </w:rPr>
        <w:t>会</w:t>
      </w:r>
      <w:r>
        <w:rPr>
          <w:w w:val="99"/>
        </w:rPr>
        <w:t>的</w:t>
      </w:r>
      <w:r>
        <w:rPr>
          <w:spacing w:val="2"/>
          <w:w w:val="99"/>
        </w:rPr>
        <w:t>议案</w:t>
      </w:r>
      <w:r>
        <w:rPr>
          <w:spacing w:val="-106"/>
          <w:w w:val="99"/>
        </w:rPr>
        <w:t>》</w:t>
      </w:r>
      <w:r>
        <w:rPr>
          <w:w w:val="99"/>
        </w:rPr>
        <w:t>。</w:t>
      </w:r>
      <w:r>
        <w:rPr/>
      </w:r>
    </w:p>
    <w:p>
      <w:pPr>
        <w:pStyle w:val="BodyText"/>
        <w:spacing w:line="336" w:lineRule="auto" w:before="117"/>
        <w:ind w:right="221" w:firstLine="420"/>
        <w:jc w:val="left"/>
      </w:pPr>
      <w:r>
        <w:rPr/>
        <w:t>本次会议决议公告刊登在</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日的《证券时报》、《中国证券报》和巨潮</w:t>
      </w:r>
      <w:r>
        <w:rPr>
          <w:w w:val="99"/>
        </w:rPr>
        <w:t> </w:t>
      </w:r>
      <w:r>
        <w:rPr/>
        <w:t>资讯网</w:t>
      </w:r>
      <w:r>
        <w:rPr>
          <w:spacing w:val="-61"/>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7"/>
        </w:rPr>
        <w:t> </w:t>
      </w:r>
      <w:r>
        <w:rPr/>
        <w:t>上。</w:t>
      </w:r>
    </w:p>
    <w:p>
      <w:pPr>
        <w:spacing w:line="240" w:lineRule="auto" w:before="3"/>
        <w:rPr>
          <w:rFonts w:ascii="宋体" w:hAnsi="宋体" w:cs="宋体" w:eastAsia="宋体" w:hint="default"/>
          <w:sz w:val="29"/>
          <w:szCs w:val="29"/>
        </w:rPr>
      </w:pPr>
    </w:p>
    <w:p>
      <w:pPr>
        <w:pStyle w:val="Heading3"/>
        <w:spacing w:line="240" w:lineRule="auto"/>
        <w:ind w:left="602" w:right="0"/>
        <w:jc w:val="left"/>
      </w:pPr>
      <w:r>
        <w:rPr/>
        <w:t>二、监事会对有关事项的独立意见</w:t>
      </w:r>
    </w:p>
    <w:p>
      <w:pPr>
        <w:pStyle w:val="BodyText"/>
        <w:spacing w:line="336" w:lineRule="auto" w:before="157"/>
        <w:ind w:left="542" w:right="0"/>
        <w:jc w:val="left"/>
      </w:pPr>
      <w:r>
        <w:rPr>
          <w:rFonts w:ascii="Times New Roman" w:hAnsi="Times New Roman" w:cs="Times New Roman" w:eastAsia="Times New Roman" w:hint="default"/>
        </w:rPr>
        <w:t>1</w:t>
      </w:r>
      <w:r>
        <w:rPr/>
        <w:t>、公司依法运作情况</w:t>
      </w:r>
      <w:r>
        <w:rPr>
          <w:w w:val="99"/>
        </w:rPr>
        <w:t> </w:t>
      </w:r>
      <w:r>
        <w:rPr>
          <w:spacing w:val="-2"/>
          <w:w w:val="95"/>
        </w:rPr>
        <w:t>公司监事会严格按照《公司法》、《公司章程》等的规定，认真履行职责，积极参加股</w:t>
      </w:r>
      <w:r>
        <w:rPr>
          <w:spacing w:val="-2"/>
        </w:rPr>
      </w:r>
    </w:p>
    <w:p>
      <w:pPr>
        <w:pStyle w:val="BodyText"/>
        <w:spacing w:line="338" w:lineRule="auto" w:before="49"/>
        <w:ind w:right="215"/>
        <w:jc w:val="left"/>
      </w:pPr>
      <w:r>
        <w:rPr/>
        <w:t>东大会，列席董事会会议，对公司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年依法运作进行监督，认为：公司正不断健全和完</w:t>
      </w:r>
      <w:r>
        <w:rPr>
          <w:w w:val="99"/>
        </w:rPr>
        <w:t> </w:t>
      </w:r>
      <w:r>
        <w:rPr>
          <w:w w:val="95"/>
        </w:rPr>
        <w:t>善内部控制制度；董事会运作规范、决策合理、程序合法，认真执行股东大会的各项决议，</w:t>
      </w:r>
      <w:r>
        <w:rPr/>
      </w:r>
    </w:p>
    <w:p>
      <w:pPr>
        <w:spacing w:after="0" w:line="338" w:lineRule="auto"/>
        <w:jc w:val="left"/>
        <w:sectPr>
          <w:pgSz w:w="11910" w:h="16840"/>
          <w:pgMar w:header="206" w:footer="738" w:top="940" w:bottom="920" w:left="1680" w:right="15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right="0"/>
        <w:jc w:val="left"/>
      </w:pPr>
      <w:r>
        <w:rPr>
          <w:spacing w:val="-5"/>
          <w:w w:val="99"/>
        </w:rPr>
        <w:t>忠实履行了诚信义务；公司董事、高级管理人员执行公司职务时不存在违反法律、法规、《公</w:t>
      </w:r>
      <w:r>
        <w:rPr>
          <w:spacing w:val="-69"/>
          <w:w w:val="99"/>
        </w:rPr>
        <w:t> </w:t>
      </w:r>
      <w:r>
        <w:rPr>
          <w:spacing w:val="-69"/>
          <w:w w:val="99"/>
        </w:rPr>
      </w:r>
      <w:r>
        <w:rPr/>
        <w:t>司章程》或损害公司利益的行为。</w:t>
      </w:r>
    </w:p>
    <w:p>
      <w:pPr>
        <w:pStyle w:val="BodyText"/>
        <w:spacing w:line="240" w:lineRule="auto" w:before="34"/>
        <w:ind w:left="542" w:right="185"/>
        <w:jc w:val="left"/>
      </w:pPr>
      <w:r>
        <w:rPr>
          <w:rFonts w:ascii="Times New Roman" w:hAnsi="Times New Roman" w:cs="Times New Roman" w:eastAsia="Times New Roman" w:hint="default"/>
        </w:rPr>
        <w:t>2</w:t>
      </w:r>
      <w:r>
        <w:rPr/>
        <w:t>、检查公司财务的情况</w:t>
      </w:r>
    </w:p>
    <w:p>
      <w:pPr>
        <w:pStyle w:val="BodyText"/>
        <w:spacing w:line="345" w:lineRule="auto" w:before="117"/>
        <w:ind w:right="201" w:firstLine="420"/>
        <w:jc w:val="both"/>
      </w:pPr>
      <w:r>
        <w:rPr/>
        <w:t>对</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年度公司的财务状况和财务成果等进行了有效的监督、检查和审核，认为：公</w:t>
      </w:r>
      <w:r>
        <w:rPr>
          <w:w w:val="99"/>
        </w:rPr>
        <w:t> </w:t>
      </w:r>
      <w:r>
        <w:rPr>
          <w:spacing w:val="-2"/>
          <w:w w:val="95"/>
        </w:rPr>
        <w:t>司财务制度健全、内控制度完善，财务运作规范、财务状况良好。财务报告真实、客观地反</w:t>
      </w:r>
      <w:r>
        <w:rPr>
          <w:spacing w:val="91"/>
          <w:w w:val="95"/>
        </w:rPr>
        <w:t> </w:t>
      </w:r>
      <w:r>
        <w:rPr>
          <w:spacing w:val="91"/>
          <w:w w:val="95"/>
        </w:rPr>
      </w:r>
      <w:r>
        <w:rPr/>
        <w:t>映了公司的财务状况和经营成果。</w:t>
      </w:r>
    </w:p>
    <w:p>
      <w:pPr>
        <w:pStyle w:val="BodyText"/>
        <w:spacing w:line="352" w:lineRule="auto" w:before="43"/>
        <w:ind w:right="201" w:firstLine="420"/>
        <w:jc w:val="both"/>
      </w:pPr>
      <w:r>
        <w:rPr>
          <w:rFonts w:ascii="Times New Roman" w:hAnsi="Times New Roman" w:cs="Times New Roman" w:eastAsia="Times New Roman" w:hint="default"/>
        </w:rPr>
        <w:t>3</w:t>
      </w:r>
      <w:r>
        <w:rPr/>
        <w:t>、对董事会关于公司</w:t>
      </w:r>
      <w:r>
        <w:rPr>
          <w:rFonts w:ascii="Times New Roman" w:hAnsi="Times New Roman" w:cs="Times New Roman" w:eastAsia="Times New Roman" w:hint="default"/>
        </w:rPr>
        <w:t>2010</w:t>
      </w:r>
      <w:r>
        <w:rPr/>
        <w:t>年度内部控制的自我评价报告、公司内部控制制度的建设和</w:t>
      </w:r>
      <w:r>
        <w:rPr>
          <w:w w:val="99"/>
        </w:rPr>
        <w:t> </w:t>
      </w:r>
      <w:r>
        <w:rPr>
          <w:spacing w:val="-2"/>
          <w:w w:val="99"/>
        </w:rPr>
        <w:t>运行情况进行了审核，认为：公司建立了较为完善的内部控制体系，并能得到有效执行；内</w:t>
      </w:r>
      <w:r>
        <w:rPr>
          <w:spacing w:val="-86"/>
          <w:w w:val="99"/>
        </w:rPr>
        <w:t> </w:t>
      </w:r>
      <w:r>
        <w:rPr>
          <w:spacing w:val="-86"/>
          <w:w w:val="99"/>
        </w:rPr>
      </w:r>
      <w:r>
        <w:rPr>
          <w:spacing w:val="-2"/>
          <w:w w:val="99"/>
        </w:rPr>
        <w:t>部控制体系符合国家相关法律法规要求以及公司实际需要，对公司经营管理起到了较好的风</w:t>
      </w:r>
      <w:r>
        <w:rPr>
          <w:spacing w:val="-84"/>
          <w:w w:val="99"/>
        </w:rPr>
        <w:t> </w:t>
      </w:r>
      <w:r>
        <w:rPr>
          <w:spacing w:val="-84"/>
          <w:w w:val="99"/>
        </w:rPr>
      </w:r>
      <w:r>
        <w:rPr>
          <w:spacing w:val="-2"/>
          <w:w w:val="95"/>
        </w:rPr>
        <w:t>险防范和控制作用。公司内部控制自我评价报告真实、客观地反映了公司内部控制制度的建</w:t>
      </w:r>
      <w:r>
        <w:rPr>
          <w:spacing w:val="94"/>
          <w:w w:val="95"/>
        </w:rPr>
        <w:t> </w:t>
      </w:r>
      <w:r>
        <w:rPr>
          <w:spacing w:val="94"/>
          <w:w w:val="95"/>
        </w:rPr>
      </w:r>
      <w:r>
        <w:rPr/>
        <w:t>设及运行情况。</w:t>
      </w:r>
    </w:p>
    <w:p>
      <w:pPr>
        <w:pStyle w:val="BodyText"/>
        <w:spacing w:line="336" w:lineRule="auto" w:before="34"/>
        <w:ind w:left="542" w:right="185"/>
        <w:jc w:val="left"/>
      </w:pPr>
      <w:r>
        <w:rPr>
          <w:rFonts w:ascii="Times New Roman" w:hAnsi="Times New Roman" w:cs="Times New Roman" w:eastAsia="Times New Roman" w:hint="default"/>
        </w:rPr>
        <w:t>4</w:t>
      </w:r>
      <w:r>
        <w:rPr/>
        <w:t>、募集资金使用情况</w:t>
      </w:r>
      <w:r>
        <w:rPr>
          <w:w w:val="99"/>
        </w:rPr>
        <w:t> </w:t>
      </w:r>
      <w:r>
        <w:rPr>
          <w:spacing w:val="-2"/>
          <w:w w:val="95"/>
        </w:rPr>
        <w:t>报告期内，监事会对募集资金的使用和管理进行了监督检查。本次募集资金实际投入项</w:t>
      </w:r>
      <w:r>
        <w:rPr>
          <w:spacing w:val="-2"/>
        </w:rPr>
      </w:r>
    </w:p>
    <w:p>
      <w:pPr>
        <w:pStyle w:val="BodyText"/>
        <w:spacing w:line="355" w:lineRule="auto" w:before="49"/>
        <w:ind w:right="185"/>
        <w:jc w:val="left"/>
      </w:pPr>
      <w:r>
        <w:rPr>
          <w:spacing w:val="-2"/>
          <w:w w:val="95"/>
        </w:rPr>
        <w:t>目与承诺投入项目一致，无变更募集资金投资项目的情形。在募集资金管理上，能严格按照</w:t>
      </w:r>
      <w:r>
        <w:rPr>
          <w:spacing w:val="90"/>
          <w:w w:val="95"/>
        </w:rPr>
        <w:t> </w:t>
      </w:r>
      <w:r>
        <w:rPr>
          <w:spacing w:val="90"/>
          <w:w w:val="95"/>
        </w:rPr>
      </w:r>
      <w:r>
        <w:rPr/>
        <w:t>公司《募集资金管理办法》执行。</w:t>
      </w:r>
    </w:p>
    <w:p>
      <w:pPr>
        <w:pStyle w:val="BodyText"/>
        <w:spacing w:line="338" w:lineRule="auto" w:before="32"/>
        <w:ind w:left="542" w:right="194"/>
        <w:jc w:val="left"/>
      </w:pPr>
      <w:r>
        <w:rPr>
          <w:rFonts w:ascii="Times New Roman" w:hAnsi="Times New Roman" w:cs="Times New Roman" w:eastAsia="Times New Roman" w:hint="default"/>
        </w:rPr>
        <w:t>5</w:t>
      </w:r>
      <w:r>
        <w:rPr/>
        <w:t>、公司收购、出售资产交易情况</w:t>
      </w:r>
      <w:r>
        <w:rPr>
          <w:w w:val="99"/>
        </w:rPr>
        <w:t> </w:t>
      </w:r>
      <w:r>
        <w:rPr/>
        <w:t>报告期内，公司收购、出售资产交易情况详见“第九节</w:t>
      </w:r>
      <w:r>
        <w:rPr>
          <w:spacing w:val="-5"/>
        </w:rPr>
        <w:t> </w:t>
      </w:r>
      <w:r>
        <w:rPr/>
        <w:t>重要事项、二、重大收购及出</w:t>
      </w:r>
    </w:p>
    <w:p>
      <w:pPr>
        <w:pStyle w:val="BodyText"/>
        <w:spacing w:line="336" w:lineRule="auto" w:before="47"/>
        <w:ind w:right="189"/>
        <w:jc w:val="left"/>
      </w:pPr>
      <w:r>
        <w:rPr/>
        <w:t>售资产、企业合并事项、</w:t>
      </w:r>
      <w:r>
        <w:rPr>
          <w:rFonts w:ascii="Times New Roman" w:hAnsi="Times New Roman" w:cs="Times New Roman" w:eastAsia="Times New Roman" w:hint="default"/>
        </w:rPr>
        <w:t>1</w:t>
      </w:r>
      <w:r>
        <w:rPr/>
        <w:t>、公司资产购买情况”。此次交易是在双方平等、自愿的基础上</w:t>
      </w:r>
      <w:r>
        <w:rPr>
          <w:w w:val="99"/>
        </w:rPr>
        <w:t> </w:t>
      </w:r>
      <w:r>
        <w:rPr/>
        <w:t>进行的，交易价格合理，无损害股东权益或造成公司资产流失情况发生。</w:t>
      </w:r>
    </w:p>
    <w:p>
      <w:pPr>
        <w:spacing w:after="0" w:line="336" w:lineRule="auto"/>
        <w:jc w:val="left"/>
        <w:sectPr>
          <w:pgSz w:w="11910" w:h="16840"/>
          <w:pgMar w:header="206" w:footer="738" w:top="940" w:bottom="920" w:left="1680" w:right="16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4923" w:val="left" w:leader="none"/>
        </w:tabs>
        <w:spacing w:line="589" w:lineRule="exact" w:before="0"/>
        <w:ind w:left="3378" w:right="649" w:firstLine="0"/>
        <w:jc w:val="left"/>
        <w:rPr>
          <w:rFonts w:ascii="Microsoft JhengHei" w:hAnsi="Microsoft JhengHei" w:cs="Microsoft JhengHei" w:eastAsia="Microsoft JhengHei" w:hint="default"/>
          <w:sz w:val="44"/>
          <w:szCs w:val="44"/>
        </w:rPr>
      </w:pPr>
      <w:bookmarkStart w:name="_TOC_250002" w:id="8"/>
      <w:r>
        <w:rPr>
          <w:rFonts w:ascii="Microsoft JhengHei" w:hAnsi="Microsoft JhengHei" w:cs="Microsoft JhengHei" w:eastAsia="Microsoft JhengHei" w:hint="default"/>
          <w:b/>
          <w:bCs/>
          <w:sz w:val="44"/>
          <w:szCs w:val="44"/>
        </w:rPr>
        <w:t>第九节</w:t>
        <w:tab/>
        <w:t>重要事项</w:t>
      </w:r>
      <w:bookmarkEnd w:id="8"/>
      <w:r>
        <w:rPr>
          <w:rFonts w:ascii="Microsoft JhengHei" w:hAnsi="Microsoft JhengHei" w:cs="Microsoft JhengHei" w:eastAsia="Microsoft JhengHei" w:hint="default"/>
          <w:sz w:val="44"/>
          <w:szCs w:val="44"/>
        </w:rPr>
      </w:r>
    </w:p>
    <w:p>
      <w:pPr>
        <w:spacing w:line="240" w:lineRule="auto" w:before="9"/>
        <w:rPr>
          <w:rFonts w:ascii="Microsoft JhengHei" w:hAnsi="Microsoft JhengHei" w:cs="Microsoft JhengHei" w:eastAsia="Microsoft JhengHei" w:hint="default"/>
          <w:b/>
          <w:bCs/>
          <w:sz w:val="31"/>
          <w:szCs w:val="31"/>
        </w:rPr>
      </w:pPr>
    </w:p>
    <w:p>
      <w:pPr>
        <w:pStyle w:val="Heading3"/>
        <w:spacing w:line="240" w:lineRule="auto"/>
        <w:ind w:right="649"/>
        <w:jc w:val="left"/>
      </w:pPr>
      <w:r>
        <w:rPr/>
        <w:t>一、重大诉讼仲裁事项</w:t>
      </w:r>
    </w:p>
    <w:p>
      <w:pPr>
        <w:pStyle w:val="BodyText"/>
        <w:spacing w:line="240" w:lineRule="auto" w:before="157"/>
        <w:ind w:left="1302" w:right="649"/>
        <w:jc w:val="left"/>
      </w:pPr>
      <w:r>
        <w:rPr/>
        <w:t>本年度公司无重大诉讼、仲裁事项。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ind w:right="649"/>
        <w:jc w:val="left"/>
      </w:pPr>
      <w:r>
        <w:rPr/>
        <w:t>二、重大收购及出售资产、企业合并事项</w:t>
      </w:r>
    </w:p>
    <w:p>
      <w:pPr>
        <w:pStyle w:val="BodyText"/>
        <w:spacing w:line="357" w:lineRule="auto" w:before="155"/>
        <w:ind w:left="882" w:right="661" w:firstLine="420"/>
        <w:jc w:val="both"/>
      </w:pPr>
      <w:r>
        <w:rPr/>
        <w:t>1、报告期内，经公司第一届董事会第十次会议、第一届监事会第七次会议、2010年度</w:t>
      </w:r>
      <w:r>
        <w:rPr>
          <w:w w:val="99"/>
        </w:rPr>
        <w:t> </w:t>
      </w:r>
      <w:r>
        <w:rPr>
          <w:spacing w:val="-2"/>
          <w:w w:val="99"/>
        </w:rPr>
        <w:t>第一次临时股东大会审议通过了《关于用部分超募资金竞买在北京产权交易所挂牌交易的中</w:t>
      </w:r>
      <w:r>
        <w:rPr>
          <w:spacing w:val="-86"/>
          <w:w w:val="99"/>
        </w:rPr>
        <w:t> </w:t>
      </w:r>
      <w:r>
        <w:rPr>
          <w:spacing w:val="-86"/>
          <w:w w:val="99"/>
        </w:rPr>
      </w:r>
      <w:r>
        <w:rPr>
          <w:spacing w:val="11"/>
          <w:w w:val="99"/>
        </w:rPr>
        <w:t>国华农资产经营公司所属中水广海钢丝绳厂整体资产的议案</w:t>
      </w:r>
      <w:r>
        <w:rPr>
          <w:spacing w:val="-66"/>
          <w:w w:val="99"/>
        </w:rPr>
        <w:t> </w:t>
      </w:r>
      <w:r>
        <w:rPr>
          <w:spacing w:val="2"/>
          <w:w w:val="99"/>
        </w:rPr>
        <w:t>》，公司使用超额募集资金</w:t>
      </w:r>
      <w:r>
        <w:rPr>
          <w:spacing w:val="-98"/>
          <w:w w:val="99"/>
        </w:rPr>
        <w:t> </w:t>
      </w:r>
      <w:r>
        <w:rPr>
          <w:spacing w:val="-98"/>
          <w:w w:val="99"/>
        </w:rPr>
      </w:r>
      <w:r>
        <w:rPr/>
        <w:t>5263.219421万元成功竞买了中国华农资产经营公司所属中水广海钢丝绳厂整体资产；本次</w:t>
      </w:r>
      <w:r>
        <w:rPr>
          <w:w w:val="99"/>
        </w:rPr>
        <w:t> </w:t>
      </w:r>
      <w:r>
        <w:rPr>
          <w:spacing w:val="-2"/>
          <w:w w:val="99"/>
        </w:rPr>
        <w:t>竞买资产目的为配合国家建设坚强的智能电网发展需要，抓住南方电网不断加大电网基础建</w:t>
      </w:r>
      <w:r>
        <w:rPr>
          <w:spacing w:val="-86"/>
          <w:w w:val="99"/>
        </w:rPr>
        <w:t> </w:t>
      </w:r>
      <w:r>
        <w:rPr>
          <w:spacing w:val="-86"/>
          <w:w w:val="99"/>
        </w:rPr>
      </w:r>
      <w:r>
        <w:rPr>
          <w:spacing w:val="-2"/>
          <w:w w:val="95"/>
        </w:rPr>
        <w:t>设的契机，加强公司在中国南方地区的销售优势，同时扩大对东南亚地区的销售规模，以及</w:t>
      </w:r>
      <w:r>
        <w:rPr>
          <w:spacing w:val="92"/>
          <w:w w:val="95"/>
        </w:rPr>
        <w:t> </w:t>
      </w:r>
      <w:r>
        <w:rPr>
          <w:spacing w:val="92"/>
          <w:w w:val="95"/>
        </w:rPr>
      </w:r>
      <w:r>
        <w:rPr>
          <w:spacing w:val="-2"/>
          <w:w w:val="99"/>
        </w:rPr>
        <w:t>为公司产品品种的拓展夯实基础，满足我国沿海防盐雾海水和城市内陆酸气和汽车尾气污染</w:t>
      </w:r>
      <w:r>
        <w:rPr>
          <w:spacing w:val="-86"/>
          <w:w w:val="99"/>
        </w:rPr>
        <w:t> </w:t>
      </w:r>
      <w:r>
        <w:rPr>
          <w:spacing w:val="-86"/>
          <w:w w:val="99"/>
        </w:rPr>
      </w:r>
      <w:r>
        <w:rPr>
          <w:spacing w:val="-2"/>
          <w:w w:val="99"/>
        </w:rPr>
        <w:t>较重地区对高耐腐蚀材料的需求，公司拟在华南地区建设年产一定规模的高耐腐蚀稀土多元</w:t>
      </w:r>
      <w:r>
        <w:rPr>
          <w:spacing w:val="-86"/>
          <w:w w:val="99"/>
        </w:rPr>
        <w:t> </w:t>
      </w:r>
      <w:r>
        <w:rPr>
          <w:spacing w:val="-86"/>
          <w:w w:val="99"/>
        </w:rPr>
      </w:r>
      <w:r>
        <w:rPr/>
        <w:t>合金镀层钢丝钢绞线项目。公司独立董事、监事会及保荐机构均作出明确同意意见。</w:t>
      </w:r>
    </w:p>
    <w:p>
      <w:pPr>
        <w:pStyle w:val="BodyText"/>
        <w:spacing w:line="357" w:lineRule="auto" w:before="30"/>
        <w:ind w:left="882" w:right="661" w:firstLine="420"/>
        <w:jc w:val="both"/>
      </w:pPr>
      <w:r>
        <w:rPr/>
        <w:t>2、报告期内，经公司第一届董事会第十八次会议、第一届监事会第十三次会议、2010</w:t>
      </w:r>
      <w:r>
        <w:rPr>
          <w:w w:val="99"/>
        </w:rPr>
        <w:t> </w:t>
      </w:r>
      <w:r>
        <w:rPr>
          <w:spacing w:val="-2"/>
          <w:w w:val="99"/>
        </w:rPr>
        <w:t>年度第三次临时股东大会审议通过了《关于公司拟用部分超募资金参与竞买土地使用权的议</w:t>
      </w:r>
      <w:r>
        <w:rPr>
          <w:spacing w:val="-86"/>
          <w:w w:val="99"/>
        </w:rPr>
        <w:t> </w:t>
      </w:r>
      <w:r>
        <w:rPr>
          <w:spacing w:val="-86"/>
          <w:w w:val="99"/>
        </w:rPr>
      </w:r>
      <w:r>
        <w:rPr>
          <w:spacing w:val="-4"/>
          <w:w w:val="99"/>
        </w:rPr>
        <w:t>案》，公司使用不超过人民币3,400万元的超额募集资金，参与竞买在武隆县国土资源和房屋</w:t>
      </w:r>
      <w:r>
        <w:rPr>
          <w:spacing w:val="-99"/>
          <w:w w:val="99"/>
        </w:rPr>
        <w:t> </w:t>
      </w:r>
      <w:r>
        <w:rPr>
          <w:spacing w:val="-99"/>
          <w:w w:val="99"/>
        </w:rPr>
      </w:r>
      <w:r>
        <w:rPr/>
        <w:t>管理局挂牌的位于重庆市武隆县白马铁佛村、三溪村面积共计248,667平方米，挂牌起始价</w:t>
      </w:r>
      <w:r>
        <w:rPr>
          <w:w w:val="99"/>
        </w:rPr>
        <w:t> </w:t>
      </w:r>
      <w:r>
        <w:rPr>
          <w:spacing w:val="-2"/>
          <w:w w:val="99"/>
        </w:rPr>
        <w:t>共计人民币3,311.27万元，宗地编号分别为WL2010-3-8及WL2010-3-9的两幅宗地的国有土地</w:t>
      </w:r>
      <w:r>
        <w:rPr>
          <w:spacing w:val="-62"/>
          <w:w w:val="99"/>
        </w:rPr>
        <w:t> </w:t>
      </w:r>
      <w:r>
        <w:rPr>
          <w:spacing w:val="-62"/>
          <w:w w:val="99"/>
        </w:rPr>
      </w:r>
      <w:r>
        <w:rPr>
          <w:spacing w:val="-2"/>
          <w:w w:val="99"/>
        </w:rPr>
        <w:t>使用权。本次竞买的主要目的是公司全资子公司重庆隆泰稀土新材料有限责任公司（“全资</w:t>
      </w:r>
      <w:r>
        <w:rPr>
          <w:spacing w:val="-86"/>
          <w:w w:val="99"/>
        </w:rPr>
        <w:t> </w:t>
      </w:r>
      <w:r>
        <w:rPr>
          <w:spacing w:val="-86"/>
          <w:w w:val="99"/>
        </w:rPr>
      </w:r>
      <w:r>
        <w:rPr>
          <w:spacing w:val="-2"/>
          <w:w w:val="99"/>
        </w:rPr>
        <w:t>子公司”）的注册地址位于标的宗地范围内，公司购买适于全资子公司发展需要的企业发展</w:t>
      </w:r>
      <w:r>
        <w:rPr>
          <w:spacing w:val="-89"/>
          <w:w w:val="99"/>
        </w:rPr>
        <w:t> </w:t>
      </w:r>
      <w:r>
        <w:rPr>
          <w:spacing w:val="-89"/>
          <w:w w:val="99"/>
        </w:rPr>
      </w:r>
      <w:r>
        <w:rPr/>
        <w:t>用地，对于全资子公司扩大生产规模、加快发展速度十分必要。</w:t>
      </w:r>
    </w:p>
    <w:p>
      <w:pPr>
        <w:pStyle w:val="BodyText"/>
        <w:spacing w:line="240" w:lineRule="auto" w:before="30"/>
        <w:ind w:left="1302" w:right="649"/>
        <w:jc w:val="left"/>
      </w:pPr>
      <w:r>
        <w:rPr/>
        <w:t>除以上收购行为，报告期内无其他收购及出售资产、吸收合并事项。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right="649"/>
        <w:jc w:val="left"/>
      </w:pPr>
      <w:r>
        <w:rPr/>
        <w:t>三、重大关联交易事项</w:t>
      </w:r>
    </w:p>
    <w:p>
      <w:pPr>
        <w:pStyle w:val="BodyText"/>
        <w:spacing w:line="240" w:lineRule="auto" w:before="155"/>
        <w:ind w:left="1302" w:right="649"/>
        <w:jc w:val="left"/>
      </w:pPr>
      <w:r>
        <w:rPr/>
        <w:t>报告期内，公司无重大关联交易事项。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ind w:right="649"/>
        <w:jc w:val="left"/>
      </w:pPr>
      <w:r>
        <w:rPr/>
        <w:t>四、持有其他上市公司股权及参股金融企业股权情况</w:t>
      </w: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020"/>
        <w:gridCol w:w="1171"/>
        <w:gridCol w:w="914"/>
        <w:gridCol w:w="900"/>
        <w:gridCol w:w="1094"/>
        <w:gridCol w:w="691"/>
        <w:gridCol w:w="732"/>
        <w:gridCol w:w="646"/>
        <w:gridCol w:w="2443"/>
      </w:tblGrid>
      <w:tr>
        <w:trPr>
          <w:trHeight w:val="277" w:hRule="exact"/>
        </w:trPr>
        <w:tc>
          <w:tcPr>
            <w:tcW w:w="1020" w:type="dxa"/>
            <w:tcBorders>
              <w:top w:val="single" w:sz="4" w:space="0" w:color="000000"/>
              <w:left w:val="single" w:sz="4" w:space="0" w:color="000000"/>
              <w:bottom w:val="nil" w:sz="6" w:space="0" w:color="auto"/>
              <w:right w:val="single" w:sz="4" w:space="0" w:color="000000"/>
            </w:tcBorders>
            <w:shd w:val="clear" w:color="auto" w:fill="DBDBDB"/>
          </w:tcPr>
          <w:p>
            <w:pPr/>
          </w:p>
        </w:tc>
        <w:tc>
          <w:tcPr>
            <w:tcW w:w="1171" w:type="dxa"/>
            <w:tcBorders>
              <w:top w:val="single" w:sz="4" w:space="0" w:color="000000"/>
              <w:left w:val="single" w:sz="4" w:space="0" w:color="000000"/>
              <w:bottom w:val="nil" w:sz="6" w:space="0" w:color="auto"/>
              <w:right w:val="single" w:sz="4" w:space="0" w:color="000000"/>
            </w:tcBorders>
            <w:shd w:val="clear" w:color="auto" w:fill="DBDBDB"/>
          </w:tcPr>
          <w:p>
            <w:pPr/>
          </w:p>
        </w:tc>
        <w:tc>
          <w:tcPr>
            <w:tcW w:w="914" w:type="dxa"/>
            <w:tcBorders>
              <w:top w:val="single" w:sz="4" w:space="0" w:color="000000"/>
              <w:left w:val="single" w:sz="4" w:space="0" w:color="000000"/>
              <w:bottom w:val="nil" w:sz="6" w:space="0" w:color="auto"/>
              <w:right w:val="single" w:sz="4" w:space="0" w:color="000000"/>
            </w:tcBorders>
            <w:shd w:val="clear" w:color="auto" w:fill="DBDBDB"/>
          </w:tcPr>
          <w:p>
            <w:pPr/>
          </w:p>
        </w:tc>
        <w:tc>
          <w:tcPr>
            <w:tcW w:w="900" w:type="dxa"/>
            <w:tcBorders>
              <w:top w:val="single" w:sz="4" w:space="0" w:color="000000"/>
              <w:left w:val="single" w:sz="4" w:space="0" w:color="000000"/>
              <w:bottom w:val="nil" w:sz="6" w:space="0" w:color="auto"/>
              <w:right w:val="single" w:sz="4" w:space="0" w:color="000000"/>
            </w:tcBorders>
            <w:shd w:val="clear" w:color="auto" w:fill="DBDBDB"/>
          </w:tcPr>
          <w:p>
            <w:pPr/>
          </w:p>
        </w:tc>
        <w:tc>
          <w:tcPr>
            <w:tcW w:w="1094" w:type="dxa"/>
            <w:tcBorders>
              <w:top w:val="single" w:sz="4" w:space="0" w:color="000000"/>
              <w:left w:val="single" w:sz="4" w:space="0" w:color="000000"/>
              <w:bottom w:val="nil" w:sz="6" w:space="0" w:color="auto"/>
              <w:right w:val="single" w:sz="4" w:space="0" w:color="000000"/>
            </w:tcBorders>
            <w:shd w:val="clear" w:color="auto" w:fill="DBDBDB"/>
          </w:tcPr>
          <w:p>
            <w:pPr/>
          </w:p>
        </w:tc>
        <w:tc>
          <w:tcPr>
            <w:tcW w:w="691" w:type="dxa"/>
            <w:tcBorders>
              <w:top w:val="single" w:sz="4" w:space="0" w:color="000000"/>
              <w:left w:val="single" w:sz="4" w:space="0" w:color="000000"/>
              <w:bottom w:val="nil" w:sz="6" w:space="0" w:color="auto"/>
              <w:right w:val="single" w:sz="4" w:space="0" w:color="000000"/>
            </w:tcBorders>
            <w:shd w:val="clear" w:color="auto" w:fill="DBDBDB"/>
          </w:tcPr>
          <w:p>
            <w:pPr/>
          </w:p>
        </w:tc>
        <w:tc>
          <w:tcPr>
            <w:tcW w:w="73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w:t>
            </w:r>
          </w:p>
        </w:tc>
        <w:tc>
          <w:tcPr>
            <w:tcW w:w="646" w:type="dxa"/>
            <w:tcBorders>
              <w:top w:val="single" w:sz="4" w:space="0" w:color="000000"/>
              <w:left w:val="single" w:sz="4" w:space="0" w:color="000000"/>
              <w:bottom w:val="nil" w:sz="6" w:space="0" w:color="auto"/>
              <w:right w:val="single" w:sz="4" w:space="0" w:color="000000"/>
            </w:tcBorders>
            <w:shd w:val="clear" w:color="auto" w:fill="DBDBDB"/>
          </w:tcPr>
          <w:p>
            <w:pPr/>
          </w:p>
        </w:tc>
        <w:tc>
          <w:tcPr>
            <w:tcW w:w="2443"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817" w:hRule="exact"/>
        </w:trPr>
        <w:tc>
          <w:tcPr>
            <w:tcW w:w="102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72" w:lineRule="exact" w:before="130"/>
              <w:ind w:left="192" w:right="187"/>
              <w:jc w:val="left"/>
              <w:rPr>
                <w:rFonts w:ascii="宋体" w:hAnsi="宋体" w:cs="宋体" w:eastAsia="宋体" w:hint="default"/>
                <w:sz w:val="21"/>
                <w:szCs w:val="21"/>
              </w:rPr>
            </w:pPr>
            <w:r>
              <w:rPr>
                <w:rFonts w:ascii="宋体" w:hAnsi="宋体" w:cs="宋体" w:eastAsia="宋体" w:hint="default"/>
                <w:sz w:val="21"/>
                <w:szCs w:val="21"/>
              </w:rPr>
              <w:t>所持对</w:t>
            </w:r>
            <w:r>
              <w:rPr>
                <w:rFonts w:ascii="宋体" w:hAnsi="宋体" w:cs="宋体" w:eastAsia="宋体" w:hint="default"/>
                <w:w w:val="99"/>
                <w:sz w:val="21"/>
                <w:szCs w:val="21"/>
              </w:rPr>
              <w:t> </w:t>
            </w:r>
            <w:r>
              <w:rPr>
                <w:rFonts w:ascii="宋体" w:hAnsi="宋体" w:cs="宋体" w:eastAsia="宋体" w:hint="default"/>
                <w:sz w:val="21"/>
                <w:szCs w:val="21"/>
              </w:rPr>
              <w:t>象名称</w:t>
            </w:r>
          </w:p>
        </w:tc>
        <w:tc>
          <w:tcPr>
            <w:tcW w:w="117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72" w:lineRule="exact" w:before="130"/>
              <w:ind w:left="372" w:right="158" w:hanging="212"/>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w w:val="99"/>
                <w:sz w:val="21"/>
                <w:szCs w:val="21"/>
              </w:rPr>
              <w:t> </w:t>
            </w:r>
            <w:r>
              <w:rPr>
                <w:rFonts w:ascii="宋体" w:hAnsi="宋体" w:cs="宋体" w:eastAsia="宋体" w:hint="default"/>
                <w:sz w:val="21"/>
                <w:szCs w:val="21"/>
              </w:rPr>
              <w:t>金额</w:t>
            </w:r>
          </w:p>
        </w:tc>
        <w:tc>
          <w:tcPr>
            <w:tcW w:w="91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72" w:lineRule="exact" w:before="130"/>
              <w:ind w:left="348" w:right="137" w:hanging="212"/>
              <w:jc w:val="left"/>
              <w:rPr>
                <w:rFonts w:ascii="宋体" w:hAnsi="宋体" w:cs="宋体" w:eastAsia="宋体" w:hint="default"/>
                <w:sz w:val="21"/>
                <w:szCs w:val="21"/>
              </w:rPr>
            </w:pPr>
            <w:r>
              <w:rPr>
                <w:rFonts w:ascii="宋体" w:hAnsi="宋体" w:cs="宋体" w:eastAsia="宋体" w:hint="default"/>
                <w:sz w:val="21"/>
                <w:szCs w:val="21"/>
              </w:rPr>
              <w:t>持有数</w:t>
            </w:r>
            <w:r>
              <w:rPr>
                <w:rFonts w:ascii="宋体" w:hAnsi="宋体" w:cs="宋体" w:eastAsia="宋体" w:hint="default"/>
                <w:w w:val="99"/>
                <w:sz w:val="21"/>
                <w:szCs w:val="21"/>
              </w:rPr>
              <w:t> </w:t>
            </w:r>
            <w:r>
              <w:rPr>
                <w:rFonts w:ascii="宋体" w:hAnsi="宋体" w:cs="宋体" w:eastAsia="宋体" w:hint="default"/>
                <w:sz w:val="21"/>
                <w:szCs w:val="21"/>
              </w:rPr>
              <w:t>量</w:t>
            </w:r>
          </w:p>
        </w:tc>
        <w:tc>
          <w:tcPr>
            <w:tcW w:w="90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8" w:lineRule="exact"/>
              <w:ind w:left="132"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40" w:lineRule="auto"/>
              <w:ind w:left="235" w:right="127" w:hanging="104"/>
              <w:jc w:val="left"/>
              <w:rPr>
                <w:rFonts w:ascii="宋体" w:hAnsi="宋体" w:cs="宋体" w:eastAsia="宋体" w:hint="default"/>
                <w:sz w:val="21"/>
                <w:szCs w:val="21"/>
              </w:rPr>
            </w:pPr>
            <w:r>
              <w:rPr>
                <w:rFonts w:ascii="宋体" w:hAnsi="宋体" w:cs="宋体" w:eastAsia="宋体" w:hint="default"/>
                <w:sz w:val="21"/>
                <w:szCs w:val="21"/>
              </w:rPr>
              <w:t>司股权</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109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72" w:lineRule="exact" w:before="130"/>
              <w:ind w:left="439" w:right="120" w:hanging="317"/>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99"/>
                <w:sz w:val="21"/>
                <w:szCs w:val="21"/>
              </w:rPr>
              <w:t> </w:t>
            </w:r>
            <w:r>
              <w:rPr>
                <w:rFonts w:ascii="宋体" w:hAnsi="宋体" w:cs="宋体" w:eastAsia="宋体" w:hint="default"/>
                <w:sz w:val="21"/>
                <w:szCs w:val="21"/>
              </w:rPr>
              <w:t>值</w:t>
            </w:r>
          </w:p>
        </w:tc>
        <w:tc>
          <w:tcPr>
            <w:tcW w:w="69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8" w:lineRule="exact"/>
              <w:ind w:left="132" w:right="0"/>
              <w:jc w:val="left"/>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40" w:lineRule="auto"/>
              <w:ind w:left="237" w:right="127" w:hanging="106"/>
              <w:jc w:val="left"/>
              <w:rPr>
                <w:rFonts w:ascii="宋体" w:hAnsi="宋体" w:cs="宋体" w:eastAsia="宋体" w:hint="default"/>
                <w:sz w:val="21"/>
                <w:szCs w:val="21"/>
              </w:rPr>
            </w:pPr>
            <w:r>
              <w:rPr>
                <w:rFonts w:ascii="宋体" w:hAnsi="宋体" w:cs="宋体" w:eastAsia="宋体" w:hint="default"/>
                <w:sz w:val="21"/>
                <w:szCs w:val="21"/>
              </w:rPr>
              <w:t>期损</w:t>
            </w:r>
            <w:r>
              <w:rPr>
                <w:rFonts w:ascii="宋体" w:hAnsi="宋体" w:cs="宋体" w:eastAsia="宋体" w:hint="default"/>
                <w:w w:val="99"/>
                <w:sz w:val="21"/>
                <w:szCs w:val="21"/>
              </w:rPr>
              <w:t> </w:t>
            </w:r>
            <w:r>
              <w:rPr>
                <w:rFonts w:ascii="宋体" w:hAnsi="宋体" w:cs="宋体" w:eastAsia="宋体" w:hint="default"/>
                <w:sz w:val="21"/>
                <w:szCs w:val="21"/>
              </w:rPr>
              <w:t>益</w:t>
            </w:r>
          </w:p>
        </w:tc>
        <w:tc>
          <w:tcPr>
            <w:tcW w:w="73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期所</w:t>
            </w:r>
          </w:p>
          <w:p>
            <w:pPr>
              <w:pStyle w:val="TableParagraph"/>
              <w:spacing w:line="272" w:lineRule="exact" w:before="27"/>
              <w:ind w:left="151" w:right="149"/>
              <w:jc w:val="left"/>
              <w:rPr>
                <w:rFonts w:ascii="宋体" w:hAnsi="宋体" w:cs="宋体" w:eastAsia="宋体" w:hint="default"/>
                <w:sz w:val="21"/>
                <w:szCs w:val="21"/>
              </w:rPr>
            </w:pPr>
            <w:r>
              <w:rPr>
                <w:rFonts w:ascii="宋体" w:hAnsi="宋体" w:cs="宋体" w:eastAsia="宋体" w:hint="default"/>
                <w:sz w:val="21"/>
                <w:szCs w:val="21"/>
              </w:rPr>
              <w:t>有者</w:t>
            </w:r>
            <w:r>
              <w:rPr>
                <w:rFonts w:ascii="宋体" w:hAnsi="宋体" w:cs="宋体" w:eastAsia="宋体" w:hint="default"/>
                <w:w w:val="99"/>
                <w:sz w:val="21"/>
                <w:szCs w:val="21"/>
              </w:rPr>
              <w:t> </w:t>
            </w:r>
            <w:r>
              <w:rPr>
                <w:rFonts w:ascii="宋体" w:hAnsi="宋体" w:cs="宋体" w:eastAsia="宋体" w:hint="default"/>
                <w:sz w:val="21"/>
                <w:szCs w:val="21"/>
              </w:rPr>
              <w:t>权益</w:t>
            </w:r>
          </w:p>
        </w:tc>
        <w:tc>
          <w:tcPr>
            <w:tcW w:w="64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会计</w:t>
            </w:r>
          </w:p>
          <w:p>
            <w:pPr>
              <w:pStyle w:val="TableParagraph"/>
              <w:spacing w:line="240" w:lineRule="auto"/>
              <w:ind w:left="108" w:right="107"/>
              <w:jc w:val="left"/>
              <w:rPr>
                <w:rFonts w:ascii="宋体" w:hAnsi="宋体" w:cs="宋体" w:eastAsia="宋体" w:hint="default"/>
                <w:sz w:val="21"/>
                <w:szCs w:val="21"/>
              </w:rPr>
            </w:pPr>
            <w:r>
              <w:rPr>
                <w:rFonts w:ascii="宋体" w:hAnsi="宋体" w:cs="宋体" w:eastAsia="宋体" w:hint="default"/>
                <w:sz w:val="21"/>
                <w:szCs w:val="21"/>
              </w:rPr>
              <w:t>核算</w:t>
            </w:r>
            <w:r>
              <w:rPr>
                <w:rFonts w:ascii="宋体" w:hAnsi="宋体" w:cs="宋体" w:eastAsia="宋体" w:hint="default"/>
                <w:w w:val="99"/>
                <w:sz w:val="21"/>
                <w:szCs w:val="21"/>
              </w:rPr>
              <w:t> </w:t>
            </w:r>
            <w:r>
              <w:rPr>
                <w:rFonts w:ascii="宋体" w:hAnsi="宋体" w:cs="宋体" w:eastAsia="宋体" w:hint="default"/>
                <w:sz w:val="21"/>
                <w:szCs w:val="21"/>
              </w:rPr>
              <w:t>科目</w:t>
            </w:r>
          </w:p>
        </w:tc>
        <w:tc>
          <w:tcPr>
            <w:tcW w:w="244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6"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277" w:hRule="exact"/>
        </w:trPr>
        <w:tc>
          <w:tcPr>
            <w:tcW w:w="1020" w:type="dxa"/>
            <w:tcBorders>
              <w:top w:val="nil" w:sz="6" w:space="0" w:color="auto"/>
              <w:left w:val="single" w:sz="4" w:space="0" w:color="000000"/>
              <w:bottom w:val="single" w:sz="4" w:space="0" w:color="000000"/>
              <w:right w:val="single" w:sz="4" w:space="0" w:color="000000"/>
            </w:tcBorders>
            <w:shd w:val="clear" w:color="auto" w:fill="DBDBDB"/>
          </w:tcPr>
          <w:p>
            <w:pPr/>
          </w:p>
        </w:tc>
        <w:tc>
          <w:tcPr>
            <w:tcW w:w="1171" w:type="dxa"/>
            <w:tcBorders>
              <w:top w:val="nil" w:sz="6" w:space="0" w:color="auto"/>
              <w:left w:val="single" w:sz="4" w:space="0" w:color="000000"/>
              <w:bottom w:val="single" w:sz="4" w:space="0" w:color="000000"/>
              <w:right w:val="single" w:sz="4" w:space="0" w:color="000000"/>
            </w:tcBorders>
            <w:shd w:val="clear" w:color="auto" w:fill="DBDBDB"/>
          </w:tcPr>
          <w:p>
            <w:pPr/>
          </w:p>
        </w:tc>
        <w:tc>
          <w:tcPr>
            <w:tcW w:w="914" w:type="dxa"/>
            <w:tcBorders>
              <w:top w:val="nil" w:sz="6" w:space="0" w:color="auto"/>
              <w:left w:val="single" w:sz="4" w:space="0" w:color="000000"/>
              <w:bottom w:val="single" w:sz="4" w:space="0" w:color="000000"/>
              <w:right w:val="single" w:sz="4" w:space="0" w:color="000000"/>
            </w:tcBorders>
            <w:shd w:val="clear" w:color="auto" w:fill="DBDBDB"/>
          </w:tcPr>
          <w:p>
            <w:pPr/>
          </w:p>
        </w:tc>
        <w:tc>
          <w:tcPr>
            <w:tcW w:w="900" w:type="dxa"/>
            <w:tcBorders>
              <w:top w:val="nil" w:sz="6" w:space="0" w:color="auto"/>
              <w:left w:val="single" w:sz="4" w:space="0" w:color="000000"/>
              <w:bottom w:val="single" w:sz="4" w:space="0" w:color="000000"/>
              <w:right w:val="single" w:sz="4" w:space="0" w:color="000000"/>
            </w:tcBorders>
            <w:shd w:val="clear" w:color="auto" w:fill="DBDBDB"/>
          </w:tcPr>
          <w:p>
            <w:pPr/>
          </w:p>
        </w:tc>
        <w:tc>
          <w:tcPr>
            <w:tcW w:w="1094" w:type="dxa"/>
            <w:tcBorders>
              <w:top w:val="nil" w:sz="6" w:space="0" w:color="auto"/>
              <w:left w:val="single" w:sz="4" w:space="0" w:color="000000"/>
              <w:bottom w:val="single" w:sz="4" w:space="0" w:color="000000"/>
              <w:right w:val="single" w:sz="4" w:space="0" w:color="000000"/>
            </w:tcBorders>
            <w:shd w:val="clear" w:color="auto" w:fill="DBDBDB"/>
          </w:tcPr>
          <w:p>
            <w:pPr/>
          </w:p>
        </w:tc>
        <w:tc>
          <w:tcPr>
            <w:tcW w:w="691" w:type="dxa"/>
            <w:tcBorders>
              <w:top w:val="nil" w:sz="6" w:space="0" w:color="auto"/>
              <w:left w:val="single" w:sz="4" w:space="0" w:color="000000"/>
              <w:bottom w:val="single" w:sz="4" w:space="0" w:color="000000"/>
              <w:right w:val="single" w:sz="4" w:space="0" w:color="000000"/>
            </w:tcBorders>
            <w:shd w:val="clear" w:color="auto" w:fill="DBDBDB"/>
          </w:tcPr>
          <w:p>
            <w:pPr/>
          </w:p>
        </w:tc>
        <w:tc>
          <w:tcPr>
            <w:tcW w:w="732"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w:t>
            </w:r>
          </w:p>
        </w:tc>
        <w:tc>
          <w:tcPr>
            <w:tcW w:w="646" w:type="dxa"/>
            <w:tcBorders>
              <w:top w:val="nil" w:sz="6" w:space="0" w:color="auto"/>
              <w:left w:val="single" w:sz="4" w:space="0" w:color="000000"/>
              <w:bottom w:val="single" w:sz="4" w:space="0" w:color="000000"/>
              <w:right w:val="single" w:sz="4" w:space="0" w:color="000000"/>
            </w:tcBorders>
            <w:shd w:val="clear" w:color="auto" w:fill="DBDBDB"/>
          </w:tcPr>
          <w:p>
            <w:pPr/>
          </w:p>
        </w:tc>
        <w:tc>
          <w:tcPr>
            <w:tcW w:w="2443" w:type="dxa"/>
            <w:tcBorders>
              <w:top w:val="nil" w:sz="6" w:space="0" w:color="auto"/>
              <w:left w:val="single" w:sz="4" w:space="0" w:color="000000"/>
              <w:bottom w:val="single" w:sz="4" w:space="0" w:color="000000"/>
              <w:right w:val="single" w:sz="4" w:space="0" w:color="000000"/>
            </w:tcBorders>
            <w:shd w:val="clear" w:color="auto" w:fill="DBDBDB"/>
          </w:tcPr>
          <w:p>
            <w:pPr/>
          </w:p>
        </w:tc>
      </w:tr>
    </w:tbl>
    <w:p>
      <w:pPr>
        <w:spacing w:after="0"/>
        <w:sectPr>
          <w:pgSz w:w="11910" w:h="16840"/>
          <w:pgMar w:header="206" w:footer="738" w:top="940" w:bottom="920" w:left="92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020"/>
        <w:gridCol w:w="1171"/>
        <w:gridCol w:w="914"/>
        <w:gridCol w:w="900"/>
        <w:gridCol w:w="1094"/>
        <w:gridCol w:w="691"/>
        <w:gridCol w:w="732"/>
        <w:gridCol w:w="646"/>
        <w:gridCol w:w="2443"/>
      </w:tblGrid>
      <w:tr>
        <w:trPr>
          <w:trHeight w:val="277" w:hRule="exact"/>
        </w:trPr>
        <w:tc>
          <w:tcPr>
            <w:tcW w:w="1020" w:type="dxa"/>
            <w:tcBorders>
              <w:top w:val="single" w:sz="4" w:space="0" w:color="000000"/>
              <w:left w:val="single" w:sz="4" w:space="0" w:color="000000"/>
              <w:bottom w:val="nil" w:sz="6" w:space="0" w:color="auto"/>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244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对台山市农村信用合作</w:t>
            </w:r>
          </w:p>
        </w:tc>
      </w:tr>
      <w:tr>
        <w:trPr>
          <w:trHeight w:val="271" w:hRule="exact"/>
        </w:trPr>
        <w:tc>
          <w:tcPr>
            <w:tcW w:w="1020"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24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联社长期投资系通过产</w:t>
            </w:r>
          </w:p>
        </w:tc>
      </w:tr>
      <w:tr>
        <w:trPr>
          <w:trHeight w:val="1097" w:hRule="exact"/>
        </w:trPr>
        <w:tc>
          <w:tcPr>
            <w:tcW w:w="102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台山市</w:t>
            </w:r>
          </w:p>
          <w:p>
            <w:pPr>
              <w:pStyle w:val="TableParagraph"/>
              <w:spacing w:line="237" w:lineRule="auto" w:before="2"/>
              <w:ind w:left="105" w:right="275"/>
              <w:jc w:val="both"/>
              <w:rPr>
                <w:rFonts w:ascii="宋体" w:hAnsi="宋体" w:cs="宋体" w:eastAsia="宋体" w:hint="default"/>
                <w:sz w:val="21"/>
                <w:szCs w:val="21"/>
              </w:rPr>
            </w:pPr>
            <w:r>
              <w:rPr>
                <w:rFonts w:ascii="宋体" w:hAnsi="宋体" w:cs="宋体" w:eastAsia="宋体" w:hint="default"/>
                <w:sz w:val="21"/>
                <w:szCs w:val="21"/>
              </w:rPr>
              <w:t>农村信</w:t>
            </w:r>
            <w:r>
              <w:rPr>
                <w:rFonts w:ascii="宋体" w:hAnsi="宋体" w:cs="宋体" w:eastAsia="宋体" w:hint="default"/>
                <w:w w:val="99"/>
                <w:sz w:val="21"/>
                <w:szCs w:val="21"/>
              </w:rPr>
              <w:t> </w:t>
            </w:r>
            <w:r>
              <w:rPr>
                <w:rFonts w:ascii="宋体" w:hAnsi="宋体" w:cs="宋体" w:eastAsia="宋体" w:hint="default"/>
                <w:sz w:val="21"/>
                <w:szCs w:val="21"/>
              </w:rPr>
              <w:t>用合作</w:t>
            </w:r>
            <w:r>
              <w:rPr>
                <w:rFonts w:ascii="宋体" w:hAnsi="宋体" w:cs="宋体" w:eastAsia="宋体" w:hint="default"/>
                <w:w w:val="99"/>
                <w:sz w:val="21"/>
                <w:szCs w:val="21"/>
              </w:rPr>
              <w:t> </w:t>
            </w:r>
            <w:r>
              <w:rPr>
                <w:rFonts w:ascii="宋体" w:hAnsi="宋体" w:cs="宋体" w:eastAsia="宋体" w:hint="default"/>
                <w:sz w:val="21"/>
                <w:szCs w:val="21"/>
              </w:rPr>
              <w:t>联社</w:t>
            </w: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247" w:right="0"/>
              <w:jc w:val="left"/>
              <w:rPr>
                <w:rFonts w:ascii="Times New Roman" w:hAnsi="Times New Roman" w:cs="Times New Roman" w:eastAsia="Times New Roman" w:hint="default"/>
                <w:sz w:val="21"/>
                <w:szCs w:val="21"/>
              </w:rPr>
            </w:pPr>
            <w:r>
              <w:rPr>
                <w:rFonts w:ascii="Times New Roman"/>
                <w:sz w:val="21"/>
              </w:rPr>
              <w:t>0.07%</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44" w:right="0"/>
              <w:jc w:val="center"/>
              <w:rPr>
                <w:rFonts w:ascii="Times New Roman" w:hAnsi="Times New Roman" w:cs="Times New Roman" w:eastAsia="Times New Roman" w:hint="default"/>
                <w:sz w:val="21"/>
                <w:szCs w:val="21"/>
              </w:rPr>
            </w:pPr>
            <w:r>
              <w:rPr>
                <w:rFonts w:ascii="Times New Roman"/>
                <w:sz w:val="21"/>
              </w:rPr>
              <w:t>50,000.00</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37" w:lineRule="auto" w:before="104"/>
              <w:ind w:left="103" w:right="103"/>
              <w:jc w:val="both"/>
              <w:rPr>
                <w:rFonts w:ascii="宋体" w:hAnsi="宋体" w:cs="宋体" w:eastAsia="宋体" w:hint="default"/>
                <w:sz w:val="21"/>
                <w:szCs w:val="21"/>
              </w:rPr>
            </w:pPr>
            <w:r>
              <w:rPr>
                <w:rFonts w:ascii="宋体" w:hAnsi="宋体" w:cs="宋体" w:eastAsia="宋体" w:hint="default"/>
                <w:spacing w:val="4"/>
                <w:sz w:val="21"/>
                <w:szCs w:val="21"/>
              </w:rPr>
              <w:t>长期</w:t>
            </w:r>
            <w:r>
              <w:rPr>
                <w:rFonts w:ascii="宋体" w:hAnsi="宋体" w:cs="宋体" w:eastAsia="宋体" w:hint="default"/>
                <w:w w:val="99"/>
                <w:sz w:val="21"/>
                <w:szCs w:val="21"/>
              </w:rPr>
              <w:t> </w:t>
            </w:r>
            <w:r>
              <w:rPr>
                <w:rFonts w:ascii="宋体" w:hAnsi="宋体" w:cs="宋体" w:eastAsia="宋体" w:hint="default"/>
                <w:spacing w:val="4"/>
                <w:sz w:val="21"/>
                <w:szCs w:val="21"/>
              </w:rPr>
              <w:t>股权</w:t>
            </w:r>
            <w:r>
              <w:rPr>
                <w:rFonts w:ascii="宋体" w:hAnsi="宋体" w:cs="宋体" w:eastAsia="宋体" w:hint="default"/>
                <w:w w:val="99"/>
                <w:sz w:val="21"/>
                <w:szCs w:val="21"/>
              </w:rPr>
              <w:t> </w:t>
            </w:r>
            <w:r>
              <w:rPr>
                <w:rFonts w:ascii="宋体" w:hAnsi="宋体" w:cs="宋体" w:eastAsia="宋体" w:hint="default"/>
                <w:sz w:val="21"/>
                <w:szCs w:val="21"/>
              </w:rPr>
              <w:t>投资</w:t>
            </w:r>
          </w:p>
        </w:tc>
        <w:tc>
          <w:tcPr>
            <w:tcW w:w="24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权交易收购中水广海钢</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丝绳厂整体资产接收的</w:t>
            </w:r>
            <w:r>
              <w:rPr>
                <w:rFonts w:ascii="宋体" w:hAnsi="宋体" w:cs="宋体" w:eastAsia="宋体" w:hint="default"/>
                <w:w w:val="99"/>
                <w:sz w:val="21"/>
                <w:szCs w:val="21"/>
              </w:rPr>
              <w:t> </w:t>
            </w:r>
            <w:r>
              <w:rPr>
                <w:rFonts w:ascii="宋体" w:hAnsi="宋体" w:cs="宋体" w:eastAsia="宋体" w:hint="default"/>
                <w:spacing w:val="-7"/>
                <w:sz w:val="21"/>
                <w:szCs w:val="21"/>
              </w:rPr>
              <w:t>信用社股金，入股时间为</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日，股金</w:t>
            </w:r>
          </w:p>
        </w:tc>
      </w:tr>
      <w:tr>
        <w:trPr>
          <w:trHeight w:val="272" w:hRule="exact"/>
        </w:trPr>
        <w:tc>
          <w:tcPr>
            <w:tcW w:w="1020"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244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账号：</w:t>
            </w:r>
            <w:r>
              <w:rPr>
                <w:rFonts w:ascii="Times New Roman" w:hAnsi="Times New Roman" w:cs="Times New Roman" w:eastAsia="Times New Roman" w:hint="default"/>
                <w:sz w:val="21"/>
                <w:szCs w:val="21"/>
              </w:rPr>
              <w:t>886014058</w:t>
            </w:r>
            <w:r>
              <w:rPr>
                <w:rFonts w:ascii="宋体" w:hAnsi="宋体" w:cs="宋体" w:eastAsia="宋体" w:hint="default"/>
                <w:sz w:val="21"/>
                <w:szCs w:val="21"/>
              </w:rPr>
              <w:t>，产权</w:t>
            </w:r>
          </w:p>
        </w:tc>
      </w:tr>
      <w:tr>
        <w:trPr>
          <w:trHeight w:val="270" w:hRule="exact"/>
        </w:trPr>
        <w:tc>
          <w:tcPr>
            <w:tcW w:w="1020" w:type="dxa"/>
            <w:tcBorders>
              <w:top w:val="nil" w:sz="6" w:space="0" w:color="auto"/>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2443"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过户手续正在办理之中。</w:t>
            </w:r>
          </w:p>
        </w:tc>
      </w:tr>
      <w:tr>
        <w:trPr>
          <w:trHeight w:val="283" w:hRule="exact"/>
        </w:trPr>
        <w:tc>
          <w:tcPr>
            <w:tcW w:w="10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4" w:right="0"/>
              <w:jc w:val="center"/>
              <w:rPr>
                <w:rFonts w:ascii="Times New Roman" w:hAnsi="Times New Roman" w:cs="Times New Roman" w:eastAsia="Times New Roman" w:hint="default"/>
                <w:sz w:val="21"/>
                <w:szCs w:val="21"/>
              </w:rPr>
            </w:pPr>
            <w:r>
              <w:rPr>
                <w:rFonts w:ascii="Times New Roman"/>
                <w:sz w:val="21"/>
              </w:rPr>
              <w:t>50,000.00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355" w:lineRule="auto" w:before="172"/>
        <w:ind w:left="882" w:right="649" w:firstLine="420"/>
        <w:jc w:val="left"/>
      </w:pPr>
      <w:r>
        <w:rPr>
          <w:spacing w:val="-2"/>
          <w:w w:val="99"/>
        </w:rPr>
        <w:t>除以上一项外，报告期内公司未持有其他上市公司股份或参股商业银行、证券公司、保</w:t>
      </w:r>
      <w:r>
        <w:rPr>
          <w:w w:val="99"/>
        </w:rPr>
        <w:t> </w:t>
      </w:r>
      <w:r>
        <w:rPr/>
        <w:t>险公司、信托公司和期货公司等金融企业股权的情况。</w:t>
      </w:r>
    </w:p>
    <w:p>
      <w:pPr>
        <w:spacing w:line="240" w:lineRule="auto" w:before="0"/>
        <w:rPr>
          <w:rFonts w:ascii="宋体" w:hAnsi="宋体" w:cs="宋体" w:eastAsia="宋体" w:hint="default"/>
          <w:sz w:val="20"/>
          <w:szCs w:val="20"/>
        </w:rPr>
      </w:pPr>
    </w:p>
    <w:p>
      <w:pPr>
        <w:pStyle w:val="Heading3"/>
        <w:spacing w:line="240" w:lineRule="auto" w:before="175"/>
        <w:ind w:right="649"/>
        <w:jc w:val="left"/>
      </w:pPr>
      <w:r>
        <w:rPr/>
        <w:t>五、股权激励计划实施情况</w:t>
      </w:r>
    </w:p>
    <w:p>
      <w:pPr>
        <w:pStyle w:val="BodyText"/>
        <w:spacing w:line="240" w:lineRule="auto" w:before="157"/>
        <w:ind w:left="1302" w:right="649"/>
        <w:jc w:val="left"/>
      </w:pPr>
      <w:r>
        <w:rPr/>
        <w:t>报告期内，公司未实行股权激励计划。</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ind w:right="649"/>
        <w:jc w:val="left"/>
      </w:pPr>
      <w:r>
        <w:rPr/>
        <w:t>六、报告期内重大合同及履行情况</w:t>
      </w:r>
    </w:p>
    <w:p>
      <w:pPr>
        <w:pStyle w:val="BodyText"/>
        <w:spacing w:line="336" w:lineRule="auto" w:before="157"/>
        <w:ind w:left="882" w:right="649" w:firstLine="420"/>
        <w:jc w:val="left"/>
      </w:pPr>
      <w:r>
        <w:rPr>
          <w:rFonts w:ascii="Times New Roman" w:hAnsi="Times New Roman" w:cs="Times New Roman" w:eastAsia="Times New Roman" w:hint="default"/>
        </w:rPr>
        <w:t>1</w:t>
      </w:r>
      <w:r>
        <w:rPr/>
        <w:t>、报告期内，公司未发生也未有以前期间发生但延续到报告期的重大托管、承包、租</w:t>
      </w:r>
      <w:r>
        <w:rPr>
          <w:w w:val="99"/>
        </w:rPr>
        <w:t> </w:t>
      </w:r>
      <w:r>
        <w:rPr/>
        <w:t>赁其他公司资产或其他公司托管、承包、租赁公司资产事项。</w:t>
      </w:r>
    </w:p>
    <w:p>
      <w:pPr>
        <w:pStyle w:val="BodyText"/>
        <w:spacing w:line="240" w:lineRule="auto" w:before="49"/>
        <w:ind w:left="1302" w:right="649"/>
        <w:jc w:val="left"/>
      </w:pPr>
      <w:r>
        <w:rPr>
          <w:rFonts w:ascii="Times New Roman" w:hAnsi="Times New Roman" w:cs="Times New Roman" w:eastAsia="Times New Roman" w:hint="default"/>
        </w:rPr>
        <w:t>2</w:t>
      </w:r>
      <w:r>
        <w:rPr/>
        <w:t>、报告期内，公司未发生也未有以前期间发生但延续到报告期的重大担保合同。</w:t>
      </w:r>
    </w:p>
    <w:p>
      <w:pPr>
        <w:pStyle w:val="BodyText"/>
        <w:spacing w:line="240" w:lineRule="auto" w:before="117"/>
        <w:ind w:left="1302" w:right="0"/>
        <w:jc w:val="left"/>
      </w:pPr>
      <w:r>
        <w:rPr>
          <w:rFonts w:ascii="Times New Roman" w:hAnsi="Times New Roman" w:cs="Times New Roman" w:eastAsia="Times New Roman" w:hint="default"/>
          <w:spacing w:val="1"/>
          <w:w w:val="99"/>
        </w:rPr>
        <w:t>3</w:t>
      </w:r>
      <w:r>
        <w:rPr>
          <w:spacing w:val="2"/>
          <w:w w:val="99"/>
        </w:rPr>
        <w:t>、报</w:t>
      </w:r>
      <w:r>
        <w:rPr>
          <w:w w:val="99"/>
        </w:rPr>
        <w:t>告</w:t>
      </w:r>
      <w:r>
        <w:rPr>
          <w:spacing w:val="2"/>
          <w:w w:val="99"/>
        </w:rPr>
        <w:t>期</w:t>
      </w:r>
      <w:r>
        <w:rPr>
          <w:w w:val="99"/>
        </w:rPr>
        <w:t>内</w:t>
      </w:r>
      <w:r>
        <w:rPr>
          <w:spacing w:val="-101"/>
          <w:w w:val="99"/>
        </w:rPr>
        <w:t>，</w:t>
      </w:r>
      <w:r>
        <w:rPr>
          <w:spacing w:val="2"/>
          <w:w w:val="99"/>
        </w:rPr>
        <w:t>公</w:t>
      </w:r>
      <w:r>
        <w:rPr>
          <w:w w:val="99"/>
        </w:rPr>
        <w:t>司</w:t>
      </w:r>
      <w:r>
        <w:rPr>
          <w:spacing w:val="2"/>
          <w:w w:val="99"/>
        </w:rPr>
        <w:t>未</w:t>
      </w:r>
      <w:r>
        <w:rPr>
          <w:w w:val="99"/>
        </w:rPr>
        <w:t>发</w:t>
      </w:r>
      <w:r>
        <w:rPr>
          <w:spacing w:val="2"/>
          <w:w w:val="99"/>
        </w:rPr>
        <w:t>生</w:t>
      </w:r>
      <w:r>
        <w:rPr>
          <w:w w:val="99"/>
        </w:rPr>
        <w:t>也</w:t>
      </w:r>
      <w:r>
        <w:rPr>
          <w:spacing w:val="2"/>
          <w:w w:val="99"/>
        </w:rPr>
        <w:t>无</w:t>
      </w:r>
      <w:r>
        <w:rPr>
          <w:w w:val="99"/>
        </w:rPr>
        <w:t>以</w:t>
      </w:r>
      <w:r>
        <w:rPr>
          <w:spacing w:val="2"/>
          <w:w w:val="99"/>
        </w:rPr>
        <w:t>前</w:t>
      </w:r>
      <w:r>
        <w:rPr>
          <w:w w:val="99"/>
        </w:rPr>
        <w:t>期</w:t>
      </w:r>
      <w:r>
        <w:rPr>
          <w:spacing w:val="2"/>
          <w:w w:val="99"/>
        </w:rPr>
        <w:t>间</w:t>
      </w:r>
      <w:r>
        <w:rPr>
          <w:w w:val="99"/>
        </w:rPr>
        <w:t>发</w:t>
      </w:r>
      <w:r>
        <w:rPr>
          <w:spacing w:val="2"/>
          <w:w w:val="99"/>
        </w:rPr>
        <w:t>生</w:t>
      </w:r>
      <w:r>
        <w:rPr>
          <w:w w:val="99"/>
        </w:rPr>
        <w:t>但</w:t>
      </w:r>
      <w:r>
        <w:rPr>
          <w:spacing w:val="2"/>
          <w:w w:val="99"/>
        </w:rPr>
        <w:t>延</w:t>
      </w:r>
      <w:r>
        <w:rPr>
          <w:w w:val="99"/>
        </w:rPr>
        <w:t>续</w:t>
      </w:r>
      <w:r>
        <w:rPr>
          <w:spacing w:val="2"/>
          <w:w w:val="99"/>
        </w:rPr>
        <w:t>到</w:t>
      </w:r>
      <w:r>
        <w:rPr>
          <w:w w:val="99"/>
        </w:rPr>
        <w:t>报</w:t>
      </w:r>
      <w:r>
        <w:rPr>
          <w:spacing w:val="2"/>
          <w:w w:val="99"/>
        </w:rPr>
        <w:t>告</w:t>
      </w:r>
      <w:r>
        <w:rPr>
          <w:w w:val="99"/>
        </w:rPr>
        <w:t>期</w:t>
      </w:r>
      <w:r>
        <w:rPr>
          <w:spacing w:val="2"/>
          <w:w w:val="99"/>
        </w:rPr>
        <w:t>的</w:t>
      </w:r>
      <w:r>
        <w:rPr>
          <w:w w:val="99"/>
        </w:rPr>
        <w:t>委</w:t>
      </w:r>
      <w:r>
        <w:rPr>
          <w:spacing w:val="2"/>
          <w:w w:val="99"/>
        </w:rPr>
        <w:t>托</w:t>
      </w:r>
      <w:r>
        <w:rPr>
          <w:w w:val="99"/>
        </w:rPr>
        <w:t>现</w:t>
      </w:r>
      <w:r>
        <w:rPr>
          <w:spacing w:val="2"/>
          <w:w w:val="99"/>
        </w:rPr>
        <w:t>金</w:t>
      </w:r>
      <w:r>
        <w:rPr>
          <w:w w:val="99"/>
        </w:rPr>
        <w:t>资</w:t>
      </w:r>
      <w:r>
        <w:rPr>
          <w:spacing w:val="2"/>
          <w:w w:val="99"/>
        </w:rPr>
        <w:t>产</w:t>
      </w:r>
      <w:r>
        <w:rPr>
          <w:w w:val="99"/>
        </w:rPr>
        <w:t>管</w:t>
      </w:r>
      <w:r>
        <w:rPr>
          <w:spacing w:val="2"/>
          <w:w w:val="99"/>
        </w:rPr>
        <w:t>理</w:t>
      </w:r>
      <w:r>
        <w:rPr>
          <w:w w:val="99"/>
        </w:rPr>
        <w:t>事</w:t>
      </w:r>
      <w:r>
        <w:rPr>
          <w:spacing w:val="2"/>
          <w:w w:val="99"/>
        </w:rPr>
        <w:t>项</w:t>
      </w:r>
      <w:r>
        <w:rPr>
          <w:w w:val="99"/>
        </w:rPr>
        <w:t>。</w:t>
      </w:r>
      <w:r>
        <w:rPr/>
      </w:r>
    </w:p>
    <w:p>
      <w:pPr>
        <w:pStyle w:val="BodyText"/>
        <w:spacing w:line="338" w:lineRule="auto" w:before="119"/>
        <w:ind w:left="882" w:right="656" w:firstLine="420"/>
        <w:jc w:val="both"/>
      </w:pPr>
      <w:r>
        <w:rPr>
          <w:rFonts w:ascii="Times New Roman" w:hAnsi="Times New Roman" w:cs="Times New Roman" w:eastAsia="Times New Roman" w:hint="default"/>
          <w:spacing w:val="-1"/>
          <w:w w:val="95"/>
        </w:rPr>
        <w:t>4</w:t>
      </w:r>
      <w:r>
        <w:rPr>
          <w:spacing w:val="-1"/>
          <w:w w:val="95"/>
        </w:rPr>
        <w:t>、重大销售、借款合同：公司与交通银行的借款合同，期限为</w:t>
      </w:r>
      <w:r>
        <w:rPr>
          <w:rFonts w:ascii="Times New Roman" w:hAnsi="Times New Roman" w:cs="Times New Roman" w:eastAsia="Times New Roman" w:hint="default"/>
          <w:spacing w:val="-1"/>
          <w:w w:val="95"/>
        </w:rPr>
        <w:t>2010.6.28-2011.6.27</w:t>
      </w:r>
      <w:r>
        <w:rPr>
          <w:spacing w:val="-1"/>
          <w:w w:val="95"/>
        </w:rPr>
        <w:t>，金</w:t>
      </w:r>
      <w:r>
        <w:rPr>
          <w:w w:val="99"/>
        </w:rPr>
        <w:t> </w:t>
      </w:r>
      <w:r>
        <w:rPr>
          <w:spacing w:val="-4"/>
          <w:w w:val="95"/>
        </w:rPr>
        <w:t>额为</w:t>
      </w:r>
      <w:r>
        <w:rPr>
          <w:rFonts w:ascii="Times New Roman" w:hAnsi="Times New Roman" w:cs="Times New Roman" w:eastAsia="Times New Roman" w:hint="default"/>
          <w:spacing w:val="-4"/>
          <w:w w:val="95"/>
        </w:rPr>
        <w:t>1000</w:t>
      </w:r>
      <w:r>
        <w:rPr>
          <w:spacing w:val="-4"/>
          <w:w w:val="95"/>
        </w:rPr>
        <w:t>万元整，担保方式为信用，合同号为</w:t>
      </w:r>
      <w:r>
        <w:rPr>
          <w:rFonts w:ascii="Times New Roman" w:hAnsi="Times New Roman" w:cs="Times New Roman" w:eastAsia="Times New Roman" w:hint="default"/>
          <w:spacing w:val="-4"/>
          <w:w w:val="95"/>
        </w:rPr>
        <w:t>345000101000000412</w:t>
      </w:r>
      <w:r>
        <w:rPr>
          <w:spacing w:val="-4"/>
          <w:w w:val="95"/>
        </w:rPr>
        <w:t>；与工商银行的借款合同，</w:t>
      </w:r>
      <w:r>
        <w:rPr>
          <w:spacing w:val="22"/>
          <w:w w:val="95"/>
        </w:rPr>
        <w:t> </w:t>
      </w:r>
      <w:r>
        <w:rPr>
          <w:spacing w:val="22"/>
          <w:w w:val="95"/>
        </w:rPr>
      </w:r>
      <w:r>
        <w:rPr>
          <w:w w:val="95"/>
        </w:rPr>
        <w:t>期限为</w:t>
      </w:r>
      <w:r>
        <w:rPr>
          <w:rFonts w:ascii="Times New Roman" w:hAnsi="Times New Roman" w:cs="Times New Roman" w:eastAsia="Times New Roman" w:hint="default"/>
          <w:w w:val="95"/>
        </w:rPr>
        <w:t>2010.9.21-2011.9.21</w:t>
      </w:r>
      <w:r>
        <w:rPr>
          <w:w w:val="95"/>
        </w:rPr>
        <w:t>，金额为</w:t>
      </w:r>
      <w:r>
        <w:rPr>
          <w:rFonts w:ascii="Times New Roman" w:hAnsi="Times New Roman" w:cs="Times New Roman" w:eastAsia="Times New Roman" w:hint="default"/>
          <w:w w:val="95"/>
        </w:rPr>
        <w:t>300</w:t>
      </w:r>
      <w:r>
        <w:rPr>
          <w:w w:val="95"/>
        </w:rPr>
        <w:t>万元整，担保方式为信用，合同号为</w:t>
      </w:r>
      <w:r>
        <w:rPr>
          <w:rFonts w:ascii="Times New Roman" w:hAnsi="Times New Roman" w:cs="Times New Roman" w:eastAsia="Times New Roman" w:hint="default"/>
          <w:w w:val="95"/>
        </w:rPr>
        <w:t>2010</w:t>
      </w:r>
      <w:r>
        <w:rPr>
          <w:w w:val="95"/>
        </w:rPr>
        <w:t>年（广场）  </w:t>
      </w:r>
      <w:r>
        <w:rPr>
          <w:spacing w:val="41"/>
          <w:w w:val="95"/>
        </w:rPr>
        <w:t> </w:t>
      </w:r>
      <w:r>
        <w:rPr>
          <w:spacing w:val="41"/>
          <w:w w:val="95"/>
        </w:rPr>
      </w:r>
      <w:r>
        <w:rPr/>
        <w:t>字</w:t>
      </w:r>
      <w:r>
        <w:rPr>
          <w:spacing w:val="-87"/>
        </w:rPr>
        <w:t> </w:t>
      </w:r>
      <w:r>
        <w:rPr>
          <w:rFonts w:ascii="Times New Roman" w:hAnsi="Times New Roman" w:cs="Times New Roman" w:eastAsia="Times New Roman" w:hint="default"/>
        </w:rPr>
        <w:t>0086</w:t>
      </w:r>
      <w:r>
        <w:rPr>
          <w:rFonts w:ascii="Times New Roman" w:hAnsi="Times New Roman" w:cs="Times New Roman" w:eastAsia="Times New Roman" w:hint="default"/>
          <w:spacing w:val="-33"/>
        </w:rPr>
        <w:t> </w:t>
      </w:r>
      <w:r>
        <w:rPr>
          <w:spacing w:val="12"/>
        </w:rPr>
        <w:t>号；</w:t>
      </w:r>
      <w:r>
        <w:rPr>
          <w:spacing w:val="-87"/>
        </w:rPr>
        <w:t> </w:t>
      </w:r>
      <w:r>
        <w:rPr>
          <w:spacing w:val="19"/>
        </w:rPr>
        <w:t>与上海浦东发展银行马鞍山支行的借款合同，</w:t>
      </w:r>
      <w:r>
        <w:rPr>
          <w:spacing w:val="-87"/>
        </w:rPr>
        <w:t> </w:t>
      </w:r>
      <w:r>
        <w:rPr>
          <w:spacing w:val="18"/>
        </w:rPr>
        <w:t>担保方式为信用，</w:t>
      </w:r>
      <w:r>
        <w:rPr>
          <w:spacing w:val="-87"/>
        </w:rPr>
        <w:t> </w:t>
      </w:r>
      <w:r>
        <w:rPr>
          <w:spacing w:val="14"/>
        </w:rPr>
        <w:t>期限为</w:t>
      </w:r>
      <w:r>
        <w:rPr>
          <w:w w:val="99"/>
        </w:rPr>
        <w:t> </w:t>
      </w:r>
      <w:r>
        <w:rPr>
          <w:rFonts w:ascii="Times New Roman" w:hAnsi="Times New Roman" w:cs="Times New Roman" w:eastAsia="Times New Roman" w:hint="default"/>
        </w:rPr>
        <w:t>2010.12.27-2011.12.27</w:t>
      </w:r>
      <w:r>
        <w:rPr/>
        <w:t>，金额为</w:t>
      </w:r>
      <w:r>
        <w:rPr>
          <w:rFonts w:ascii="Times New Roman" w:hAnsi="Times New Roman" w:cs="Times New Roman" w:eastAsia="Times New Roman" w:hint="default"/>
        </w:rPr>
        <w:t>2000</w:t>
      </w:r>
      <w:r>
        <w:rPr/>
        <w:t>万元整，合同号为（马）</w:t>
      </w:r>
      <w:r>
        <w:rPr>
          <w:rFonts w:ascii="Times New Roman" w:hAnsi="Times New Roman" w:cs="Times New Roman" w:eastAsia="Times New Roman" w:hint="default"/>
        </w:rPr>
        <w:t>223-10-47</w:t>
      </w:r>
      <w:r>
        <w:rPr/>
        <w:t>。</w:t>
      </w:r>
    </w:p>
    <w:p>
      <w:pPr>
        <w:spacing w:line="240" w:lineRule="auto" w:before="1"/>
        <w:rPr>
          <w:rFonts w:ascii="宋体" w:hAnsi="宋体" w:cs="宋体" w:eastAsia="宋体" w:hint="default"/>
          <w:sz w:val="27"/>
          <w:szCs w:val="27"/>
        </w:rPr>
      </w:pPr>
    </w:p>
    <w:p>
      <w:pPr>
        <w:pStyle w:val="Heading3"/>
        <w:spacing w:line="240" w:lineRule="auto" w:before="26"/>
        <w:ind w:right="0"/>
        <w:jc w:val="left"/>
      </w:pPr>
      <w:r>
        <w:rPr/>
        <w:t>七、公司及持有公司股票5%以上股东在报告期内或持续到报告期内的承诺事</w:t>
      </w:r>
    </w:p>
    <w:p>
      <w:pPr>
        <w:pStyle w:val="Heading3"/>
        <w:spacing w:line="240" w:lineRule="auto" w:before="151"/>
        <w:ind w:left="882" w:right="649"/>
        <w:jc w:val="left"/>
      </w:pPr>
      <w:r>
        <w:rPr/>
        <w:t>项</w:t>
      </w:r>
    </w:p>
    <w:p>
      <w:pPr>
        <w:spacing w:line="240" w:lineRule="auto" w:before="6"/>
        <w:rPr>
          <w:rFonts w:ascii="宋体" w:hAnsi="宋体" w:cs="宋体" w:eastAsia="宋体" w:hint="default"/>
          <w:sz w:val="9"/>
          <w:szCs w:val="9"/>
        </w:rPr>
      </w:pPr>
    </w:p>
    <w:p>
      <w:pPr>
        <w:pStyle w:val="BodyText"/>
        <w:spacing w:line="355" w:lineRule="auto" w:before="34"/>
        <w:ind w:left="882" w:right="661" w:firstLine="420"/>
        <w:jc w:val="both"/>
      </w:pPr>
      <w:r>
        <w:rPr>
          <w:spacing w:val="-2"/>
          <w:w w:val="95"/>
        </w:rPr>
        <w:t>本公司控股股东和实际控制人均为公司董事长刘冀鲁先生。除控股股东以外，本公司持</w:t>
      </w:r>
      <w:r>
        <w:rPr>
          <w:w w:val="99"/>
        </w:rPr>
        <w:t> </w:t>
      </w:r>
      <w:r>
        <w:rPr/>
        <w:t>股</w:t>
      </w:r>
      <w:r>
        <w:rPr>
          <w:rFonts w:ascii="Times New Roman" w:hAnsi="Times New Roman" w:cs="Times New Roman" w:eastAsia="Times New Roman" w:hint="default"/>
        </w:rPr>
        <w:t>5%</w:t>
      </w:r>
      <w:r>
        <w:rPr/>
        <w:t>以上的股东是公司总经理刘凌云、自然人股东喻琴。</w:t>
      </w:r>
    </w:p>
    <w:p>
      <w:pPr>
        <w:pStyle w:val="BodyText"/>
        <w:spacing w:line="336" w:lineRule="auto" w:before="5"/>
        <w:ind w:left="882" w:right="659" w:firstLine="420"/>
        <w:jc w:val="both"/>
      </w:pPr>
      <w:r>
        <w:rPr/>
        <w:t>报告期内，持股</w:t>
      </w:r>
      <w:r>
        <w:rPr>
          <w:rFonts w:ascii="Times New Roman" w:hAnsi="Times New Roman" w:cs="Times New Roman" w:eastAsia="Times New Roman" w:hint="default"/>
        </w:rPr>
        <w:t>5%</w:t>
      </w:r>
      <w:r>
        <w:rPr/>
        <w:t>以上股东分别作出避免同业竞争的承诺，目前正在履行中，报告期</w:t>
      </w:r>
      <w:r>
        <w:rPr>
          <w:w w:val="99"/>
        </w:rPr>
        <w:t> </w:t>
      </w:r>
      <w:r>
        <w:rPr/>
        <w:t>内未发生同业竞争的情形。</w:t>
      </w:r>
    </w:p>
    <w:p>
      <w:pPr>
        <w:pStyle w:val="BodyText"/>
        <w:spacing w:line="336" w:lineRule="auto" w:before="51"/>
        <w:ind w:left="882" w:right="659" w:firstLine="420"/>
        <w:jc w:val="both"/>
      </w:pPr>
      <w:r>
        <w:rPr/>
        <w:t>控股股东和实际控制人刘冀鲁、持股</w:t>
      </w:r>
      <w:r>
        <w:rPr>
          <w:rFonts w:ascii="Times New Roman" w:hAnsi="Times New Roman" w:cs="Times New Roman" w:eastAsia="Times New Roman" w:hint="default"/>
        </w:rPr>
        <w:t>5%</w:t>
      </w:r>
      <w:r>
        <w:rPr/>
        <w:t>以上股东自然人刘凌云、喻琴均承诺其所持有</w:t>
      </w:r>
      <w:r>
        <w:rPr>
          <w:w w:val="99"/>
        </w:rPr>
        <w:t> </w:t>
      </w:r>
      <w:r>
        <w:rPr>
          <w:w w:val="95"/>
        </w:rPr>
        <w:t>的本公司股份自本公司股票在证券交易所上市之日起</w:t>
      </w:r>
      <w:r>
        <w:rPr>
          <w:rFonts w:ascii="Times New Roman" w:hAnsi="Times New Roman" w:cs="Times New Roman" w:eastAsia="Times New Roman" w:hint="default"/>
          <w:w w:val="95"/>
        </w:rPr>
        <w:t>36</w:t>
      </w:r>
      <w:r>
        <w:rPr>
          <w:w w:val="95"/>
        </w:rPr>
        <w:t>个月内不得转让或者委托他人管理，</w:t>
      </w:r>
      <w:r>
        <w:rPr>
          <w:spacing w:val="11"/>
          <w:w w:val="95"/>
        </w:rPr>
        <w:t> </w:t>
      </w:r>
      <w:r>
        <w:rPr>
          <w:spacing w:val="11"/>
          <w:w w:val="95"/>
        </w:rPr>
      </w:r>
      <w:r>
        <w:rPr>
          <w:spacing w:val="-2"/>
          <w:w w:val="95"/>
        </w:rPr>
        <w:t>也不得由本公司回购。实际控制人刘冀鲁作为公司董事长，自然人股东刘凌云作为公司高级</w:t>
      </w:r>
      <w:r>
        <w:rPr>
          <w:spacing w:val="-2"/>
        </w:rPr>
      </w:r>
    </w:p>
    <w:p>
      <w:pPr>
        <w:spacing w:after="0" w:line="336" w:lineRule="auto"/>
        <w:jc w:val="both"/>
        <w:sectPr>
          <w:pgSz w:w="11910" w:h="16840"/>
          <w:pgMar w:header="206" w:footer="738" w:top="940" w:bottom="920" w:left="92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5" w:lineRule="auto"/>
        <w:ind w:left="222" w:right="241"/>
        <w:jc w:val="both"/>
      </w:pPr>
      <w:r>
        <w:rPr>
          <w:spacing w:val="-2"/>
          <w:w w:val="99"/>
        </w:rPr>
        <w:t>管理人员还承诺其所持有的本公司股份前述锁定期限届满后，在其任职期间每年转让的股份</w:t>
      </w:r>
      <w:r>
        <w:rPr>
          <w:spacing w:val="-86"/>
          <w:w w:val="99"/>
        </w:rPr>
        <w:t> </w:t>
      </w:r>
      <w:r>
        <w:rPr>
          <w:spacing w:val="-86"/>
          <w:w w:val="99"/>
        </w:rPr>
      </w:r>
      <w:r>
        <w:rPr>
          <w:spacing w:val="-5"/>
          <w:w w:val="98"/>
        </w:rPr>
        <w:t>不超过其所持有公司股份总数的百分之二十；离职以后三年内，不转让其所持有的公司股份，</w:t>
      </w:r>
      <w:r>
        <w:rPr>
          <w:spacing w:val="-64"/>
          <w:w w:val="98"/>
        </w:rPr>
        <w:t> </w:t>
      </w:r>
      <w:r>
        <w:rPr>
          <w:spacing w:val="-64"/>
          <w:w w:val="98"/>
        </w:rPr>
      </w:r>
      <w:r>
        <w:rPr>
          <w:spacing w:val="-2"/>
          <w:w w:val="99"/>
        </w:rPr>
        <w:t>且三年后每年转让的股份不超过其所持有公司股份总数的百分之二十。目前未发生违反以上</w:t>
      </w:r>
      <w:r>
        <w:rPr>
          <w:spacing w:val="-86"/>
          <w:w w:val="99"/>
        </w:rPr>
        <w:t> </w:t>
      </w:r>
      <w:r>
        <w:rPr>
          <w:spacing w:val="-86"/>
          <w:w w:val="99"/>
        </w:rPr>
      </w:r>
      <w:r>
        <w:rPr/>
        <w:t>承诺的事项。</w:t>
      </w:r>
    </w:p>
    <w:p>
      <w:pPr>
        <w:spacing w:line="240" w:lineRule="auto" w:before="11"/>
        <w:rPr>
          <w:rFonts w:ascii="宋体" w:hAnsi="宋体" w:cs="宋体" w:eastAsia="宋体" w:hint="default"/>
          <w:sz w:val="29"/>
          <w:szCs w:val="29"/>
        </w:rPr>
      </w:pPr>
    </w:p>
    <w:p>
      <w:pPr>
        <w:pStyle w:val="Heading3"/>
        <w:spacing w:line="240" w:lineRule="auto"/>
        <w:ind w:left="702" w:right="229"/>
        <w:jc w:val="left"/>
      </w:pPr>
      <w:r>
        <w:rPr/>
        <w:t>八、公司、董事会及董事受到处罚及整改情况</w:t>
      </w:r>
    </w:p>
    <w:p>
      <w:pPr>
        <w:pStyle w:val="BodyText"/>
        <w:spacing w:line="355" w:lineRule="auto" w:before="157"/>
        <w:ind w:left="222" w:right="229" w:firstLine="420"/>
        <w:jc w:val="left"/>
      </w:pPr>
      <w:r>
        <w:rPr>
          <w:spacing w:val="-2"/>
          <w:w w:val="95"/>
        </w:rPr>
        <w:t>报告期内，公司、董事会及董事没有受中国证监会稽查、中国证监会行政处罚、通报批</w:t>
      </w:r>
      <w:r>
        <w:rPr>
          <w:w w:val="99"/>
        </w:rPr>
        <w:t> </w:t>
      </w:r>
      <w:r>
        <w:rPr/>
        <w:t>评；也没有被其他行政管理部门处罚及证券交易所公开谴责的情况。</w:t>
      </w:r>
    </w:p>
    <w:p>
      <w:pPr>
        <w:spacing w:line="240" w:lineRule="auto" w:before="11"/>
        <w:rPr>
          <w:rFonts w:ascii="宋体" w:hAnsi="宋体" w:cs="宋体" w:eastAsia="宋体" w:hint="default"/>
          <w:sz w:val="29"/>
          <w:szCs w:val="29"/>
        </w:rPr>
      </w:pPr>
    </w:p>
    <w:p>
      <w:pPr>
        <w:pStyle w:val="Heading3"/>
        <w:spacing w:line="240" w:lineRule="auto"/>
        <w:ind w:left="702" w:right="229"/>
        <w:jc w:val="left"/>
      </w:pPr>
      <w:r>
        <w:rPr/>
        <w:t>九、报告期内公司披露的重大事项信息索引</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6115"/>
        <w:gridCol w:w="1202"/>
        <w:gridCol w:w="1205"/>
      </w:tblGrid>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编号</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第一届第十次董事会决议公告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2010-001</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第一届第七次监事会决议公告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Times New Roman" w:hAnsi="Times New Roman" w:cs="Times New Roman" w:eastAsia="Times New Roman" w:hint="default"/>
                <w:sz w:val="21"/>
                <w:szCs w:val="21"/>
              </w:rPr>
            </w:pPr>
            <w:r>
              <w:rPr>
                <w:rFonts w:ascii="Times New Roman"/>
                <w:sz w:val="21"/>
              </w:rPr>
              <w:t>2010-002</w:t>
            </w:r>
          </w:p>
        </w:tc>
      </w:tr>
      <w:tr>
        <w:trPr>
          <w:trHeight w:val="538"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关于用部分募集资金置换预先已投入募投项目的自筹资金的公告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2010-003</w:t>
            </w:r>
          </w:p>
        </w:tc>
      </w:tr>
      <w:tr>
        <w:trPr>
          <w:trHeight w:val="538"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关于用部分超额募集资金偿还银行贷款及补充流动资金的公告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2010-004</w:t>
            </w:r>
          </w:p>
        </w:tc>
      </w:tr>
      <w:tr>
        <w:trPr>
          <w:trHeight w:val="84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关于用部分超募资金竞买在北京产权交易所挂牌交易的中国华农</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资产经营公司所属中水广海钢丝绳厂整体资产的公告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2010-005</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年度第一次临时股东大会的通知公告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2010.2.24</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2010-006</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关于签订募集资金三方监管协议的公告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2"/>
              <w:jc w:val="right"/>
              <w:rPr>
                <w:rFonts w:ascii="Times New Roman" w:hAnsi="Times New Roman" w:cs="Times New Roman" w:eastAsia="Times New Roman" w:hint="default"/>
                <w:sz w:val="21"/>
                <w:szCs w:val="21"/>
              </w:rPr>
            </w:pPr>
            <w:r>
              <w:rPr>
                <w:rFonts w:ascii="Times New Roman"/>
                <w:w w:val="95"/>
                <w:sz w:val="21"/>
              </w:rPr>
              <w:t>2010.3.2</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2010-007</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年度第一次临时股东大会决议公告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2"/>
              <w:jc w:val="right"/>
              <w:rPr>
                <w:rFonts w:ascii="Times New Roman" w:hAnsi="Times New Roman" w:cs="Times New Roman" w:eastAsia="Times New Roman" w:hint="default"/>
                <w:sz w:val="21"/>
                <w:szCs w:val="21"/>
              </w:rPr>
            </w:pPr>
            <w:r>
              <w:rPr>
                <w:rFonts w:ascii="Times New Roman"/>
                <w:spacing w:val="-1"/>
                <w:w w:val="95"/>
                <w:sz w:val="21"/>
              </w:rPr>
              <w:t>2010.3.11</w:t>
            </w:r>
            <w:r>
              <w:rPr>
                <w:rFonts w:ascii="Times New Roman"/>
                <w:spacing w:val="-1"/>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2010-008</w:t>
            </w:r>
          </w:p>
        </w:tc>
      </w:tr>
      <w:tr>
        <w:trPr>
          <w:trHeight w:val="833"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关于受让中国华农资产经营公司所属中水广海钢丝绳厂整体资产</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2010.3.20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2010-009</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9"/>
              <w:jc w:val="right"/>
              <w:rPr>
                <w:rFonts w:ascii="Times New Roman" w:hAnsi="Times New Roman" w:cs="Times New Roman" w:eastAsia="Times New Roman" w:hint="default"/>
                <w:sz w:val="21"/>
                <w:szCs w:val="21"/>
              </w:rPr>
            </w:pPr>
            <w:r>
              <w:rPr>
                <w:rFonts w:ascii="Times New Roman"/>
                <w:w w:val="95"/>
                <w:sz w:val="21"/>
              </w:rPr>
              <w:t>2010.3.30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2010-010</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2010-011</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第一届监事会第八次会议决议公告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2010-012</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董事辞职公告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2010-013</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关于开展境内期货套期保值业务的公告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2010-014</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关于变更募投项目实施地点的公告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2010-015</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关于召集</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年年度股东大会的通知公告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2010-016</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年年度报告摘要</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2010-017</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关于提名新任非独立董事候选人的公告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2010.4.10</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2010-018</w:t>
            </w:r>
          </w:p>
        </w:tc>
      </w:tr>
      <w:tr>
        <w:trPr>
          <w:trHeight w:val="538"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关于开展境内期货套期保值业务的更正公告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9"/>
              <w:jc w:val="right"/>
              <w:rPr>
                <w:rFonts w:ascii="Times New Roman" w:hAnsi="Times New Roman" w:cs="Times New Roman" w:eastAsia="Times New Roman" w:hint="default"/>
                <w:sz w:val="21"/>
                <w:szCs w:val="21"/>
              </w:rPr>
            </w:pPr>
            <w:r>
              <w:rPr>
                <w:rFonts w:ascii="Times New Roman"/>
                <w:w w:val="95"/>
                <w:sz w:val="21"/>
              </w:rPr>
              <w:t>2010.4.13</w:t>
            </w:r>
            <w:r>
              <w:rPr>
                <w:rFonts w:ascii="Times New Roman"/>
                <w:sz w:val="21"/>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2010-019</w:t>
            </w:r>
          </w:p>
        </w:tc>
      </w:tr>
    </w:tbl>
    <w:p>
      <w:pPr>
        <w:spacing w:after="0" w:line="240" w:lineRule="auto"/>
        <w:jc w:val="center"/>
        <w:rPr>
          <w:rFonts w:ascii="Times New Roman" w:hAnsi="Times New Roman" w:cs="Times New Roman" w:eastAsia="Times New Roman" w:hint="default"/>
          <w:sz w:val="21"/>
          <w:szCs w:val="21"/>
        </w:rPr>
        <w:sectPr>
          <w:pgSz w:w="11910" w:h="16840"/>
          <w:pgMar w:header="206" w:footer="738" w:top="940" w:bottom="920" w:left="158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115"/>
        <w:gridCol w:w="1202"/>
        <w:gridCol w:w="1205"/>
      </w:tblGrid>
      <w:tr>
        <w:trPr>
          <w:trHeight w:val="55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年年度报告网上说明会的公告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2010.4.13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2010-020</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年第一季度报告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2010.4.23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2010-021</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关于网下配售股票上市流通的提示性公告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2010.4.28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2010-022</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2010.5.8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2010-023</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第一届第十三次董事会决议公告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2010.5.24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2010-024</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年度权益分派实施公告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2010.6.29</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2010-025</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一届第十四次董事会决议公告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2010.7.14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2010-026</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一届第十次监事会决议公告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5" w:right="0"/>
              <w:jc w:val="left"/>
              <w:rPr>
                <w:rFonts w:ascii="Times New Roman" w:hAnsi="Times New Roman" w:cs="Times New Roman" w:eastAsia="Times New Roman" w:hint="default"/>
                <w:sz w:val="21"/>
                <w:szCs w:val="21"/>
              </w:rPr>
            </w:pPr>
            <w:r>
              <w:rPr>
                <w:rFonts w:ascii="Times New Roman"/>
                <w:sz w:val="21"/>
              </w:rPr>
              <w:t>2010.7.14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4" w:right="0"/>
              <w:jc w:val="left"/>
              <w:rPr>
                <w:rFonts w:ascii="Times New Roman" w:hAnsi="Times New Roman" w:cs="Times New Roman" w:eastAsia="Times New Roman" w:hint="default"/>
                <w:sz w:val="21"/>
                <w:szCs w:val="21"/>
              </w:rPr>
            </w:pPr>
            <w:r>
              <w:rPr>
                <w:rFonts w:ascii="Times New Roman"/>
                <w:sz w:val="21"/>
              </w:rPr>
              <w:t>2010-027</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关于用部分募集资金置换预先已投入募投项目的自筹资金的公告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2010.7.14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2010-028</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关于用部分超额募集资金偿还银行贷款及补充流动资金的公告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5" w:right="0"/>
              <w:jc w:val="left"/>
              <w:rPr>
                <w:rFonts w:ascii="Times New Roman" w:hAnsi="Times New Roman" w:cs="Times New Roman" w:eastAsia="Times New Roman" w:hint="default"/>
                <w:sz w:val="21"/>
                <w:szCs w:val="21"/>
              </w:rPr>
            </w:pPr>
            <w:r>
              <w:rPr>
                <w:rFonts w:ascii="Times New Roman"/>
                <w:sz w:val="21"/>
              </w:rPr>
              <w:t>2010.7.14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4" w:right="0"/>
              <w:jc w:val="left"/>
              <w:rPr>
                <w:rFonts w:ascii="Times New Roman" w:hAnsi="Times New Roman" w:cs="Times New Roman" w:eastAsia="Times New Roman" w:hint="default"/>
                <w:sz w:val="21"/>
                <w:szCs w:val="21"/>
              </w:rPr>
            </w:pPr>
            <w:r>
              <w:rPr>
                <w:rFonts w:ascii="Times New Roman"/>
                <w:sz w:val="21"/>
              </w:rPr>
              <w:t>2010-029</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2010.8.12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2010-030</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一届第十五次董事会决议公告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75" w:right="0"/>
              <w:jc w:val="left"/>
              <w:rPr>
                <w:rFonts w:ascii="Times New Roman" w:hAnsi="Times New Roman" w:cs="Times New Roman" w:eastAsia="Times New Roman" w:hint="default"/>
                <w:sz w:val="21"/>
                <w:szCs w:val="21"/>
              </w:rPr>
            </w:pPr>
            <w:r>
              <w:rPr>
                <w:rFonts w:ascii="Times New Roman"/>
                <w:sz w:val="21"/>
              </w:rPr>
              <w:t>2010.8.28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4" w:right="0"/>
              <w:jc w:val="left"/>
              <w:rPr>
                <w:rFonts w:ascii="Times New Roman" w:hAnsi="Times New Roman" w:cs="Times New Roman" w:eastAsia="Times New Roman" w:hint="default"/>
                <w:sz w:val="21"/>
                <w:szCs w:val="21"/>
              </w:rPr>
            </w:pPr>
            <w:r>
              <w:rPr>
                <w:rFonts w:ascii="Times New Roman"/>
                <w:sz w:val="21"/>
              </w:rPr>
              <w:t>2010-031</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年半年度报告摘要</w:t>
            </w:r>
            <w:r>
              <w:rPr>
                <w:rFonts w:ascii="宋体" w:hAnsi="宋体" w:cs="宋体" w:eastAsia="宋体" w:hint="default"/>
                <w:sz w:val="21"/>
                <w:szCs w:val="21"/>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2010.8.28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2010-032</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一届第十一次监事会决议公告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Times New Roman" w:hAnsi="Times New Roman" w:cs="Times New Roman" w:eastAsia="Times New Roman" w:hint="default"/>
                <w:sz w:val="21"/>
                <w:szCs w:val="21"/>
              </w:rPr>
            </w:pPr>
            <w:r>
              <w:rPr>
                <w:rFonts w:ascii="Times New Roman"/>
                <w:sz w:val="21"/>
              </w:rPr>
              <w:t>2010.8.28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2010-033</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关于设立全资子公司的公告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2010.8.28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2010-034</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position w:val="1"/>
                <w:sz w:val="21"/>
                <w:szCs w:val="21"/>
              </w:rPr>
              <w:t>关于召集</w:t>
            </w: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年第二次临时股东大会的通知公告</w:t>
            </w:r>
            <w:r>
              <w:rPr>
                <w:rFonts w:ascii="宋体" w:hAnsi="宋体" w:cs="宋体" w:eastAsia="宋体" w:hint="default"/>
                <w:sz w:val="21"/>
                <w:szCs w:val="21"/>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Times New Roman" w:hAnsi="Times New Roman" w:cs="Times New Roman" w:eastAsia="Times New Roman" w:hint="default"/>
                <w:sz w:val="21"/>
                <w:szCs w:val="21"/>
              </w:rPr>
            </w:pPr>
            <w:r>
              <w:rPr>
                <w:rFonts w:ascii="Times New Roman"/>
                <w:sz w:val="21"/>
              </w:rPr>
              <w:t>2010.8.28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2010-035</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年度第二次临时股东大会会议决议公告</w:t>
            </w:r>
            <w:r>
              <w:rPr>
                <w:rFonts w:ascii="宋体" w:hAnsi="宋体" w:cs="宋体" w:eastAsia="宋体" w:hint="default"/>
                <w:sz w:val="21"/>
                <w:szCs w:val="21"/>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2010.9.14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2010-036</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一届十六次董事会决议公告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2010.9.30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2010-037</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关于子公司完成工商登记的公告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Times New Roman" w:hAnsi="Times New Roman" w:cs="Times New Roman" w:eastAsia="Times New Roman" w:hint="default"/>
                <w:sz w:val="21"/>
                <w:szCs w:val="21"/>
              </w:rPr>
            </w:pPr>
            <w:r>
              <w:rPr>
                <w:rFonts w:ascii="Times New Roman"/>
                <w:sz w:val="21"/>
              </w:rPr>
              <w:t>2010.9.30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Times New Roman" w:hAnsi="Times New Roman" w:cs="Times New Roman" w:eastAsia="Times New Roman" w:hint="default"/>
                <w:sz w:val="21"/>
                <w:szCs w:val="21"/>
              </w:rPr>
            </w:pPr>
            <w:r>
              <w:rPr>
                <w:rFonts w:ascii="Times New Roman"/>
                <w:sz w:val="21"/>
              </w:rPr>
              <w:t>2010-038</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利润分配实施公告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2010.10.14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2010-039</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关于选举职工代表监事的公告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Times New Roman" w:hAnsi="Times New Roman" w:cs="Times New Roman" w:eastAsia="Times New Roman" w:hint="default"/>
                <w:sz w:val="21"/>
                <w:szCs w:val="21"/>
              </w:rPr>
            </w:pPr>
            <w:r>
              <w:rPr>
                <w:rFonts w:ascii="Times New Roman"/>
                <w:sz w:val="21"/>
              </w:rPr>
              <w:t>2010.10.19</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Times New Roman" w:hAnsi="Times New Roman" w:cs="Times New Roman" w:eastAsia="Times New Roman" w:hint="default"/>
                <w:sz w:val="21"/>
                <w:szCs w:val="21"/>
              </w:rPr>
            </w:pPr>
            <w:r>
              <w:rPr>
                <w:rFonts w:ascii="Times New Roman"/>
                <w:sz w:val="21"/>
              </w:rPr>
              <w:t>2010-040</w:t>
            </w:r>
          </w:p>
        </w:tc>
      </w:tr>
      <w:tr>
        <w:trPr>
          <w:trHeight w:val="425"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2010.10.19</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2010-041</w:t>
            </w:r>
          </w:p>
        </w:tc>
      </w:tr>
      <w:tr>
        <w:trPr>
          <w:trHeight w:val="422"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年度第三季度报告</w:t>
            </w:r>
            <w:r>
              <w:rPr>
                <w:rFonts w:ascii="宋体" w:hAnsi="宋体" w:cs="宋体" w:eastAsia="宋体" w:hint="default"/>
                <w:sz w:val="21"/>
                <w:szCs w:val="21"/>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Times New Roman" w:hAnsi="Times New Roman" w:cs="Times New Roman" w:eastAsia="Times New Roman" w:hint="default"/>
                <w:sz w:val="21"/>
                <w:szCs w:val="21"/>
              </w:rPr>
            </w:pPr>
            <w:r>
              <w:rPr>
                <w:rFonts w:ascii="Times New Roman"/>
                <w:sz w:val="21"/>
              </w:rPr>
              <w:t>2010.10.23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Times New Roman" w:hAnsi="Times New Roman" w:cs="Times New Roman" w:eastAsia="Times New Roman" w:hint="default"/>
                <w:sz w:val="21"/>
                <w:szCs w:val="21"/>
              </w:rPr>
            </w:pPr>
            <w:r>
              <w:rPr>
                <w:rFonts w:ascii="Times New Roman"/>
                <w:sz w:val="21"/>
              </w:rPr>
              <w:t>2010-042</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一届十八次董事会决议公告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2010.11.10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2010-043</w:t>
            </w:r>
          </w:p>
        </w:tc>
      </w:tr>
      <w:tr>
        <w:trPr>
          <w:trHeight w:val="424" w:hRule="exact"/>
        </w:trPr>
        <w:tc>
          <w:tcPr>
            <w:tcW w:w="61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一届十三次监事会决议公告</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27" w:right="0"/>
              <w:jc w:val="left"/>
              <w:rPr>
                <w:rFonts w:ascii="Times New Roman" w:hAnsi="Times New Roman" w:cs="Times New Roman" w:eastAsia="Times New Roman" w:hint="default"/>
                <w:sz w:val="21"/>
                <w:szCs w:val="21"/>
              </w:rPr>
            </w:pPr>
            <w:r>
              <w:rPr>
                <w:rFonts w:ascii="Times New Roman"/>
                <w:sz w:val="21"/>
              </w:rPr>
              <w:t>2010.11.10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4" w:right="0"/>
              <w:jc w:val="left"/>
              <w:rPr>
                <w:rFonts w:ascii="Times New Roman" w:hAnsi="Times New Roman" w:cs="Times New Roman" w:eastAsia="Times New Roman" w:hint="default"/>
                <w:sz w:val="21"/>
                <w:szCs w:val="21"/>
              </w:rPr>
            </w:pPr>
            <w:r>
              <w:rPr>
                <w:rFonts w:ascii="Times New Roman"/>
                <w:sz w:val="21"/>
              </w:rPr>
              <w:t>2010-044</w:t>
            </w:r>
          </w:p>
        </w:tc>
      </w:tr>
      <w:tr>
        <w:trPr>
          <w:trHeight w:val="346" w:hRule="exact"/>
        </w:trPr>
        <w:tc>
          <w:tcPr>
            <w:tcW w:w="6115" w:type="dxa"/>
            <w:tcBorders>
              <w:top w:val="single" w:sz="6"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关于拟用部分超募资金参与竞买土地使用权的议案</w:t>
            </w:r>
          </w:p>
        </w:tc>
        <w:tc>
          <w:tcPr>
            <w:tcW w:w="1202" w:type="dxa"/>
            <w:tcBorders>
              <w:top w:val="single" w:sz="6" w:space="0" w:color="000000"/>
              <w:left w:val="nil" w:sz="6" w:space="0" w:color="auto"/>
              <w:bottom w:val="nil" w:sz="6" w:space="0" w:color="auto"/>
              <w:right w:val="nil" w:sz="6" w:space="0" w:color="auto"/>
            </w:tcBorders>
          </w:tcPr>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2010.11.10</w:t>
            </w:r>
          </w:p>
        </w:tc>
        <w:tc>
          <w:tcPr>
            <w:tcW w:w="1205" w:type="dxa"/>
            <w:tcBorders>
              <w:top w:val="single" w:sz="6" w:space="0" w:color="000000"/>
              <w:left w:val="nil" w:sz="6" w:space="0" w:color="auto"/>
              <w:bottom w:val="nil" w:sz="6" w:space="0" w:color="auto"/>
              <w:right w:val="nil" w:sz="6" w:space="0" w:color="auto"/>
            </w:tcBorders>
          </w:tcPr>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2010-045</w:t>
            </w:r>
          </w:p>
        </w:tc>
      </w:tr>
      <w:tr>
        <w:trPr>
          <w:trHeight w:val="419" w:hRule="exact"/>
        </w:trPr>
        <w:tc>
          <w:tcPr>
            <w:tcW w:w="61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position w:val="1"/>
                <w:sz w:val="21"/>
                <w:szCs w:val="21"/>
              </w:rPr>
              <w:t>关于召集</w:t>
            </w: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年度第三次临时股东大会的通知公告</w:t>
            </w:r>
            <w:r>
              <w:rPr>
                <w:rFonts w:ascii="宋体" w:hAnsi="宋体" w:cs="宋体" w:eastAsia="宋体" w:hint="default"/>
                <w:sz w:val="21"/>
                <w:szCs w:val="21"/>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2010.11.10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2010-046</w:t>
            </w:r>
          </w:p>
        </w:tc>
      </w:tr>
      <w:tr>
        <w:trPr>
          <w:trHeight w:val="409" w:hRule="exact"/>
        </w:trPr>
        <w:tc>
          <w:tcPr>
            <w:tcW w:w="61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position w:val="1"/>
                <w:sz w:val="21"/>
                <w:szCs w:val="21"/>
              </w:rPr>
              <w:t>年度第三次临时股东大会决议公告</w:t>
            </w:r>
            <w:r>
              <w:rPr>
                <w:rFonts w:ascii="宋体" w:hAnsi="宋体" w:cs="宋体" w:eastAsia="宋体" w:hint="default"/>
                <w:sz w:val="21"/>
                <w:szCs w:val="21"/>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4" w:right="0"/>
              <w:jc w:val="left"/>
              <w:rPr>
                <w:rFonts w:ascii="Times New Roman" w:hAnsi="Times New Roman" w:cs="Times New Roman" w:eastAsia="Times New Roman" w:hint="default"/>
                <w:sz w:val="21"/>
                <w:szCs w:val="21"/>
              </w:rPr>
            </w:pPr>
            <w:r>
              <w:rPr>
                <w:rFonts w:ascii="Times New Roman"/>
                <w:sz w:val="21"/>
              </w:rPr>
              <w:t>2010.11.29</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1" w:right="0"/>
              <w:jc w:val="left"/>
              <w:rPr>
                <w:rFonts w:ascii="Times New Roman" w:hAnsi="Times New Roman" w:cs="Times New Roman" w:eastAsia="Times New Roman" w:hint="default"/>
                <w:sz w:val="21"/>
                <w:szCs w:val="21"/>
              </w:rPr>
            </w:pPr>
            <w:r>
              <w:rPr>
                <w:rFonts w:ascii="Times New Roman"/>
                <w:sz w:val="21"/>
              </w:rPr>
              <w:t>2010-047</w:t>
            </w:r>
          </w:p>
        </w:tc>
      </w:tr>
      <w:tr>
        <w:trPr>
          <w:trHeight w:val="401" w:hRule="exact"/>
        </w:trPr>
        <w:tc>
          <w:tcPr>
            <w:tcW w:w="61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关于公司使用部分超募资金参与竞买土地使用权成交结果的公告</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2" w:right="0"/>
              <w:jc w:val="left"/>
              <w:rPr>
                <w:rFonts w:ascii="Times New Roman" w:hAnsi="Times New Roman" w:cs="Times New Roman" w:eastAsia="Times New Roman" w:hint="default"/>
                <w:sz w:val="21"/>
                <w:szCs w:val="21"/>
              </w:rPr>
            </w:pPr>
            <w:r>
              <w:rPr>
                <w:rFonts w:ascii="Times New Roman"/>
                <w:sz w:val="21"/>
              </w:rPr>
              <w:t>2010.12.9</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1" w:right="0"/>
              <w:jc w:val="left"/>
              <w:rPr>
                <w:rFonts w:ascii="Times New Roman" w:hAnsi="Times New Roman" w:cs="Times New Roman" w:eastAsia="Times New Roman" w:hint="default"/>
                <w:sz w:val="21"/>
                <w:szCs w:val="21"/>
              </w:rPr>
            </w:pPr>
            <w:r>
              <w:rPr>
                <w:rFonts w:ascii="Times New Roman"/>
                <w:sz w:val="21"/>
              </w:rPr>
              <w:t>2010-048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34"/>
        <w:ind w:left="222" w:right="0"/>
        <w:jc w:val="left"/>
      </w:pPr>
      <w:r>
        <w:rPr>
          <w:spacing w:val="2"/>
          <w:w w:val="99"/>
        </w:rPr>
        <w:t>注</w:t>
      </w:r>
      <w:r>
        <w:rPr>
          <w:spacing w:val="-65"/>
          <w:w w:val="99"/>
        </w:rPr>
        <w:t>：</w:t>
      </w:r>
      <w:r>
        <w:rPr>
          <w:spacing w:val="2"/>
          <w:w w:val="99"/>
        </w:rPr>
        <w:t>上</w:t>
      </w:r>
      <w:r>
        <w:rPr>
          <w:w w:val="99"/>
        </w:rPr>
        <w:t>述</w:t>
      </w:r>
      <w:r>
        <w:rPr>
          <w:spacing w:val="2"/>
          <w:w w:val="99"/>
        </w:rPr>
        <w:t>公</w:t>
      </w:r>
      <w:r>
        <w:rPr>
          <w:w w:val="99"/>
        </w:rPr>
        <w:t>告</w:t>
      </w:r>
      <w:r>
        <w:rPr>
          <w:spacing w:val="2"/>
          <w:w w:val="99"/>
        </w:rPr>
        <w:t>刊</w:t>
      </w:r>
      <w:r>
        <w:rPr>
          <w:w w:val="99"/>
        </w:rPr>
        <w:t>登</w:t>
      </w:r>
      <w:r>
        <w:rPr>
          <w:spacing w:val="-63"/>
          <w:w w:val="99"/>
        </w:rPr>
        <w:t>于</w:t>
      </w:r>
      <w:r>
        <w:rPr>
          <w:w w:val="99"/>
        </w:rPr>
        <w:t>《</w:t>
      </w:r>
      <w:r>
        <w:rPr>
          <w:spacing w:val="2"/>
          <w:w w:val="99"/>
        </w:rPr>
        <w:t>证</w:t>
      </w:r>
      <w:r>
        <w:rPr>
          <w:w w:val="99"/>
        </w:rPr>
        <w:t>券</w:t>
      </w:r>
      <w:r>
        <w:rPr>
          <w:spacing w:val="2"/>
          <w:w w:val="99"/>
        </w:rPr>
        <w:t>时</w:t>
      </w:r>
      <w:r>
        <w:rPr>
          <w:w w:val="99"/>
        </w:rPr>
        <w:t>报</w:t>
      </w:r>
      <w:r>
        <w:rPr>
          <w:spacing w:val="-106"/>
          <w:w w:val="99"/>
        </w:rPr>
        <w:t>》</w:t>
      </w:r>
      <w:r>
        <w:rPr>
          <w:spacing w:val="-166"/>
          <w:w w:val="99"/>
        </w:rPr>
        <w:t>、</w:t>
      </w:r>
      <w:r>
        <w:rPr>
          <w:w w:val="99"/>
        </w:rPr>
        <w:t>《</w:t>
      </w:r>
      <w:r>
        <w:rPr>
          <w:spacing w:val="2"/>
          <w:w w:val="99"/>
        </w:rPr>
        <w:t>中</w:t>
      </w:r>
      <w:r>
        <w:rPr>
          <w:w w:val="99"/>
        </w:rPr>
        <w:t>国</w:t>
      </w:r>
      <w:r>
        <w:rPr>
          <w:spacing w:val="2"/>
          <w:w w:val="99"/>
        </w:rPr>
        <w:t>证</w:t>
      </w:r>
      <w:r>
        <w:rPr>
          <w:w w:val="99"/>
        </w:rPr>
        <w:t>券报</w:t>
      </w:r>
      <w:r>
        <w:rPr>
          <w:spacing w:val="-63"/>
          <w:w w:val="99"/>
        </w:rPr>
        <w:t>》</w:t>
      </w:r>
      <w:r>
        <w:rPr>
          <w:w w:val="99"/>
        </w:rPr>
        <w:t>和</w:t>
      </w:r>
      <w:r>
        <w:rPr>
          <w:spacing w:val="2"/>
          <w:w w:val="99"/>
        </w:rPr>
        <w:t>“巨</w:t>
      </w:r>
      <w:r>
        <w:rPr>
          <w:w w:val="99"/>
        </w:rPr>
        <w:t>潮</w:t>
      </w:r>
      <w:r>
        <w:rPr>
          <w:spacing w:val="2"/>
          <w:w w:val="99"/>
        </w:rPr>
        <w:t>资</w:t>
      </w:r>
      <w:r>
        <w:rPr>
          <w:spacing w:val="-3"/>
          <w:w w:val="99"/>
        </w:rPr>
        <w:t>讯</w:t>
      </w:r>
      <w:r>
        <w:rPr>
          <w:spacing w:val="2"/>
          <w:w w:val="99"/>
        </w:rPr>
        <w:t>”网</w:t>
      </w:r>
      <w:r>
        <w:rPr>
          <w:spacing w:val="-63"/>
          <w:w w:val="99"/>
        </w:rPr>
        <w:t>站</w:t>
      </w:r>
      <w:r>
        <w:rPr>
          <w:spacing w:val="-3"/>
          <w:w w:val="99"/>
        </w:rPr>
        <w:t>（</w:t>
      </w:r>
      <w:hyperlink r:id="rId10">
        <w:r>
          <w:rPr>
            <w:rFonts w:ascii="Times New Roman" w:hAnsi="Times New Roman" w:cs="Times New Roman" w:eastAsia="Times New Roman" w:hint="default"/>
            <w:w w:val="99"/>
          </w:rPr>
          <w:t>ww</w:t>
        </w:r>
        <w:r>
          <w:rPr>
            <w:rFonts w:ascii="Times New Roman" w:hAnsi="Times New Roman" w:cs="Times New Roman" w:eastAsia="Times New Roman" w:hint="default"/>
            <w:spacing w:val="-10"/>
            <w:w w:val="99"/>
          </w:rPr>
          <w:t>w</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f</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2"/>
            <w:w w:val="99"/>
          </w:rPr>
          <w:t>om</w:t>
        </w:r>
        <w:r>
          <w:rPr>
            <w:rFonts w:ascii="Times New Roman" w:hAnsi="Times New Roman" w:cs="Times New Roman" w:eastAsia="Times New Roman" w:hint="default"/>
            <w:w w:val="99"/>
          </w:rPr>
          <w:t>.</w:t>
        </w:r>
        <w:r>
          <w:rPr>
            <w:rFonts w:ascii="Times New Roman" w:hAnsi="Times New Roman" w:cs="Times New Roman" w:eastAsia="Times New Roman" w:hint="default"/>
            <w:w w:val="99"/>
          </w:rPr>
          <w:t>c</w:t>
        </w:r>
        <w:r>
          <w:rPr>
            <w:rFonts w:ascii="Times New Roman" w:hAnsi="Times New Roman" w:cs="Times New Roman" w:eastAsia="Times New Roman" w:hint="default"/>
            <w:spacing w:val="3"/>
            <w:w w:val="99"/>
          </w:rPr>
          <w:t>n</w:t>
        </w:r>
      </w:hyperlink>
      <w:r>
        <w:rPr>
          <w:spacing w:val="-104"/>
          <w:w w:val="99"/>
        </w:rPr>
        <w:t>）</w:t>
      </w:r>
      <w:r>
        <w:rPr>
          <w:w w:val="99"/>
        </w:rPr>
        <w:t>。</w:t>
      </w:r>
      <w:r>
        <w:rPr/>
      </w:r>
    </w:p>
    <w:p>
      <w:pPr>
        <w:spacing w:after="0" w:line="240" w:lineRule="auto"/>
        <w:jc w:val="left"/>
        <w:sectPr>
          <w:pgSz w:w="11910" w:h="16840"/>
          <w:pgMar w:header="206" w:footer="738" w:top="940" w:bottom="92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539" w:lineRule="exact"/>
        <w:ind w:left="123" w:right="124"/>
        <w:jc w:val="center"/>
      </w:pPr>
      <w:bookmarkStart w:name="_TOC_250001" w:id="9"/>
      <w:r>
        <w:rPr/>
        <w:t>第十节</w:t>
      </w:r>
      <w:r>
        <w:rPr>
          <w:spacing w:val="-3"/>
        </w:rPr>
        <w:t> </w:t>
      </w:r>
      <w:bookmarkEnd w:id="9"/>
      <w:r>
        <w:rPr/>
        <w:t>财务报告</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1"/>
        <w:rPr>
          <w:rFonts w:ascii="宋体" w:hAnsi="宋体" w:cs="宋体" w:eastAsia="宋体" w:hint="default"/>
          <w:sz w:val="50"/>
          <w:szCs w:val="50"/>
        </w:rPr>
      </w:pPr>
    </w:p>
    <w:p>
      <w:pPr>
        <w:pStyle w:val="Heading2"/>
        <w:tabs>
          <w:tab w:pos="1279" w:val="left" w:leader="none"/>
        </w:tabs>
        <w:spacing w:line="240" w:lineRule="auto"/>
        <w:ind w:right="1"/>
        <w:jc w:val="center"/>
      </w:pPr>
      <w:r>
        <w:rPr>
          <w:w w:val="95"/>
        </w:rPr>
        <w:t>目</w:t>
        <w:tab/>
      </w:r>
      <w:r>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tabs>
          <w:tab w:pos="2750" w:val="left" w:leader="none"/>
          <w:tab w:pos="7540" w:val="left" w:leader="none"/>
        </w:tabs>
        <w:spacing w:line="240" w:lineRule="auto"/>
        <w:ind w:left="2119" w:right="109"/>
        <w:jc w:val="left"/>
      </w:pPr>
      <w:r>
        <w:rPr/>
        <w:pict>
          <v:group style="position:absolute;margin-left:97.439995pt;margin-top:15.623648pt;width:227.05pt;height:.1pt;mso-position-horizontal-relative:page;mso-position-vertical-relative:paragraph;z-index:1120" coordorigin="1949,312" coordsize="4541,2">
            <v:shape style="position:absolute;left:1949;top:312;width:4541;height:2" coordorigin="1949,312" coordsize="4541,0" path="m1949,312l6490,312e" filled="false" stroked="true" strokeweight=".48pt" strokecolor="#000000">
              <v:path arrowok="t"/>
            </v:shape>
            <w10:wrap type="none"/>
          </v:group>
        </w:pict>
      </w:r>
      <w:r>
        <w:rPr/>
        <w:pict>
          <v:group style="position:absolute;margin-left:450.47998pt;margin-top:15.623648pt;width:47.3pt;height:.1pt;mso-position-horizontal-relative:page;mso-position-vertical-relative:paragraph;z-index:1144" coordorigin="9010,312" coordsize="946,2">
            <v:shape style="position:absolute;left:9010;top:312;width:946;height:2" coordorigin="9010,312" coordsize="946,0" path="m9010,312l9955,312e" filled="false" stroked="true" strokeweight=".48pt" strokecolor="#000000">
              <v:path arrowok="t"/>
            </v:shape>
            <w10:wrap type="none"/>
          </v:group>
        </w:pict>
      </w:r>
      <w:r>
        <w:rPr>
          <w:w w:val="95"/>
        </w:rPr>
        <w:t>目</w:t>
        <w:tab/>
        <w:t>录</w:t>
        <w:tab/>
      </w:r>
      <w:r>
        <w:rPr/>
        <w:t>页</w:t>
      </w:r>
      <w:r>
        <w:rPr>
          <w:spacing w:val="-3"/>
        </w:rPr>
        <w:t> </w:t>
      </w:r>
      <w:r>
        <w:rPr/>
        <w:t>次</w:t>
      </w:r>
    </w:p>
    <w:p>
      <w:pPr>
        <w:pStyle w:val="BodyText"/>
        <w:tabs>
          <w:tab w:pos="8048" w:val="right" w:leader="none"/>
        </w:tabs>
        <w:spacing w:line="240" w:lineRule="auto" w:before="339"/>
        <w:ind w:left="376" w:right="0"/>
        <w:jc w:val="left"/>
        <w:rPr>
          <w:rFonts w:ascii="Times New Roman" w:hAnsi="Times New Roman" w:cs="Times New Roman" w:eastAsia="Times New Roman" w:hint="default"/>
        </w:rPr>
      </w:pPr>
      <w:r>
        <w:rPr>
          <w:position w:val="1"/>
        </w:rPr>
        <w:t>一、审计报告</w:t>
      </w:r>
      <w:r>
        <w:rPr>
          <w:rFonts w:ascii="Times New Roman" w:hAnsi="Times New Roman" w:cs="Times New Roman" w:eastAsia="Times New Roman" w:hint="default"/>
        </w:rPr>
        <w:tab/>
      </w:r>
      <w:r>
        <w:rPr>
          <w:rFonts w:ascii="Times New Roman" w:hAnsi="Times New Roman" w:cs="Times New Roman" w:eastAsia="Times New Roman" w:hint="default"/>
        </w:rPr>
        <w:t>51-52</w:t>
      </w:r>
    </w:p>
    <w:p>
      <w:pPr>
        <w:pStyle w:val="BodyText"/>
        <w:tabs>
          <w:tab w:pos="8048" w:val="right" w:leader="none"/>
        </w:tabs>
        <w:spacing w:line="240" w:lineRule="auto" w:before="291"/>
        <w:ind w:left="376" w:right="0"/>
        <w:jc w:val="left"/>
        <w:rPr>
          <w:rFonts w:ascii="Times New Roman" w:hAnsi="Times New Roman" w:cs="Times New Roman" w:eastAsia="Times New Roman" w:hint="default"/>
        </w:rPr>
      </w:pPr>
      <w:r>
        <w:rPr>
          <w:position w:val="2"/>
        </w:rPr>
        <w:t>二、已审财务报表</w:t>
      </w:r>
      <w:r>
        <w:rPr>
          <w:rFonts w:ascii="Times New Roman" w:hAnsi="Times New Roman" w:cs="Times New Roman" w:eastAsia="Times New Roman" w:hint="default"/>
        </w:rPr>
        <w:tab/>
      </w:r>
      <w:r>
        <w:rPr>
          <w:rFonts w:ascii="Times New Roman" w:hAnsi="Times New Roman" w:cs="Times New Roman" w:eastAsia="Times New Roman" w:hint="default"/>
        </w:rPr>
        <w:t>53-68</w:t>
      </w:r>
    </w:p>
    <w:p>
      <w:pPr>
        <w:pStyle w:val="BodyText"/>
        <w:spacing w:line="523" w:lineRule="auto" w:before="292"/>
        <w:ind w:left="796" w:right="4790"/>
        <w:jc w:val="left"/>
      </w:pPr>
      <w:r>
        <w:rPr/>
        <w:t>合并及母公司资产负债表</w:t>
      </w:r>
      <w:r>
        <w:rPr>
          <w:w w:val="99"/>
        </w:rPr>
        <w:t> </w:t>
      </w:r>
      <w:r>
        <w:rPr/>
        <w:t>合并及母公司利润表</w:t>
      </w:r>
      <w:r>
        <w:rPr>
          <w:w w:val="99"/>
        </w:rPr>
        <w:t> </w:t>
      </w:r>
      <w:r>
        <w:rPr/>
        <w:t>合并及母公司现金流量表</w:t>
      </w:r>
      <w:r>
        <w:rPr>
          <w:w w:val="99"/>
        </w:rPr>
        <w:t> </w:t>
      </w:r>
      <w:r>
        <w:rPr/>
        <w:t>合并及母公司所有者权益变动表</w:t>
      </w:r>
    </w:p>
    <w:p>
      <w:pPr>
        <w:pStyle w:val="BodyText"/>
        <w:tabs>
          <w:tab w:pos="8098" w:val="right" w:leader="none"/>
        </w:tabs>
        <w:spacing w:line="240" w:lineRule="auto" w:before="74"/>
        <w:ind w:left="376" w:right="0"/>
        <w:jc w:val="left"/>
        <w:rPr>
          <w:rFonts w:ascii="Times New Roman" w:hAnsi="Times New Roman" w:cs="Times New Roman" w:eastAsia="Times New Roman" w:hint="default"/>
        </w:rPr>
      </w:pPr>
      <w:r>
        <w:rPr>
          <w:position w:val="2"/>
        </w:rPr>
        <w:t>三、财务报表附注</w:t>
      </w:r>
      <w:r>
        <w:rPr>
          <w:rFonts w:ascii="Times New Roman" w:hAnsi="Times New Roman" w:cs="Times New Roman" w:eastAsia="Times New Roman" w:hint="default"/>
        </w:rPr>
        <w:tab/>
      </w:r>
      <w:r>
        <w:rPr>
          <w:rFonts w:ascii="Times New Roman" w:hAnsi="Times New Roman" w:cs="Times New Roman" w:eastAsia="Times New Roman" w:hint="default"/>
        </w:rPr>
        <w:t>69-131</w:t>
      </w:r>
    </w:p>
    <w:p>
      <w:pPr>
        <w:spacing w:after="0" w:line="240" w:lineRule="auto"/>
        <w:jc w:val="left"/>
        <w:rPr>
          <w:rFonts w:ascii="Times New Roman" w:hAnsi="Times New Roman" w:cs="Times New Roman" w:eastAsia="Times New Roman" w:hint="default"/>
        </w:rPr>
        <w:sectPr>
          <w:footerReference w:type="default" r:id="rId15"/>
          <w:pgSz w:w="11910" w:h="16840"/>
          <w:pgMar w:footer="738" w:header="206" w:top="940" w:bottom="920" w:left="1680" w:right="1680"/>
          <w:pgNumType w:start="50"/>
        </w:sectPr>
      </w:pPr>
    </w:p>
    <w:p>
      <w:pPr>
        <w:pStyle w:val="BodyText"/>
        <w:tabs>
          <w:tab w:pos="7387" w:val="left" w:leader="none"/>
        </w:tabs>
        <w:spacing w:line="240" w:lineRule="auto" w:before="912"/>
        <w:ind w:left="224" w:right="0"/>
        <w:jc w:val="left"/>
        <w:rPr>
          <w:rFonts w:ascii="Times New Roman" w:hAnsi="Times New Roman" w:cs="Times New Roman" w:eastAsia="Times New Roman" w:hint="default"/>
        </w:rPr>
      </w:pPr>
      <w:r>
        <w:rPr>
          <w:spacing w:val="2"/>
          <w:w w:val="99"/>
        </w:rPr>
        <w:t>深</w:t>
      </w:r>
      <w:r>
        <w:rPr>
          <w:w w:val="99"/>
        </w:rPr>
        <w:t>圳</w:t>
      </w:r>
      <w:r>
        <w:rPr>
          <w:spacing w:val="2"/>
          <w:w w:val="99"/>
        </w:rPr>
        <w:t>市</w:t>
      </w:r>
      <w:r>
        <w:rPr>
          <w:w w:val="99"/>
        </w:rPr>
        <w:t>鹏</w:t>
      </w:r>
      <w:r>
        <w:rPr>
          <w:spacing w:val="2"/>
          <w:w w:val="99"/>
        </w:rPr>
        <w:t>城</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有</w:t>
      </w:r>
      <w:r>
        <w:rPr>
          <w:spacing w:val="2"/>
          <w:w w:val="99"/>
        </w:rPr>
        <w:t>限</w:t>
      </w:r>
      <w:r>
        <w:rPr>
          <w:w w:val="99"/>
        </w:rPr>
        <w:t>公司</w:t>
      </w:r>
      <w:r>
        <w:rPr/>
        <w:tab/>
      </w:r>
      <w:r>
        <w:rPr>
          <w:spacing w:val="2"/>
          <w:w w:val="99"/>
        </w:rPr>
        <w:t>电</w:t>
      </w:r>
      <w:r>
        <w:rPr>
          <w:w w:val="99"/>
        </w:rPr>
        <w:t>话</w:t>
      </w:r>
      <w:r>
        <w:rPr>
          <w:spacing w:val="-104"/>
          <w:w w:val="99"/>
        </w:rPr>
        <w:t>：</w:t>
      </w:r>
      <w:r>
        <w:rPr>
          <w:spacing w:val="2"/>
          <w:w w:val="99"/>
        </w:rPr>
        <w:t>（</w:t>
      </w:r>
      <w:r>
        <w:rPr>
          <w:rFonts w:ascii="Times New Roman" w:hAnsi="Times New Roman" w:cs="Times New Roman" w:eastAsia="Times New Roman" w:hint="default"/>
          <w:spacing w:val="1"/>
          <w:w w:val="99"/>
        </w:rPr>
        <w:t>07</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5</w:t>
      </w:r>
      <w:r>
        <w:rPr>
          <w:w w:val="99"/>
        </w:rPr>
        <w:t>）</w:t>
      </w:r>
      <w:r>
        <w:rPr>
          <w:rFonts w:ascii="Times New Roman" w:hAnsi="Times New Roman" w:cs="Times New Roman" w:eastAsia="Times New Roman" w:hint="default"/>
          <w:spacing w:val="1"/>
          <w:w w:val="99"/>
        </w:rPr>
        <w:t>837</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288</w:t>
      </w:r>
      <w:r>
        <w:rPr>
          <w:rFonts w:ascii="Times New Roman" w:hAnsi="Times New Roman" w:cs="Times New Roman" w:eastAsia="Times New Roman" w:hint="default"/>
          <w:w w:val="99"/>
        </w:rPr>
        <w:t>8</w:t>
      </w:r>
      <w:r>
        <w:rPr>
          <w:rFonts w:ascii="Times New Roman" w:hAnsi="Times New Roman" w:cs="Times New Roman" w:eastAsia="Times New Roman" w:hint="default"/>
        </w:rPr>
      </w:r>
    </w:p>
    <w:p>
      <w:pPr>
        <w:pStyle w:val="BodyText"/>
        <w:tabs>
          <w:tab w:pos="7387" w:val="left" w:leader="none"/>
        </w:tabs>
        <w:spacing w:line="240" w:lineRule="auto" w:before="16"/>
        <w:ind w:left="224" w:right="0"/>
        <w:jc w:val="left"/>
        <w:rPr>
          <w:rFonts w:ascii="Times New Roman" w:hAnsi="Times New Roman" w:cs="Times New Roman" w:eastAsia="Times New Roman" w:hint="default"/>
        </w:rPr>
      </w:pPr>
      <w:r>
        <w:rPr/>
        <w:pict>
          <v:group style="position:absolute;margin-left:61.68pt;margin-top:16.903652pt;width:482.05pt;height:.1pt;mso-position-horizontal-relative:page;mso-position-vertical-relative:paragraph;z-index:1168" coordorigin="1234,338" coordsize="9641,2">
            <v:shape style="position:absolute;left:1234;top:338;width:9641;height:2" coordorigin="1234,338" coordsize="9641,0" path="m1234,338l10874,338e" filled="false" stroked="true" strokeweight=".48pt" strokecolor="#000000">
              <v:path arrowok="t"/>
            </v:shape>
            <w10:wrap type="none"/>
          </v:group>
        </w:pict>
      </w:r>
      <w:r>
        <w:rPr>
          <w:spacing w:val="2"/>
          <w:w w:val="99"/>
        </w:rPr>
        <w:t>中</w:t>
      </w:r>
      <w:r>
        <w:rPr>
          <w:w w:val="99"/>
        </w:rPr>
        <w:t>国</w:t>
      </w:r>
      <w:r>
        <w:rPr>
          <w:spacing w:val="2"/>
          <w:w w:val="99"/>
        </w:rPr>
        <w:t>深</w:t>
      </w:r>
      <w:r>
        <w:rPr>
          <w:w w:val="99"/>
        </w:rPr>
        <w:t>圳</w:t>
      </w:r>
      <w:r>
        <w:rPr>
          <w:spacing w:val="2"/>
          <w:w w:val="99"/>
        </w:rPr>
        <w:t>市</w:t>
      </w:r>
      <w:r>
        <w:rPr>
          <w:w w:val="99"/>
        </w:rPr>
        <w:t>福</w:t>
      </w:r>
      <w:r>
        <w:rPr>
          <w:spacing w:val="2"/>
          <w:w w:val="99"/>
        </w:rPr>
        <w:t>田</w:t>
      </w:r>
      <w:r>
        <w:rPr>
          <w:w w:val="99"/>
        </w:rPr>
        <w:t>区</w:t>
      </w:r>
      <w:r>
        <w:rPr>
          <w:spacing w:val="2"/>
          <w:w w:val="99"/>
        </w:rPr>
        <w:t>滨</w:t>
      </w:r>
      <w:r>
        <w:rPr>
          <w:w w:val="99"/>
        </w:rPr>
        <w:t>河</w:t>
      </w:r>
      <w:r>
        <w:rPr>
          <w:spacing w:val="2"/>
          <w:w w:val="99"/>
        </w:rPr>
        <w:t>大</w:t>
      </w:r>
      <w:r>
        <w:rPr>
          <w:w w:val="99"/>
        </w:rPr>
        <w:t>道</w:t>
      </w:r>
      <w:r>
        <w:rPr>
          <w:spacing w:val="-55"/>
        </w:rPr>
        <w:t> </w:t>
      </w:r>
      <w:r>
        <w:rPr>
          <w:rFonts w:ascii="Times New Roman" w:hAnsi="Times New Roman" w:cs="Times New Roman" w:eastAsia="Times New Roman" w:hint="default"/>
          <w:spacing w:val="1"/>
          <w:w w:val="99"/>
        </w:rPr>
        <w:t>502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号</w:t>
      </w:r>
      <w:r>
        <w:rPr>
          <w:w w:val="99"/>
        </w:rPr>
        <w:t>联</w:t>
      </w:r>
      <w:r>
        <w:rPr>
          <w:spacing w:val="2"/>
          <w:w w:val="99"/>
        </w:rPr>
        <w:t>合</w:t>
      </w:r>
      <w:r>
        <w:rPr>
          <w:w w:val="99"/>
        </w:rPr>
        <w:t>广场</w:t>
      </w:r>
      <w:r>
        <w:rPr>
          <w:spacing w:val="-50"/>
        </w:rPr>
        <w:t> </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w w:val="99"/>
        </w:rPr>
        <w:t>座</w:t>
      </w:r>
      <w:r>
        <w:rPr>
          <w:spacing w:val="-53"/>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楼</w:t>
      </w:r>
      <w:r>
        <w:rPr/>
        <w:tab/>
      </w:r>
      <w:r>
        <w:rPr>
          <w:spacing w:val="2"/>
          <w:w w:val="99"/>
        </w:rPr>
        <w:t>传</w:t>
      </w:r>
      <w:r>
        <w:rPr>
          <w:w w:val="99"/>
        </w:rPr>
        <w:t>真</w:t>
      </w:r>
      <w:r>
        <w:rPr>
          <w:spacing w:val="-104"/>
          <w:w w:val="99"/>
        </w:rPr>
        <w:t>：</w:t>
      </w:r>
      <w:r>
        <w:rPr>
          <w:spacing w:val="2"/>
          <w:w w:val="99"/>
        </w:rPr>
        <w:t>（</w:t>
      </w:r>
      <w:r>
        <w:rPr>
          <w:rFonts w:ascii="Times New Roman" w:hAnsi="Times New Roman" w:cs="Times New Roman" w:eastAsia="Times New Roman" w:hint="default"/>
          <w:spacing w:val="1"/>
          <w:w w:val="99"/>
        </w:rPr>
        <w:t>07</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5</w:t>
      </w:r>
      <w:r>
        <w:rPr>
          <w:w w:val="99"/>
        </w:rPr>
        <w:t>）</w:t>
      </w:r>
      <w:r>
        <w:rPr>
          <w:rFonts w:ascii="Times New Roman" w:hAnsi="Times New Roman" w:cs="Times New Roman" w:eastAsia="Times New Roman" w:hint="default"/>
          <w:spacing w:val="1"/>
          <w:w w:val="99"/>
        </w:rPr>
        <w:t>822</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754</w:t>
      </w:r>
      <w:r>
        <w:rPr>
          <w:rFonts w:ascii="Times New Roman" w:hAnsi="Times New Roman" w:cs="Times New Roman" w:eastAsia="Times New Roman" w:hint="default"/>
          <w:w w:val="99"/>
        </w:rPr>
        <w:t>9</w:t>
      </w:r>
      <w:r>
        <w:rPr>
          <w:rFonts w:ascii="Times New Roman" w:hAnsi="Times New Roman" w:cs="Times New Roman" w:eastAsia="Times New Roman" w:hint="default"/>
        </w:rPr>
      </w:r>
    </w:p>
    <w:p>
      <w:pPr>
        <w:pStyle w:val="Heading2"/>
        <w:spacing w:line="240" w:lineRule="auto" w:before="814"/>
        <w:ind w:left="2289" w:right="2486"/>
        <w:jc w:val="center"/>
      </w:pPr>
      <w:r>
        <w:rPr/>
        <w:t>审 计 报</w:t>
      </w:r>
      <w:r>
        <w:rPr>
          <w:spacing w:val="-4"/>
        </w:rPr>
        <w:t> </w:t>
      </w:r>
      <w:r>
        <w:rPr/>
        <w:t>告</w:t>
      </w:r>
    </w:p>
    <w:p>
      <w:pPr>
        <w:pStyle w:val="BodyText"/>
        <w:spacing w:line="240" w:lineRule="auto" w:before="782"/>
        <w:ind w:left="0" w:right="140"/>
        <w:jc w:val="right"/>
      </w:pPr>
      <w:r>
        <w:rPr/>
        <w:t>深鹏所股审字</w:t>
      </w:r>
      <w:r>
        <w:rPr>
          <w:rFonts w:ascii="Times New Roman" w:hAnsi="Times New Roman" w:cs="Times New Roman" w:eastAsia="Times New Roman" w:hint="default"/>
        </w:rPr>
        <w:t>[2011]0031</w:t>
      </w:r>
      <w:r>
        <w:rPr>
          <w:rFonts w:ascii="Times New Roman" w:hAnsi="Times New Roman" w:cs="Times New Roman" w:eastAsia="Times New Roman" w:hint="default"/>
          <w:spacing w:val="-13"/>
        </w:rPr>
        <w:t> </w:t>
      </w:r>
      <w:r>
        <w:rPr/>
        <w:t>号</w:t>
      </w:r>
    </w:p>
    <w:p>
      <w:pPr>
        <w:spacing w:line="240" w:lineRule="auto" w:before="5"/>
        <w:rPr>
          <w:rFonts w:ascii="宋体" w:hAnsi="宋体" w:cs="宋体" w:eastAsia="宋体" w:hint="default"/>
          <w:sz w:val="17"/>
          <w:szCs w:val="17"/>
        </w:rPr>
      </w:pPr>
    </w:p>
    <w:p>
      <w:pPr>
        <w:pStyle w:val="BodyText"/>
        <w:spacing w:line="456" w:lineRule="auto"/>
        <w:ind w:left="1102" w:right="0" w:hanging="420"/>
        <w:jc w:val="left"/>
      </w:pPr>
      <w:r>
        <w:rPr/>
        <w:t>马鞍山鼎泰稀土新材料股份有限公司全体股东：</w:t>
      </w:r>
      <w:r>
        <w:rPr>
          <w:w w:val="99"/>
        </w:rPr>
        <w:t> </w:t>
      </w:r>
      <w:r>
        <w:rPr>
          <w:spacing w:val="-1"/>
          <w:w w:val="95"/>
        </w:rPr>
        <w:t>我们审计了后附的马鞍山鼎泰稀土新材料股份有限公司（以下简称</w:t>
      </w:r>
      <w:r>
        <w:rPr>
          <w:rFonts w:ascii="Times New Roman" w:hAnsi="Times New Roman" w:cs="Times New Roman" w:eastAsia="Times New Roman" w:hint="default"/>
          <w:spacing w:val="-1"/>
          <w:w w:val="95"/>
        </w:rPr>
        <w:t>“</w:t>
      </w:r>
      <w:r>
        <w:rPr>
          <w:spacing w:val="-1"/>
          <w:w w:val="95"/>
        </w:rPr>
        <w:t>鼎泰新材公司</w:t>
      </w:r>
      <w:r>
        <w:rPr>
          <w:rFonts w:ascii="Times New Roman" w:hAnsi="Times New Roman" w:cs="Times New Roman" w:eastAsia="Times New Roman" w:hint="default"/>
          <w:spacing w:val="-1"/>
          <w:w w:val="95"/>
        </w:rPr>
        <w:t>”</w:t>
      </w:r>
      <w:r>
        <w:rPr>
          <w:spacing w:val="-1"/>
          <w:w w:val="95"/>
        </w:rPr>
        <w:t>）财</w:t>
      </w:r>
      <w:r>
        <w:rPr>
          <w:spacing w:val="-1"/>
        </w:rPr>
      </w:r>
    </w:p>
    <w:p>
      <w:pPr>
        <w:pStyle w:val="BodyText"/>
        <w:spacing w:line="427" w:lineRule="auto" w:before="20"/>
        <w:ind w:left="682" w:right="876"/>
        <w:jc w:val="left"/>
      </w:pPr>
      <w:r>
        <w:rPr>
          <w:spacing w:val="-4"/>
        </w:rPr>
        <w:t>务报表，包括</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年度的合并及母公司利</w:t>
      </w:r>
      <w:r>
        <w:rPr>
          <w:w w:val="99"/>
        </w:rPr>
        <w:t> </w:t>
      </w:r>
      <w:r>
        <w:rPr/>
        <w:t>润表、合并及母公司现金流量表和合并及母公司所有者权益变动表以及财务报表附注。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1102" w:right="0"/>
        <w:jc w:val="left"/>
        <w:rPr>
          <w:rFonts w:ascii="宋体" w:hAnsi="宋体" w:cs="宋体" w:eastAsia="宋体" w:hint="default"/>
        </w:rPr>
      </w:pPr>
      <w:r>
        <w:rPr>
          <w:rFonts w:ascii="宋体" w:hAnsi="宋体" w:cs="宋体" w:eastAsia="宋体" w:hint="default"/>
        </w:rPr>
        <w:t>一、管理层对财务报表的责任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41" w:lineRule="auto"/>
        <w:ind w:left="682" w:right="0" w:firstLine="420"/>
        <w:jc w:val="left"/>
      </w:pPr>
      <w:r>
        <w:rPr>
          <w:spacing w:val="-5"/>
          <w:w w:val="98"/>
        </w:rPr>
        <w:t>按照企业会计准则规定编制财务报表是鼎泰新材公司管理层的责任。这种责任包括：（</w:t>
      </w:r>
      <w:r>
        <w:rPr>
          <w:rFonts w:ascii="Times New Roman" w:hAnsi="Times New Roman" w:cs="Times New Roman" w:eastAsia="Times New Roman" w:hint="default"/>
          <w:spacing w:val="-5"/>
          <w:w w:val="98"/>
        </w:rPr>
        <w:t>1</w:t>
      </w:r>
      <w:r>
        <w:rPr>
          <w:spacing w:val="-5"/>
          <w:w w:val="98"/>
        </w:rPr>
        <w:t>）</w:t>
      </w:r>
      <w:r>
        <w:rPr>
          <w:w w:val="49"/>
        </w:rPr>
        <w:t> </w:t>
      </w:r>
      <w:r>
        <w:rPr>
          <w:w w:val="95"/>
        </w:rPr>
        <w:t>设计、实施和维护与财务报表编制相关的内部控制，以使财务报表不存在由于舞弊或错误而</w:t>
      </w:r>
      <w:r>
        <w:rPr>
          <w:spacing w:val="12"/>
          <w:w w:val="95"/>
        </w:rPr>
        <w:t> </w:t>
      </w:r>
      <w:r>
        <w:rPr>
          <w:spacing w:val="12"/>
          <w:w w:val="95"/>
        </w:rPr>
      </w:r>
      <w:r>
        <w:rPr/>
        <w:t>导致的重大错报；（</w:t>
      </w:r>
      <w:r>
        <w:rPr>
          <w:rFonts w:ascii="Times New Roman" w:hAnsi="Times New Roman" w:cs="Times New Roman" w:eastAsia="Times New Roman" w:hint="default"/>
        </w:rPr>
        <w:t>2</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pStyle w:val="BodyText"/>
        <w:spacing w:line="240" w:lineRule="auto"/>
        <w:ind w:left="1102" w:right="0"/>
        <w:jc w:val="left"/>
        <w:rPr>
          <w:rFonts w:ascii="宋体" w:hAnsi="宋体" w:cs="宋体" w:eastAsia="宋体" w:hint="default"/>
        </w:rPr>
      </w:pPr>
      <w:r>
        <w:rPr>
          <w:rFonts w:ascii="宋体" w:hAnsi="宋体" w:cs="宋体" w:eastAsia="宋体" w:hint="default"/>
        </w:rPr>
        <w:t>二、注册会计师的责任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453" w:lineRule="auto"/>
        <w:ind w:left="682" w:right="882" w:firstLine="420"/>
        <w:jc w:val="both"/>
      </w:pPr>
      <w:r>
        <w:rPr>
          <w:spacing w:val="-2"/>
          <w:w w:val="99"/>
        </w:rPr>
        <w:t>我们的责任是在实施审计工作的基础上对财务报表发表审计意见。我们按照中国注册会</w:t>
      </w:r>
      <w:r>
        <w:rPr>
          <w:w w:val="99"/>
        </w:rPr>
        <w:t> </w:t>
      </w:r>
      <w:r>
        <w:rPr/>
        <w:t>计师审计准则的规定执行了审计工作。中国注册会计师审计准则要求我们遵守职业道德规</w:t>
      </w:r>
      <w:r>
        <w:rPr>
          <w:spacing w:val="-75"/>
        </w:rPr>
        <w:t> </w:t>
      </w:r>
      <w:r>
        <w:rPr>
          <w:spacing w:val="-75"/>
        </w:rPr>
      </w:r>
      <w:r>
        <w:rPr/>
        <w:t>范，计划和实施审计工作以对财务报表是否不存在重大错报获取合理保证。</w:t>
      </w:r>
    </w:p>
    <w:p>
      <w:pPr>
        <w:pStyle w:val="BodyText"/>
        <w:spacing w:line="453" w:lineRule="auto" w:before="59"/>
        <w:ind w:left="682" w:right="881" w:firstLine="420"/>
        <w:jc w:val="both"/>
      </w:pPr>
      <w:r>
        <w:rPr>
          <w:spacing w:val="-2"/>
          <w:w w:val="95"/>
        </w:rPr>
        <w:t>审计工作涉及实施审计程序，以获取有关财务报表金额和披露的审计证据。选择的审计</w:t>
      </w:r>
      <w:r>
        <w:rPr>
          <w:w w:val="99"/>
        </w:rPr>
        <w:t> </w:t>
      </w:r>
      <w:r>
        <w:rPr/>
        <w:t>程序取决于注册会计师的判断，包括对由于舞弊或错误导致的财务报表重大错报风险的评</w:t>
      </w:r>
      <w:r>
        <w:rPr>
          <w:spacing w:val="-75"/>
        </w:rPr>
        <w:t> </w:t>
      </w:r>
      <w:r>
        <w:rPr>
          <w:spacing w:val="-75"/>
        </w:rPr>
      </w:r>
      <w:r>
        <w:rPr>
          <w:spacing w:val="-5"/>
          <w:w w:val="95"/>
        </w:rPr>
        <w:t>估。在进行风险评估时，我们考虑与财务报表编制相关的内部控制，以设计恰当的审计程序，</w:t>
      </w:r>
      <w:r>
        <w:rPr>
          <w:spacing w:val="-5"/>
        </w:rPr>
      </w:r>
    </w:p>
    <w:p>
      <w:pPr>
        <w:spacing w:after="0" w:line="453" w:lineRule="auto"/>
        <w:jc w:val="both"/>
        <w:sectPr>
          <w:pgSz w:w="11910" w:h="16840"/>
          <w:pgMar w:header="206" w:footer="738" w:top="940" w:bottom="920" w:left="11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53" w:lineRule="auto"/>
        <w:ind w:left="482" w:right="0"/>
        <w:jc w:val="left"/>
      </w:pPr>
      <w:r>
        <w:rPr>
          <w:spacing w:val="-2"/>
          <w:w w:val="99"/>
        </w:rPr>
        <w:t>但目的并非对内部控制的有效性发表意见。审计工作还包括评价管理层选用会计政策的恰当</w:t>
      </w:r>
      <w:r>
        <w:rPr>
          <w:spacing w:val="-86"/>
          <w:w w:val="99"/>
        </w:rPr>
        <w:t> </w:t>
      </w:r>
      <w:r>
        <w:rPr>
          <w:spacing w:val="-86"/>
          <w:w w:val="99"/>
        </w:rPr>
      </w:r>
      <w:r>
        <w:rPr/>
        <w:t>性和作出会计估计的合理性，以及评价财务报表的总体列报。</w:t>
      </w:r>
    </w:p>
    <w:p>
      <w:pPr>
        <w:pStyle w:val="BodyText"/>
        <w:spacing w:line="240" w:lineRule="auto" w:before="59"/>
        <w:ind w:left="902"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902" w:right="0"/>
        <w:jc w:val="left"/>
        <w:rPr>
          <w:rFonts w:ascii="宋体" w:hAnsi="宋体" w:cs="宋体" w:eastAsia="宋体" w:hint="default"/>
        </w:rPr>
      </w:pPr>
      <w:r>
        <w:rPr>
          <w:rFonts w:ascii="宋体" w:hAnsi="宋体" w:cs="宋体" w:eastAsia="宋体" w:hint="default"/>
        </w:rPr>
        <w:t>三、审计意见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56" w:lineRule="auto"/>
        <w:ind w:left="482" w:right="0" w:firstLine="420"/>
        <w:jc w:val="left"/>
      </w:pPr>
      <w:r>
        <w:rPr>
          <w:w w:val="95"/>
        </w:rPr>
        <w:t>我们认为，鼎泰新材公司财务报表已经按照企业会计准则规定编制，在所有重大方面公</w:t>
      </w:r>
      <w:r>
        <w:rPr>
          <w:w w:val="99"/>
        </w:rPr>
        <w:t> </w:t>
      </w:r>
      <w:r>
        <w:rPr/>
        <w:t>允反映了鼎泰新材公司</w:t>
      </w:r>
      <w:r>
        <w:rPr>
          <w:spacing w:val="-8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w:t>
      </w:r>
      <w:r>
        <w:rPr>
          <w:spacing w:val="-80"/>
        </w:rPr>
        <w:t>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t>日的财务状况以及</w:t>
      </w:r>
      <w:r>
        <w:rPr>
          <w:spacing w:val="-8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BodyText"/>
        <w:tabs>
          <w:tab w:pos="7795" w:val="left" w:leader="none"/>
        </w:tabs>
        <w:spacing w:line="523" w:lineRule="auto"/>
        <w:ind w:left="1111" w:right="461" w:hanging="1001"/>
        <w:jc w:val="left"/>
      </w:pPr>
      <w:r>
        <w:rPr>
          <w:w w:val="95"/>
        </w:rPr>
        <w:t>深圳市鹏城会计师事务所有限公司</w:t>
        <w:tab/>
      </w:r>
      <w:r>
        <w:rPr/>
        <w:t>中国注册会计师</w:t>
      </w:r>
      <w:r>
        <w:rPr>
          <w:w w:val="99"/>
        </w:rPr>
        <w:t> </w:t>
      </w:r>
      <w:r>
        <w:rPr/>
        <w:t>中国 </w:t>
      </w:r>
      <w:r>
        <w:rPr>
          <w:rFonts w:ascii="Wingdings" w:hAnsi="Wingdings" w:cs="Wingdings" w:eastAsia="Wingdings" w:hint="default"/>
          <w:w w:val="85"/>
        </w:rPr>
        <w:t>�</w:t>
      </w:r>
      <w:r>
        <w:rPr>
          <w:rFonts w:ascii="Wingdings" w:hAnsi="Wingdings" w:cs="Wingdings" w:eastAsia="Wingdings" w:hint="default"/>
          <w:spacing w:val="-158"/>
          <w:w w:val="85"/>
        </w:rPr>
        <w:t></w:t>
      </w:r>
      <w:r>
        <w:rPr>
          <w:rFonts w:ascii="Times New Roman" w:hAnsi="Times New Roman" w:cs="Times New Roman" w:eastAsia="Times New Roman" w:hint="default"/>
          <w:spacing w:val="-158"/>
          <w:w w:val="85"/>
        </w:rPr>
      </w:r>
      <w:r>
        <w:rPr/>
        <w:t>深圳</w:t>
      </w:r>
    </w:p>
    <w:p>
      <w:pPr>
        <w:spacing w:after="0" w:line="523" w:lineRule="auto"/>
        <w:jc w:val="left"/>
        <w:sectPr>
          <w:pgSz w:w="11910" w:h="16840"/>
          <w:pgMar w:header="206" w:footer="738" w:top="940" w:bottom="920" w:left="1320" w:right="860"/>
        </w:sectPr>
      </w:pPr>
    </w:p>
    <w:p>
      <w:pPr>
        <w:pStyle w:val="BodyText"/>
        <w:spacing w:line="240" w:lineRule="auto" w:before="35"/>
        <w:ind w:left="943" w:right="-1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03</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04</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26"/>
          <w:szCs w:val="26"/>
        </w:rPr>
      </w:pPr>
      <w:r>
        <w:rPr/>
        <w:br w:type="column"/>
      </w:r>
      <w:r>
        <w:rPr>
          <w:rFonts w:ascii="宋体"/>
          <w:sz w:val="26"/>
        </w:rPr>
      </w:r>
    </w:p>
    <w:p>
      <w:pPr>
        <w:spacing w:line="20" w:lineRule="exact"/>
        <w:ind w:left="592"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523" w:lineRule="auto"/>
        <w:ind w:left="959" w:right="477"/>
        <w:jc w:val="center"/>
      </w:pPr>
      <w:r>
        <w:rPr/>
        <w:t>郑龙兴</w:t>
      </w:r>
      <w:r>
        <w:rPr>
          <w:w w:val="99"/>
        </w:rPr>
        <w:t> </w:t>
      </w:r>
      <w:r>
        <w:rPr>
          <w:w w:val="95"/>
        </w:rPr>
        <w:t>中国注册会计师</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592"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959" w:right="476"/>
        <w:jc w:val="center"/>
      </w:pPr>
      <w:r>
        <w:rPr/>
        <w:t>肖捷</w:t>
      </w:r>
    </w:p>
    <w:p>
      <w:pPr>
        <w:spacing w:after="0" w:line="240" w:lineRule="auto"/>
        <w:jc w:val="center"/>
        <w:sectPr>
          <w:type w:val="continuous"/>
          <w:pgSz w:w="11910" w:h="16840"/>
          <w:pgMar w:top="940" w:bottom="920" w:left="1320" w:right="860"/>
          <w:cols w:num="2" w:equalWidth="0">
            <w:col w:w="2667" w:space="4185"/>
            <w:col w:w="2878"/>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2"/>
        <w:spacing w:line="380" w:lineRule="exact" w:before="70"/>
        <w:ind w:left="2436" w:right="2546"/>
        <w:jc w:val="center"/>
      </w:pPr>
      <w:bookmarkStart w:name="合并资产负债表" w:id="10"/>
      <w:bookmarkEnd w:id="10"/>
      <w:r>
        <w:rPr/>
      </w:r>
      <w:r>
        <w:rPr>
          <w:w w:val="95"/>
        </w:rPr>
        <w:t>马鞍山鼎泰稀土新材料股份有限公司</w:t>
      </w:r>
      <w:r>
        <w:rPr>
          <w:spacing w:val="87"/>
          <w:w w:val="95"/>
        </w:rPr>
        <w:t> </w:t>
      </w:r>
      <w:r>
        <w:rPr/>
        <w:t>财 务 报</w:t>
      </w:r>
      <w:r>
        <w:rPr>
          <w:spacing w:val="-4"/>
        </w:rPr>
        <w:t> </w:t>
      </w:r>
      <w:r>
        <w:rPr/>
        <w:t>表</w:t>
      </w:r>
    </w:p>
    <w:p>
      <w:pPr>
        <w:pStyle w:val="Heading2"/>
        <w:spacing w:line="328" w:lineRule="exact"/>
        <w:ind w:left="2436" w:right="2538"/>
        <w:jc w:val="center"/>
      </w:pPr>
      <w:r>
        <w:rPr/>
        <w:t>合并资产负债表</w:t>
      </w:r>
    </w:p>
    <w:p>
      <w:pPr>
        <w:pStyle w:val="BodyText"/>
        <w:tabs>
          <w:tab w:pos="6903" w:val="left" w:leader="none"/>
        </w:tabs>
        <w:spacing w:line="456" w:lineRule="auto"/>
        <w:ind w:left="742" w:right="842" w:firstLine="2760"/>
        <w:jc w:val="left"/>
      </w:pPr>
      <w:r>
        <w:rPr/>
        <w:pict>
          <v:shape style="position:absolute;margin-left:58.079998pt;margin-top:42.863682pt;width:484.2pt;height:554.0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4"/>
                    <w:gridCol w:w="1130"/>
                    <w:gridCol w:w="2482"/>
                    <w:gridCol w:w="2484"/>
                  </w:tblGrid>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273,641,412.08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75,639,045.68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52,462,873.86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17,595,267.17</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116,115,048.52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105,042,650.20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81,684,397.25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30,569,241.40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2,639,274.11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3,634,470.46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100,412,901.68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54,039,630.36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75,923.11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627,031,830.61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286,520,305.27</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10,025,000.00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109,336,812.50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74,257,749.83</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8,114,916.34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452,253.12</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55,357,966.93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8,283,326.67</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977,442.09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537,287.49</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183,812,137.86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83,530,617.11</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810,843,968.47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370,050,922.38</w:t>
                        </w:r>
                      </w:p>
                    </w:tc>
                  </w:tr>
                </w:tbl>
                <w:p>
                  <w:pPr/>
                </w:p>
              </w:txbxContent>
            </v:textbox>
            <w10:wrap type="none"/>
          </v:shape>
        </w:pict>
      </w:r>
      <w:r>
        <w:rPr/>
        <w:t>编制日期：</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99"/>
        </w:rPr>
        <w:t> </w:t>
      </w:r>
      <w:r>
        <w:rPr>
          <w:spacing w:val="-1"/>
          <w:w w:val="95"/>
        </w:rPr>
        <w:t>编制单位：马鞍山鼎泰稀土新材料股份有限公司</w:t>
        <w:tab/>
      </w:r>
      <w:r>
        <w:rPr>
          <w:spacing w:val="-8"/>
        </w:rPr>
        <w:t>单位：元 </w:t>
      </w:r>
      <w:r>
        <w:rPr>
          <w:spacing w:val="-5"/>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799" w:val="left" w:leader="none"/>
          <w:tab w:pos="6367" w:val="left" w:leader="none"/>
          <w:tab w:pos="9519" w:val="left" w:leader="none"/>
        </w:tabs>
        <w:spacing w:line="240" w:lineRule="auto" w:before="174"/>
        <w:ind w:left="12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206" w:footer="738" w:top="940" w:bottom="920" w:left="1060" w:right="960"/>
        </w:sectPr>
      </w:pPr>
    </w:p>
    <w:p>
      <w:pPr>
        <w:spacing w:line="240" w:lineRule="auto" w:before="0"/>
        <w:rPr>
          <w:rFonts w:ascii="Times New Roman" w:hAnsi="Times New Roman" w:cs="Times New Roman" w:eastAsia="Times New Roman" w:hint="default"/>
          <w:sz w:val="20"/>
          <w:szCs w:val="20"/>
        </w:rPr>
      </w:pPr>
    </w:p>
    <w:p>
      <w:pPr>
        <w:pStyle w:val="Heading2"/>
        <w:spacing w:line="416" w:lineRule="exact" w:before="179"/>
        <w:ind w:left="3453" w:right="0"/>
        <w:jc w:val="left"/>
      </w:pPr>
      <w:bookmarkStart w:name="合并资产负债表（续）" w:id="11"/>
      <w:bookmarkEnd w:id="11"/>
      <w:r>
        <w:rPr/>
      </w:r>
      <w:r>
        <w:rPr/>
        <w:t>合并资产负债表（续）</w:t>
      </w:r>
    </w:p>
    <w:p>
      <w:pPr>
        <w:pStyle w:val="BodyText"/>
        <w:tabs>
          <w:tab w:pos="7063" w:val="left" w:leader="none"/>
        </w:tabs>
        <w:spacing w:line="276" w:lineRule="exact" w:before="22"/>
        <w:ind w:left="902" w:right="702" w:firstLine="2760"/>
        <w:jc w:val="left"/>
      </w:pPr>
      <w:r>
        <w:rPr/>
        <w:t>编制日期：</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99"/>
        </w:rPr>
        <w:t> </w:t>
      </w:r>
      <w:r>
        <w:rPr>
          <w:spacing w:val="-1"/>
          <w:w w:val="95"/>
        </w:rPr>
        <w:t>编制单位：马鞍山鼎泰稀土新材料股份有限公司</w:t>
        <w:tab/>
      </w:r>
      <w:r>
        <w:rPr>
          <w:spacing w:val="-8"/>
        </w:rPr>
        <w:t>单位：元 </w:t>
      </w:r>
      <w:r>
        <w:rPr>
          <w:spacing w:val="-5"/>
        </w:rPr>
        <w:t>币种：人民币</w:t>
      </w:r>
    </w:p>
    <w:tbl>
      <w:tblPr>
        <w:tblW w:w="0" w:type="auto"/>
        <w:jc w:val="left"/>
        <w:tblInd w:w="119" w:type="dxa"/>
        <w:tblLayout w:type="fixed"/>
        <w:tblCellMar>
          <w:top w:w="0" w:type="dxa"/>
          <w:left w:w="0" w:type="dxa"/>
          <w:bottom w:w="0" w:type="dxa"/>
          <w:right w:w="0" w:type="dxa"/>
        </w:tblCellMar>
        <w:tblLook w:val="01E0"/>
      </w:tblPr>
      <w:tblGrid>
        <w:gridCol w:w="3574"/>
        <w:gridCol w:w="1130"/>
        <w:gridCol w:w="2482"/>
        <w:gridCol w:w="2484"/>
      </w:tblGrid>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51,378,137.86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110,080,000.00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18,522,000.00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6,403,018.96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16,414,089.52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3,944,749.72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2,138,951.98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1,434,986.62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1,094,035.32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3,679,643.15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8,635,732.66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1,580,785.96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1,426,948.99</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2,731,066.79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610,247.13</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88,152,389.06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158,922,005.60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6,640,000.00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54,640,000.00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6,640,000.00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54,640,000.00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94,792,389.06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213,562,005.60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77,830,780.00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579,996,139.78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13,100,716.92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11,868,501.31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9,481,764.59</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46,356,158.32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75,575,655.27</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716,051,579.41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156,488,916.78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716,051,579.41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156,488,916.78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810,843,968.47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370,050,922.38</w:t>
            </w:r>
          </w:p>
        </w:tc>
      </w:tr>
    </w:tbl>
    <w:p>
      <w:pPr>
        <w:pStyle w:val="BodyText"/>
        <w:tabs>
          <w:tab w:pos="2959" w:val="left" w:leader="none"/>
          <w:tab w:pos="6527" w:val="left" w:leader="none"/>
          <w:tab w:pos="9679" w:val="left" w:leader="none"/>
        </w:tabs>
        <w:spacing w:line="253" w:lineRule="exact"/>
        <w:ind w:left="28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53" w:lineRule="exact"/>
        <w:jc w:val="left"/>
        <w:rPr>
          <w:rFonts w:ascii="Times New Roman" w:hAnsi="Times New Roman" w:cs="Times New Roman" w:eastAsia="Times New Roman" w:hint="default"/>
        </w:rPr>
        <w:sectPr>
          <w:pgSz w:w="11910" w:h="16840"/>
          <w:pgMar w:header="206" w:footer="738" w:top="940" w:bottom="920" w:left="900" w:right="1100"/>
        </w:sectPr>
      </w:pPr>
    </w:p>
    <w:p>
      <w:pPr>
        <w:spacing w:line="240" w:lineRule="auto" w:before="0"/>
        <w:rPr>
          <w:rFonts w:ascii="Times New Roman" w:hAnsi="Times New Roman" w:cs="Times New Roman" w:eastAsia="Times New Roman" w:hint="default"/>
          <w:sz w:val="20"/>
          <w:szCs w:val="20"/>
        </w:rPr>
      </w:pPr>
    </w:p>
    <w:p>
      <w:pPr>
        <w:pStyle w:val="Heading2"/>
        <w:spacing w:line="416" w:lineRule="exact" w:before="179"/>
        <w:ind w:left="155" w:right="0"/>
        <w:jc w:val="center"/>
      </w:pPr>
      <w:bookmarkStart w:name="母公司资产负债表" w:id="12"/>
      <w:bookmarkEnd w:id="12"/>
      <w:r>
        <w:rPr/>
      </w:r>
      <w:r>
        <w:rPr/>
        <w:t>母公司资产负债表</w:t>
      </w:r>
    </w:p>
    <w:p>
      <w:pPr>
        <w:pStyle w:val="BodyText"/>
        <w:tabs>
          <w:tab w:pos="7043" w:val="left" w:leader="none"/>
        </w:tabs>
        <w:spacing w:line="276" w:lineRule="exact" w:before="22"/>
        <w:ind w:left="882" w:right="722" w:firstLine="2760"/>
        <w:jc w:val="left"/>
      </w:pPr>
      <w:r>
        <w:rPr/>
        <w:t>编制日期：</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99"/>
        </w:rPr>
        <w:t> </w:t>
      </w:r>
      <w:r>
        <w:rPr>
          <w:spacing w:val="-1"/>
          <w:w w:val="95"/>
        </w:rPr>
        <w:t>编制单位：马鞍山鼎泰稀土新材料股份有限公司</w:t>
        <w:tab/>
      </w:r>
      <w:r>
        <w:rPr>
          <w:spacing w:val="-8"/>
        </w:rPr>
        <w:t>单位：元 </w:t>
      </w:r>
      <w:r>
        <w:rPr>
          <w:spacing w:val="-5"/>
        </w:rPr>
        <w:t>币种：人民币</w:t>
      </w:r>
    </w:p>
    <w:tbl>
      <w:tblPr>
        <w:tblW w:w="0" w:type="auto"/>
        <w:jc w:val="left"/>
        <w:tblInd w:w="119" w:type="dxa"/>
        <w:tblLayout w:type="fixed"/>
        <w:tblCellMar>
          <w:top w:w="0" w:type="dxa"/>
          <w:left w:w="0" w:type="dxa"/>
          <w:bottom w:w="0" w:type="dxa"/>
          <w:right w:w="0" w:type="dxa"/>
        </w:tblCellMar>
        <w:tblLook w:val="01E0"/>
      </w:tblPr>
      <w:tblGrid>
        <w:gridCol w:w="3574"/>
        <w:gridCol w:w="1130"/>
        <w:gridCol w:w="2482"/>
        <w:gridCol w:w="2482"/>
      </w:tblGrid>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273,506,679.65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75,574,719.20</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52,462,873.86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17,595,267.17</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116,115,048.52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105,042,650.20</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53,079,803.28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31,045,319.89</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77,441,284.55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3,614,175.16</w:t>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89,889,883.10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47,166,818.79</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75,923.11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63" w:right="0"/>
              <w:jc w:val="left"/>
              <w:rPr>
                <w:rFonts w:ascii="Times New Roman" w:hAnsi="Times New Roman" w:cs="Times New Roman" w:eastAsia="Times New Roman" w:hint="default"/>
                <w:sz w:val="18"/>
                <w:szCs w:val="18"/>
              </w:rPr>
            </w:pPr>
            <w:r>
              <w:rPr>
                <w:rFonts w:ascii="Times New Roman"/>
                <w:sz w:val="18"/>
              </w:rPr>
              <w:t>662,571,496.07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280,038,950.41</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14,474,533.17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4,424,533.17</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108,337,645.69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73,458,972.58</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5,006,125.72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452,253.12</w:t>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22,300,454.76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8,283,326.67</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932,944.52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537,287.49</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151,051,703.86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87,156,373.03</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813,623,199.93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367,195,323.44</w:t>
            </w:r>
          </w:p>
        </w:tc>
      </w:tr>
    </w:tbl>
    <w:p>
      <w:pPr>
        <w:pStyle w:val="BodyText"/>
        <w:tabs>
          <w:tab w:pos="2939" w:val="left" w:leader="none"/>
          <w:tab w:pos="6507" w:val="left" w:leader="none"/>
          <w:tab w:pos="9659" w:val="left" w:leader="none"/>
        </w:tabs>
        <w:spacing w:line="253" w:lineRule="exact"/>
        <w:ind w:left="26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53" w:lineRule="exact"/>
        <w:jc w:val="left"/>
        <w:rPr>
          <w:rFonts w:ascii="Times New Roman" w:hAnsi="Times New Roman" w:cs="Times New Roman" w:eastAsia="Times New Roman" w:hint="default"/>
        </w:rPr>
        <w:sectPr>
          <w:pgSz w:w="11910" w:h="16840"/>
          <w:pgMar w:header="206" w:footer="738" w:top="940" w:bottom="920" w:left="920" w:right="1080"/>
        </w:sectPr>
      </w:pPr>
    </w:p>
    <w:p>
      <w:pPr>
        <w:spacing w:line="240" w:lineRule="auto" w:before="0"/>
        <w:rPr>
          <w:rFonts w:ascii="Times New Roman" w:hAnsi="Times New Roman" w:cs="Times New Roman" w:eastAsia="Times New Roman" w:hint="default"/>
          <w:sz w:val="20"/>
          <w:szCs w:val="20"/>
        </w:rPr>
      </w:pPr>
    </w:p>
    <w:p>
      <w:pPr>
        <w:pStyle w:val="Heading2"/>
        <w:spacing w:line="416" w:lineRule="exact" w:before="179"/>
        <w:ind w:left="3272" w:right="0"/>
        <w:jc w:val="left"/>
      </w:pPr>
      <w:bookmarkStart w:name="母公司资产负债表（续）" w:id="13"/>
      <w:bookmarkEnd w:id="13"/>
      <w:r>
        <w:rPr/>
      </w:r>
      <w:r>
        <w:rPr/>
        <w:t>母公司资产负债表（续）</w:t>
      </w:r>
    </w:p>
    <w:p>
      <w:pPr>
        <w:pStyle w:val="BodyText"/>
        <w:tabs>
          <w:tab w:pos="7043" w:val="left" w:leader="none"/>
        </w:tabs>
        <w:spacing w:line="276" w:lineRule="exact" w:before="22"/>
        <w:ind w:left="882" w:right="722" w:firstLine="2760"/>
        <w:jc w:val="left"/>
      </w:pPr>
      <w:r>
        <w:rPr/>
        <w:t>编制日期：</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w w:val="99"/>
        </w:rPr>
        <w:t> </w:t>
      </w:r>
      <w:r>
        <w:rPr>
          <w:spacing w:val="-1"/>
          <w:w w:val="95"/>
        </w:rPr>
        <w:t>编制单位：马鞍山鼎泰稀土新材料股份有限公司</w:t>
        <w:tab/>
      </w:r>
      <w:r>
        <w:rPr>
          <w:spacing w:val="-8"/>
        </w:rPr>
        <w:t>单位：元 </w:t>
      </w:r>
      <w:r>
        <w:rPr>
          <w:spacing w:val="-5"/>
        </w:rPr>
        <w:t>币种：人民币</w:t>
      </w:r>
    </w:p>
    <w:tbl>
      <w:tblPr>
        <w:tblW w:w="0" w:type="auto"/>
        <w:jc w:val="left"/>
        <w:tblInd w:w="114" w:type="dxa"/>
        <w:tblLayout w:type="fixed"/>
        <w:tblCellMar>
          <w:top w:w="0" w:type="dxa"/>
          <w:left w:w="0" w:type="dxa"/>
          <w:bottom w:w="0" w:type="dxa"/>
          <w:right w:w="0" w:type="dxa"/>
        </w:tblCellMar>
        <w:tblLook w:val="01E0"/>
      </w:tblPr>
      <w:tblGrid>
        <w:gridCol w:w="3576"/>
        <w:gridCol w:w="1128"/>
        <w:gridCol w:w="2484"/>
        <w:gridCol w:w="2482"/>
      </w:tblGrid>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9"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51,378,137.86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110,080,000.00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18,522,000.00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11,037,421.94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16,056,974.71</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3,944,749.72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2,128,951.98</w:t>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1,434,986.62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1,094,035.32</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3,913,814.27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8,346,711.61</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1,580,785.96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1,426,948.99</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2,731,066.79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610,247.13</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93,020,963.16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158,265,869.74</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6,640,000.00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54,640,000.00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6,640,000.00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54,640,000.00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99,660,963.16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212,905,869.74</w:t>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77,830,780.00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579,996,139.78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13,100,716.92</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11,868,501.31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9,481,764.59</w:t>
            </w:r>
          </w:p>
        </w:tc>
      </w:tr>
      <w:tr>
        <w:trPr>
          <w:trHeight w:val="348"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44,266,815.68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73,376,192.19</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713,962,236.77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154,289,453.70</w:t>
            </w:r>
          </w:p>
        </w:tc>
      </w:tr>
      <w:tr>
        <w:trPr>
          <w:trHeight w:val="350" w:hRule="exact"/>
        </w:trPr>
        <w:tc>
          <w:tcPr>
            <w:tcW w:w="35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128"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813,623,199.93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367,195,323.44</w:t>
            </w:r>
          </w:p>
        </w:tc>
      </w:tr>
    </w:tbl>
    <w:p>
      <w:pPr>
        <w:spacing w:line="240" w:lineRule="auto" w:before="8"/>
        <w:rPr>
          <w:rFonts w:ascii="宋体" w:hAnsi="宋体" w:cs="宋体" w:eastAsia="宋体" w:hint="default"/>
          <w:sz w:val="16"/>
          <w:szCs w:val="16"/>
        </w:rPr>
      </w:pPr>
    </w:p>
    <w:p>
      <w:pPr>
        <w:pStyle w:val="BodyText"/>
        <w:tabs>
          <w:tab w:pos="2939" w:val="left" w:leader="none"/>
          <w:tab w:pos="6507" w:val="left" w:leader="none"/>
          <w:tab w:pos="9659" w:val="left" w:leader="none"/>
        </w:tabs>
        <w:spacing w:line="240" w:lineRule="auto" w:before="34"/>
        <w:ind w:left="26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206" w:footer="738" w:top="940" w:bottom="920" w:left="920" w:right="1080"/>
        </w:sectPr>
      </w:pPr>
    </w:p>
    <w:p>
      <w:pPr>
        <w:spacing w:line="240" w:lineRule="auto" w:before="0"/>
        <w:rPr>
          <w:rFonts w:ascii="Times New Roman" w:hAnsi="Times New Roman" w:cs="Times New Roman" w:eastAsia="Times New Roman" w:hint="default"/>
          <w:sz w:val="20"/>
          <w:szCs w:val="20"/>
        </w:rPr>
      </w:pPr>
    </w:p>
    <w:p>
      <w:pPr>
        <w:pStyle w:val="Heading2"/>
        <w:spacing w:line="406" w:lineRule="exact" w:before="179"/>
        <w:ind w:left="195" w:right="0"/>
        <w:jc w:val="center"/>
      </w:pPr>
      <w:bookmarkStart w:name="合并利润表" w:id="14"/>
      <w:bookmarkEnd w:id="14"/>
      <w:r>
        <w:rPr/>
      </w:r>
      <w:r>
        <w:rPr/>
        <w:t>合并利润表</w:t>
      </w:r>
    </w:p>
    <w:p>
      <w:pPr>
        <w:pStyle w:val="BodyText"/>
        <w:tabs>
          <w:tab w:pos="7063" w:val="left" w:leader="none"/>
        </w:tabs>
        <w:spacing w:line="262" w:lineRule="exact" w:before="22"/>
        <w:ind w:left="902" w:right="702" w:firstLine="3180"/>
        <w:jc w:val="left"/>
      </w:pPr>
      <w:r>
        <w:rPr/>
        <w:t>编制年度：</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w:t>
      </w:r>
      <w:r>
        <w:rPr>
          <w:w w:val="99"/>
        </w:rPr>
        <w:t> </w:t>
      </w:r>
      <w:r>
        <w:rPr>
          <w:spacing w:val="-1"/>
          <w:w w:val="95"/>
        </w:rPr>
        <w:t>编制单位：马鞍山鼎泰稀土新材料股份有限公司</w:t>
        <w:tab/>
      </w:r>
      <w:r>
        <w:rPr>
          <w:spacing w:val="-8"/>
        </w:rPr>
        <w:t>单位：元 </w:t>
      </w:r>
      <w:r>
        <w:rPr>
          <w:spacing w:val="-5"/>
        </w:rPr>
        <w:t>币种：人民币</w:t>
      </w:r>
    </w:p>
    <w:tbl>
      <w:tblPr>
        <w:tblW w:w="0" w:type="auto"/>
        <w:jc w:val="left"/>
        <w:tblInd w:w="119" w:type="dxa"/>
        <w:tblLayout w:type="fixed"/>
        <w:tblCellMar>
          <w:top w:w="0" w:type="dxa"/>
          <w:left w:w="0" w:type="dxa"/>
          <w:bottom w:w="0" w:type="dxa"/>
          <w:right w:w="0" w:type="dxa"/>
        </w:tblCellMar>
        <w:tblLook w:val="01E0"/>
      </w:tblPr>
      <w:tblGrid>
        <w:gridCol w:w="4142"/>
        <w:gridCol w:w="1128"/>
        <w:gridCol w:w="2201"/>
        <w:gridCol w:w="2198"/>
      </w:tblGrid>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472,930,472.50</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414,234,630.60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472,930,472.50</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414,234,630.60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445,075,207.69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365,562,120.45</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395,136,650.23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328,716,791.69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1,321,103.19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1,019,408.03</w:t>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20,783,899.38</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17,280,122.53</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23,482,910.87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11,418,969.11</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2,035,846.99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6,205,291.80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2,314,797.03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921,537.29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27,855,264.81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48,672,510.15</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399,471.33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506,705.89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634,246.34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314,956.00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55,803.21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13,308.60</w:t>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27,620,489.80</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48,864,260.04</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3,863,243.03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7,189,997.15</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0.32</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0.71</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0.32</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0.71</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2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17"/>
          <w:szCs w:val="17"/>
        </w:rPr>
      </w:pPr>
    </w:p>
    <w:p>
      <w:pPr>
        <w:pStyle w:val="BodyText"/>
        <w:tabs>
          <w:tab w:pos="2959" w:val="left" w:leader="none"/>
          <w:tab w:pos="6527" w:val="left" w:leader="none"/>
          <w:tab w:pos="9679" w:val="left" w:leader="none"/>
        </w:tabs>
        <w:spacing w:line="240" w:lineRule="auto" w:before="34"/>
        <w:ind w:left="28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206" w:footer="738" w:top="940" w:bottom="920" w:left="900" w:right="11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9"/>
        <w:ind w:left="233" w:right="0"/>
        <w:jc w:val="center"/>
      </w:pPr>
      <w:bookmarkStart w:name="母公司利润表" w:id="15"/>
      <w:bookmarkEnd w:id="15"/>
      <w:r>
        <w:rPr/>
      </w:r>
      <w:r>
        <w:rPr/>
        <w:t>母公司利润表</w:t>
      </w:r>
    </w:p>
    <w:p>
      <w:pPr>
        <w:pStyle w:val="BodyText"/>
        <w:tabs>
          <w:tab w:pos="7083" w:val="left" w:leader="none"/>
        </w:tabs>
        <w:spacing w:line="585" w:lineRule="auto" w:before="213"/>
        <w:ind w:left="922" w:right="682" w:firstLine="3180"/>
        <w:jc w:val="left"/>
      </w:pPr>
      <w:r>
        <w:rPr/>
        <w:pict>
          <v:shape style="position:absolute;margin-left:49.919998pt;margin-top:61.313656pt;width:484.1pt;height:494.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0"/>
                    <w:gridCol w:w="1130"/>
                    <w:gridCol w:w="2198"/>
                    <w:gridCol w:w="2198"/>
                  </w:tblGrid>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6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472,906,519.38</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414,741,024.31</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332,342,602.60</w:t>
                        </w:r>
                        <w:r>
                          <w:rPr>
                            <w:rFonts w:ascii="Times New Roman"/>
                            <w:sz w:val="21"/>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1,293,257.46</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964,141.31</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20,783,899.38</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17,272,885.09</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20,725,882.77</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9,507,579.81</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2,031,618.47</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6,179,656.73</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2,313,098.25</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921,000.74</w:t>
                        </w:r>
                        <w:r>
                          <w:rPr>
                            <w:rFonts w:ascii="Times New Roman"/>
                            <w:sz w:val="21"/>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28,012,884.08</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47,553,158.03</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327,769.94</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460,305.89</w:t>
                        </w:r>
                        <w:r>
                          <w:rPr>
                            <w:rFonts w:ascii="Times New Roman"/>
                            <w:sz w:val="21"/>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574,146.34</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314,956.00</w:t>
                        </w:r>
                        <w:r>
                          <w:rPr>
                            <w:rFonts w:ascii="Times New Roman"/>
                            <w:sz w:val="21"/>
                          </w:rPr>
                        </w:r>
                      </w:p>
                    </w:tc>
                  </w:tr>
                  <w:tr>
                    <w:trPr>
                      <w:trHeight w:val="511"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13,308.60</w:t>
                        </w:r>
                        <w:r>
                          <w:rPr>
                            <w:rFonts w:ascii="Times New Roman"/>
                            <w:sz w:val="21"/>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27,766,507.68</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47,698,507.92</w:t>
                        </w:r>
                        <w:r>
                          <w:rPr>
                            <w:rFonts w:ascii="Times New Roman"/>
                            <w:sz w:val="21"/>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3,899,140.47</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7,015,053.85</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23,867,367.21</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40,683,454.07</w:t>
                        </w:r>
                        <w:r>
                          <w:rPr>
                            <w:rFonts w:ascii="Times New Roman"/>
                            <w:sz w:val="21"/>
                          </w:rPr>
                        </w:r>
                      </w:p>
                    </w:tc>
                  </w:tr>
                  <w:tr>
                    <w:trPr>
                      <w:trHeight w:val="493"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23,867,367.21</w:t>
                        </w:r>
                        <w:r>
                          <w:rPr>
                            <w:rFonts w:ascii="Times New Roman"/>
                            <w:sz w:val="21"/>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40,683,454.07</w:t>
                        </w:r>
                        <w:r>
                          <w:rPr>
                            <w:rFonts w:ascii="Times New Roman"/>
                            <w:sz w:val="21"/>
                          </w:rPr>
                        </w:r>
                      </w:p>
                    </w:tc>
                  </w:tr>
                </w:tbl>
                <w:p>
                  <w:pPr/>
                </w:p>
              </w:txbxContent>
            </v:textbox>
            <w10:wrap type="none"/>
          </v:shape>
        </w:pict>
      </w:r>
      <w:r>
        <w:rPr/>
        <w:t>编制年度：</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w:t>
      </w:r>
      <w:r>
        <w:rPr>
          <w:w w:val="99"/>
        </w:rPr>
        <w:t> </w:t>
      </w:r>
      <w:r>
        <w:rPr>
          <w:spacing w:val="-1"/>
          <w:w w:val="95"/>
        </w:rPr>
        <w:t>编制单位：马鞍山鼎泰稀土新材料股份有限公司</w:t>
        <w:tab/>
      </w:r>
      <w:r>
        <w:rPr>
          <w:spacing w:val="-8"/>
        </w:rPr>
        <w:t>单位：元</w:t>
      </w:r>
      <w:r>
        <w:rPr>
          <w:spacing w:val="-9"/>
        </w:rPr>
        <w:t> </w:t>
      </w:r>
      <w:r>
        <w:rPr>
          <w:spacing w:val="-5"/>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979" w:val="left" w:leader="none"/>
          <w:tab w:pos="6547" w:val="left" w:leader="none"/>
          <w:tab w:pos="9699" w:val="left" w:leader="none"/>
        </w:tabs>
        <w:spacing w:line="240" w:lineRule="auto" w:before="174"/>
        <w:ind w:left="30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206" w:footer="738" w:top="940" w:bottom="920" w:left="880" w:right="1120"/>
        </w:sectPr>
      </w:pPr>
    </w:p>
    <w:p>
      <w:pPr>
        <w:spacing w:line="240" w:lineRule="auto" w:before="0"/>
        <w:rPr>
          <w:rFonts w:ascii="Times New Roman" w:hAnsi="Times New Roman" w:cs="Times New Roman" w:eastAsia="Times New Roman" w:hint="default"/>
          <w:sz w:val="20"/>
          <w:szCs w:val="20"/>
        </w:rPr>
      </w:pPr>
    </w:p>
    <w:p>
      <w:pPr>
        <w:pStyle w:val="Heading2"/>
        <w:spacing w:line="394" w:lineRule="exact" w:before="179"/>
        <w:ind w:right="42"/>
        <w:jc w:val="center"/>
      </w:pPr>
      <w:bookmarkStart w:name="合并现金流量表" w:id="16"/>
      <w:bookmarkEnd w:id="16"/>
      <w:r>
        <w:rPr/>
      </w:r>
      <w:r>
        <w:rPr/>
        <w:t>合并现金流量表</w:t>
      </w:r>
    </w:p>
    <w:p>
      <w:pPr>
        <w:pStyle w:val="BodyText"/>
        <w:tabs>
          <w:tab w:pos="6160" w:val="left" w:leader="none"/>
        </w:tabs>
        <w:spacing w:line="250" w:lineRule="exact"/>
        <w:ind w:left="0" w:right="41"/>
        <w:jc w:val="center"/>
      </w:pPr>
      <w:r>
        <w:rPr>
          <w:spacing w:val="-1"/>
          <w:w w:val="95"/>
        </w:rPr>
        <w:t>编制单位：马鞍山鼎泰稀土新材料股份有限公司</w:t>
        <w:tab/>
      </w:r>
      <w:r>
        <w:rPr>
          <w:spacing w:val="-8"/>
        </w:rPr>
        <w:t>单位：元</w:t>
      </w:r>
      <w:r>
        <w:rPr>
          <w:spacing w:val="-9"/>
        </w:rPr>
        <w:t> </w:t>
      </w:r>
      <w:r>
        <w:rPr>
          <w:spacing w:val="-5"/>
        </w:rPr>
        <w:t>币种：人民币</w:t>
      </w:r>
    </w:p>
    <w:tbl>
      <w:tblPr>
        <w:tblW w:w="0" w:type="auto"/>
        <w:jc w:val="left"/>
        <w:tblInd w:w="111" w:type="dxa"/>
        <w:tblLayout w:type="fixed"/>
        <w:tblCellMar>
          <w:top w:w="0" w:type="dxa"/>
          <w:left w:w="0" w:type="dxa"/>
          <w:bottom w:w="0" w:type="dxa"/>
          <w:right w:w="0" w:type="dxa"/>
        </w:tblCellMar>
        <w:tblLook w:val="01E0"/>
      </w:tblPr>
      <w:tblGrid>
        <w:gridCol w:w="5006"/>
        <w:gridCol w:w="1135"/>
        <w:gridCol w:w="1778"/>
        <w:gridCol w:w="1781"/>
      </w:tblGrid>
      <w:tr>
        <w:trPr>
          <w:trHeight w:val="310"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501,511,607.28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448,408,987.12</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502,812.25</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20,945,561.64</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14,854,816.32</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522,457,168.92</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463,766,615.69</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534,682,085.91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388,066,171.11</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24,533,591.16</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19,927,201.54</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17,103,388.25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27,116,784.70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24,966,260.81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16,870,298.97</w:t>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601,285,326.13</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451,980,456.32</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pacing w:val="-1"/>
                <w:sz w:val="18"/>
              </w:rPr>
              <w:t>-78,828,157.21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11,786,159.37</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148,525,429.47</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9,975,000.00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158,500,429.47</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-158,480,429.47</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593,600,000.00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98,378,137.86</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30,330,798.32</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16,662,000.00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722,308,936.18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184,662,000.00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197,000,000.00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96,980,000.00</w:t>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52,497,241.03</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16,075,823.85</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32,656,098.15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14,842,659.85</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282,153,339.18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127,898,483.70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440,155,597.00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56,763,516.30</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8"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202,847,010.32</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22,232,542.23</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64,710,247.36</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42,477,705.13</w:t>
            </w:r>
          </w:p>
        </w:tc>
      </w:tr>
      <w:tr>
        <w:trPr>
          <w:trHeight w:val="226" w:hRule="exact"/>
        </w:trPr>
        <w:tc>
          <w:tcPr>
            <w:tcW w:w="5006" w:type="dxa"/>
            <w:tcBorders>
              <w:top w:val="single" w:sz="4" w:space="0" w:color="000000"/>
              <w:left w:val="nil" w:sz="6" w:space="0" w:color="auto"/>
              <w:bottom w:val="single" w:sz="4" w:space="0" w:color="000000"/>
              <w:right w:val="single" w:sz="4" w:space="0" w:color="000000"/>
            </w:tcBorders>
          </w:tcPr>
          <w:p>
            <w:pPr>
              <w:pStyle w:val="TableParagraph"/>
              <w:spacing w:line="198" w:lineRule="exact"/>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Times New Roman" w:hAnsi="Times New Roman" w:cs="Times New Roman" w:eastAsia="Times New Roman" w:hint="default"/>
                <w:sz w:val="18"/>
                <w:szCs w:val="18"/>
              </w:rPr>
            </w:pPr>
            <w:r>
              <w:rPr>
                <w:rFonts w:ascii="Times New Roman"/>
                <w:sz w:val="18"/>
              </w:rPr>
              <w:t>38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267,557,257.68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64,710,247.36</w:t>
            </w:r>
          </w:p>
        </w:tc>
      </w:tr>
    </w:tbl>
    <w:p>
      <w:pPr>
        <w:spacing w:after="0" w:line="240" w:lineRule="auto"/>
        <w:jc w:val="right"/>
        <w:rPr>
          <w:rFonts w:ascii="Times New Roman" w:hAnsi="Times New Roman" w:cs="Times New Roman" w:eastAsia="Times New Roman" w:hint="default"/>
          <w:sz w:val="18"/>
          <w:szCs w:val="18"/>
        </w:rPr>
        <w:sectPr>
          <w:pgSz w:w="11910" w:h="16840"/>
          <w:pgMar w:header="206" w:footer="738" w:top="940" w:bottom="92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2979" w:val="left" w:leader="none"/>
          <w:tab w:pos="6547" w:val="left" w:leader="none"/>
          <w:tab w:pos="9699" w:val="left" w:leader="none"/>
        </w:tabs>
        <w:spacing w:line="240" w:lineRule="auto" w:before="34"/>
        <w:ind w:left="303" w:right="0"/>
        <w:jc w:val="left"/>
        <w:rPr>
          <w:rFonts w:ascii="Times New Roman" w:hAnsi="Times New Roman" w:cs="Times New Roman" w:eastAsia="Times New Roman" w:hint="default"/>
        </w:rPr>
      </w:pPr>
      <w:bookmarkStart w:name="母公司现金流量表" w:id="17"/>
      <w:bookmarkEnd w:id="17"/>
      <w:r>
        <w:rPr/>
      </w: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6"/>
          <w:szCs w:val="26"/>
        </w:rPr>
      </w:pPr>
    </w:p>
    <w:p>
      <w:pPr>
        <w:pStyle w:val="Heading2"/>
        <w:spacing w:line="240" w:lineRule="auto"/>
        <w:ind w:left="233" w:right="0"/>
        <w:jc w:val="center"/>
      </w:pPr>
      <w:r>
        <w:rPr/>
        <w:t>母公司现金流量表</w:t>
      </w:r>
    </w:p>
    <w:p>
      <w:pPr>
        <w:pStyle w:val="BodyText"/>
        <w:tabs>
          <w:tab w:pos="6398" w:val="left" w:leader="none"/>
        </w:tabs>
        <w:spacing w:line="240" w:lineRule="auto" w:before="36"/>
        <w:ind w:left="238" w:right="0"/>
        <w:jc w:val="center"/>
      </w:pPr>
      <w:r>
        <w:rPr>
          <w:spacing w:val="-1"/>
          <w:w w:val="95"/>
        </w:rPr>
        <w:t>编制单位：马鞍山鼎泰稀土新材料股份有限公司</w:t>
        <w:tab/>
      </w:r>
      <w:r>
        <w:rPr>
          <w:spacing w:val="-8"/>
        </w:rPr>
        <w:t>单位：元</w:t>
      </w:r>
      <w:r>
        <w:rPr>
          <w:spacing w:val="-9"/>
        </w:rPr>
        <w:t> </w:t>
      </w:r>
      <w:r>
        <w:rPr>
          <w:spacing w:val="-5"/>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992"/>
        <w:gridCol w:w="926"/>
        <w:gridCol w:w="1874"/>
        <w:gridCol w:w="1874"/>
      </w:tblGrid>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501,812,740.83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448,154,159.90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502,812.25</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5,994,100.01</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13,137,048.89</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507,806,840.84</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461,794,021.04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530,831,714.26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392,843,830.80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21,234,959.86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17,427,274.26</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16,362,152.82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23,605,472.65</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21,939,144.86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16,099,678.39</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590,367,971.80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449,976,256.10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-82,561,130.96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11,817,764.94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84"/>
                <w:sz w:val="18"/>
                <w:szCs w:val="18"/>
              </w:rPr>
              <w:t>、</w:t>
            </w:r>
            <w:r>
              <w:rPr>
                <w:rFonts w:ascii="宋体" w:hAnsi="宋体" w:cs="宋体" w:eastAsia="宋体" w:hint="default"/>
                <w:sz w:val="18"/>
                <w:szCs w:val="18"/>
              </w:rPr>
              <w:t>无形资产和其他长期资产收回的现金净额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144,837,861.67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154,837,861.67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-154,817,861.67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-46,317,133.44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593,600,000.00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98,378,137.86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30,330,798.32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16,662,000.00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722,308,936.18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184,662,000.00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197,000,000.00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96,980,000.00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52,497,241.03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16,075,823.85</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32,656,098.15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14,842,659.85</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282,153,339.18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127,898,483.70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440,155,597.00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56,763,516.30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738" w:header="206" w:top="940" w:bottom="920" w:left="880" w:right="1120"/>
          <w:pgNumType w:start="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992"/>
        <w:gridCol w:w="926"/>
        <w:gridCol w:w="1874"/>
        <w:gridCol w:w="1874"/>
      </w:tblGrid>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202,776,604.37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22,264,147.80</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64,645,920.88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42,381,773.08</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267,422,525.25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64,645,920.88</w:t>
            </w:r>
          </w:p>
        </w:tc>
      </w:tr>
    </w:tbl>
    <w:p>
      <w:pPr>
        <w:spacing w:line="240" w:lineRule="auto" w:before="3"/>
        <w:rPr>
          <w:rFonts w:ascii="宋体" w:hAnsi="宋体" w:cs="宋体" w:eastAsia="宋体" w:hint="default"/>
          <w:sz w:val="16"/>
          <w:szCs w:val="16"/>
        </w:rPr>
      </w:pPr>
    </w:p>
    <w:p>
      <w:pPr>
        <w:pStyle w:val="BodyText"/>
        <w:tabs>
          <w:tab w:pos="2979" w:val="left" w:leader="none"/>
          <w:tab w:pos="6547" w:val="left" w:leader="none"/>
          <w:tab w:pos="9699" w:val="left" w:leader="none"/>
        </w:tabs>
        <w:spacing w:line="240" w:lineRule="auto" w:before="34"/>
        <w:ind w:left="30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206" w:footer="738" w:top="940" w:bottom="920" w:left="880" w:right="1120"/>
        </w:sectPr>
      </w:pPr>
    </w:p>
    <w:p>
      <w:pPr>
        <w:pStyle w:val="Heading2"/>
        <w:spacing w:line="415" w:lineRule="exact" w:before="13"/>
        <w:ind w:right="47"/>
        <w:jc w:val="center"/>
      </w:pPr>
      <w:bookmarkStart w:name="合并所有者权益变动表" w:id="18"/>
      <w:bookmarkEnd w:id="18"/>
      <w:r>
        <w:rPr/>
      </w:r>
      <w:r>
        <w:rPr/>
        <w:t>合并所有者权益变动表</w:t>
      </w:r>
    </w:p>
    <w:p>
      <w:pPr>
        <w:pStyle w:val="BodyText"/>
        <w:spacing w:line="287" w:lineRule="exact"/>
        <w:ind w:left="0" w:right="41"/>
        <w:jc w:val="center"/>
      </w:pPr>
      <w:r>
        <w:rPr/>
        <w:t>编制年度：</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463" w:val="left" w:leader="none"/>
        </w:tabs>
        <w:spacing w:line="240" w:lineRule="auto" w:before="14"/>
        <w:ind w:left="0" w:right="8"/>
        <w:jc w:val="center"/>
      </w:pPr>
      <w:r>
        <w:rPr>
          <w:spacing w:val="-1"/>
          <w:w w:val="95"/>
        </w:rPr>
        <w:t>编制单位：马鞍山鼎泰稀土新材料股份有限公司</w:t>
        <w:tab/>
      </w:r>
      <w:r>
        <w:rPr>
          <w:spacing w:val="-8"/>
        </w:rPr>
        <w:t>单位：元</w:t>
      </w:r>
      <w:r>
        <w:rPr>
          <w:spacing w:val="-9"/>
        </w:rPr>
        <w:t> </w:t>
      </w:r>
      <w:r>
        <w:rPr>
          <w:spacing w:val="-5"/>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71"/>
        <w:gridCol w:w="1267"/>
        <w:gridCol w:w="1250"/>
        <w:gridCol w:w="1025"/>
        <w:gridCol w:w="850"/>
        <w:gridCol w:w="1250"/>
        <w:gridCol w:w="1298"/>
        <w:gridCol w:w="1334"/>
        <w:gridCol w:w="907"/>
        <w:gridCol w:w="1145"/>
        <w:gridCol w:w="1303"/>
      </w:tblGrid>
      <w:tr>
        <w:trPr>
          <w:trHeight w:val="242" w:hRule="exact"/>
        </w:trPr>
        <w:tc>
          <w:tcPr>
            <w:tcW w:w="297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0" w:type="dxa"/>
            <w:gridSpan w:val="10"/>
            <w:tcBorders>
              <w:top w:val="single" w:sz="4" w:space="0" w:color="000000"/>
              <w:left w:val="single" w:sz="4" w:space="0" w:color="000000"/>
              <w:bottom w:val="single" w:sz="4" w:space="0" w:color="000000"/>
              <w:right w:val="nil" w:sz="6" w:space="0" w:color="auto"/>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2" w:hRule="exact"/>
        </w:trPr>
        <w:tc>
          <w:tcPr>
            <w:tcW w:w="2971" w:type="dxa"/>
            <w:vMerge/>
            <w:tcBorders>
              <w:left w:val="nil" w:sz="6" w:space="0" w:color="auto"/>
              <w:right w:val="single" w:sz="4" w:space="0" w:color="000000"/>
            </w:tcBorders>
          </w:tcPr>
          <w:p>
            <w:pPr/>
          </w:p>
        </w:tc>
        <w:tc>
          <w:tcPr>
            <w:tcW w:w="91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32" w:lineRule="exact" w:before="119"/>
              <w:ind w:left="477" w:right="11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03" w:type="dxa"/>
            <w:vMerge w:val="restart"/>
            <w:tcBorders>
              <w:top w:val="single" w:sz="4" w:space="0" w:color="000000"/>
              <w:left w:val="single" w:sz="4" w:space="0" w:color="000000"/>
              <w:right w:val="nil" w:sz="6" w:space="0" w:color="auto"/>
            </w:tcBorders>
          </w:tcPr>
          <w:p>
            <w:pPr>
              <w:pStyle w:val="TableParagraph"/>
              <w:spacing w:line="232" w:lineRule="exact" w:before="119"/>
              <w:ind w:left="468" w:right="199"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8" w:hRule="exact"/>
        </w:trPr>
        <w:tc>
          <w:tcPr>
            <w:tcW w:w="2971"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nil" w:sz="6" w:space="0" w:color="auto"/>
            </w:tcBorders>
          </w:tcPr>
          <w:p>
            <w:pPr/>
          </w:p>
        </w:tc>
      </w:tr>
      <w:tr>
        <w:trPr>
          <w:trHeight w:val="502"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9,481,764.59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75,575,655.27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156,488,916.7</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8</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1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9,481,764.59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75,575,655.27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156,488,916.7</w:t>
            </w:r>
          </w:p>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z w:val="18"/>
              </w:rPr>
              <w:t>8</w:t>
            </w:r>
          </w:p>
        </w:tc>
      </w:tr>
      <w:tr>
        <w:trPr>
          <w:trHeight w:val="746"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4" w:lineRule="exact" w:before="121"/>
              <w:ind w:left="110" w:right="100"/>
              <w:jc w:val="left"/>
              <w:rPr>
                <w:rFonts w:ascii="宋体" w:hAnsi="宋体" w:cs="宋体" w:eastAsia="宋体" w:hint="default"/>
                <w:sz w:val="18"/>
                <w:szCs w:val="18"/>
              </w:rPr>
            </w:pPr>
            <w:r>
              <w:rPr>
                <w:rFonts w:ascii="宋体" w:hAnsi="宋体" w:cs="宋体" w:eastAsia="宋体" w:hint="default"/>
                <w:spacing w:val="-7"/>
                <w:sz w:val="18"/>
                <w:szCs w:val="18"/>
              </w:rPr>
              <w:t>三、本年增减变动金额（减少以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号填列）</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566,895422.8</w:t>
            </w:r>
          </w:p>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z w:val="18"/>
              </w:rPr>
              <w:t>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2,386,736.72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-29,219,496.95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559,562,662.6</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3</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7" w:right="0"/>
              <w:jc w:val="left"/>
              <w:rPr>
                <w:rFonts w:ascii="Times New Roman" w:hAnsi="Times New Roman" w:cs="Times New Roman" w:eastAsia="Times New Roman" w:hint="default"/>
                <w:sz w:val="18"/>
                <w:szCs w:val="18"/>
              </w:rPr>
            </w:pPr>
            <w:r>
              <w:rPr>
                <w:rFonts w:ascii="Times New Roman"/>
                <w:sz w:val="18"/>
              </w:rPr>
              <w:t>23,757,246.77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1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7" w:right="0"/>
              <w:jc w:val="left"/>
              <w:rPr>
                <w:rFonts w:ascii="Times New Roman" w:hAnsi="Times New Roman" w:cs="Times New Roman" w:eastAsia="Times New Roman" w:hint="default"/>
                <w:sz w:val="18"/>
                <w:szCs w:val="18"/>
              </w:rPr>
            </w:pPr>
            <w:r>
              <w:rPr>
                <w:rFonts w:ascii="Times New Roman"/>
                <w:sz w:val="18"/>
              </w:rPr>
              <w:t>23,757,246.77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502"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566,895,422.8</w:t>
            </w:r>
          </w:p>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586,395,422.8</w:t>
            </w:r>
          </w:p>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z w:val="18"/>
              </w:rPr>
              <w:t>6</w:t>
            </w:r>
          </w:p>
        </w:tc>
      </w:tr>
      <w:tr>
        <w:trPr>
          <w:trHeight w:val="749"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566,895,422.8</w:t>
            </w:r>
          </w:p>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586,395,422.8</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6</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．股份支付计入所有者权益的金额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49"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2,386,736.72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-52,976,743.72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-50,590,007.0</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0</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1058" w:footer="1590" w:top="1780" w:bottom="1780" w:left="1020" w:right="980"/>
          <w:pgNumType w:start="62"/>
        </w:sectPr>
      </w:pPr>
    </w:p>
    <w:tbl>
      <w:tblPr>
        <w:tblW w:w="0" w:type="auto"/>
        <w:jc w:val="left"/>
        <w:tblInd w:w="107" w:type="dxa"/>
        <w:tblLayout w:type="fixed"/>
        <w:tblCellMar>
          <w:top w:w="0" w:type="dxa"/>
          <w:left w:w="0" w:type="dxa"/>
          <w:bottom w:w="0" w:type="dxa"/>
          <w:right w:w="0" w:type="dxa"/>
        </w:tblCellMar>
        <w:tblLook w:val="01E0"/>
      </w:tblPr>
      <w:tblGrid>
        <w:gridCol w:w="2971"/>
        <w:gridCol w:w="1267"/>
        <w:gridCol w:w="1250"/>
        <w:gridCol w:w="1022"/>
        <w:gridCol w:w="852"/>
        <w:gridCol w:w="1250"/>
        <w:gridCol w:w="1298"/>
        <w:gridCol w:w="1334"/>
        <w:gridCol w:w="907"/>
        <w:gridCol w:w="1145"/>
        <w:gridCol w:w="1303"/>
      </w:tblGrid>
      <w:tr>
        <w:trPr>
          <w:trHeight w:val="242" w:hRule="exact"/>
        </w:trPr>
        <w:tc>
          <w:tcPr>
            <w:tcW w:w="297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bookmarkStart w:name="合并所有者权益变动表" w:id="19"/>
            <w:bookmarkEnd w:id="19"/>
            <w:r>
              <w:rPr/>
            </w:r>
            <w:r>
              <w:rPr>
                <w:rFonts w:ascii="宋体" w:hAnsi="宋体" w:cs="宋体" w:eastAsia="宋体" w:hint="default"/>
                <w:sz w:val="18"/>
                <w:szCs w:val="18"/>
              </w:rPr>
              <w:t>项目</w:t>
            </w:r>
          </w:p>
        </w:tc>
        <w:tc>
          <w:tcPr>
            <w:tcW w:w="11630" w:type="dxa"/>
            <w:gridSpan w:val="10"/>
            <w:tcBorders>
              <w:top w:val="single" w:sz="4" w:space="0" w:color="000000"/>
              <w:left w:val="single" w:sz="4" w:space="0" w:color="000000"/>
              <w:bottom w:val="single" w:sz="4" w:space="0" w:color="000000"/>
              <w:right w:val="nil" w:sz="6" w:space="0" w:color="auto"/>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2" w:hRule="exact"/>
        </w:trPr>
        <w:tc>
          <w:tcPr>
            <w:tcW w:w="2971" w:type="dxa"/>
            <w:vMerge/>
            <w:tcBorders>
              <w:left w:val="nil" w:sz="6" w:space="0" w:color="auto"/>
              <w:right w:val="single" w:sz="4" w:space="0" w:color="000000"/>
            </w:tcBorders>
          </w:tcPr>
          <w:p>
            <w:pPr/>
          </w:p>
        </w:tc>
        <w:tc>
          <w:tcPr>
            <w:tcW w:w="91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2"/>
              <w:ind w:left="477" w:right="11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03" w:type="dxa"/>
            <w:vMerge w:val="restart"/>
            <w:tcBorders>
              <w:top w:val="single" w:sz="4" w:space="0" w:color="000000"/>
              <w:left w:val="single" w:sz="4" w:space="0" w:color="000000"/>
              <w:right w:val="nil" w:sz="6" w:space="0" w:color="auto"/>
            </w:tcBorders>
          </w:tcPr>
          <w:p>
            <w:pPr>
              <w:pStyle w:val="TableParagraph"/>
              <w:spacing w:line="240" w:lineRule="auto" w:before="92"/>
              <w:ind w:left="468" w:right="199"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8" w:hRule="exact"/>
        </w:trPr>
        <w:tc>
          <w:tcPr>
            <w:tcW w:w="2971"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nil" w:sz="6" w:space="0" w:color="auto"/>
            </w:tcBorders>
          </w:tcPr>
          <w:p>
            <w:pP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2,386,736.72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2,386,736.72</w:t>
            </w:r>
          </w:p>
        </w:tc>
        <w:tc>
          <w:tcPr>
            <w:tcW w:w="90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46"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-50,590,007.00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-50,590,007.0</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0</w:t>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1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2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8" w:right="0"/>
              <w:jc w:val="left"/>
              <w:rPr>
                <w:rFonts w:ascii="Times New Roman" w:hAnsi="Times New Roman" w:cs="Times New Roman" w:eastAsia="Times New Roman" w:hint="default"/>
                <w:sz w:val="18"/>
                <w:szCs w:val="18"/>
              </w:rPr>
            </w:pPr>
            <w:r>
              <w:rPr>
                <w:rFonts w:ascii="Times New Roman"/>
                <w:sz w:val="18"/>
              </w:rPr>
              <w:t>77,830,780.</w:t>
            </w:r>
          </w:p>
          <w:p>
            <w:pPr>
              <w:pStyle w:val="TableParagraph"/>
              <w:spacing w:line="240" w:lineRule="auto" w:before="40"/>
              <w:ind w:left="823" w:right="0"/>
              <w:jc w:val="left"/>
              <w:rPr>
                <w:rFonts w:ascii="Times New Roman" w:hAnsi="Times New Roman" w:cs="Times New Roman" w:eastAsia="Times New Roman" w:hint="default"/>
                <w:sz w:val="18"/>
                <w:szCs w:val="18"/>
              </w:rPr>
            </w:pPr>
            <w:r>
              <w:rPr>
                <w:rFonts w:ascii="Times New Roman"/>
                <w:sz w:val="18"/>
              </w:rPr>
              <w:t>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579,996,139.7</w:t>
            </w:r>
          </w:p>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z w:val="18"/>
              </w:rPr>
              <w:t>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11,868,501.31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7" w:right="0"/>
              <w:jc w:val="left"/>
              <w:rPr>
                <w:rFonts w:ascii="Times New Roman" w:hAnsi="Times New Roman" w:cs="Times New Roman" w:eastAsia="Times New Roman" w:hint="default"/>
                <w:sz w:val="18"/>
                <w:szCs w:val="18"/>
              </w:rPr>
            </w:pPr>
            <w:r>
              <w:rPr>
                <w:rFonts w:ascii="Times New Roman"/>
                <w:sz w:val="18"/>
              </w:rPr>
              <w:t>46,356,158.32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716,051,579.4</w:t>
            </w:r>
          </w:p>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1058" w:footer="1590" w:top="1780" w:bottom="1780" w:left="1020" w:right="980"/>
        </w:sectPr>
      </w:pPr>
    </w:p>
    <w:p>
      <w:pPr>
        <w:pStyle w:val="BodyText"/>
        <w:tabs>
          <w:tab w:pos="2999" w:val="left" w:leader="none"/>
        </w:tabs>
        <w:spacing w:line="240" w:lineRule="auto" w:before="34"/>
        <w:ind w:left="112"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839" w:val="left" w:leader="none"/>
        </w:tabs>
        <w:spacing w:line="240" w:lineRule="auto" w:before="34"/>
        <w:ind w:left="11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419" w:val="left" w:leader="none"/>
        </w:tabs>
        <w:spacing w:line="240" w:lineRule="auto" w:before="34"/>
        <w:ind w:left="11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940" w:bottom="920" w:left="1020" w:right="980"/>
          <w:cols w:num="3" w:equalWidth="0">
            <w:col w:w="3000" w:space="1725"/>
            <w:col w:w="3840" w:space="2040"/>
            <w:col w:w="4235"/>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2"/>
        <w:spacing w:line="415" w:lineRule="exact"/>
        <w:ind w:right="47"/>
        <w:jc w:val="center"/>
      </w:pPr>
      <w:r>
        <w:rPr/>
        <w:t>合并所有者权益变动表</w:t>
      </w:r>
    </w:p>
    <w:p>
      <w:pPr>
        <w:pStyle w:val="BodyText"/>
        <w:spacing w:line="287" w:lineRule="exact"/>
        <w:ind w:left="0" w:right="41"/>
        <w:jc w:val="center"/>
      </w:pPr>
      <w:r>
        <w:rPr/>
        <w:t>编制年度：</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463" w:val="left" w:leader="none"/>
        </w:tabs>
        <w:spacing w:line="240" w:lineRule="auto" w:before="14"/>
        <w:ind w:left="0" w:right="8"/>
        <w:jc w:val="center"/>
      </w:pPr>
      <w:r>
        <w:rPr>
          <w:spacing w:val="-1"/>
          <w:w w:val="95"/>
        </w:rPr>
        <w:t>编制单位：马鞍山鼎泰稀土新材料股份有限公司</w:t>
        <w:tab/>
      </w:r>
      <w:r>
        <w:rPr>
          <w:spacing w:val="-8"/>
        </w:rPr>
        <w:t>单位：元</w:t>
      </w:r>
      <w:r>
        <w:rPr>
          <w:spacing w:val="-9"/>
        </w:rPr>
        <w:t> </w:t>
      </w:r>
      <w:r>
        <w:rPr>
          <w:spacing w:val="-5"/>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62"/>
        <w:gridCol w:w="1267"/>
        <w:gridCol w:w="1253"/>
        <w:gridCol w:w="1025"/>
        <w:gridCol w:w="850"/>
        <w:gridCol w:w="1250"/>
        <w:gridCol w:w="1159"/>
        <w:gridCol w:w="1334"/>
        <w:gridCol w:w="910"/>
        <w:gridCol w:w="1145"/>
        <w:gridCol w:w="1154"/>
      </w:tblGrid>
      <w:tr>
        <w:trPr>
          <w:trHeight w:val="244" w:hRule="exact"/>
        </w:trPr>
        <w:tc>
          <w:tcPr>
            <w:tcW w:w="326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7" w:type="dxa"/>
            <w:gridSpan w:val="10"/>
            <w:tcBorders>
              <w:top w:val="single" w:sz="4" w:space="0" w:color="000000"/>
              <w:left w:val="single" w:sz="4" w:space="0" w:color="000000"/>
              <w:bottom w:val="single" w:sz="4" w:space="0" w:color="000000"/>
              <w:right w:val="nil" w:sz="6" w:space="0" w:color="auto"/>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4" w:hRule="exact"/>
        </w:trPr>
        <w:tc>
          <w:tcPr>
            <w:tcW w:w="3262" w:type="dxa"/>
            <w:vMerge/>
            <w:tcBorders>
              <w:left w:val="nil" w:sz="6" w:space="0" w:color="auto"/>
              <w:right w:val="single" w:sz="4" w:space="0" w:color="000000"/>
            </w:tcBorders>
          </w:tcPr>
          <w:p>
            <w:pPr/>
          </w:p>
        </w:tc>
        <w:tc>
          <w:tcPr>
            <w:tcW w:w="9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32" w:lineRule="exact" w:before="118"/>
              <w:ind w:left="480" w:right="11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54" w:type="dxa"/>
            <w:vMerge w:val="restart"/>
            <w:tcBorders>
              <w:top w:val="single" w:sz="4" w:space="0" w:color="000000"/>
              <w:left w:val="single" w:sz="4" w:space="0" w:color="000000"/>
              <w:right w:val="nil" w:sz="6" w:space="0" w:color="auto"/>
            </w:tcBorders>
          </w:tcPr>
          <w:p>
            <w:pPr>
              <w:pStyle w:val="TableParagraph"/>
              <w:spacing w:line="232" w:lineRule="exact" w:before="118"/>
              <w:ind w:left="393" w:right="122"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5" w:hRule="exact"/>
        </w:trPr>
        <w:tc>
          <w:tcPr>
            <w:tcW w:w="3262"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nil" w:sz="6" w:space="0" w:color="auto"/>
            </w:tcBorders>
          </w:tcPr>
          <w:p>
            <w:pPr/>
          </w:p>
        </w:tc>
      </w:tr>
    </w:tbl>
    <w:p>
      <w:pPr>
        <w:spacing w:after="0"/>
        <w:sectPr>
          <w:type w:val="continuous"/>
          <w:pgSz w:w="16840" w:h="11910" w:orient="landscape"/>
          <w:pgMar w:top="940" w:bottom="920" w:left="1020" w:right="980"/>
        </w:sectPr>
      </w:pPr>
    </w:p>
    <w:tbl>
      <w:tblPr>
        <w:tblW w:w="0" w:type="auto"/>
        <w:jc w:val="left"/>
        <w:tblInd w:w="107" w:type="dxa"/>
        <w:tblLayout w:type="fixed"/>
        <w:tblCellMar>
          <w:top w:w="0" w:type="dxa"/>
          <w:left w:w="0" w:type="dxa"/>
          <w:bottom w:w="0" w:type="dxa"/>
          <w:right w:w="0" w:type="dxa"/>
        </w:tblCellMar>
        <w:tblLook w:val="01E0"/>
      </w:tblPr>
      <w:tblGrid>
        <w:gridCol w:w="3262"/>
        <w:gridCol w:w="1267"/>
        <w:gridCol w:w="1253"/>
        <w:gridCol w:w="1025"/>
        <w:gridCol w:w="850"/>
        <w:gridCol w:w="1250"/>
        <w:gridCol w:w="1159"/>
        <w:gridCol w:w="1334"/>
        <w:gridCol w:w="910"/>
        <w:gridCol w:w="1145"/>
        <w:gridCol w:w="1154"/>
      </w:tblGrid>
      <w:tr>
        <w:trPr>
          <w:trHeight w:val="242" w:hRule="exact"/>
        </w:trPr>
        <w:tc>
          <w:tcPr>
            <w:tcW w:w="326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7" w:type="dxa"/>
            <w:gridSpan w:val="10"/>
            <w:tcBorders>
              <w:top w:val="single" w:sz="4" w:space="0" w:color="000000"/>
              <w:left w:val="single" w:sz="4" w:space="0" w:color="000000"/>
              <w:bottom w:val="single" w:sz="4" w:space="0" w:color="000000"/>
              <w:right w:val="nil" w:sz="6" w:space="0" w:color="auto"/>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2" w:hRule="exact"/>
        </w:trPr>
        <w:tc>
          <w:tcPr>
            <w:tcW w:w="3262" w:type="dxa"/>
            <w:vMerge/>
            <w:tcBorders>
              <w:left w:val="nil" w:sz="6" w:space="0" w:color="auto"/>
              <w:right w:val="single" w:sz="4" w:space="0" w:color="000000"/>
            </w:tcBorders>
          </w:tcPr>
          <w:p>
            <w:pPr/>
          </w:p>
        </w:tc>
        <w:tc>
          <w:tcPr>
            <w:tcW w:w="9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2"/>
              <w:ind w:left="480" w:right="11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54" w:type="dxa"/>
            <w:vMerge w:val="restart"/>
            <w:tcBorders>
              <w:top w:val="single" w:sz="4" w:space="0" w:color="000000"/>
              <w:left w:val="single" w:sz="4" w:space="0" w:color="000000"/>
              <w:right w:val="nil" w:sz="6" w:space="0" w:color="auto"/>
            </w:tcBorders>
          </w:tcPr>
          <w:p>
            <w:pPr>
              <w:pStyle w:val="TableParagraph"/>
              <w:spacing w:line="240" w:lineRule="auto" w:before="92"/>
              <w:ind w:left="393" w:right="122"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8" w:hRule="exact"/>
        </w:trPr>
        <w:tc>
          <w:tcPr>
            <w:tcW w:w="3262"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nil" w:sz="6" w:space="0" w:color="auto"/>
            </w:tcBorders>
          </w:tcPr>
          <w:p>
            <w:pP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5,413,419.18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49,635,893.79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126,480,809</w:t>
            </w:r>
          </w:p>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z w:val="18"/>
              </w:rPr>
              <w:t>.89</w:t>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5,413,419.18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49,635,893.79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126,480,809</w:t>
            </w:r>
          </w:p>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z w:val="18"/>
              </w:rPr>
              <w:t>.89</w:t>
            </w: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40" w:lineRule="auto" w:before="4"/>
              <w:ind w:left="11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7" w:right="0"/>
              <w:jc w:val="left"/>
              <w:rPr>
                <w:rFonts w:ascii="Times New Roman" w:hAnsi="Times New Roman" w:cs="Times New Roman" w:eastAsia="Times New Roman" w:hint="default"/>
                <w:sz w:val="18"/>
                <w:szCs w:val="18"/>
              </w:rPr>
            </w:pPr>
            <w:r>
              <w:rPr>
                <w:rFonts w:ascii="Times New Roman"/>
                <w:sz w:val="18"/>
              </w:rPr>
              <w:t>25,939,761.48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30,008,106.</w:t>
            </w:r>
          </w:p>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z w:val="18"/>
              </w:rPr>
              <w:t>89</w:t>
            </w: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7" w:right="0"/>
              <w:jc w:val="left"/>
              <w:rPr>
                <w:rFonts w:ascii="Times New Roman" w:hAnsi="Times New Roman" w:cs="Times New Roman" w:eastAsia="Times New Roman" w:hint="default"/>
                <w:sz w:val="18"/>
                <w:szCs w:val="18"/>
              </w:rPr>
            </w:pPr>
            <w:r>
              <w:rPr>
                <w:rFonts w:ascii="Times New Roman"/>
                <w:sz w:val="18"/>
              </w:rPr>
              <w:t>41,674,262.89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41,674,262.</w:t>
            </w:r>
          </w:p>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z w:val="18"/>
              </w:rPr>
              <w:t>89</w:t>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7" w:right="0"/>
              <w:jc w:val="left"/>
              <w:rPr>
                <w:rFonts w:ascii="Times New Roman" w:hAnsi="Times New Roman" w:cs="Times New Roman" w:eastAsia="Times New Roman" w:hint="default"/>
                <w:sz w:val="18"/>
                <w:szCs w:val="18"/>
              </w:rPr>
            </w:pPr>
            <w:r>
              <w:rPr>
                <w:rFonts w:ascii="Times New Roman"/>
                <w:sz w:val="18"/>
              </w:rPr>
              <w:t>41,674,262.89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41,674,262.</w:t>
            </w:r>
          </w:p>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z w:val="18"/>
              </w:rPr>
              <w:t>89</w:t>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-15,734,501.41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-11,666,156.</w:t>
            </w:r>
          </w:p>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z w:val="18"/>
              </w:rPr>
              <w:t>00</w:t>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8" w:right="0"/>
              <w:jc w:val="left"/>
              <w:rPr>
                <w:rFonts w:ascii="Times New Roman" w:hAnsi="Times New Roman" w:cs="Times New Roman" w:eastAsia="Times New Roman" w:hint="default"/>
                <w:sz w:val="18"/>
                <w:szCs w:val="18"/>
              </w:rPr>
            </w:pPr>
            <w:r>
              <w:rPr>
                <w:rFonts w:ascii="Times New Roman"/>
                <w:sz w:val="18"/>
              </w:rPr>
              <w:t>-4,068,345.41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36" w:right="0"/>
              <w:jc w:val="left"/>
              <w:rPr>
                <w:rFonts w:ascii="Times New Roman" w:hAnsi="Times New Roman" w:cs="Times New Roman" w:eastAsia="Times New Roman" w:hint="default"/>
                <w:sz w:val="18"/>
                <w:szCs w:val="18"/>
              </w:rPr>
            </w:pPr>
            <w:r>
              <w:rPr>
                <w:rFonts w:ascii="Times New Roman"/>
                <w:sz w:val="18"/>
              </w:rPr>
              <w:t>-11,666,156.00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-11,666,156.</w:t>
            </w:r>
          </w:p>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z w:val="18"/>
              </w:rPr>
              <w:t>00</w:t>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1058" w:footer="1590" w:top="1800" w:bottom="1780" w:left="1020" w:right="980"/>
        </w:sectPr>
      </w:pPr>
    </w:p>
    <w:tbl>
      <w:tblPr>
        <w:tblW w:w="0" w:type="auto"/>
        <w:jc w:val="left"/>
        <w:tblInd w:w="227" w:type="dxa"/>
        <w:tblLayout w:type="fixed"/>
        <w:tblCellMar>
          <w:top w:w="0" w:type="dxa"/>
          <w:left w:w="0" w:type="dxa"/>
          <w:bottom w:w="0" w:type="dxa"/>
          <w:right w:w="0" w:type="dxa"/>
        </w:tblCellMar>
        <w:tblLook w:val="01E0"/>
      </w:tblPr>
      <w:tblGrid>
        <w:gridCol w:w="3262"/>
        <w:gridCol w:w="1267"/>
        <w:gridCol w:w="1250"/>
        <w:gridCol w:w="1027"/>
        <w:gridCol w:w="850"/>
        <w:gridCol w:w="1250"/>
        <w:gridCol w:w="1159"/>
        <w:gridCol w:w="1334"/>
        <w:gridCol w:w="910"/>
        <w:gridCol w:w="1145"/>
        <w:gridCol w:w="1154"/>
      </w:tblGrid>
      <w:tr>
        <w:trPr>
          <w:trHeight w:val="242" w:hRule="exact"/>
        </w:trPr>
        <w:tc>
          <w:tcPr>
            <w:tcW w:w="326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bookmarkStart w:name="母公司所有者权益变动表" w:id="20"/>
            <w:bookmarkEnd w:id="20"/>
            <w:r>
              <w:rPr/>
            </w:r>
            <w:r>
              <w:rPr>
                <w:rFonts w:ascii="宋体" w:hAnsi="宋体" w:cs="宋体" w:eastAsia="宋体" w:hint="default"/>
                <w:sz w:val="18"/>
                <w:szCs w:val="18"/>
              </w:rPr>
              <w:t>项目</w:t>
            </w:r>
          </w:p>
        </w:tc>
        <w:tc>
          <w:tcPr>
            <w:tcW w:w="11347" w:type="dxa"/>
            <w:gridSpan w:val="10"/>
            <w:tcBorders>
              <w:top w:val="single" w:sz="4" w:space="0" w:color="000000"/>
              <w:left w:val="single" w:sz="4" w:space="0" w:color="000000"/>
              <w:bottom w:val="single" w:sz="4" w:space="0" w:color="000000"/>
              <w:right w:val="nil" w:sz="6" w:space="0" w:color="auto"/>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2" w:hRule="exact"/>
        </w:trPr>
        <w:tc>
          <w:tcPr>
            <w:tcW w:w="3262" w:type="dxa"/>
            <w:vMerge/>
            <w:tcBorders>
              <w:left w:val="nil" w:sz="6" w:space="0" w:color="auto"/>
              <w:right w:val="single" w:sz="4" w:space="0" w:color="000000"/>
            </w:tcBorders>
          </w:tcPr>
          <w:p>
            <w:pPr/>
          </w:p>
        </w:tc>
        <w:tc>
          <w:tcPr>
            <w:tcW w:w="9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2"/>
              <w:ind w:left="480" w:right="11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54" w:type="dxa"/>
            <w:vMerge w:val="restart"/>
            <w:tcBorders>
              <w:top w:val="single" w:sz="4" w:space="0" w:color="000000"/>
              <w:left w:val="single" w:sz="4" w:space="0" w:color="000000"/>
              <w:right w:val="nil" w:sz="6" w:space="0" w:color="auto"/>
            </w:tcBorders>
          </w:tcPr>
          <w:p>
            <w:pPr>
              <w:pStyle w:val="TableParagraph"/>
              <w:spacing w:line="240" w:lineRule="auto" w:before="92"/>
              <w:ind w:left="393" w:right="122"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78" w:hRule="exact"/>
        </w:trPr>
        <w:tc>
          <w:tcPr>
            <w:tcW w:w="3262"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一般风险准</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nil" w:sz="6" w:space="0" w:color="auto"/>
            </w:tcBorders>
          </w:tcPr>
          <w:p>
            <w:pP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26"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13,100,716.92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9,481,764.59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75,575,655.27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156,488,916</w:t>
            </w:r>
          </w:p>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1058" w:footer="1590" w:top="1780" w:bottom="1780" w:left="900" w:right="840"/>
        </w:sectPr>
      </w:pPr>
    </w:p>
    <w:p>
      <w:pPr>
        <w:pStyle w:val="BodyText"/>
        <w:tabs>
          <w:tab w:pos="3119" w:val="left" w:leader="none"/>
        </w:tabs>
        <w:spacing w:line="240" w:lineRule="auto" w:before="34"/>
        <w:ind w:left="232"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959" w:val="left" w:leader="none"/>
        </w:tabs>
        <w:spacing w:line="240" w:lineRule="auto" w:before="34"/>
        <w:ind w:left="23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539" w:val="left" w:leader="none"/>
        </w:tabs>
        <w:spacing w:line="240" w:lineRule="auto" w:before="34"/>
        <w:ind w:left="23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940" w:bottom="920" w:left="900" w:right="840"/>
          <w:cols w:num="3" w:equalWidth="0">
            <w:col w:w="3120" w:space="1605"/>
            <w:col w:w="3960" w:space="1605"/>
            <w:col w:w="4810"/>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2"/>
        <w:spacing w:line="398" w:lineRule="exact"/>
        <w:ind w:right="64"/>
        <w:jc w:val="center"/>
      </w:pPr>
      <w:r>
        <w:rPr/>
        <w:t>母公司所有者权益变动表</w:t>
      </w:r>
    </w:p>
    <w:p>
      <w:pPr>
        <w:pStyle w:val="Heading3"/>
        <w:spacing w:line="311" w:lineRule="exact"/>
        <w:ind w:left="0" w:right="60"/>
        <w:jc w:val="center"/>
        <w:rPr>
          <w:rFonts w:ascii="宋体" w:hAnsi="宋体" w:cs="宋体" w:eastAsia="宋体" w:hint="default"/>
        </w:rPr>
      </w:pPr>
      <w:r>
        <w:rPr>
          <w:rFonts w:ascii="宋体" w:hAnsi="宋体" w:cs="宋体" w:eastAsia="宋体" w:hint="default"/>
        </w:rPr>
        <w:t>编制年度：</w:t>
      </w:r>
      <w:r>
        <w:rPr>
          <w:rFonts w:ascii="Times New Roman" w:hAnsi="Times New Roman" w:cs="Times New Roman" w:eastAsia="Times New Roman" w:hint="default"/>
        </w:rPr>
        <w:t>2010 </w:t>
      </w:r>
      <w:r>
        <w:rPr>
          <w:rFonts w:ascii="宋体" w:hAnsi="宋体" w:cs="宋体" w:eastAsia="宋体" w:hint="default"/>
        </w:rPr>
        <w:t>年度</w:t>
      </w:r>
    </w:p>
    <w:p>
      <w:pPr>
        <w:pStyle w:val="BodyText"/>
        <w:tabs>
          <w:tab w:pos="12381" w:val="left" w:leader="none"/>
        </w:tabs>
        <w:spacing w:line="240" w:lineRule="auto" w:before="204"/>
        <w:ind w:left="0" w:right="61"/>
        <w:jc w:val="center"/>
      </w:pPr>
      <w:r>
        <w:rPr>
          <w:w w:val="95"/>
        </w:rPr>
        <w:t>编制单位：马鞍山鼎泰稀土新材料股份有限公司</w:t>
        <w:tab/>
      </w:r>
      <w:r>
        <w:rPr/>
        <w:t>单位：元</w:t>
      </w:r>
      <w:r>
        <w:rPr>
          <w:spacing w:val="-20"/>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62"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09"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9,481,764.59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73,376,192.19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154,289,453.70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9,481,764.59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73,376,192.19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154,289,453.70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6840" w:h="11910" w:orient="landscape"/>
          <w:pgMar w:top="940" w:bottom="920" w:left="900" w:right="840"/>
        </w:sectPr>
      </w:pPr>
    </w:p>
    <w:tbl>
      <w:tblPr>
        <w:tblW w:w="0" w:type="auto"/>
        <w:jc w:val="left"/>
        <w:tblInd w:w="119"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59"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3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11"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54" w:lineRule="auto"/>
              <w:ind w:left="633" w:right="18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-29,109,376.51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559,672,783.07</w:t>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23,867,367.21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23,867,367.21</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23,867,367.21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23,867,367.21</w:t>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566,895,422.86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586,395,422.86</w:t>
            </w:r>
          </w:p>
        </w:tc>
      </w:tr>
      <w:tr>
        <w:trPr>
          <w:trHeight w:val="50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566,895,422.86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586,395,422.86</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0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-52,976,743.72</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-50,590,007.00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-2,386,736.72</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-50,590,007.00</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-50,590,007.00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56" w:right="0"/>
              <w:jc w:val="left"/>
              <w:rPr>
                <w:rFonts w:ascii="Times New Roman" w:hAnsi="Times New Roman" w:cs="Times New Roman" w:eastAsia="Times New Roman" w:hint="default"/>
                <w:sz w:val="18"/>
                <w:szCs w:val="18"/>
              </w:rPr>
            </w:pPr>
            <w:r>
              <w:rPr>
                <w:rFonts w:ascii="Times New Roman"/>
                <w:sz w:val="18"/>
              </w:rPr>
              <w:t>579,996,139.7</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11,868,501.31</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1058" w:footer="1590" w:top="1800" w:bottom="1780" w:left="900" w:right="840"/>
        </w:sectPr>
      </w:pPr>
    </w:p>
    <w:tbl>
      <w:tblPr>
        <w:tblW w:w="0" w:type="auto"/>
        <w:jc w:val="left"/>
        <w:tblInd w:w="119"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59"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bookmarkStart w:name="母公司所有者权益变动表" w:id="21"/>
            <w:bookmarkEnd w:id="21"/>
            <w:r>
              <w:rPr/>
            </w:r>
            <w:r>
              <w:rPr>
                <w:rFonts w:ascii="宋体" w:hAnsi="宋体" w:cs="宋体" w:eastAsia="宋体" w:hint="default"/>
                <w:sz w:val="18"/>
                <w:szCs w:val="18"/>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3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11"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54" w:lineRule="auto"/>
              <w:ind w:left="633" w:right="18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04" w:right="0"/>
              <w:jc w:val="left"/>
              <w:rPr>
                <w:rFonts w:ascii="Times New Roman" w:hAnsi="Times New Roman" w:cs="Times New Roman" w:eastAsia="Times New Roman" w:hint="default"/>
                <w:sz w:val="18"/>
                <w:szCs w:val="18"/>
              </w:rPr>
            </w:pPr>
            <w:r>
              <w:rPr>
                <w:rFonts w:ascii="Times New Roman"/>
                <w:sz w:val="18"/>
              </w:rPr>
              <w:t>77,830,780.00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8"/>
              <w:jc w:val="right"/>
              <w:rPr>
                <w:rFonts w:ascii="Times New Roman" w:hAnsi="Times New Roman" w:cs="Times New Roman" w:eastAsia="Times New Roman" w:hint="default"/>
                <w:sz w:val="18"/>
                <w:szCs w:val="18"/>
              </w:rPr>
            </w:pPr>
            <w:r>
              <w:rPr>
                <w:rFonts w:ascii="Times New Roman"/>
                <w:sz w:val="18"/>
              </w:rPr>
              <w:t>8</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04" w:right="0"/>
              <w:jc w:val="left"/>
              <w:rPr>
                <w:rFonts w:ascii="Times New Roman" w:hAnsi="Times New Roman" w:cs="Times New Roman" w:eastAsia="Times New Roman" w:hint="default"/>
                <w:sz w:val="18"/>
                <w:szCs w:val="18"/>
              </w:rPr>
            </w:pPr>
            <w:r>
              <w:rPr>
                <w:rFonts w:ascii="Times New Roman"/>
                <w:sz w:val="18"/>
              </w:rPr>
              <w:t>44,266,815.68</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216" w:right="0"/>
              <w:jc w:val="left"/>
              <w:rPr>
                <w:rFonts w:ascii="Times New Roman" w:hAnsi="Times New Roman" w:cs="Times New Roman" w:eastAsia="Times New Roman" w:hint="default"/>
                <w:sz w:val="18"/>
                <w:szCs w:val="18"/>
              </w:rPr>
            </w:pPr>
            <w:r>
              <w:rPr>
                <w:rFonts w:ascii="Times New Roman"/>
                <w:sz w:val="18"/>
              </w:rPr>
              <w:t>713,962,236.77</w:t>
            </w:r>
          </w:p>
        </w:tc>
      </w:tr>
    </w:tbl>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1058" w:footer="1590" w:top="1780" w:bottom="1780" w:left="900" w:right="840"/>
        </w:sectPr>
      </w:pPr>
    </w:p>
    <w:p>
      <w:pPr>
        <w:pStyle w:val="BodyText"/>
        <w:tabs>
          <w:tab w:pos="2908" w:val="left" w:leader="none"/>
        </w:tabs>
        <w:spacing w:line="240" w:lineRule="auto" w:before="34"/>
        <w:ind w:left="232"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748" w:val="left" w:leader="none"/>
        </w:tabs>
        <w:spacing w:line="240" w:lineRule="auto" w:before="34"/>
        <w:ind w:left="23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117" w:val="left" w:leader="none"/>
        </w:tabs>
        <w:spacing w:line="240" w:lineRule="auto" w:before="34"/>
        <w:ind w:left="23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940" w:bottom="920" w:left="900" w:right="840"/>
          <w:cols w:num="3" w:equalWidth="0">
            <w:col w:w="2909" w:space="1816"/>
            <w:col w:w="3749" w:space="2028"/>
            <w:col w:w="4598"/>
          </w:cols>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pStyle w:val="Heading2"/>
        <w:spacing w:line="399" w:lineRule="exact"/>
        <w:ind w:right="64"/>
        <w:jc w:val="center"/>
      </w:pPr>
      <w:r>
        <w:rPr/>
        <w:t>母公司所有者权益变动表</w:t>
      </w:r>
    </w:p>
    <w:p>
      <w:pPr>
        <w:pStyle w:val="Heading3"/>
        <w:spacing w:line="312" w:lineRule="exact"/>
        <w:ind w:left="0" w:right="60"/>
        <w:jc w:val="center"/>
        <w:rPr>
          <w:rFonts w:ascii="宋体" w:hAnsi="宋体" w:cs="宋体" w:eastAsia="宋体" w:hint="default"/>
        </w:rPr>
      </w:pPr>
      <w:r>
        <w:rPr>
          <w:rFonts w:ascii="宋体" w:hAnsi="宋体" w:cs="宋体" w:eastAsia="宋体" w:hint="default"/>
        </w:rPr>
        <w:t>编制年度：</w:t>
      </w:r>
      <w:r>
        <w:rPr>
          <w:rFonts w:ascii="Times New Roman" w:hAnsi="Times New Roman" w:cs="Times New Roman" w:eastAsia="Times New Roman" w:hint="default"/>
        </w:rPr>
        <w:t>2010 </w:t>
      </w:r>
      <w:r>
        <w:rPr>
          <w:rFonts w:ascii="宋体" w:hAnsi="宋体" w:cs="宋体" w:eastAsia="宋体" w:hint="default"/>
        </w:rPr>
        <w:t>年度</w:t>
      </w:r>
    </w:p>
    <w:p>
      <w:pPr>
        <w:pStyle w:val="BodyText"/>
        <w:tabs>
          <w:tab w:pos="12381" w:val="left" w:leader="none"/>
        </w:tabs>
        <w:spacing w:line="240" w:lineRule="auto" w:before="202"/>
        <w:ind w:left="0" w:right="61"/>
        <w:jc w:val="center"/>
      </w:pPr>
      <w:r>
        <w:rPr>
          <w:w w:val="95"/>
        </w:rPr>
        <w:t>编制单位：马鞍山鼎泰稀土新材料股份有限公司</w:t>
        <w:tab/>
      </w:r>
      <w:r>
        <w:rPr/>
        <w:t>单位：元</w:t>
      </w:r>
      <w:r>
        <w:rPr>
          <w:spacing w:val="-20"/>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59"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3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09"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5,413,419.18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48,427,239.53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125,272,155.63</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5,413,419.18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48,427,239.53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125,272,155.63</w:t>
            </w:r>
          </w:p>
        </w:tc>
      </w:tr>
      <w:tr>
        <w:trPr>
          <w:trHeight w:val="51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08" w:right="98"/>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w:t>
            </w:r>
            <w:r>
              <w:rPr>
                <w:rFonts w:ascii="宋体" w:hAnsi="宋体" w:cs="宋体" w:eastAsia="宋体" w:hint="default"/>
                <w:spacing w:val="-81"/>
                <w:sz w:val="18"/>
                <w:szCs w:val="18"/>
              </w:rPr>
              <w:t> </w:t>
            </w:r>
            <w:r>
              <w:rPr>
                <w:rFonts w:ascii="宋体" w:hAnsi="宋体" w:cs="宋体" w:eastAsia="宋体" w:hint="default"/>
                <w:sz w:val="18"/>
                <w:szCs w:val="18"/>
              </w:rPr>
              <w:t>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24,948,952.66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29,017,298.07</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40,683,454.07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40,683,454.07</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40,683,454.07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40,683,454.07</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-15,734,501.41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-11,666,156.00</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-4,068,345.41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940" w:bottom="920" w:left="900" w:right="840"/>
        </w:sectPr>
      </w:pPr>
    </w:p>
    <w:tbl>
      <w:tblPr>
        <w:tblW w:w="0" w:type="auto"/>
        <w:jc w:val="left"/>
        <w:tblInd w:w="119"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59"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36"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11"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54" w:lineRule="auto"/>
              <w:ind w:left="633" w:right="18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-11,666,156.00</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-11,666,156.00</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9,481,764.59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73,376,192.19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8"/>
                <w:szCs w:val="18"/>
              </w:rPr>
            </w:pPr>
            <w:r>
              <w:rPr>
                <w:rFonts w:ascii="Times New Roman"/>
                <w:spacing w:val="-1"/>
                <w:sz w:val="18"/>
              </w:rPr>
              <w:t>154,289,453.70</w:t>
            </w:r>
          </w:p>
        </w:tc>
      </w:tr>
    </w:tbl>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1058" w:footer="1590" w:top="1780" w:bottom="1780" w:left="900" w:right="840"/>
        </w:sectPr>
      </w:pPr>
    </w:p>
    <w:p>
      <w:pPr>
        <w:pStyle w:val="BodyText"/>
        <w:tabs>
          <w:tab w:pos="2908" w:val="left" w:leader="none"/>
        </w:tabs>
        <w:spacing w:line="240" w:lineRule="auto" w:before="34"/>
        <w:ind w:left="232"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748" w:val="left" w:leader="none"/>
        </w:tabs>
        <w:spacing w:line="240" w:lineRule="auto" w:before="34"/>
        <w:ind w:left="23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117" w:val="left" w:leader="none"/>
        </w:tabs>
        <w:spacing w:line="240" w:lineRule="auto" w:before="34"/>
        <w:ind w:left="23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940" w:bottom="920" w:left="900" w:right="840"/>
          <w:cols w:num="3" w:equalWidth="0">
            <w:col w:w="2909" w:space="1816"/>
            <w:col w:w="3749" w:space="2028"/>
            <w:col w:w="4598"/>
          </w:cols>
        </w:sectPr>
      </w:pPr>
    </w:p>
    <w:p>
      <w:pPr>
        <w:pStyle w:val="Heading2"/>
        <w:spacing w:line="297" w:lineRule="auto" w:before="71"/>
        <w:ind w:left="2476" w:right="2486"/>
        <w:jc w:val="center"/>
      </w:pPr>
      <w:r>
        <w:rPr>
          <w:w w:val="95"/>
        </w:rPr>
        <w:t>马鞍山鼎泰稀土新材料股份有限公司</w:t>
      </w:r>
      <w:r>
        <w:rPr>
          <w:spacing w:val="87"/>
          <w:w w:val="95"/>
        </w:rPr>
        <w:t> </w:t>
      </w:r>
      <w:r>
        <w:rPr/>
        <w:t>财务报表附注</w:t>
      </w:r>
    </w:p>
    <w:p>
      <w:pPr>
        <w:pStyle w:val="BodyText"/>
        <w:spacing w:line="240" w:lineRule="auto" w:before="144"/>
        <w:ind w:left="2476" w:right="2476"/>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11"/>
        <w:rPr>
          <w:rFonts w:ascii="宋体" w:hAnsi="宋体" w:cs="宋体" w:eastAsia="宋体" w:hint="default"/>
          <w:sz w:val="11"/>
          <w:szCs w:val="11"/>
        </w:rPr>
      </w:pPr>
    </w:p>
    <w:p>
      <w:pPr>
        <w:pStyle w:val="BodyText"/>
        <w:spacing w:line="240" w:lineRule="auto" w:before="34"/>
        <w:ind w:left="119" w:right="0"/>
        <w:jc w:val="both"/>
        <w:rPr>
          <w:rFonts w:ascii="宋体" w:hAnsi="宋体" w:cs="宋体" w:eastAsia="宋体" w:hint="default"/>
        </w:rPr>
      </w:pPr>
      <w:r>
        <w:rPr>
          <w:rFonts w:ascii="宋体" w:hAnsi="宋体" w:cs="宋体" w:eastAsia="宋体" w:hint="default"/>
        </w:rPr>
        <w:t>一、公司基本情况</w:t>
      </w:r>
    </w:p>
    <w:p>
      <w:pPr>
        <w:spacing w:line="240" w:lineRule="auto" w:before="9"/>
        <w:rPr>
          <w:rFonts w:ascii="宋体" w:hAnsi="宋体" w:cs="宋体" w:eastAsia="宋体" w:hint="default"/>
          <w:sz w:val="15"/>
          <w:szCs w:val="15"/>
        </w:rPr>
      </w:pPr>
    </w:p>
    <w:p>
      <w:pPr>
        <w:pStyle w:val="BodyText"/>
        <w:spacing w:line="240" w:lineRule="auto"/>
        <w:ind w:left="310" w:right="8349"/>
        <w:jc w:val="center"/>
        <w:rPr>
          <w:rFonts w:ascii="宋体" w:hAnsi="宋体" w:cs="宋体" w:eastAsia="宋体" w:hint="default"/>
        </w:rPr>
      </w:pPr>
      <w:r>
        <w:rPr>
          <w:rFonts w:ascii="Arial" w:hAnsi="Arial" w:cs="Arial" w:eastAsia="Arial" w:hint="default"/>
          <w:b/>
          <w:bCs/>
        </w:rPr>
        <w:t>1</w:t>
      </w:r>
      <w:r>
        <w:rPr>
          <w:rFonts w:ascii="宋体" w:hAnsi="宋体" w:cs="宋体" w:eastAsia="宋体" w:hint="default"/>
        </w:rPr>
        <w:t>、公司概况</w:t>
      </w:r>
    </w:p>
    <w:p>
      <w:pPr>
        <w:spacing w:line="240" w:lineRule="auto" w:before="6"/>
        <w:rPr>
          <w:rFonts w:ascii="宋体" w:hAnsi="宋体" w:cs="宋体" w:eastAsia="宋体" w:hint="default"/>
          <w:sz w:val="17"/>
          <w:szCs w:val="17"/>
        </w:rPr>
      </w:pPr>
    </w:p>
    <w:p>
      <w:pPr>
        <w:pStyle w:val="BodyText"/>
        <w:spacing w:line="429" w:lineRule="auto"/>
        <w:ind w:left="112" w:right="0" w:firstLine="422"/>
        <w:jc w:val="left"/>
        <w:rPr>
          <w:rFonts w:ascii="Times New Roman" w:hAnsi="Times New Roman" w:cs="Times New Roman" w:eastAsia="Times New Roman" w:hint="default"/>
        </w:rPr>
      </w:pPr>
      <w:r>
        <w:rPr/>
        <w:t>马鞍山鼎泰稀土新材料股份有限公司（以下简称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）由马鞍山市鼎泰科技有限责任公</w:t>
      </w:r>
      <w:r>
        <w:rPr>
          <w:w w:val="99"/>
        </w:rPr>
        <w:t> </w:t>
      </w:r>
      <w:r>
        <w:rPr/>
        <w:t>司（以下简称</w:t>
      </w:r>
      <w:r>
        <w:rPr>
          <w:rFonts w:ascii="Times New Roman" w:hAnsi="Times New Roman" w:cs="Times New Roman" w:eastAsia="Times New Roman" w:hint="default"/>
        </w:rPr>
        <w:t>“</w:t>
      </w:r>
      <w:r>
        <w:rPr/>
        <w:t>鼎泰科技公司</w:t>
      </w:r>
      <w:r>
        <w:rPr>
          <w:rFonts w:ascii="Times New Roman" w:hAnsi="Times New Roman" w:cs="Times New Roman" w:eastAsia="Times New Roman" w:hint="default"/>
        </w:rPr>
        <w:t>”</w:t>
      </w:r>
      <w:r>
        <w:rPr/>
        <w:t>）整体变更设立。</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日鼎泰科技公司股东会决议和</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p>
    <w:p>
      <w:pPr>
        <w:pStyle w:val="BodyText"/>
        <w:spacing w:line="429" w:lineRule="auto" w:before="46"/>
        <w:ind w:left="112" w:right="105"/>
        <w:jc w:val="both"/>
      </w:pPr>
      <w:r>
        <w:rPr/>
        <w:pict>
          <v:shape style="position:absolute;margin-left:56.52pt;margin-top:121.60363pt;width:482.3pt;height:262.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4"/>
                    <w:gridCol w:w="3214"/>
                    <w:gridCol w:w="3211"/>
                  </w:tblGrid>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83"/>
                          <w:jc w:val="right"/>
                          <w:rPr>
                            <w:rFonts w:ascii="宋体" w:hAnsi="宋体" w:cs="宋体" w:eastAsia="宋体" w:hint="default"/>
                            <w:sz w:val="21"/>
                            <w:szCs w:val="21"/>
                          </w:rPr>
                        </w:pPr>
                        <w:r>
                          <w:rPr>
                            <w:rFonts w:ascii="宋体" w:hAnsi="宋体" w:cs="宋体" w:eastAsia="宋体" w:hint="default"/>
                            <w:w w:val="95"/>
                            <w:sz w:val="21"/>
                            <w:szCs w:val="21"/>
                          </w:rPr>
                          <w:t>持股比例</w:t>
                        </w:r>
                        <w:r>
                          <w:rPr>
                            <w:rFonts w:ascii="宋体" w:hAnsi="宋体" w:cs="宋体" w:eastAsia="宋体" w:hint="default"/>
                            <w:sz w:val="21"/>
                            <w:szCs w:val="21"/>
                          </w:rPr>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33,365,000.00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85"/>
                          <w:jc w:val="right"/>
                          <w:rPr>
                            <w:rFonts w:ascii="Times New Roman" w:hAnsi="Times New Roman" w:cs="Times New Roman" w:eastAsia="Times New Roman" w:hint="default"/>
                            <w:sz w:val="21"/>
                            <w:szCs w:val="21"/>
                          </w:rPr>
                        </w:pPr>
                        <w:r>
                          <w:rPr>
                            <w:rFonts w:ascii="Times New Roman"/>
                            <w:w w:val="95"/>
                            <w:sz w:val="21"/>
                          </w:rPr>
                          <w:t>66.73%</w:t>
                        </w:r>
                        <w:r>
                          <w:rPr>
                            <w:rFonts w:ascii="Times New Roman"/>
                            <w:sz w:val="21"/>
                          </w:rPr>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7,000,000.00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85"/>
                          <w:jc w:val="right"/>
                          <w:rPr>
                            <w:rFonts w:ascii="Times New Roman" w:hAnsi="Times New Roman" w:cs="Times New Roman" w:eastAsia="Times New Roman" w:hint="default"/>
                            <w:sz w:val="21"/>
                            <w:szCs w:val="21"/>
                          </w:rPr>
                        </w:pPr>
                        <w:r>
                          <w:rPr>
                            <w:rFonts w:ascii="Times New Roman"/>
                            <w:w w:val="95"/>
                            <w:sz w:val="21"/>
                          </w:rPr>
                          <w:t>14.00%</w:t>
                        </w:r>
                        <w:r>
                          <w:rPr>
                            <w:rFonts w:ascii="Times New Roman"/>
                            <w:sz w:val="21"/>
                          </w:rPr>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3,205,000.00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6.41%</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2,725,000.00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5.45%</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1,602,500.00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30"/>
                          <w:jc w:val="right"/>
                          <w:rPr>
                            <w:rFonts w:ascii="Times New Roman" w:hAnsi="Times New Roman" w:cs="Times New Roman" w:eastAsia="Times New Roman" w:hint="default"/>
                            <w:sz w:val="21"/>
                            <w:szCs w:val="21"/>
                          </w:rPr>
                        </w:pPr>
                        <w:r>
                          <w:rPr>
                            <w:rFonts w:ascii="Times New Roman"/>
                            <w:w w:val="95"/>
                            <w:sz w:val="21"/>
                          </w:rPr>
                          <w:t>3.2050%</w:t>
                        </w:r>
                        <w:r>
                          <w:rPr>
                            <w:rFonts w:ascii="Times New Roman"/>
                            <w:sz w:val="21"/>
                          </w:rPr>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801,250.00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30"/>
                          <w:jc w:val="right"/>
                          <w:rPr>
                            <w:rFonts w:ascii="Times New Roman" w:hAnsi="Times New Roman" w:cs="Times New Roman" w:eastAsia="Times New Roman" w:hint="default"/>
                            <w:sz w:val="21"/>
                            <w:szCs w:val="21"/>
                          </w:rPr>
                        </w:pPr>
                        <w:r>
                          <w:rPr>
                            <w:rFonts w:ascii="Times New Roman"/>
                            <w:w w:val="95"/>
                            <w:sz w:val="21"/>
                          </w:rPr>
                          <w:t>1.6025%</w:t>
                        </w:r>
                        <w:r>
                          <w:rPr>
                            <w:rFonts w:ascii="Times New Roman"/>
                            <w:sz w:val="21"/>
                          </w:rPr>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801,250.00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30"/>
                          <w:jc w:val="right"/>
                          <w:rPr>
                            <w:rFonts w:ascii="Times New Roman" w:hAnsi="Times New Roman" w:cs="Times New Roman" w:eastAsia="Times New Roman" w:hint="default"/>
                            <w:sz w:val="21"/>
                            <w:szCs w:val="21"/>
                          </w:rPr>
                        </w:pPr>
                        <w:r>
                          <w:rPr>
                            <w:rFonts w:ascii="Times New Roman"/>
                            <w:w w:val="95"/>
                            <w:sz w:val="21"/>
                          </w:rPr>
                          <w:t>1.6025%</w:t>
                        </w:r>
                        <w:r>
                          <w:rPr>
                            <w:rFonts w:ascii="Times New Roman"/>
                            <w:sz w:val="21"/>
                          </w:rPr>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1.00%</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50,000,000.00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3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p>
              </w:txbxContent>
            </v:textbox>
            <w10:wrap type="none"/>
          </v:shape>
        </w:pic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日股份公司创立大会决议，同意以公司原有股东为发起人，以截止</w:t>
      </w:r>
      <w:r>
        <w:rPr>
          <w:spacing w:val="-2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日经审计的净资</w:t>
      </w:r>
      <w:r>
        <w:rPr>
          <w:w w:val="99"/>
        </w:rPr>
        <w:t> </w:t>
      </w:r>
      <w:r>
        <w:rPr/>
        <w:t>产人民币</w:t>
      </w:r>
      <w:r>
        <w:rPr>
          <w:spacing w:val="-59"/>
        </w:rPr>
        <w:t> </w:t>
      </w:r>
      <w:r>
        <w:rPr>
          <w:rFonts w:ascii="Times New Roman" w:hAnsi="Times New Roman" w:cs="Times New Roman" w:eastAsia="Times New Roman" w:hint="default"/>
        </w:rPr>
        <w:t>50,187,996.92</w:t>
      </w:r>
      <w:r>
        <w:rPr>
          <w:rFonts w:ascii="Times New Roman" w:hAnsi="Times New Roman" w:cs="Times New Roman" w:eastAsia="Times New Roman" w:hint="default"/>
          <w:spacing w:val="-7"/>
        </w:rPr>
        <w:t> </w:t>
      </w:r>
      <w:r>
        <w:rPr/>
        <w:t>元按</w:t>
      </w:r>
      <w:r>
        <w:rPr>
          <w:spacing w:val="-6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0.9963</w:t>
      </w:r>
      <w:r>
        <w:rPr>
          <w:rFonts w:ascii="Times New Roman" w:hAnsi="Times New Roman" w:cs="Times New Roman" w:eastAsia="Times New Roman" w:hint="default"/>
          <w:spacing w:val="-9"/>
        </w:rPr>
        <w:t> </w:t>
      </w:r>
      <w:r>
        <w:rPr/>
        <w:t>折成公司股份，公司整体变更为股份公司，变更后的公司股本为人</w:t>
      </w:r>
      <w:r>
        <w:rPr>
          <w:w w:val="99"/>
        </w:rPr>
        <w:t> </w:t>
      </w:r>
      <w:r>
        <w:rPr/>
        <w:t>民币</w:t>
      </w:r>
      <w:r>
        <w:rPr>
          <w:spacing w:val="-5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万元，未折成股份的人民币</w:t>
      </w:r>
      <w:r>
        <w:rPr>
          <w:spacing w:val="-54"/>
        </w:rPr>
        <w:t> </w:t>
      </w:r>
      <w:r>
        <w:rPr>
          <w:rFonts w:ascii="Times New Roman" w:hAnsi="Times New Roman" w:cs="Times New Roman" w:eastAsia="Times New Roman" w:hint="default"/>
        </w:rPr>
        <w:t>187,996.92</w:t>
      </w:r>
      <w:r>
        <w:rPr>
          <w:rFonts w:ascii="Times New Roman" w:hAnsi="Times New Roman" w:cs="Times New Roman" w:eastAsia="Times New Roman" w:hint="default"/>
          <w:spacing w:val="-3"/>
        </w:rPr>
        <w:t> </w:t>
      </w:r>
      <w:r>
        <w:rPr/>
        <w:t>元列为资本公积金。</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日，安徽省马鞍山</w:t>
      </w:r>
      <w:r>
        <w:rPr>
          <w:w w:val="99"/>
        </w:rPr>
        <w:t> </w:t>
      </w:r>
      <w:r>
        <w:rPr/>
        <w:t>市工商行政管理局核准了股份公司设立登记，工商注册号：</w:t>
      </w:r>
      <w:r>
        <w:rPr>
          <w:spacing w:val="-69"/>
        </w:rPr>
        <w:t> </w:t>
      </w:r>
      <w:r>
        <w:rPr>
          <w:rFonts w:ascii="Times New Roman" w:hAnsi="Times New Roman" w:cs="Times New Roman" w:eastAsia="Times New Roman" w:hint="default"/>
        </w:rPr>
        <w:t>340521000002878</w:t>
      </w:r>
      <w:r>
        <w:rPr/>
        <w:t>。股份公司成立时的股东及</w:t>
      </w:r>
      <w:r>
        <w:rPr>
          <w:spacing w:val="-91"/>
        </w:rPr>
        <w:t> </w:t>
      </w:r>
      <w:r>
        <w:rPr>
          <w:spacing w:val="-91"/>
        </w:rPr>
      </w:r>
      <w:r>
        <w:rPr/>
        <w:t>其出资情况如下：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4"/>
        <w:ind w:left="535"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spacing w:val="-7"/>
        </w:rPr>
        <w:t>日，本公司</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年第一次临时股东大会决议，同意原股东和新增股东共</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人以现金</w:t>
      </w:r>
    </w:p>
    <w:p>
      <w:pPr>
        <w:spacing w:line="240" w:lineRule="auto" w:before="8"/>
        <w:rPr>
          <w:rFonts w:ascii="宋体" w:hAnsi="宋体" w:cs="宋体" w:eastAsia="宋体" w:hint="default"/>
          <w:sz w:val="17"/>
          <w:szCs w:val="17"/>
        </w:rPr>
      </w:pPr>
    </w:p>
    <w:p>
      <w:pPr>
        <w:pStyle w:val="BodyText"/>
        <w:spacing w:line="240" w:lineRule="auto"/>
        <w:ind w:left="112" w:right="0"/>
        <w:jc w:val="left"/>
      </w:pPr>
      <w:r>
        <w:rPr/>
        <w:t>增资，增资后的股本为人民币</w:t>
      </w:r>
      <w:r>
        <w:rPr>
          <w:spacing w:val="-31"/>
        </w:rPr>
        <w:t> </w:t>
      </w:r>
      <w:r>
        <w:rPr>
          <w:rFonts w:ascii="Times New Roman" w:hAnsi="Times New Roman" w:cs="Times New Roman" w:eastAsia="Times New Roman" w:hint="default"/>
        </w:rPr>
        <w:t>58,330,780.00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日，安徽省马鞍山市工商行政管理局核</w:t>
      </w:r>
    </w:p>
    <w:p>
      <w:pPr>
        <w:spacing w:after="0" w:line="240" w:lineRule="auto"/>
        <w:jc w:val="left"/>
        <w:sectPr>
          <w:headerReference w:type="default" r:id="rId19"/>
          <w:footerReference w:type="default" r:id="rId20"/>
          <w:pgSz w:w="11910" w:h="16840"/>
          <w:pgMar w:header="1058" w:footer="1590" w:top="1780" w:bottom="1780" w:left="1020" w:right="1020"/>
          <w:pgNumType w:start="69"/>
        </w:sectPr>
      </w:pPr>
    </w:p>
    <w:p>
      <w:pPr>
        <w:spacing w:line="240" w:lineRule="auto" w:before="0"/>
        <w:rPr>
          <w:rFonts w:ascii="宋体" w:hAnsi="宋体" w:cs="宋体" w:eastAsia="宋体" w:hint="default"/>
          <w:sz w:val="15"/>
          <w:szCs w:val="15"/>
        </w:rPr>
      </w:pPr>
    </w:p>
    <w:p>
      <w:pPr>
        <w:pStyle w:val="BodyText"/>
        <w:spacing w:line="240" w:lineRule="auto" w:before="34"/>
        <w:ind w:left="112" w:right="0"/>
        <w:jc w:val="left"/>
      </w:pPr>
      <w:r>
        <w:rPr/>
        <w:t>准了上述增资工商变更登记。变更后，公司的股东及出资情况如下：</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14"/>
        <w:gridCol w:w="3214"/>
        <w:gridCol w:w="3211"/>
      </w:tblGrid>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83"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spacing w:val="-1"/>
                <w:sz w:val="21"/>
              </w:rPr>
              <w:t>35,908,113.00</w:t>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61.5595%</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7,428,235.00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12.7347%</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3,401,070.00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5.8307%</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2,891,705.00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4.9574%</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1,700,535.00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2.9153%</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1.4576%</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1.4576%</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530,588.00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0.9096%</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喻琴</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4,320,000.00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7.4060%</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13"/>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13"/>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436" w:lineRule="auto" w:before="34"/>
        <w:ind w:left="112" w:right="105" w:firstLine="631"/>
        <w:jc w:val="both"/>
        <w:rPr>
          <w:rFonts w:ascii="Times New Roman" w:hAnsi="Times New Roman" w:cs="Times New Roman" w:eastAsia="Times New Roman" w:hint="default"/>
        </w:rPr>
      </w:pPr>
      <w:r>
        <w:rPr>
          <w:w w:val="95"/>
        </w:rPr>
        <w:t>经中国证券监督管理委员会《关于核准马鞍山鼎泰稀土新材料股份有限公司首次公开发行股票的批</w:t>
      </w:r>
      <w:r>
        <w:rPr>
          <w:w w:val="99"/>
        </w:rPr>
        <w:t> </w:t>
      </w:r>
      <w:r>
        <w:rPr>
          <w:spacing w:val="-6"/>
          <w:w w:val="99"/>
        </w:rPr>
        <w:t>复》（证监许可</w:t>
      </w:r>
      <w:r>
        <w:rPr>
          <w:rFonts w:ascii="Times New Roman" w:hAnsi="Times New Roman" w:cs="Times New Roman" w:eastAsia="Times New Roman" w:hint="default"/>
          <w:spacing w:val="-6"/>
          <w:w w:val="99"/>
        </w:rPr>
        <w:t>[2010]41</w:t>
      </w:r>
      <w:r>
        <w:rPr>
          <w:rFonts w:ascii="Times New Roman" w:hAnsi="Times New Roman" w:cs="Times New Roman" w:eastAsia="Times New Roman" w:hint="default"/>
          <w:w w:val="99"/>
        </w:rPr>
        <w:t> </w:t>
      </w:r>
      <w:r>
        <w:rPr>
          <w:spacing w:val="1"/>
          <w:w w:val="99"/>
        </w:rPr>
        <w:t>号</w:t>
      </w:r>
      <w:r>
        <w:rPr>
          <w:rFonts w:ascii="Times New Roman" w:hAnsi="Times New Roman" w:cs="Times New Roman" w:eastAsia="Times New Roman" w:hint="default"/>
          <w:spacing w:val="1"/>
          <w:w w:val="99"/>
        </w:rPr>
        <w:t>)</w:t>
      </w:r>
      <w:r>
        <w:rPr>
          <w:spacing w:val="1"/>
          <w:w w:val="99"/>
        </w:rPr>
        <w:t>核准，由主承销国元证券股份有限公司采用网下询价配售与网上资金申购定价</w:t>
      </w:r>
      <w:r>
        <w:rPr>
          <w:w w:val="99"/>
        </w:rPr>
        <w:t> </w:t>
      </w:r>
      <w:r>
        <w:rPr/>
        <w:t>发行相结合的方式发行人民币普通股（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9"/>
        </w:rPr>
        <w:t> </w:t>
      </w:r>
      <w:r>
        <w:rPr/>
        <w:t>股）</w:t>
      </w:r>
      <w:r>
        <w:rPr>
          <w:rFonts w:ascii="Times New Roman" w:hAnsi="Times New Roman" w:cs="Times New Roman" w:eastAsia="Times New Roman" w:hint="default"/>
        </w:rPr>
        <w:t>19,500,000</w:t>
      </w:r>
      <w:r>
        <w:rPr>
          <w:rFonts w:ascii="Times New Roman" w:hAnsi="Times New Roman" w:cs="Times New Roman" w:eastAsia="Times New Roman" w:hint="default"/>
          <w:spacing w:val="-3"/>
        </w:rPr>
        <w:t> </w:t>
      </w:r>
      <w:r>
        <w:rPr/>
        <w:t>股，发行价格为每股人民币</w:t>
      </w:r>
      <w:r>
        <w:rPr>
          <w:spacing w:val="-55"/>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元。截至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5"/>
        </w:rPr>
        <w:t>日，公司实际已向社会公开发行人民币普通股（</w:t>
      </w:r>
      <w:r>
        <w:rPr>
          <w:rFonts w:ascii="Times New Roman" w:hAnsi="Times New Roman" w:cs="Times New Roman" w:eastAsia="Times New Roman" w:hint="default"/>
          <w:spacing w:val="-5"/>
        </w:rPr>
        <w:t>A</w:t>
      </w:r>
      <w:r>
        <w:rPr>
          <w:rFonts w:ascii="Times New Roman" w:hAnsi="Times New Roman" w:cs="Times New Roman" w:eastAsia="Times New Roman" w:hint="default"/>
          <w:spacing w:val="-4"/>
        </w:rPr>
        <w:t> </w:t>
      </w:r>
      <w:r>
        <w:rPr>
          <w:spacing w:val="-5"/>
        </w:rPr>
        <w:t>股）</w:t>
      </w:r>
      <w:r>
        <w:rPr>
          <w:rFonts w:ascii="Times New Roman" w:hAnsi="Times New Roman" w:cs="Times New Roman" w:eastAsia="Times New Roman" w:hint="default"/>
          <w:spacing w:val="-5"/>
        </w:rPr>
        <w:t>19,500,000 </w:t>
      </w:r>
      <w:r>
        <w:rPr>
          <w:spacing w:val="-6"/>
        </w:rPr>
        <w:t>股，发行后总股本为</w:t>
      </w:r>
      <w:r>
        <w:rPr>
          <w:spacing w:val="-54"/>
        </w:rPr>
        <w:t> </w:t>
      </w:r>
      <w:r>
        <w:rPr>
          <w:rFonts w:ascii="Times New Roman" w:hAnsi="Times New Roman" w:cs="Times New Roman" w:eastAsia="Times New Roman" w:hint="default"/>
        </w:rPr>
        <w:t>77,830,780.00</w:t>
      </w:r>
    </w:p>
    <w:p>
      <w:pPr>
        <w:pStyle w:val="BodyText"/>
        <w:spacing w:line="240" w:lineRule="auto" w:before="37"/>
        <w:ind w:left="112" w:right="0"/>
        <w:jc w:val="left"/>
      </w:pPr>
      <w:r>
        <w:rPr/>
        <w:t>元。上述资金到位情况业经深圳市鹏城会计师事务所有限公司验证，并由其出具深鹏所验字 </w:t>
      </w:r>
      <w:r>
        <w:rPr>
          <w:rFonts w:ascii="Times New Roman" w:hAnsi="Times New Roman" w:cs="Times New Roman" w:eastAsia="Times New Roman" w:hint="default"/>
        </w:rPr>
        <w:t>[2010]040</w:t>
      </w:r>
      <w:r>
        <w:rPr>
          <w:rFonts w:ascii="Times New Roman" w:hAnsi="Times New Roman" w:cs="Times New Roman" w:eastAsia="Times New Roman" w:hint="default"/>
          <w:spacing w:val="-22"/>
        </w:rPr>
        <w:t> </w:t>
      </w:r>
      <w:r>
        <w:rPr/>
        <w:t>号</w:t>
      </w:r>
    </w:p>
    <w:p>
      <w:pPr>
        <w:spacing w:line="240" w:lineRule="auto" w:before="8"/>
        <w:rPr>
          <w:rFonts w:ascii="宋体" w:hAnsi="宋体" w:cs="宋体" w:eastAsia="宋体" w:hint="default"/>
          <w:sz w:val="17"/>
          <w:szCs w:val="17"/>
        </w:rPr>
      </w:pPr>
    </w:p>
    <w:p>
      <w:pPr>
        <w:pStyle w:val="BodyText"/>
        <w:spacing w:line="240" w:lineRule="auto"/>
        <w:ind w:left="112" w:right="0"/>
        <w:jc w:val="left"/>
      </w:pPr>
      <w:r>
        <w:rPr>
          <w:spacing w:val="2"/>
          <w:w w:val="99"/>
        </w:rPr>
        <w:t>《</w:t>
      </w:r>
      <w:r>
        <w:rPr>
          <w:w w:val="99"/>
        </w:rPr>
        <w:t>验</w:t>
      </w:r>
      <w:r>
        <w:rPr>
          <w:spacing w:val="2"/>
          <w:w w:val="99"/>
        </w:rPr>
        <w:t>资</w:t>
      </w:r>
      <w:r>
        <w:rPr>
          <w:w w:val="99"/>
        </w:rPr>
        <w:t>报</w:t>
      </w:r>
      <w:r>
        <w:rPr>
          <w:spacing w:val="2"/>
          <w:w w:val="99"/>
        </w:rPr>
        <w:t>告</w:t>
      </w:r>
      <w:r>
        <w:rPr>
          <w:spacing w:val="-104"/>
          <w:w w:val="99"/>
        </w:rPr>
        <w:t>》</w:t>
      </w:r>
      <w:r>
        <w:rPr>
          <w:w w:val="99"/>
        </w:rPr>
        <w:t>。</w:t>
      </w:r>
      <w:r>
        <w:rPr/>
      </w:r>
    </w:p>
    <w:p>
      <w:pPr>
        <w:spacing w:after="0" w:line="240" w:lineRule="auto"/>
        <w:jc w:val="left"/>
        <w:sectPr>
          <w:footerReference w:type="default" r:id="rId21"/>
          <w:pgSz w:w="11910" w:h="16840"/>
          <w:pgMar w:footer="1590" w:header="1058" w:top="1780" w:bottom="1780" w:left="1020" w:right="1020"/>
          <w:pgNumType w:start="70"/>
        </w:sectPr>
      </w:pPr>
    </w:p>
    <w:p>
      <w:pPr>
        <w:pStyle w:val="BodyText"/>
        <w:spacing w:line="258" w:lineRule="exact"/>
        <w:ind w:left="112" w:right="0" w:firstLine="436"/>
        <w:jc w:val="left"/>
      </w:pPr>
      <w:bookmarkStart w:name="2、公司行业性质、经营范围、主要产品及提供的劳务" w:id="22"/>
      <w:bookmarkEnd w:id="22"/>
      <w:r>
        <w:rPr/>
      </w:r>
      <w:r>
        <w:rPr>
          <w:spacing w:val="2"/>
          <w:w w:val="99"/>
        </w:rPr>
        <w:t>经深圳证券交易所《关于马鞍山鼎泰稀土新材料股份有限公司人民币普通股股票上市的通</w:t>
      </w:r>
      <w:r>
        <w:rPr>
          <w:spacing w:val="16"/>
          <w:w w:val="99"/>
        </w:rPr>
        <w:t>知</w:t>
      </w:r>
      <w:r>
        <w:rPr>
          <w:spacing w:val="-104"/>
          <w:w w:val="99"/>
        </w:rPr>
        <w:t>》</w:t>
      </w:r>
      <w:r>
        <w:rPr>
          <w:spacing w:val="2"/>
          <w:w w:val="99"/>
        </w:rPr>
        <w:t>（深</w:t>
      </w:r>
      <w:r>
        <w:rPr>
          <w:w w:val="99"/>
        </w:rPr>
        <w:t>证</w:t>
      </w:r>
      <w:r>
        <w:rPr/>
      </w:r>
    </w:p>
    <w:p>
      <w:pPr>
        <w:spacing w:line="240" w:lineRule="auto" w:before="6"/>
        <w:rPr>
          <w:rFonts w:ascii="宋体" w:hAnsi="宋体" w:cs="宋体" w:eastAsia="宋体" w:hint="default"/>
          <w:sz w:val="20"/>
          <w:szCs w:val="20"/>
        </w:rPr>
      </w:pPr>
    </w:p>
    <w:p>
      <w:pPr>
        <w:pStyle w:val="BodyText"/>
        <w:spacing w:line="451" w:lineRule="auto"/>
        <w:ind w:left="112" w:right="108"/>
        <w:jc w:val="left"/>
      </w:pPr>
      <w:r>
        <w:rPr/>
        <w:t>上</w:t>
      </w:r>
      <w:r>
        <w:rPr>
          <w:rFonts w:ascii="Times New Roman" w:hAnsi="Times New Roman" w:cs="Times New Roman" w:eastAsia="Times New Roman" w:hint="default"/>
        </w:rPr>
        <w:t>[2010]44</w:t>
      </w:r>
      <w:r>
        <w:rPr>
          <w:rFonts w:ascii="Times New Roman" w:hAnsi="Times New Roman" w:cs="Times New Roman" w:eastAsia="Times New Roman" w:hint="default"/>
          <w:spacing w:val="7"/>
        </w:rPr>
        <w:t> </w:t>
      </w:r>
      <w:r>
        <w:rPr/>
        <w:t>号文）同意，本公司发行的人民币普通股股票在深圳证券交易所上市，股票简称</w:t>
      </w:r>
      <w:r>
        <w:rPr>
          <w:rFonts w:ascii="Times New Roman" w:hAnsi="Times New Roman" w:cs="Times New Roman" w:eastAsia="Times New Roman" w:hint="default"/>
        </w:rPr>
        <w:t>“</w:t>
      </w:r>
      <w:r>
        <w:rPr/>
        <w:t>鼎泰新材</w:t>
      </w:r>
      <w:r>
        <w:rPr>
          <w:rFonts w:ascii="Times New Roman" w:hAnsi="Times New Roman" w:cs="Times New Roman" w:eastAsia="Times New Roman" w:hint="default"/>
        </w:rPr>
        <w:t>”</w:t>
      </w:r>
      <w:r>
        <w:rPr/>
        <w:t>，</w:t>
      </w:r>
      <w:r>
        <w:rPr>
          <w:spacing w:val="-102"/>
        </w:rPr>
        <w:t> </w:t>
      </w:r>
      <w:r>
        <w:rPr/>
        <w:t>股票代码</w:t>
      </w:r>
      <w:r>
        <w:rPr>
          <w:rFonts w:ascii="Times New Roman" w:hAnsi="Times New Roman" w:cs="Times New Roman" w:eastAsia="Times New Roman" w:hint="default"/>
        </w:rPr>
        <w:t>“002352”</w:t>
      </w:r>
      <w:r>
        <w:rPr/>
        <w:t>。</w:t>
      </w:r>
    </w:p>
    <w:p>
      <w:pPr>
        <w:spacing w:line="240" w:lineRule="auto" w:before="9"/>
        <w:rPr>
          <w:rFonts w:ascii="宋体" w:hAnsi="宋体" w:cs="宋体" w:eastAsia="宋体" w:hint="default"/>
          <w:sz w:val="22"/>
          <w:szCs w:val="22"/>
        </w:rPr>
      </w:pPr>
    </w:p>
    <w:p>
      <w:pPr>
        <w:pStyle w:val="BodyText"/>
        <w:spacing w:line="429" w:lineRule="auto"/>
        <w:ind w:left="112" w:right="99" w:firstLine="422"/>
        <w:jc w:val="left"/>
      </w:pPr>
      <w:r>
        <w:rPr/>
        <w:pict>
          <v:shape style="position:absolute;margin-left:56.52pt;margin-top:41.303646pt;width:482.3pt;height:446.5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4"/>
                    <w:gridCol w:w="3214"/>
                    <w:gridCol w:w="3211"/>
                  </w:tblGrid>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83"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一、持有有限售条件股份股东</w:t>
                        </w:r>
                      </w:p>
                    </w:tc>
                    <w:tc>
                      <w:tcPr>
                        <w:tcW w:w="3214" w:type="dxa"/>
                        <w:tcBorders>
                          <w:top w:val="single" w:sz="2" w:space="0" w:color="000000"/>
                          <w:left w:val="single" w:sz="2" w:space="0" w:color="000000"/>
                          <w:bottom w:val="single" w:sz="2" w:space="0" w:color="000000"/>
                          <w:right w:val="single" w:sz="2" w:space="0" w:color="000000"/>
                        </w:tcBorders>
                      </w:tcPr>
                      <w:p>
                        <w:pPr/>
                      </w:p>
                    </w:tc>
                    <w:tc>
                      <w:tcPr>
                        <w:tcW w:w="3211"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spacing w:val="-1"/>
                            <w:sz w:val="21"/>
                          </w:rPr>
                          <w:t>35,908,113.00</w:t>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176" w:right="0"/>
                          <w:jc w:val="left"/>
                          <w:rPr>
                            <w:rFonts w:ascii="Times New Roman" w:hAnsi="Times New Roman" w:cs="Times New Roman" w:eastAsia="Times New Roman" w:hint="default"/>
                            <w:sz w:val="21"/>
                            <w:szCs w:val="21"/>
                          </w:rPr>
                        </w:pPr>
                        <w:r>
                          <w:rPr>
                            <w:rFonts w:ascii="Times New Roman"/>
                            <w:sz w:val="21"/>
                          </w:rPr>
                          <w:t>46.1361%</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7,428,235.00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9.5441%</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3,401,070.00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4.3698%</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2,891,705.00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3.7154%</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1,700,535.00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2.1849%</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1.0925%</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1.0925%</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530,588.00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0.6817%</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喻琴</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4,320,000.00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5.5505%</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96"/>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0.1927%</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313"/>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0.1927%</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313"/>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0.1927%</w:t>
                        </w:r>
                      </w:p>
                    </w:tc>
                  </w:tr>
                  <w:tr>
                    <w:trPr>
                      <w:trHeight w:val="52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二、持有无限售流通股</w:t>
                        </w:r>
                      </w:p>
                    </w:tc>
                    <w:tc>
                      <w:tcPr>
                        <w:tcW w:w="3214" w:type="dxa"/>
                        <w:tcBorders>
                          <w:top w:val="single" w:sz="2" w:space="0" w:color="000000"/>
                          <w:left w:val="single" w:sz="2" w:space="0" w:color="000000"/>
                          <w:bottom w:val="single" w:sz="2" w:space="0" w:color="000000"/>
                          <w:right w:val="single" w:sz="2" w:space="0" w:color="000000"/>
                        </w:tcBorders>
                      </w:tcPr>
                      <w:p>
                        <w:pPr/>
                      </w:p>
                    </w:tc>
                    <w:tc>
                      <w:tcPr>
                        <w:tcW w:w="3211"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02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19,500,000.00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176" w:right="0"/>
                          <w:jc w:val="left"/>
                          <w:rPr>
                            <w:rFonts w:ascii="Times New Roman" w:hAnsi="Times New Roman" w:cs="Times New Roman" w:eastAsia="Times New Roman" w:hint="default"/>
                            <w:sz w:val="21"/>
                            <w:szCs w:val="21"/>
                          </w:rPr>
                        </w:pPr>
                        <w:r>
                          <w:rPr>
                            <w:rFonts w:ascii="Times New Roman"/>
                            <w:sz w:val="21"/>
                          </w:rPr>
                          <w:t>25.0544%</w:t>
                        </w:r>
                      </w:p>
                    </w:tc>
                  </w:tr>
                  <w:tr>
                    <w:trPr>
                      <w:trHeight w:val="526"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32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28" w:right="0"/>
                          <w:jc w:val="lef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月</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日，安徽省马鞍山市工商行政管理局核准了上述增资工商变更登记。变更后，公司的股</w:t>
      </w:r>
      <w:r>
        <w:rPr>
          <w:w w:val="99"/>
        </w:rPr>
        <w:t> </w:t>
      </w:r>
      <w:r>
        <w:rPr/>
        <w:t>东及出资情况如下：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333" w:lineRule="exact"/>
        <w:ind w:left="119" w:right="0"/>
        <w:jc w:val="left"/>
        <w:rPr>
          <w:b w:val="0"/>
          <w:bCs w:val="0"/>
        </w:rPr>
      </w:pPr>
      <w:r>
        <w:rPr>
          <w:rFonts w:ascii="Times New Roman" w:hAnsi="Times New Roman" w:cs="Times New Roman" w:eastAsia="Times New Roman" w:hint="default"/>
        </w:rPr>
        <w:t>2</w:t>
      </w:r>
      <w:r>
        <w:rPr/>
        <w:t>、公司行业性质、经营范围、主要产品及提供的劳务</w:t>
      </w:r>
      <w:r>
        <w:rPr>
          <w:b w:val="0"/>
          <w:bCs w:val="0"/>
        </w:rPr>
      </w:r>
    </w:p>
    <w:p>
      <w:pPr>
        <w:spacing w:after="0" w:line="333" w:lineRule="exact"/>
        <w:jc w:val="left"/>
        <w:sectPr>
          <w:pgSz w:w="11910" w:h="16840"/>
          <w:pgMar w:header="1058" w:footer="1590" w:top="1780" w:bottom="1780" w:left="1020" w:right="1020"/>
        </w:sectPr>
      </w:pPr>
    </w:p>
    <w:p>
      <w:pPr>
        <w:spacing w:line="240" w:lineRule="auto" w:before="17"/>
        <w:rPr>
          <w:rFonts w:ascii="Microsoft JhengHei" w:hAnsi="Microsoft JhengHei" w:cs="Microsoft JhengHei" w:eastAsia="Microsoft JhengHei" w:hint="default"/>
          <w:b/>
          <w:bCs/>
          <w:sz w:val="8"/>
          <w:szCs w:val="8"/>
        </w:rPr>
      </w:pPr>
    </w:p>
    <w:p>
      <w:pPr>
        <w:pStyle w:val="BodyText"/>
        <w:spacing w:line="420" w:lineRule="auto" w:before="34"/>
        <w:ind w:left="112" w:right="112" w:firstLine="422"/>
        <w:jc w:val="both"/>
      </w:pPr>
      <w:r>
        <w:rPr>
          <w:w w:val="95"/>
        </w:rPr>
        <w:t>经营范围：许可经营项目：无。一般经营项目：生产、销售：稀土多元合金镀层丝绳及镀件、金属丝</w:t>
      </w:r>
      <w:r>
        <w:rPr>
          <w:spacing w:val="-95"/>
          <w:w w:val="95"/>
        </w:rPr>
        <w:t> </w:t>
      </w:r>
      <w:r>
        <w:rPr>
          <w:spacing w:val="-95"/>
          <w:w w:val="95"/>
        </w:rPr>
      </w:r>
      <w:r>
        <w:rPr>
          <w:w w:val="95"/>
        </w:rPr>
        <w:t>绳及其制品、紧固件、弹簧；交通安全设施产品制造、安装；自营或代理各类商品和技术进出口业务（国</w:t>
      </w:r>
      <w:r>
        <w:rPr>
          <w:spacing w:val="50"/>
          <w:w w:val="95"/>
        </w:rPr>
        <w:t> </w:t>
      </w:r>
      <w:r>
        <w:rPr>
          <w:spacing w:val="50"/>
          <w:w w:val="95"/>
        </w:rPr>
      </w:r>
      <w:r>
        <w:rPr/>
        <w:t>家限定企业经营或禁止进出口的商品和技术除外）</w:t>
      </w:r>
      <w:r>
        <w:rPr>
          <w:spacing w:val="-6"/>
        </w:rPr>
        <w:t> </w:t>
      </w:r>
      <w:r>
        <w:rPr/>
        <w:t>。</w:t>
      </w:r>
    </w:p>
    <w:p>
      <w:pPr>
        <w:pStyle w:val="BodyText"/>
        <w:spacing w:line="240" w:lineRule="auto" w:before="69"/>
        <w:ind w:left="535" w:right="0"/>
        <w:jc w:val="left"/>
      </w:pPr>
      <w:r>
        <w:rPr/>
        <w:t>公司提供的主要产品：稀土锌铝合金镀层钢丝、稀土锌铝合金镀层钢绞线</w:t>
      </w:r>
    </w:p>
    <w:p>
      <w:pPr>
        <w:spacing w:after="0" w:line="240" w:lineRule="auto"/>
        <w:jc w:val="left"/>
        <w:sectPr>
          <w:pgSz w:w="11910" w:h="16840"/>
          <w:pgMar w:header="1058" w:footer="1590" w:top="1780" w:bottom="178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2412" w:firstLine="0"/>
        <w:jc w:val="right"/>
        <w:rPr>
          <w:rFonts w:ascii="宋体" w:hAnsi="宋体" w:cs="宋体" w:eastAsia="宋体" w:hint="default"/>
          <w:sz w:val="18"/>
          <w:szCs w:val="18"/>
        </w:rPr>
      </w:pPr>
      <w:r>
        <w:rPr/>
        <w:pict>
          <v:shape style="position:absolute;margin-left:225.839996pt;margin-top:-22.44828pt;width:31.32pt;height:35.28pt;mso-position-horizontal-relative:page;mso-position-vertical-relative:paragraph;z-index:1384" type="#_x0000_t75" stroked="false">
            <v:imagedata r:id="rId24" o:title=""/>
          </v:shape>
        </w:pict>
      </w: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4"/>
        <w:rPr>
          <w:rFonts w:ascii="宋体" w:hAnsi="宋体" w:cs="宋体" w:eastAsia="宋体" w:hint="default"/>
          <w:sz w:val="13"/>
          <w:szCs w:val="13"/>
        </w:rPr>
      </w:pPr>
    </w:p>
    <w:p>
      <w:pPr>
        <w:pStyle w:val="Heading4"/>
        <w:spacing w:line="333" w:lineRule="exact"/>
        <w:ind w:left="119" w:right="0"/>
        <w:jc w:val="left"/>
        <w:rPr>
          <w:b w:val="0"/>
          <w:bCs w:val="0"/>
        </w:rPr>
      </w:pPr>
      <w:bookmarkStart w:name="3、公司内部的组织架构" w:id="23"/>
      <w:bookmarkEnd w:id="23"/>
      <w:r>
        <w:rPr>
          <w:b w:val="0"/>
          <w:bCs w:val="0"/>
        </w:rPr>
      </w:r>
      <w:r>
        <w:rPr>
          <w:rFonts w:ascii="Times New Roman" w:hAnsi="Times New Roman" w:cs="Times New Roman" w:eastAsia="Times New Roman" w:hint="default"/>
        </w:rPr>
        <w:t>3</w:t>
      </w:r>
      <w:r>
        <w:rPr/>
        <w:t>、公司内部的组织架构</w:t>
      </w:r>
      <w:r>
        <w:rPr>
          <w:b w:val="0"/>
          <w:bCs w:val="0"/>
        </w:rPr>
      </w:r>
    </w:p>
    <w:p>
      <w:pPr>
        <w:spacing w:line="240" w:lineRule="auto" w:before="4"/>
        <w:rPr>
          <w:rFonts w:ascii="Microsoft JhengHei" w:hAnsi="Microsoft JhengHei" w:cs="Microsoft JhengHei" w:eastAsia="Microsoft JhengHei" w:hint="default"/>
          <w:b/>
          <w:bCs/>
          <w:sz w:val="4"/>
          <w:szCs w:val="4"/>
        </w:rPr>
      </w:pPr>
    </w:p>
    <w:p>
      <w:pPr>
        <w:spacing w:line="6576" w:lineRule="exact"/>
        <w:ind w:left="18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1"/>
          <w:sz w:val="20"/>
          <w:szCs w:val="20"/>
        </w:rPr>
        <w:pict>
          <v:group style="width:672.85pt;height:328.8pt;mso-position-horizontal-relative:char;mso-position-vertical-relative:line" coordorigin="0,0" coordsize="13457,6576">
            <v:group style="position:absolute;left:4985;top:7;width:1928;height:560" coordorigin="4985,7" coordsize="1928,560">
              <v:shape style="position:absolute;left:4985;top:7;width:1928;height:560" coordorigin="4985,7" coordsize="1928,560" path="m4985,566l6912,566,6912,7,4985,7,4985,566xe" filled="false" stroked="true" strokeweight=".72pt" strokecolor="#000000">
                <v:path arrowok="t"/>
              </v:shape>
            </v:group>
            <v:group style="position:absolute;left:4990;top:1183;width:1928;height:560" coordorigin="4990,1183" coordsize="1928,560">
              <v:shape style="position:absolute;left:4990;top:1183;width:1928;height:560" coordorigin="4990,1183" coordsize="1928,560" path="m4990,1742l6917,1742,6917,1183,4990,1183,4990,1742xe" filled="false" stroked="true" strokeweight=".72pt" strokecolor="#000000">
                <v:path arrowok="t"/>
              </v:shape>
            </v:group>
            <v:group style="position:absolute;left:5947;top:569;width:2;height:615" coordorigin="5947,569" coordsize="2,615">
              <v:shape style="position:absolute;left:5947;top:569;width:2;height:615" coordorigin="5947,569" coordsize="0,615" path="m5947,569l5947,1183e" filled="false" stroked="true" strokeweight=".72pt" strokecolor="#000000">
                <v:path arrowok="t"/>
              </v:shape>
            </v:group>
            <v:group style="position:absolute;left:5974;top:912;width:1469;height:2" coordorigin="5974,912" coordsize="1469,2">
              <v:shape style="position:absolute;left:5974;top:912;width:1469;height:2" coordorigin="5974,912" coordsize="1469,0" path="m5974,912l7442,912e" filled="false" stroked="true" strokeweight=".72pt" strokecolor="#000000">
                <v:path arrowok="t"/>
              </v:shape>
            </v:group>
            <v:group style="position:absolute;left:7442;top:631;width:1928;height:560" coordorigin="7442,631" coordsize="1928,560">
              <v:shape style="position:absolute;left:7442;top:631;width:1928;height:560" coordorigin="7442,631" coordsize="1928,560" path="m7442,1190l9370,1190,9370,631,7442,631,7442,1190xe" filled="false" stroked="true" strokeweight=".72pt" strokecolor="#000000">
                <v:path arrowok="t"/>
              </v:shape>
            </v:group>
            <v:group style="position:absolute;left:4985;top:3173;width:1928;height:560" coordorigin="4985,3173" coordsize="1928,560">
              <v:shape style="position:absolute;left:4985;top:3173;width:1928;height:560" coordorigin="4985,3173" coordsize="1928,560" path="m4985,3732l6912,3732,6912,3173,4985,3173,4985,3732xe" filled="false" stroked="true" strokeweight=".72pt" strokecolor="#000000">
                <v:path arrowok="t"/>
              </v:shape>
            </v:group>
            <v:group style="position:absolute;left:5952;top:1745;width:2;height:1428" coordorigin="5952,1745" coordsize="2,1428">
              <v:shape style="position:absolute;left:5952;top:1745;width:2;height:1428" coordorigin="5952,1745" coordsize="0,1428" path="m5952,1745l5952,3173e" filled="false" stroked="true" strokeweight=".72pt" strokecolor="#000000">
                <v:path arrowok="t"/>
              </v:shape>
            </v:group>
            <v:group style="position:absolute;left:7202;top:2527;width:963;height:850" coordorigin="7202,2527" coordsize="963,850">
              <v:shape style="position:absolute;left:7202;top:2527;width:963;height:850" coordorigin="7202,2527" coordsize="963,850" path="m7202,3377l8165,3377,8165,2527,7202,2527,7202,3377xe" filled="false" stroked="true" strokeweight=".72pt" strokecolor="#000000">
                <v:path arrowok="t"/>
              </v:shape>
            </v:group>
            <v:group style="position:absolute;left:8618;top:2522;width:1265;height:862" coordorigin="8618,2522" coordsize="1265,862">
              <v:shape style="position:absolute;left:8618;top:2522;width:1265;height:862" coordorigin="8618,2522" coordsize="1265,862" path="m8618,3384l9883,3384,9883,2522,8618,2522,8618,3384xe" filled="false" stroked="true" strokeweight=".72pt" strokecolor="#000000">
                <v:path arrowok="t"/>
              </v:shape>
            </v:group>
            <v:group style="position:absolute;left:5952;top:2124;width:6874;height:20" coordorigin="5952,2124" coordsize="6874,20">
              <v:shape style="position:absolute;left:5952;top:2124;width:6874;height:20" coordorigin="5952,2124" coordsize="6874,20" path="m5952,2124l12826,2143e" filled="false" stroked="true" strokeweight=".72pt" strokecolor="#000000">
                <v:path arrowok="t"/>
              </v:shape>
            </v:group>
            <v:group style="position:absolute;left:7685;top:2129;width:2;height:399" coordorigin="7685,2129" coordsize="2,399">
              <v:shape style="position:absolute;left:7685;top:2129;width:2;height:399" coordorigin="7685,2129" coordsize="0,399" path="m7685,2129l7685,2527e" filled="false" stroked="true" strokeweight=".72pt" strokecolor="#000000">
                <v:path arrowok="t"/>
              </v:shape>
            </v:group>
            <v:group style="position:absolute;left:9245;top:2131;width:2;height:392" coordorigin="9245,2131" coordsize="2,392">
              <v:shape style="position:absolute;left:9245;top:2131;width:2;height:392" coordorigin="9245,2131" coordsize="0,392" path="m9245,2131l9245,2522e" filled="false" stroked="true" strokeweight=".72pt" strokecolor="#000000">
                <v:path arrowok="t"/>
              </v:shape>
            </v:group>
            <v:group style="position:absolute;left:10255;top:2522;width:1572;height:862" coordorigin="10255,2522" coordsize="1572,862">
              <v:shape style="position:absolute;left:10255;top:2522;width:1572;height:862" coordorigin="10255,2522" coordsize="1572,862" path="m10255,3384l11827,3384,11827,2522,10255,2522,10255,3384xe" filled="false" stroked="true" strokeweight=".72pt" strokecolor="#000000">
                <v:path arrowok="t"/>
              </v:shape>
            </v:group>
            <v:group style="position:absolute;left:11042;top:2136;width:17;height:387" coordorigin="11042,2136" coordsize="17,387">
              <v:shape style="position:absolute;left:11042;top:2136;width:17;height:387" coordorigin="11042,2136" coordsize="17,387" path="m11042,2522l11059,2136e" filled="false" stroked="true" strokeweight=".72pt" strokecolor="#000000">
                <v:path arrowok="t"/>
              </v:shape>
            </v:group>
            <v:group style="position:absolute;left:12199;top:2522;width:1251;height:862" coordorigin="12199,2522" coordsize="1251,862">
              <v:shape style="position:absolute;left:12199;top:2522;width:1251;height:862" coordorigin="12199,2522" coordsize="1251,862" path="m12199,3384l13450,3384,13450,2522,12199,2522,12199,3384xe" filled="false" stroked="true" strokeweight=".72pt" strokecolor="#000000">
                <v:path arrowok="t"/>
              </v:shape>
            </v:group>
            <v:group style="position:absolute;left:12826;top:2143;width:2;height:380" coordorigin="12826,2143" coordsize="2,380">
              <v:shape style="position:absolute;left:12826;top:2143;width:2;height:380" coordorigin="12826,2143" coordsize="0,380" path="m12826,2143l12826,2522e" filled="false" stroked="true" strokeweight=".72pt" strokecolor="#000000">
                <v:path arrowok="t"/>
              </v:shape>
            </v:group>
            <v:group style="position:absolute;left:3228;top:2489;width:1668;height:560" coordorigin="3228,2489" coordsize="1668,560">
              <v:shape style="position:absolute;left:3228;top:2489;width:1668;height:560" coordorigin="3228,2489" coordsize="1668,560" path="m3228,3048l4896,3048,4896,2489,3228,2489,3228,3048xe" filled="false" stroked="true" strokeweight=".72pt" strokecolor="#000000">
                <v:path arrowok="t"/>
              </v:shape>
            </v:group>
            <v:group style="position:absolute;left:4898;top:2770;width:1054;height:10" coordorigin="4898,2770" coordsize="1054,10">
              <v:shape style="position:absolute;left:4898;top:2770;width:1054;height:10" coordorigin="4898,2770" coordsize="1054,10" path="m4898,2770l5952,2779e" filled="false" stroked="true" strokeweight=".72pt" strokecolor="#000000">
                <v:path arrowok="t"/>
              </v:shape>
            </v:group>
            <v:group style="position:absolute;left:324;top:4094;width:11254;height:2" coordorigin="324,4094" coordsize="11254,2">
              <v:shape style="position:absolute;left:324;top:4094;width:11254;height:2" coordorigin="324,4094" coordsize="11254,0" path="m324,4094l11578,4094e" filled="false" stroked="true" strokeweight=".72pt" strokecolor="#000000">
                <v:path arrowok="t"/>
              </v:shape>
            </v:group>
            <v:group style="position:absolute;left:5950;top:3734;width:2;height:360" coordorigin="5950,3734" coordsize="2,360">
              <v:shape style="position:absolute;left:5950;top:3734;width:2;height:360" coordorigin="5950,3734" coordsize="0,360" path="m5950,3734l5950,4094e" filled="false" stroked="true" strokeweight=".72pt" strokecolor="#000000">
                <v:path arrowok="t"/>
              </v:shape>
            </v:group>
            <v:group style="position:absolute;left:324;top:4094;width:2;height:663" coordorigin="324,4094" coordsize="2,663">
              <v:shape style="position:absolute;left:324;top:4094;width:2;height:663" coordorigin="324,4094" coordsize="0,663" path="m324,4094l324,4757e" filled="false" stroked="true" strokeweight=".72pt" strokecolor="#000000">
                <v:path arrowok="t"/>
              </v:shape>
            </v:group>
            <v:group style="position:absolute;left:1574;top:4094;width:2;height:663" coordorigin="1574,4094" coordsize="2,663">
              <v:shape style="position:absolute;left:1574;top:4094;width:2;height:663" coordorigin="1574,4094" coordsize="0,663" path="m1574,4094l1574,4757e" filled="false" stroked="true" strokeweight=".72pt" strokecolor="#000000">
                <v:path arrowok="t"/>
              </v:shape>
            </v:group>
            <v:group style="position:absolute;left:2825;top:4094;width:2;height:663" coordorigin="2825,4094" coordsize="2,663">
              <v:shape style="position:absolute;left:2825;top:4094;width:2;height:663" coordorigin="2825,4094" coordsize="0,663" path="m2825,4094l2825,4757e" filled="false" stroked="true" strokeweight=".72pt" strokecolor="#000000">
                <v:path arrowok="t"/>
              </v:shape>
            </v:group>
            <v:group style="position:absolute;left:4075;top:4094;width:2;height:663" coordorigin="4075,4094" coordsize="2,663">
              <v:shape style="position:absolute;left:4075;top:4094;width:2;height:663" coordorigin="4075,4094" coordsize="0,663" path="m4075,4094l4075,4757e" filled="false" stroked="true" strokeweight=".72pt" strokecolor="#000000">
                <v:path arrowok="t"/>
              </v:shape>
            </v:group>
            <v:group style="position:absolute;left:5326;top:4094;width:2;height:663" coordorigin="5326,4094" coordsize="2,663">
              <v:shape style="position:absolute;left:5326;top:4094;width:2;height:663" coordorigin="5326,4094" coordsize="0,663" path="m5326,4094l5326,4757e" filled="false" stroked="true" strokeweight=".72pt" strokecolor="#000000">
                <v:path arrowok="t"/>
              </v:shape>
            </v:group>
            <v:group style="position:absolute;left:6576;top:4094;width:2;height:663" coordorigin="6576,4094" coordsize="2,663">
              <v:shape style="position:absolute;left:6576;top:4094;width:2;height:663" coordorigin="6576,4094" coordsize="0,663" path="m6576,4094l6576,4757e" filled="false" stroked="true" strokeweight=".72pt" strokecolor="#000000">
                <v:path arrowok="t"/>
              </v:shape>
            </v:group>
            <v:group style="position:absolute;left:7826;top:4094;width:2;height:663" coordorigin="7826,4094" coordsize="2,663">
              <v:shape style="position:absolute;left:7826;top:4094;width:2;height:663" coordorigin="7826,4094" coordsize="0,663" path="m7826,4094l7826,4757e" filled="false" stroked="true" strokeweight=".72pt" strokecolor="#000000">
                <v:path arrowok="t"/>
              </v:shape>
            </v:group>
            <v:group style="position:absolute;left:9077;top:4094;width:2;height:663" coordorigin="9077,4094" coordsize="2,663">
              <v:shape style="position:absolute;left:9077;top:4094;width:2;height:663" coordorigin="9077,4094" coordsize="0,663" path="m9077,4094l9077,4757e" filled="false" stroked="true" strokeweight=".72pt" strokecolor="#000000">
                <v:path arrowok="t"/>
              </v:shape>
            </v:group>
            <v:group style="position:absolute;left:10327;top:4094;width:2;height:663" coordorigin="10327,4094" coordsize="2,663">
              <v:shape style="position:absolute;left:10327;top:4094;width:2;height:663" coordorigin="10327,4094" coordsize="0,663" path="m10327,4094l10327,4757e" filled="false" stroked="true" strokeweight=".72pt" strokecolor="#000000">
                <v:path arrowok="t"/>
              </v:shape>
            </v:group>
            <v:group style="position:absolute;left:11578;top:4094;width:2;height:663" coordorigin="11578,4094" coordsize="2,663">
              <v:shape style="position:absolute;left:11578;top:4094;width:2;height:663" coordorigin="11578,4094" coordsize="0,663" path="m11578,4094l11578,4757e" filled="false" stroked="true" strokeweight=".72pt" strokecolor="#000000">
                <v:path arrowok="t"/>
              </v:shape>
            </v:group>
            <v:group style="position:absolute;left:11261;top:4757;width:632;height:1812" coordorigin="11261,4757" coordsize="632,1812">
              <v:shape style="position:absolute;left:11261;top:4757;width:632;height:1812" coordorigin="11261,4757" coordsize="632,1812" path="m11261,6569l11892,6569,11892,4757,11261,4757,11261,6569xe" filled="false" stroked="true" strokeweight=".72pt" strokecolor="#000000">
                <v:path arrowok="t"/>
              </v:shape>
            </v:group>
            <v:group style="position:absolute;left:7;top:4757;width:632;height:1812" coordorigin="7,4757" coordsize="632,1812">
              <v:shape style="position:absolute;left:7;top:4757;width:632;height:1812" coordorigin="7,4757" coordsize="632,1812" path="m7,6569l638,6569,638,4757,7,4757,7,6569xe" filled="false" stroked="true" strokeweight=".72pt" strokecolor="#000000">
                <v:path arrowok="t"/>
              </v:shape>
            </v:group>
            <v:group style="position:absolute;left:10010;top:4757;width:632;height:1812" coordorigin="10010,4757" coordsize="632,1812">
              <v:shape style="position:absolute;left:10010;top:4757;width:632;height:1812" coordorigin="10010,4757" coordsize="632,1812" path="m10010,6569l10642,6569,10642,4757,10010,4757,10010,6569xe" filled="false" stroked="true" strokeweight=".72pt" strokecolor="#000000">
                <v:path arrowok="t"/>
              </v:shape>
            </v:group>
            <v:group style="position:absolute;left:1258;top:4757;width:632;height:1812" coordorigin="1258,4757" coordsize="632,1812">
              <v:shape style="position:absolute;left:1258;top:4757;width:632;height:1812" coordorigin="1258,4757" coordsize="632,1812" path="m1258,6569l1889,6569,1889,4757,1258,4757,1258,6569xe" filled="false" stroked="true" strokeweight=".72pt" strokecolor="#000000">
                <v:path arrowok="t"/>
              </v:shape>
            </v:group>
            <v:group style="position:absolute;left:7510;top:4757;width:632;height:1812" coordorigin="7510,4757" coordsize="632,1812">
              <v:shape style="position:absolute;left:7510;top:4757;width:632;height:1812" coordorigin="7510,4757" coordsize="632,1812" path="m7510,6569l8141,6569,8141,4757,7510,4757,7510,6569xe" filled="false" stroked="true" strokeweight=".72pt" strokecolor="#000000">
                <v:path arrowok="t"/>
              </v:shape>
            </v:group>
            <v:group style="position:absolute;left:8760;top:4757;width:632;height:1812" coordorigin="8760,4757" coordsize="632,1812">
              <v:shape style="position:absolute;left:8760;top:4757;width:632;height:1812" coordorigin="8760,4757" coordsize="632,1812" path="m8760,6569l9391,6569,9391,4757,8760,4757,8760,6569xe" filled="false" stroked="true" strokeweight=".72pt" strokecolor="#000000">
                <v:path arrowok="t"/>
              </v:shape>
            </v:group>
            <v:group style="position:absolute;left:6259;top:4757;width:632;height:1812" coordorigin="6259,4757" coordsize="632,1812">
              <v:shape style="position:absolute;left:6259;top:4757;width:632;height:1812" coordorigin="6259,4757" coordsize="632,1812" path="m6259,6569l6890,6569,6890,4757,6259,4757,6259,6569xe" filled="false" stroked="true" strokeweight=".72pt" strokecolor="#000000">
                <v:path arrowok="t"/>
              </v:shape>
            </v:group>
            <v:group style="position:absolute;left:2508;top:4757;width:632;height:1812" coordorigin="2508,4757" coordsize="632,1812">
              <v:shape style="position:absolute;left:2508;top:4757;width:632;height:1812" coordorigin="2508,4757" coordsize="632,1812" path="m2508,6569l3139,6569,3139,4757,2508,4757,2508,6569xe" filled="false" stroked="true" strokeweight=".72pt" strokecolor="#000000">
                <v:path arrowok="t"/>
              </v:shape>
            </v:group>
            <v:group style="position:absolute;left:5009;top:4757;width:632;height:1812" coordorigin="5009,4757" coordsize="632,1812">
              <v:shape style="position:absolute;left:5009;top:4757;width:632;height:1812" coordorigin="5009,4757" coordsize="632,1812" path="m5009,6569l5640,6569,5640,4757,5009,4757,5009,6569xe" filled="false" stroked="true" strokeweight=".72pt" strokecolor="#000000">
                <v:path arrowok="t"/>
              </v:shape>
            </v:group>
            <v:group style="position:absolute;left:3758;top:4757;width:632;height:1812" coordorigin="3758,4757" coordsize="632,1812">
              <v:shape style="position:absolute;left:3758;top:4757;width:632;height:1812" coordorigin="3758,4757" coordsize="632,1812" path="m3758,6569l4390,6569,4390,4757,3758,4757,3758,6569xe" filled="false" stroked="true" strokeweight=".72pt" strokecolor="#000000">
                <v:path arrowok="t"/>
              </v:shape>
            </v:group>
            <v:group style="position:absolute;left:12516;top:4750;width:632;height:1812" coordorigin="12516,4750" coordsize="632,1812">
              <v:shape style="position:absolute;left:12516;top:4750;width:632;height:1812" coordorigin="12516,4750" coordsize="632,1812" path="m12516,6562l13147,6562,13147,4750,12516,4750,12516,6562xe" filled="false" stroked="true" strokeweight=".72pt" strokecolor="#000000">
                <v:path arrowok="t"/>
              </v:shape>
            </v:group>
            <v:group style="position:absolute;left:12826;top:3386;width:2;height:1364" coordorigin="12826,3386" coordsize="2,1364">
              <v:shape style="position:absolute;left:12826;top:3386;width:2;height:1364" coordorigin="12826,3386" coordsize="0,1364" path="m12826,3386l12826,4750e" filled="false" stroked="true" strokeweight=".72pt" strokecolor="#000000">
                <v:path arrowok="t"/>
              </v:shape>
            </v:group>
            <v:group style="position:absolute;left:2623;top:2839;width:615;height:2" coordorigin="2623,2839" coordsize="615,2">
              <v:shape style="position:absolute;left:2623;top:2839;width:615;height:2" coordorigin="2623,2839" coordsize="615,0" path="m2623,2839l3238,2839e" filled="false" stroked="true" strokeweight=".72pt" strokecolor="#000000">
                <v:path arrowok="t"/>
              </v:shape>
            </v:group>
            <v:group style="position:absolute;left:2623;top:2839;width:2;height:509" coordorigin="2623,2839" coordsize="2,509">
              <v:shape style="position:absolute;left:2623;top:2839;width:2;height:509" coordorigin="2623,2839" coordsize="0,509" path="m2623,2839l2623,3348e" filled="false" stroked="true" strokeweight=".72pt" strokecolor="#000000">
                <v:path arrowok="t"/>
              </v:shape>
            </v:group>
            <v:group style="position:absolute;left:1738;top:3334;width:1666;height:526" coordorigin="1738,3334" coordsize="1666,526">
              <v:shape style="position:absolute;left:1738;top:3334;width:1666;height:526" coordorigin="1738,3334" coordsize="1666,526" path="m1738,3334l1738,3859,3403,3859,3403,3334,1738,3334xe" filled="false" stroked="true" strokeweight=".72pt" strokecolor="#000000">
                <v:path arrowok="t"/>
              </v:shape>
              <v:shape style="position:absolute;left:1738;top:3334;width:1666;height:526" type="#_x0000_t202" filled="false" stroked="false">
                <v:textbox inset="0,0,0,0">
                  <w:txbxContent>
                    <w:p>
                      <w:pPr>
                        <w:spacing w:before="51"/>
                        <w:ind w:left="384" w:right="0" w:firstLine="0"/>
                        <w:jc w:val="left"/>
                        <w:rPr>
                          <w:rFonts w:ascii="宋体" w:hAnsi="宋体" w:cs="宋体" w:eastAsia="宋体" w:hint="default"/>
                          <w:sz w:val="18"/>
                          <w:szCs w:val="18"/>
                        </w:rPr>
                      </w:pPr>
                      <w:r>
                        <w:rPr>
                          <w:rFonts w:ascii="宋体" w:hAnsi="宋体" w:cs="宋体" w:eastAsia="宋体" w:hint="default"/>
                          <w:sz w:val="18"/>
                          <w:szCs w:val="18"/>
                        </w:rPr>
                        <w:t>证券事务部</w:t>
                      </w:r>
                    </w:p>
                  </w:txbxContent>
                </v:textbox>
                <w10:wrap type="none"/>
              </v:shape>
            </v:group>
          </v:group>
        </w:pict>
      </w:r>
      <w:r>
        <w:rPr>
          <w:rFonts w:ascii="Microsoft JhengHei" w:hAnsi="Microsoft JhengHei" w:cs="Microsoft JhengHei" w:eastAsia="Microsoft JhengHei" w:hint="default"/>
          <w:position w:val="-131"/>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0"/>
          <w:szCs w:val="20"/>
        </w:rPr>
      </w:pPr>
    </w:p>
    <w:p>
      <w:pPr>
        <w:pStyle w:val="BodyText"/>
        <w:spacing w:line="240" w:lineRule="auto" w:before="74"/>
        <w:ind w:left="7153" w:right="6091"/>
        <w:jc w:val="center"/>
        <w:rPr>
          <w:rFonts w:ascii="Times New Roman" w:hAnsi="Times New Roman" w:cs="Times New Roman" w:eastAsia="Times New Roman" w:hint="default"/>
        </w:rPr>
      </w:pPr>
      <w:r>
        <w:rPr>
          <w:rFonts w:ascii="Times New Roman"/>
        </w:rPr>
        <w:t>- 73</w:t>
      </w:r>
      <w:r>
        <w:rPr>
          <w:rFonts w:ascii="Times New Roman"/>
          <w:spacing w:val="-2"/>
        </w:rPr>
        <w:t> </w:t>
      </w:r>
      <w:r>
        <w:rPr>
          <w:rFonts w:ascii="Times New Roman"/>
        </w:rPr>
        <w:t>-</w:t>
      </w:r>
    </w:p>
    <w:p>
      <w:pPr>
        <w:spacing w:after="0" w:line="240" w:lineRule="auto"/>
        <w:jc w:val="center"/>
        <w:rPr>
          <w:rFonts w:ascii="Times New Roman" w:hAnsi="Times New Roman" w:cs="Times New Roman" w:eastAsia="Times New Roman" w:hint="default"/>
        </w:rPr>
        <w:sectPr>
          <w:headerReference w:type="default" r:id="rId22"/>
          <w:footerReference w:type="default" r:id="rId23"/>
          <w:pgSz w:w="16840" w:h="11910" w:orient="landscape"/>
          <w:pgMar w:header="0" w:footer="0" w:top="980" w:bottom="280" w:left="1020" w:right="2080"/>
        </w:sectPr>
      </w:pPr>
    </w:p>
    <w:p>
      <w:pPr>
        <w:pStyle w:val="Heading4"/>
        <w:spacing w:line="282" w:lineRule="exact"/>
        <w:ind w:right="109"/>
        <w:jc w:val="left"/>
        <w:rPr>
          <w:b w:val="0"/>
          <w:bCs w:val="0"/>
        </w:rPr>
      </w:pPr>
      <w:r>
        <w:rPr>
          <w:rFonts w:ascii="Times New Roman" w:hAnsi="Times New Roman" w:cs="Times New Roman" w:eastAsia="Times New Roman" w:hint="default"/>
        </w:rPr>
        <w:t>4</w:t>
      </w:r>
      <w:r>
        <w:rPr/>
        <w:t>、财务报告的批准报出者和财务报告批准报出日</w:t>
      </w:r>
      <w:r>
        <w:rPr>
          <w:b w:val="0"/>
          <w:bCs w:val="0"/>
        </w:rPr>
      </w:r>
    </w:p>
    <w:p>
      <w:pPr>
        <w:pStyle w:val="BodyText"/>
        <w:spacing w:line="240" w:lineRule="auto" w:before="109"/>
        <w:ind w:left="647" w:right="109"/>
        <w:jc w:val="left"/>
      </w:pPr>
      <w:r>
        <w:rPr/>
        <w:t>公司财务报告于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日经公司第二届董事会第二次会议批准报出。</w:t>
      </w:r>
    </w:p>
    <w:p>
      <w:pPr>
        <w:spacing w:line="240" w:lineRule="auto" w:before="0"/>
        <w:rPr>
          <w:rFonts w:ascii="宋体" w:hAnsi="宋体" w:cs="宋体" w:eastAsia="宋体" w:hint="default"/>
          <w:sz w:val="22"/>
          <w:szCs w:val="22"/>
        </w:rPr>
      </w:pPr>
    </w:p>
    <w:p>
      <w:pPr>
        <w:pStyle w:val="BodyText"/>
        <w:spacing w:line="240" w:lineRule="auto" w:before="192"/>
        <w:ind w:left="128" w:right="109"/>
        <w:jc w:val="left"/>
        <w:rPr>
          <w:rFonts w:ascii="宋体" w:hAnsi="宋体" w:cs="宋体" w:eastAsia="宋体" w:hint="default"/>
        </w:rPr>
      </w:pPr>
      <w:r>
        <w:rPr>
          <w:rFonts w:ascii="宋体" w:hAnsi="宋体" w:cs="宋体" w:eastAsia="宋体" w:hint="default"/>
        </w:rPr>
        <w:t>二、公司主要会计政策、会计估计和前期差错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14" w:lineRule="auto" w:before="0"/>
        <w:ind w:left="542" w:right="109"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w:t>
      </w:r>
    </w:p>
    <w:p>
      <w:pPr>
        <w:pStyle w:val="BodyText"/>
        <w:spacing w:line="240" w:lineRule="auto" w:before="45"/>
        <w:ind w:right="109"/>
        <w:jc w:val="left"/>
      </w:pPr>
      <w:r>
        <w:rPr/>
        <w:t>本准则》和其他各项会计准则的规定进行确认和计量，在此基础上编制财务报表。</w:t>
      </w:r>
    </w:p>
    <w:p>
      <w:pPr>
        <w:spacing w:line="240" w:lineRule="auto" w:before="0"/>
        <w:rPr>
          <w:rFonts w:ascii="宋体" w:hAnsi="宋体" w:cs="宋体" w:eastAsia="宋体" w:hint="default"/>
          <w:sz w:val="20"/>
          <w:szCs w:val="20"/>
        </w:rPr>
      </w:pPr>
    </w:p>
    <w:p>
      <w:pPr>
        <w:spacing w:line="314" w:lineRule="auto" w:before="167"/>
        <w:ind w:left="542" w:right="214"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本公司基于上述编制基础编制的财务报表符合企业会计准则的要求，真实、完整地反</w:t>
      </w:r>
    </w:p>
    <w:p>
      <w:pPr>
        <w:pStyle w:val="BodyText"/>
        <w:spacing w:line="336" w:lineRule="auto" w:before="68"/>
        <w:ind w:right="212"/>
        <w:jc w:val="left"/>
      </w:pPr>
      <w:r>
        <w:rPr/>
        <w:t>映了本公司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日的财务状况，以及</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年度经营成果和现金流量等有关信</w:t>
      </w:r>
      <w:r>
        <w:rPr>
          <w:w w:val="99"/>
        </w:rPr>
        <w:t> </w:t>
      </w:r>
      <w:r>
        <w:rPr/>
        <w:t>息。</w:t>
      </w:r>
    </w:p>
    <w:p>
      <w:pPr>
        <w:spacing w:line="240" w:lineRule="auto" w:before="5"/>
        <w:rPr>
          <w:rFonts w:ascii="宋体" w:hAnsi="宋体" w:cs="宋体" w:eastAsia="宋体" w:hint="default"/>
          <w:sz w:val="26"/>
          <w:szCs w:val="26"/>
        </w:rPr>
      </w:pPr>
    </w:p>
    <w:p>
      <w:pPr>
        <w:pStyle w:val="Heading4"/>
        <w:spacing w:line="240" w:lineRule="auto"/>
        <w:ind w:right="109"/>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109"/>
        <w:ind w:left="542" w:right="109"/>
        <w:jc w:val="left"/>
      </w:pPr>
      <w:r>
        <w:rPr/>
        <w:t>本公司采用公历年度，即从每年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日为一个会计年度。</w:t>
      </w:r>
    </w:p>
    <w:p>
      <w:pPr>
        <w:spacing w:line="240" w:lineRule="auto" w:before="7"/>
        <w:rPr>
          <w:rFonts w:ascii="宋体" w:hAnsi="宋体" w:cs="宋体" w:eastAsia="宋体" w:hint="default"/>
          <w:sz w:val="31"/>
          <w:szCs w:val="31"/>
        </w:rPr>
      </w:pPr>
    </w:p>
    <w:p>
      <w:pPr>
        <w:pStyle w:val="Heading4"/>
        <w:spacing w:line="240" w:lineRule="auto"/>
        <w:ind w:right="109"/>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240" w:lineRule="auto" w:before="109"/>
        <w:ind w:left="542" w:right="109"/>
        <w:jc w:val="left"/>
      </w:pPr>
      <w:r>
        <w:rPr/>
        <w:t>本公司以人民币为记账本位币。</w:t>
      </w:r>
    </w:p>
    <w:p>
      <w:pPr>
        <w:spacing w:line="240" w:lineRule="auto" w:before="0"/>
        <w:rPr>
          <w:rFonts w:ascii="宋体" w:hAnsi="宋体" w:cs="宋体" w:eastAsia="宋体" w:hint="default"/>
          <w:sz w:val="20"/>
          <w:szCs w:val="20"/>
        </w:rPr>
      </w:pPr>
    </w:p>
    <w:p>
      <w:pPr>
        <w:spacing w:line="268" w:lineRule="auto" w:before="169"/>
        <w:ind w:left="548" w:right="26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w w:val="99"/>
          <w:sz w:val="21"/>
          <w:szCs w:val="21"/>
        </w:rPr>
        <w:t> </w:t>
      </w:r>
      <w:r>
        <w:rPr>
          <w:rFonts w:ascii="Times New Roman" w:hAnsi="Times New Roman" w:cs="Times New Roman" w:eastAsia="Times New Roman" w:hint="default"/>
          <w:b/>
          <w:bCs/>
          <w:sz w:val="21"/>
          <w:szCs w:val="21"/>
        </w:rPr>
        <w:t>A</w:t>
      </w:r>
      <w:r>
        <w:rPr>
          <w:rFonts w:ascii="Microsoft JhengHei" w:hAnsi="Microsoft JhengHei" w:cs="Microsoft JhengHei" w:eastAsia="Microsoft JhengHei" w:hint="default"/>
          <w:b/>
          <w:bCs/>
          <w:sz w:val="21"/>
          <w:szCs w:val="21"/>
        </w:rPr>
        <w:t>、同一控制下的企业合并</w:t>
      </w:r>
      <w:r>
        <w:rPr>
          <w:rFonts w:ascii="宋体" w:hAnsi="宋体" w:cs="宋体" w:eastAsia="宋体" w:hint="default"/>
          <w:sz w:val="21"/>
          <w:szCs w:val="21"/>
        </w:rPr>
        <w:t>：合并方在企业合并中取得的资产和负债，按照合并日在</w:t>
      </w:r>
    </w:p>
    <w:p>
      <w:pPr>
        <w:pStyle w:val="BodyText"/>
        <w:spacing w:line="357" w:lineRule="auto" w:before="75"/>
        <w:ind w:right="283"/>
        <w:jc w:val="both"/>
      </w:pPr>
      <w:r>
        <w:rPr>
          <w:spacing w:val="-1"/>
          <w:w w:val="95"/>
        </w:rPr>
        <w:t>被合并方的账面价值计量。合并方取得的净资产账面价值与支付的合并对价账面价值（或</w:t>
      </w:r>
      <w:r>
        <w:rPr>
          <w:spacing w:val="86"/>
          <w:w w:val="95"/>
        </w:rPr>
        <w:t> </w:t>
      </w:r>
      <w:r>
        <w:rPr>
          <w:spacing w:val="86"/>
          <w:w w:val="95"/>
        </w:rPr>
      </w:r>
      <w:r>
        <w:rPr>
          <w:spacing w:val="-1"/>
          <w:w w:val="95"/>
        </w:rPr>
        <w:t>发行股份面值总额）的差额，调整资本公积；资本公积不足冲减的，调整留存收益。合并</w:t>
      </w:r>
      <w:r>
        <w:rPr>
          <w:spacing w:val="86"/>
          <w:w w:val="95"/>
        </w:rPr>
        <w:t> </w:t>
      </w:r>
      <w:r>
        <w:rPr>
          <w:spacing w:val="86"/>
          <w:w w:val="95"/>
        </w:rPr>
      </w:r>
      <w:r>
        <w:rPr>
          <w:spacing w:val="-1"/>
          <w:w w:val="95"/>
        </w:rPr>
        <w:t>方为进行企业合并发生的各项直接相关费用，包括为进行企业合并而支付的审计费用、评</w:t>
      </w:r>
      <w:r>
        <w:rPr>
          <w:spacing w:val="87"/>
          <w:w w:val="95"/>
        </w:rPr>
        <w:t> </w:t>
      </w:r>
      <w:r>
        <w:rPr>
          <w:spacing w:val="87"/>
          <w:w w:val="95"/>
        </w:rPr>
      </w:r>
      <w:r>
        <w:rPr>
          <w:spacing w:val="-1"/>
          <w:w w:val="95"/>
        </w:rPr>
        <w:t>估费用、法律服务费用等，于发生时计入当期损益。企业合并形成母子公司关系的，母公</w:t>
      </w:r>
      <w:r>
        <w:rPr>
          <w:spacing w:val="89"/>
          <w:w w:val="95"/>
        </w:rPr>
        <w:t> </w:t>
      </w:r>
      <w:r>
        <w:rPr>
          <w:spacing w:val="89"/>
          <w:w w:val="95"/>
        </w:rPr>
      </w:r>
      <w:r>
        <w:rPr>
          <w:spacing w:val="-1"/>
          <w:w w:val="95"/>
        </w:rPr>
        <w:t>司编制合并日的合并资产负债表、合并利润表和合并现金流量表。合并资产负债表中被合</w:t>
      </w:r>
      <w:r>
        <w:rPr>
          <w:spacing w:val="87"/>
          <w:w w:val="95"/>
        </w:rPr>
        <w:t> </w:t>
      </w:r>
      <w:r>
        <w:rPr>
          <w:spacing w:val="87"/>
          <w:w w:val="95"/>
        </w:rPr>
      </w:r>
      <w:r>
        <w:rPr>
          <w:spacing w:val="-4"/>
          <w:w w:val="95"/>
        </w:rPr>
        <w:t>并方的各项资产、负债，按其账面价值计量。因被合并方采用的会计政策与合并方不一致，</w:t>
      </w:r>
      <w:r>
        <w:rPr>
          <w:spacing w:val="17"/>
          <w:w w:val="95"/>
        </w:rPr>
        <w:t> </w:t>
      </w:r>
      <w:r>
        <w:rPr>
          <w:spacing w:val="17"/>
          <w:w w:val="95"/>
        </w:rPr>
      </w:r>
      <w:r>
        <w:rPr>
          <w:spacing w:val="-1"/>
          <w:w w:val="95"/>
        </w:rPr>
        <w:t>按照本准则规定进行调整的，以调整后的账面价值计量。合并利润表包括参与合并各方自</w:t>
      </w:r>
      <w:r>
        <w:rPr>
          <w:spacing w:val="86"/>
          <w:w w:val="95"/>
        </w:rPr>
        <w:t> </w:t>
      </w:r>
      <w:r>
        <w:rPr>
          <w:spacing w:val="86"/>
          <w:w w:val="95"/>
        </w:rPr>
      </w:r>
      <w:r>
        <w:rPr>
          <w:spacing w:val="-1"/>
          <w:w w:val="95"/>
        </w:rPr>
        <w:t>合并当期期初至合并日所发生的收入、费用和利润。被合并方在合并前实现的净利润，在</w:t>
      </w:r>
      <w:r>
        <w:rPr>
          <w:spacing w:val="87"/>
          <w:w w:val="95"/>
        </w:rPr>
        <w:t> </w:t>
      </w:r>
      <w:r>
        <w:rPr>
          <w:spacing w:val="87"/>
          <w:w w:val="95"/>
        </w:rPr>
      </w:r>
      <w:r>
        <w:rPr>
          <w:spacing w:val="-1"/>
          <w:w w:val="95"/>
        </w:rPr>
        <w:t>合并利润表中单列项目反映。合并现金流量表包括参与合并各方自合并当期期初至合并日</w:t>
      </w:r>
      <w:r>
        <w:rPr>
          <w:spacing w:val="87"/>
          <w:w w:val="95"/>
        </w:rPr>
        <w:t> </w:t>
      </w:r>
      <w:r>
        <w:rPr>
          <w:spacing w:val="87"/>
          <w:w w:val="95"/>
        </w:rPr>
      </w:r>
      <w:r>
        <w:rPr/>
        <w:t>的现金流量。</w:t>
      </w:r>
    </w:p>
    <w:p>
      <w:pPr>
        <w:spacing w:after="0" w:line="357" w:lineRule="auto"/>
        <w:jc w:val="both"/>
        <w:sectPr>
          <w:footerReference w:type="default" r:id="rId25"/>
          <w:pgSz w:w="11910" w:h="16840"/>
          <w:pgMar w:footer="1590" w:header="0" w:top="1780" w:bottom="1780" w:left="1680" w:right="1680"/>
          <w:pgNumType w:start="74"/>
        </w:sectPr>
      </w:pPr>
    </w:p>
    <w:p>
      <w:pPr>
        <w:spacing w:line="282" w:lineRule="exact" w:before="0"/>
        <w:ind w:left="122" w:right="0" w:firstLine="426"/>
        <w:jc w:val="both"/>
        <w:rPr>
          <w:rFonts w:ascii="宋体" w:hAnsi="宋体" w:cs="宋体" w:eastAsia="宋体" w:hint="default"/>
          <w:sz w:val="21"/>
          <w:szCs w:val="21"/>
        </w:rPr>
      </w:pPr>
      <w:bookmarkStart w:name="6、合并财务报表的编制方法" w:id="24"/>
      <w:bookmarkEnd w:id="24"/>
      <w:r>
        <w:rPr/>
      </w:r>
      <w:bookmarkStart w:name="7、现金及现金等价物的确定标准" w:id="25"/>
      <w:bookmarkEnd w:id="25"/>
      <w:r>
        <w:rPr/>
      </w: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b/>
          <w:bCs/>
          <w:spacing w:val="-13"/>
          <w:sz w:val="21"/>
          <w:szCs w:val="21"/>
        </w:rPr>
        <w:t> </w:t>
      </w:r>
      <w:r>
        <w:rPr>
          <w:rFonts w:ascii="宋体" w:hAnsi="宋体" w:cs="宋体" w:eastAsia="宋体" w:hint="default"/>
          <w:sz w:val="21"/>
          <w:szCs w:val="21"/>
        </w:rPr>
        <w:t>：购买方在购买日为取得对被购买方的控制权而付出的</w:t>
      </w:r>
    </w:p>
    <w:p>
      <w:pPr>
        <w:pStyle w:val="BodyText"/>
        <w:spacing w:line="357" w:lineRule="auto" w:before="109"/>
        <w:ind w:right="232"/>
        <w:jc w:val="both"/>
      </w:pPr>
      <w:r>
        <w:rPr/>
        <w:t>资产、发生或承担的负债以及发行的权益性证券的公允价值加上各项直接相关费用为合并</w:t>
      </w:r>
      <w:r>
        <w:rPr>
          <w:w w:val="99"/>
        </w:rPr>
        <w:t> </w:t>
      </w:r>
      <w:r>
        <w:rPr/>
        <w:t>成本。购买方在购买日对作为企业合并对价付出的资产、发生或承担的负债应当按照公允</w:t>
      </w:r>
      <w:r>
        <w:rPr>
          <w:w w:val="99"/>
        </w:rPr>
        <w:t> </w:t>
      </w:r>
      <w:r>
        <w:rPr/>
        <w:t>价值计量，公允价值与其账面价值的差额，计入当期损益。购买方对合并成本大于合并中</w:t>
      </w:r>
      <w:r>
        <w:rPr>
          <w:w w:val="99"/>
        </w:rPr>
        <w:t> </w:t>
      </w:r>
      <w:r>
        <w:rPr/>
        <w:t>取得的被购买方可辨认净资产公允价值份额的差额，确认为商誉。购买方对合并成本小于</w:t>
      </w:r>
      <w:r>
        <w:rPr>
          <w:w w:val="99"/>
        </w:rPr>
        <w:t> </w:t>
      </w:r>
      <w:r>
        <w:rPr/>
        <w:t>合并中取得的被购买方可辨认净资产公允价值份额的时，对取得的被购买方各项可辨认资</w:t>
      </w:r>
      <w:r>
        <w:rPr>
          <w:w w:val="99"/>
        </w:rPr>
        <w:t> </w:t>
      </w:r>
      <w:r>
        <w:rPr/>
        <w:t>产、负债及或有负债的公允价值以及合并成本的计量进行复核；经复核后合并成本仍小于</w:t>
      </w:r>
      <w:r>
        <w:rPr>
          <w:w w:val="99"/>
        </w:rPr>
        <w:t> </w:t>
      </w:r>
      <w:r>
        <w:rPr/>
        <w:t>合并中取得的被购买方可辨认净资产公允价值份额的，其差额应当计入当期损益。企业合</w:t>
      </w:r>
      <w:r>
        <w:rPr>
          <w:w w:val="99"/>
        </w:rPr>
        <w:t> </w:t>
      </w:r>
      <w:r>
        <w:rPr/>
        <w:t>并形成母子公司关系的，母公司编制购买日的合并资产负债表，因企业合并取得的被购买</w:t>
      </w:r>
      <w:r>
        <w:rPr>
          <w:w w:val="99"/>
        </w:rPr>
        <w:t> </w:t>
      </w:r>
      <w:r>
        <w:rPr/>
        <w:t>方各项可辨认资产、负债及或有负债以公允价值列示。</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50" w:lineRule="auto" w:before="109"/>
        <w:ind w:right="232" w:firstLine="420"/>
        <w:jc w:val="both"/>
      </w:pPr>
      <w:r>
        <w:rPr>
          <w:rFonts w:ascii="Times New Roman" w:hAnsi="Times New Roman" w:cs="Times New Roman" w:eastAsia="Times New Roman" w:hint="default"/>
        </w:rPr>
        <w:t>A</w:t>
      </w:r>
      <w:r>
        <w:rPr/>
        <w:t>、合并财务报表以本公司和纳入合并财务报表范围的各子公司的财务报表及其他有</w:t>
      </w:r>
      <w:r>
        <w:rPr>
          <w:w w:val="99"/>
        </w:rPr>
        <w:t> </w:t>
      </w:r>
      <w:r>
        <w:rPr/>
        <w:t>关资料为合并依据，按照权益法调整对子公司的长期股权投资，将本公司和纳入合并财务</w:t>
      </w:r>
      <w:r>
        <w:rPr>
          <w:w w:val="99"/>
        </w:rPr>
        <w:t> </w:t>
      </w:r>
      <w:r>
        <w:rPr/>
        <w:t>报表范围的各子公司之间的投资、交易及往来等全部抵销，并计算少数股东损益及少数股</w:t>
      </w:r>
      <w:r>
        <w:rPr>
          <w:w w:val="99"/>
        </w:rPr>
        <w:t> </w:t>
      </w:r>
      <w:r>
        <w:rPr/>
        <w:t>东权益后合并编制而成。</w:t>
      </w:r>
    </w:p>
    <w:p>
      <w:pPr>
        <w:pStyle w:val="BodyText"/>
        <w:spacing w:line="336" w:lineRule="auto" w:before="36"/>
        <w:ind w:right="134" w:firstLine="420"/>
        <w:jc w:val="both"/>
      </w:pPr>
      <w:r>
        <w:rPr>
          <w:rFonts w:ascii="Times New Roman" w:hAnsi="Times New Roman" w:cs="Times New Roman" w:eastAsia="Times New Roman" w:hint="default"/>
          <w:w w:val="95"/>
        </w:rPr>
        <w:t>B</w:t>
      </w:r>
      <w:r>
        <w:rPr>
          <w:w w:val="95"/>
        </w:rPr>
        <w:t>、合并时，如纳入合并范围的子公司与本公司会计政策不一致，按本公司执行的会计</w:t>
      </w:r>
      <w:r>
        <w:rPr>
          <w:w w:val="99"/>
        </w:rPr>
        <w:t> </w:t>
      </w:r>
      <w:r>
        <w:rPr/>
        <w:t>政策对其进行调整后合并。</w:t>
      </w:r>
    </w:p>
    <w:p>
      <w:pPr>
        <w:pStyle w:val="BodyText"/>
        <w:spacing w:line="336" w:lineRule="auto" w:before="51"/>
        <w:ind w:right="134" w:firstLine="420"/>
        <w:jc w:val="both"/>
      </w:pPr>
      <w:r>
        <w:rPr>
          <w:rFonts w:ascii="Times New Roman" w:hAnsi="Times New Roman" w:cs="Times New Roman" w:eastAsia="Times New Roman" w:hint="default"/>
          <w:w w:val="95"/>
        </w:rPr>
        <w:t>C</w:t>
      </w:r>
      <w:r>
        <w:rPr>
          <w:w w:val="95"/>
        </w:rPr>
        <w:t>、对于同一控制下企业合并取得的子公司，视同该企业合并于合并当期的期初已经发</w:t>
      </w:r>
      <w:r>
        <w:rPr>
          <w:w w:val="99"/>
        </w:rPr>
        <w:t> </w:t>
      </w:r>
      <w:r>
        <w:rPr/>
        <w:t>生，从合并当期的期初起将其资产、负债、经营成果和现金流量纳入合并财务报表。</w:t>
      </w:r>
    </w:p>
    <w:p>
      <w:pPr>
        <w:pStyle w:val="BodyText"/>
        <w:spacing w:line="336" w:lineRule="auto" w:before="49"/>
        <w:ind w:right="284" w:firstLine="408"/>
        <w:jc w:val="left"/>
      </w:pPr>
      <w:r>
        <w:rPr>
          <w:rFonts w:ascii="Times New Roman" w:hAnsi="Times New Roman" w:cs="Times New Roman" w:eastAsia="Times New Roman" w:hint="default"/>
        </w:rPr>
        <w:t>D</w:t>
      </w:r>
      <w:r>
        <w:rPr/>
        <w:t>、同一控制下的企业合并事项的，被重组方合并前的净损益应计入非经常性损益，</w:t>
      </w:r>
      <w:r>
        <w:rPr>
          <w:w w:val="99"/>
        </w:rPr>
        <w:t> </w:t>
      </w:r>
      <w:r>
        <w:rPr/>
        <w:t>并在申报财务报表中单独列示。</w:t>
      </w:r>
    </w:p>
    <w:p>
      <w:pPr>
        <w:pStyle w:val="BodyText"/>
        <w:spacing w:line="345" w:lineRule="auto" w:before="51"/>
        <w:ind w:right="134" w:firstLine="420"/>
        <w:jc w:val="both"/>
      </w:pPr>
      <w:r>
        <w:rPr>
          <w:rFonts w:ascii="Times New Roman" w:hAnsi="Times New Roman" w:cs="Times New Roman" w:eastAsia="Times New Roman" w:hint="default"/>
          <w:w w:val="95"/>
        </w:rPr>
        <w:t>E</w:t>
      </w:r>
      <w:r>
        <w:rPr>
          <w:w w:val="95"/>
        </w:rPr>
        <w:t>、重组属于同一公司控制权人下的非企业合并事项，但被重组方重组前一个会计年度</w:t>
      </w:r>
      <w:r>
        <w:rPr>
          <w:w w:val="99"/>
        </w:rPr>
        <w:t> </w:t>
      </w:r>
      <w:r>
        <w:rPr/>
        <w:t>末的资产总额或前一个会计年度的营业收入或利润总额达到或超过重组前发行人相应项</w:t>
      </w:r>
      <w:r>
        <w:rPr>
          <w:spacing w:val="-34"/>
        </w:rPr>
        <w:t> </w:t>
      </w:r>
      <w:r>
        <w:rPr/>
        <w:t>目</w:t>
      </w:r>
      <w:r>
        <w:rPr>
          <w:spacing w:val="-97"/>
        </w:rPr>
        <w:t> </w:t>
      </w:r>
      <w:r>
        <w:rPr>
          <w:spacing w:val="-97"/>
        </w:rPr>
      </w:r>
      <w:r>
        <w:rPr>
          <w:rFonts w:ascii="Times New Roman" w:hAnsi="Times New Roman" w:cs="Times New Roman" w:eastAsia="Times New Roman" w:hint="default"/>
        </w:rPr>
        <w:t>20%</w:t>
      </w:r>
      <w:r>
        <w:rPr/>
        <w:t>的，从合并当期的期初起编制备考利润表。</w:t>
      </w:r>
    </w:p>
    <w:p>
      <w:pPr>
        <w:pStyle w:val="BodyText"/>
        <w:spacing w:line="338" w:lineRule="auto" w:before="15"/>
        <w:ind w:right="109" w:firstLine="420"/>
        <w:jc w:val="left"/>
      </w:pPr>
      <w:r>
        <w:rPr>
          <w:rFonts w:ascii="Times New Roman" w:hAnsi="Times New Roman" w:cs="Times New Roman" w:eastAsia="Times New Roman" w:hint="default"/>
          <w:spacing w:val="2"/>
          <w:w w:val="95"/>
        </w:rPr>
        <w:t>F</w:t>
      </w:r>
      <w:r>
        <w:rPr>
          <w:spacing w:val="2"/>
          <w:w w:val="95"/>
        </w:rPr>
        <w:t>、对于因非同一控制下企业合并取得的子公司，在编制合并报表时，以购买日可辨</w:t>
      </w:r>
      <w:r>
        <w:rPr>
          <w:w w:val="99"/>
        </w:rPr>
        <w:t> </w:t>
      </w:r>
      <w:r>
        <w:rPr/>
        <w:t>认净资产公允价值为基础对个别财务报表进行调整。</w:t>
      </w:r>
    </w:p>
    <w:p>
      <w:pPr>
        <w:spacing w:line="240" w:lineRule="auto" w:before="2"/>
        <w:rPr>
          <w:rFonts w:ascii="宋体" w:hAnsi="宋体" w:cs="宋体" w:eastAsia="宋体" w:hint="default"/>
          <w:sz w:val="26"/>
          <w:szCs w:val="26"/>
        </w:rPr>
      </w:pPr>
    </w:p>
    <w:p>
      <w:pPr>
        <w:spacing w:line="312" w:lineRule="auto" w:before="0"/>
        <w:ind w:left="542" w:right="2944"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现金是指本公司的库存现金以及随时用于支付的存款。</w:t>
      </w:r>
    </w:p>
    <w:p>
      <w:pPr>
        <w:pStyle w:val="BodyText"/>
        <w:spacing w:line="357" w:lineRule="auto" w:before="70"/>
        <w:ind w:right="206" w:firstLine="420"/>
        <w:jc w:val="both"/>
      </w:pPr>
      <w:r>
        <w:rPr>
          <w:spacing w:val="-2"/>
          <w:w w:val="98"/>
        </w:rPr>
        <w:t>现金等价物为本公司持有的期限短（一般是指从购买日起三个月内到期）、流动性强、</w:t>
      </w:r>
      <w:r>
        <w:rPr>
          <w:w w:val="61"/>
        </w:rPr>
        <w:t> </w:t>
      </w:r>
      <w:r>
        <w:rPr/>
        <w:t>易于转换为已知金额现金且价值变动风险很小的投资。</w:t>
      </w:r>
    </w:p>
    <w:p>
      <w:pPr>
        <w:spacing w:after="0" w:line="357" w:lineRule="auto"/>
        <w:jc w:val="both"/>
        <w:sectPr>
          <w:pgSz w:w="11910" w:h="16840"/>
          <w:pgMar w:header="0" w:footer="1590" w:top="1780" w:bottom="1780" w:left="1680" w:right="1680"/>
        </w:sectPr>
      </w:pPr>
    </w:p>
    <w:p>
      <w:pPr>
        <w:spacing w:line="240" w:lineRule="auto" w:before="11"/>
        <w:rPr>
          <w:rFonts w:ascii="宋体" w:hAnsi="宋体" w:cs="宋体" w:eastAsia="宋体" w:hint="default"/>
          <w:sz w:val="23"/>
          <w:szCs w:val="23"/>
        </w:rPr>
      </w:pPr>
    </w:p>
    <w:p>
      <w:pPr>
        <w:pStyle w:val="Heading4"/>
        <w:spacing w:line="333" w:lineRule="exact"/>
        <w:ind w:right="0"/>
        <w:jc w:val="both"/>
        <w:rPr>
          <w:b w:val="0"/>
          <w:bCs w:val="0"/>
        </w:rPr>
      </w:pPr>
      <w:bookmarkStart w:name="8、外币业务和外币报表折算" w:id="26"/>
      <w:bookmarkEnd w:id="26"/>
      <w:r>
        <w:rPr>
          <w:b w:val="0"/>
          <w:bCs w:val="0"/>
        </w:rPr>
      </w:r>
      <w:bookmarkStart w:name="9、金融工具" w:id="27"/>
      <w:bookmarkEnd w:id="27"/>
      <w:r>
        <w:rPr>
          <w:b w:val="0"/>
          <w:bCs w:val="0"/>
        </w:rPr>
      </w:r>
      <w:r>
        <w:rPr>
          <w:rFonts w:ascii="Times New Roman" w:hAnsi="Times New Roman" w:cs="Times New Roman" w:eastAsia="Times New Roman" w:hint="default"/>
        </w:rPr>
        <w:t>8</w:t>
      </w:r>
      <w:r>
        <w:rPr/>
        <w:t>、外币业务和外币报表折算</w:t>
      </w:r>
      <w:r>
        <w:rPr>
          <w:b w:val="0"/>
          <w:bCs w:val="0"/>
        </w:rPr>
      </w:r>
    </w:p>
    <w:p>
      <w:pPr>
        <w:pStyle w:val="BodyText"/>
        <w:spacing w:line="336" w:lineRule="auto" w:before="109"/>
        <w:ind w:left="542" w:right="109"/>
        <w:jc w:val="left"/>
      </w:pPr>
      <w:r>
        <w:rPr>
          <w:rFonts w:ascii="Times New Roman" w:hAnsi="Times New Roman" w:cs="Times New Roman" w:eastAsia="Times New Roman" w:hint="default"/>
        </w:rPr>
        <w:t>A</w:t>
      </w:r>
      <w:r>
        <w:rPr/>
        <w:t>、外币业务核算方法</w:t>
      </w:r>
      <w:r>
        <w:rPr>
          <w:w w:val="99"/>
        </w:rPr>
        <w:t> </w:t>
      </w:r>
      <w:r>
        <w:rPr>
          <w:w w:val="95"/>
        </w:rPr>
        <w:t>本公司外币交易均按交易发生日的即期近似汇率折算为记账本位币。该即期近似汇率</w:t>
      </w:r>
      <w:r>
        <w:rPr/>
      </w:r>
    </w:p>
    <w:p>
      <w:pPr>
        <w:pStyle w:val="BodyText"/>
        <w:spacing w:line="355" w:lineRule="auto" w:before="49"/>
        <w:ind w:left="542" w:right="109" w:hanging="420"/>
        <w:jc w:val="left"/>
      </w:pPr>
      <w:r>
        <w:rPr/>
        <w:t>指交易发生日当月月初的汇率。</w:t>
      </w:r>
      <w:r>
        <w:rPr>
          <w:w w:val="99"/>
        </w:rPr>
        <w:t> </w:t>
      </w:r>
      <w:r>
        <w:rPr>
          <w:spacing w:val="5"/>
          <w:w w:val="95"/>
        </w:rPr>
        <w:t>在资产负债表日，应当按照下列规定对外币货币性项目和外币非货币性项目进行处</w:t>
      </w:r>
      <w:r>
        <w:rPr>
          <w:spacing w:val="5"/>
        </w:rPr>
      </w:r>
    </w:p>
    <w:p>
      <w:pPr>
        <w:pStyle w:val="BodyText"/>
        <w:spacing w:line="240" w:lineRule="auto" w:before="32"/>
        <w:ind w:right="0"/>
        <w:jc w:val="both"/>
      </w:pPr>
      <w:r>
        <w:rPr/>
        <w:t>理：</w:t>
      </w:r>
    </w:p>
    <w:p>
      <w:pPr>
        <w:pStyle w:val="BodyText"/>
        <w:spacing w:line="338" w:lineRule="auto" w:before="133"/>
        <w:ind w:right="109" w:firstLine="420"/>
        <w:jc w:val="left"/>
      </w:pPr>
      <w:r>
        <w:rPr>
          <w:rFonts w:ascii="Times New Roman" w:hAnsi="Times New Roman" w:cs="Times New Roman" w:eastAsia="Times New Roman" w:hint="default"/>
          <w:spacing w:val="-2"/>
          <w:w w:val="95"/>
        </w:rPr>
        <w:t>a</w:t>
      </w:r>
      <w:r>
        <w:rPr>
          <w:spacing w:val="-2"/>
          <w:w w:val="95"/>
        </w:rPr>
        <w:t>、外币货币性项目，采用资产负债表日即期汇率折算。因资产负债表日即期汇率与初</w:t>
      </w:r>
      <w:r>
        <w:rPr>
          <w:w w:val="99"/>
        </w:rPr>
        <w:t> </w:t>
      </w:r>
      <w:r>
        <w:rPr/>
        <w:t>始确认时或前一资产负债表日即期汇率不同而产生的汇兑差额，计入当期损益。</w:t>
      </w:r>
    </w:p>
    <w:p>
      <w:pPr>
        <w:pStyle w:val="BodyText"/>
        <w:spacing w:line="336" w:lineRule="auto" w:before="47"/>
        <w:ind w:right="109" w:firstLine="420"/>
        <w:jc w:val="left"/>
      </w:pPr>
      <w:r>
        <w:rPr>
          <w:rFonts w:ascii="Times New Roman" w:hAnsi="Times New Roman" w:cs="Times New Roman" w:eastAsia="Times New Roman" w:hint="default"/>
          <w:spacing w:val="2"/>
          <w:w w:val="95"/>
        </w:rPr>
        <w:t>b</w:t>
      </w:r>
      <w:r>
        <w:rPr>
          <w:spacing w:val="2"/>
          <w:w w:val="95"/>
        </w:rPr>
        <w:t>、以历史成本计量的外币非货币性项目，仍采用交易发生日的即期汇率折算，不改</w:t>
      </w:r>
      <w:r>
        <w:rPr>
          <w:w w:val="99"/>
        </w:rPr>
        <w:t> </w:t>
      </w:r>
      <w:r>
        <w:rPr/>
        <w:t>变其记账本位币金额。</w:t>
      </w:r>
    </w:p>
    <w:p>
      <w:pPr>
        <w:pStyle w:val="BodyText"/>
        <w:spacing w:line="338" w:lineRule="auto" w:before="49"/>
        <w:ind w:right="109" w:firstLine="420"/>
        <w:jc w:val="left"/>
      </w:pPr>
      <w:r>
        <w:rPr>
          <w:rFonts w:ascii="Times New Roman" w:hAnsi="Times New Roman" w:cs="Times New Roman" w:eastAsia="Times New Roman" w:hint="default"/>
          <w:w w:val="95"/>
        </w:rPr>
        <w:t>c</w:t>
      </w:r>
      <w:r>
        <w:rPr>
          <w:w w:val="95"/>
        </w:rPr>
        <w:t>、以公允价值计量的外币非货币性项目，采用公允价值确定日的即期汇率折算，折算</w:t>
      </w:r>
      <w:r>
        <w:rPr>
          <w:w w:val="99"/>
        </w:rPr>
        <w:t> </w:t>
      </w:r>
      <w:r>
        <w:rPr>
          <w:spacing w:val="-2"/>
          <w:w w:val="95"/>
        </w:rPr>
        <w:t>后的记账本位币金额与原记账本位币金额的差额，作为公允价值变动处理，计入当期损益。</w:t>
      </w:r>
      <w:r>
        <w:rPr>
          <w:spacing w:val="-2"/>
        </w:rPr>
      </w:r>
    </w:p>
    <w:p>
      <w:pPr>
        <w:pStyle w:val="BodyText"/>
        <w:spacing w:line="336" w:lineRule="auto" w:before="47"/>
        <w:ind w:left="542" w:right="109"/>
        <w:jc w:val="left"/>
      </w:pPr>
      <w:r>
        <w:rPr>
          <w:rFonts w:ascii="Times New Roman" w:hAnsi="Times New Roman" w:cs="Times New Roman" w:eastAsia="Times New Roman" w:hint="default"/>
        </w:rPr>
        <w:t>B</w:t>
      </w:r>
      <w:r>
        <w:rPr/>
        <w:t>、外币财务报表的折算方法</w:t>
      </w:r>
      <w:r>
        <w:rPr>
          <w:w w:val="99"/>
        </w:rPr>
        <w:t> </w:t>
      </w:r>
      <w:r>
        <w:rPr>
          <w:w w:val="95"/>
        </w:rPr>
        <w:t>以外币为本位币的子公司，在编制折合人民币财务报表时，采用现行汇率法，即所有</w:t>
      </w:r>
      <w:r>
        <w:rPr/>
      </w:r>
    </w:p>
    <w:p>
      <w:pPr>
        <w:pStyle w:val="BodyText"/>
        <w:spacing w:line="350" w:lineRule="auto" w:before="49"/>
        <w:ind w:right="232"/>
        <w:jc w:val="both"/>
      </w:pPr>
      <w:r>
        <w:rPr/>
        <w:t>资产、负债及损益类项目按照合并会计报表决算日的市场汇率折算为母公司记账本位币，</w:t>
      </w:r>
      <w:r>
        <w:rPr>
          <w:w w:val="99"/>
        </w:rPr>
        <w:t> </w:t>
      </w:r>
      <w:r>
        <w:rPr>
          <w:spacing w:val="-2"/>
          <w:w w:val="98"/>
        </w:rPr>
        <w:t>所有者权益类项目除</w:t>
      </w:r>
      <w:r>
        <w:rPr>
          <w:rFonts w:ascii="Times New Roman" w:hAnsi="Times New Roman" w:cs="Times New Roman" w:eastAsia="Times New Roman" w:hint="default"/>
          <w:spacing w:val="-2"/>
          <w:w w:val="98"/>
        </w:rPr>
        <w:t>“</w:t>
      </w:r>
      <w:r>
        <w:rPr>
          <w:spacing w:val="-2"/>
          <w:w w:val="98"/>
        </w:rPr>
        <w:t>未分配利润</w:t>
      </w:r>
      <w:r>
        <w:rPr>
          <w:rFonts w:ascii="Times New Roman" w:hAnsi="Times New Roman" w:cs="Times New Roman" w:eastAsia="Times New Roman" w:hint="default"/>
          <w:spacing w:val="-2"/>
          <w:w w:val="98"/>
        </w:rPr>
        <w:t>”</w:t>
      </w:r>
      <w:r>
        <w:rPr>
          <w:spacing w:val="-2"/>
          <w:w w:val="98"/>
        </w:rPr>
        <w:t>项目外，均按照发生时的市场汇率折算为母公司本位币。</w:t>
      </w:r>
      <w:r>
        <w:rPr>
          <w:spacing w:val="-71"/>
          <w:w w:val="98"/>
        </w:rPr>
        <w:t> </w:t>
      </w:r>
      <w:r>
        <w:rPr>
          <w:spacing w:val="-71"/>
          <w:w w:val="98"/>
        </w:rPr>
      </w:r>
      <w:r>
        <w:rPr/>
        <w:t>由于折算汇率不同产生的折算差额，在折合人民币资产负债表所有者权益类设外币报表折</w:t>
      </w:r>
      <w:r>
        <w:rPr>
          <w:w w:val="99"/>
        </w:rPr>
        <w:t> </w:t>
      </w:r>
      <w:r>
        <w:rPr/>
        <w:t>算差额项目反映。</w:t>
      </w:r>
    </w:p>
    <w:p>
      <w:pPr>
        <w:spacing w:line="240" w:lineRule="auto" w:before="5"/>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pStyle w:val="BodyText"/>
        <w:spacing w:line="336" w:lineRule="auto" w:before="111"/>
        <w:ind w:left="542" w:right="214"/>
        <w:jc w:val="left"/>
      </w:pPr>
      <w:r>
        <w:rPr>
          <w:rFonts w:ascii="Times New Roman" w:hAnsi="Times New Roman" w:cs="Times New Roman" w:eastAsia="Times New Roman" w:hint="default"/>
        </w:rPr>
        <w:t>A</w:t>
      </w:r>
      <w:r>
        <w:rPr/>
        <w:t>、金融资产的分类：</w:t>
      </w:r>
      <w:r>
        <w:rPr>
          <w:w w:val="99"/>
        </w:rPr>
        <w:t> </w:t>
      </w:r>
      <w:r>
        <w:rPr/>
        <w:t>金融资产分为以公允价值计量且其变动计入当期损益的金融资产（包括交易性金融资</w:t>
      </w:r>
    </w:p>
    <w:p>
      <w:pPr>
        <w:pStyle w:val="BodyText"/>
        <w:spacing w:line="355" w:lineRule="auto" w:before="49"/>
        <w:ind w:right="109"/>
        <w:jc w:val="left"/>
      </w:pPr>
      <w:r>
        <w:rPr>
          <w:spacing w:val="-5"/>
          <w:w w:val="99"/>
        </w:rPr>
        <w:t>产和指定为以公允价值计量且其变动计入当期损益的金融资产）、持有至到期投资、贷款和</w:t>
      </w:r>
      <w:r>
        <w:rPr>
          <w:spacing w:val="-65"/>
          <w:w w:val="99"/>
        </w:rPr>
        <w:t> </w:t>
      </w:r>
      <w:r>
        <w:rPr>
          <w:spacing w:val="-65"/>
          <w:w w:val="99"/>
        </w:rPr>
      </w:r>
      <w:r>
        <w:rPr/>
        <w:t>应收款项、可供出售金融资产等四类。</w:t>
      </w:r>
    </w:p>
    <w:p>
      <w:pPr>
        <w:pStyle w:val="BodyText"/>
        <w:spacing w:line="336" w:lineRule="auto" w:before="32"/>
        <w:ind w:left="542" w:right="109"/>
        <w:jc w:val="left"/>
      </w:pPr>
      <w:r>
        <w:rPr>
          <w:rFonts w:ascii="Times New Roman" w:hAnsi="Times New Roman" w:cs="Times New Roman" w:eastAsia="Times New Roman" w:hint="default"/>
        </w:rPr>
        <w:t>B</w:t>
      </w:r>
      <w:r>
        <w:rPr/>
        <w:t>、金融资产的计量：</w:t>
      </w:r>
      <w:r>
        <w:rPr>
          <w:w w:val="99"/>
        </w:rPr>
        <w:t> </w:t>
      </w:r>
      <w:r>
        <w:rPr>
          <w:rFonts w:ascii="Times New Roman" w:hAnsi="Times New Roman" w:cs="Times New Roman" w:eastAsia="Times New Roman" w:hint="default"/>
          <w:spacing w:val="-2"/>
          <w:w w:val="95"/>
        </w:rPr>
        <w:t>a</w:t>
      </w:r>
      <w:r>
        <w:rPr>
          <w:spacing w:val="-2"/>
          <w:w w:val="95"/>
        </w:rPr>
        <w:t>、初始确认金融资产按照公允价值计量。对于以公允价值计量且其变动计入当期损益</w:t>
      </w:r>
      <w:r>
        <w:rPr>
          <w:spacing w:val="-2"/>
        </w:rPr>
      </w:r>
    </w:p>
    <w:p>
      <w:pPr>
        <w:pStyle w:val="BodyText"/>
        <w:spacing w:line="355" w:lineRule="auto" w:before="26"/>
        <w:ind w:right="214"/>
        <w:jc w:val="left"/>
      </w:pPr>
      <w:r>
        <w:rPr/>
        <w:t>的金融资产，相关交易费用应当直接计入当期损益；对于其他类别的金融资产，相关交易</w:t>
      </w:r>
      <w:r>
        <w:rPr>
          <w:w w:val="99"/>
        </w:rPr>
        <w:t> </w:t>
      </w:r>
      <w:r>
        <w:rPr/>
        <w:t>费用应当计入初始确认金额。</w:t>
      </w:r>
    </w:p>
    <w:p>
      <w:pPr>
        <w:pStyle w:val="BodyText"/>
        <w:spacing w:line="336" w:lineRule="auto" w:before="32"/>
        <w:ind w:right="109" w:firstLine="420"/>
        <w:jc w:val="left"/>
      </w:pPr>
      <w:r>
        <w:rPr>
          <w:rFonts w:ascii="Times New Roman" w:hAnsi="Times New Roman" w:cs="Times New Roman" w:eastAsia="Times New Roman" w:hint="default"/>
          <w:spacing w:val="-2"/>
          <w:w w:val="95"/>
        </w:rPr>
        <w:t>b</w:t>
      </w:r>
      <w:r>
        <w:rPr>
          <w:spacing w:val="-2"/>
          <w:w w:val="95"/>
        </w:rPr>
        <w:t>、本公司按照公允价值对金融资产进行后续计量，且不扣除将来处置该金融资产时可</w:t>
      </w:r>
      <w:r>
        <w:rPr>
          <w:w w:val="99"/>
        </w:rPr>
        <w:t> </w:t>
      </w:r>
      <w:r>
        <w:rPr/>
        <w:t>能发生的交易费用。但是，下列情况除外：</w:t>
      </w:r>
    </w:p>
    <w:p>
      <w:pPr>
        <w:pStyle w:val="BodyText"/>
        <w:spacing w:line="240" w:lineRule="auto" w:before="51"/>
        <w:ind w:left="542" w:right="1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持有至到期投资以及贷款和应收款项，采用实际利率法，按摊余成本计量。</w:t>
      </w:r>
    </w:p>
    <w:p>
      <w:pPr>
        <w:spacing w:after="0" w:line="240" w:lineRule="auto"/>
        <w:jc w:val="left"/>
        <w:sectPr>
          <w:pgSz w:w="11910" w:h="16840"/>
          <w:pgMar w:header="0" w:footer="1590" w:top="1780" w:bottom="1780" w:left="1680" w:right="1680"/>
        </w:sectPr>
      </w:pPr>
    </w:p>
    <w:p>
      <w:pPr>
        <w:pStyle w:val="BodyText"/>
        <w:spacing w:line="274" w:lineRule="exact"/>
        <w:ind w:left="542" w:right="10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在活跃市场中没有报价且其公允价值不能可靠计量的权益工具投资，以及与该权益</w:t>
      </w:r>
    </w:p>
    <w:p>
      <w:pPr>
        <w:pStyle w:val="BodyText"/>
        <w:spacing w:line="343" w:lineRule="auto" w:before="117"/>
        <w:ind w:left="542" w:right="109" w:hanging="420"/>
        <w:jc w:val="left"/>
      </w:pPr>
      <w:r>
        <w:rPr/>
        <w:t>工具挂钩并须通过交付该权益工具结算的衍生金融资产，按照成本计量。</w:t>
      </w:r>
      <w:r>
        <w:rPr>
          <w:w w:val="99"/>
        </w:rPr>
        <w:t> </w:t>
      </w:r>
      <w:r>
        <w:rPr>
          <w:rFonts w:ascii="Times New Roman" w:hAnsi="Times New Roman" w:cs="Times New Roman" w:eastAsia="Times New Roman" w:hint="default"/>
        </w:rPr>
        <w:t>C</w:t>
      </w:r>
      <w:r>
        <w:rPr/>
        <w:t>、金融资产公允价值的确定：</w:t>
      </w:r>
      <w:r>
        <w:rPr>
          <w:w w:val="99"/>
        </w:rPr>
        <w:t> </w:t>
      </w:r>
      <w:r>
        <w:rPr>
          <w:rFonts w:ascii="Times New Roman" w:hAnsi="Times New Roman" w:cs="Times New Roman" w:eastAsia="Times New Roman" w:hint="default"/>
        </w:rPr>
        <w:t>a</w:t>
      </w:r>
      <w:r>
        <w:rPr/>
        <w:t>、存在活跃市场的金融资产，将活跃市场中的报价确定为公允价值；</w:t>
      </w:r>
      <w:r>
        <w:rPr>
          <w:w w:val="99"/>
        </w:rPr>
        <w:t> </w:t>
      </w:r>
      <w:r>
        <w:rPr>
          <w:rFonts w:ascii="Times New Roman" w:hAnsi="Times New Roman" w:cs="Times New Roman" w:eastAsia="Times New Roman" w:hint="default"/>
          <w:spacing w:val="-2"/>
          <w:w w:val="95"/>
        </w:rPr>
        <w:t>b</w:t>
      </w:r>
      <w:r>
        <w:rPr>
          <w:spacing w:val="-2"/>
          <w:w w:val="95"/>
        </w:rPr>
        <w:t>、金融资产不存在活跃市场的，采用估值技术确定公允价值。采用估值技术得出的结</w:t>
      </w:r>
      <w:r>
        <w:rPr>
          <w:spacing w:val="-2"/>
        </w:rPr>
      </w:r>
    </w:p>
    <w:p>
      <w:pPr>
        <w:pStyle w:val="BodyText"/>
        <w:spacing w:line="240" w:lineRule="auto" w:before="17"/>
        <w:ind w:right="109"/>
        <w:jc w:val="left"/>
      </w:pPr>
      <w:r>
        <w:rPr/>
        <w:t>果，反映估值日在公平交易中可能采用的交易价格。</w:t>
      </w:r>
    </w:p>
    <w:p>
      <w:pPr>
        <w:pStyle w:val="BodyText"/>
        <w:spacing w:line="336" w:lineRule="auto" w:before="133"/>
        <w:ind w:left="542" w:right="214"/>
        <w:jc w:val="left"/>
      </w:pPr>
      <w:r>
        <w:rPr>
          <w:rFonts w:ascii="Times New Roman" w:hAnsi="Times New Roman" w:cs="Times New Roman" w:eastAsia="Times New Roman" w:hint="default"/>
        </w:rPr>
        <w:t>D</w:t>
      </w:r>
      <w:r>
        <w:rPr/>
        <w:t>、金融资产转移：</w:t>
      </w:r>
      <w:r>
        <w:rPr>
          <w:w w:val="99"/>
        </w:rPr>
        <w:t> </w:t>
      </w:r>
      <w:r>
        <w:rPr/>
        <w:t>本公司于将金融资产所有权上几乎所有的风险和报酬转移给转入方或已放弃对该金融</w:t>
      </w:r>
    </w:p>
    <w:p>
      <w:pPr>
        <w:pStyle w:val="BodyText"/>
        <w:spacing w:line="240" w:lineRule="auto" w:before="49"/>
        <w:ind w:right="109"/>
        <w:jc w:val="left"/>
      </w:pPr>
      <w:r>
        <w:rPr/>
        <w:t>资产的控制时，终止确认该金融资产。</w:t>
      </w:r>
    </w:p>
    <w:p>
      <w:pPr>
        <w:pStyle w:val="BodyText"/>
        <w:spacing w:line="338" w:lineRule="auto" w:before="133"/>
        <w:ind w:left="542" w:right="214"/>
        <w:jc w:val="left"/>
      </w:pPr>
      <w:r>
        <w:rPr>
          <w:rFonts w:ascii="Times New Roman" w:hAnsi="Times New Roman" w:cs="Times New Roman" w:eastAsia="Times New Roman" w:hint="default"/>
        </w:rPr>
        <w:t>E</w:t>
      </w:r>
      <w:r>
        <w:rPr/>
        <w:t>、金融资产减值：</w:t>
      </w:r>
      <w:r>
        <w:rPr>
          <w:w w:val="99"/>
        </w:rPr>
        <w:t> </w:t>
      </w:r>
      <w:r>
        <w:rPr/>
        <w:t>在资产负债表日对以公允价值计量且其变动计入当期损益的金融资产以外的金融资产</w:t>
      </w:r>
    </w:p>
    <w:p>
      <w:pPr>
        <w:pStyle w:val="BodyText"/>
        <w:spacing w:line="355" w:lineRule="auto" w:before="47"/>
        <w:ind w:right="214"/>
        <w:jc w:val="left"/>
      </w:pPr>
      <w:r>
        <w:rPr/>
        <w:t>的账面价值进行检查，有客观证据表明该金融资产发生减值的，计提减值准备。金融资产</w:t>
      </w:r>
      <w:r>
        <w:rPr>
          <w:w w:val="99"/>
        </w:rPr>
        <w:t> </w:t>
      </w:r>
      <w:r>
        <w:rPr/>
        <w:t>发生减值的客观证据，包括下列各项：</w:t>
      </w:r>
    </w:p>
    <w:p>
      <w:pPr>
        <w:pStyle w:val="BodyText"/>
        <w:spacing w:line="338" w:lineRule="auto" w:before="32"/>
        <w:ind w:left="542" w:right="109"/>
        <w:jc w:val="left"/>
      </w:pPr>
      <w:r>
        <w:rPr>
          <w:rFonts w:ascii="Times New Roman" w:hAnsi="Times New Roman" w:cs="Times New Roman" w:eastAsia="Times New Roman" w:hint="default"/>
        </w:rPr>
        <w:t>a</w:t>
      </w:r>
      <w:r>
        <w:rPr/>
        <w:t>、发行方或债务人发生严重财务困难；</w:t>
      </w:r>
      <w:r>
        <w:rPr>
          <w:w w:val="99"/>
        </w:rPr>
        <w:t> </w:t>
      </w:r>
      <w:r>
        <w:rPr>
          <w:rFonts w:ascii="Times New Roman" w:hAnsi="Times New Roman" w:cs="Times New Roman" w:eastAsia="Times New Roman" w:hint="default"/>
        </w:rPr>
        <w:t>b</w:t>
      </w:r>
      <w:r>
        <w:rPr/>
        <w:t>、债务人违反了合同条款，如偿付利息或本金发生违约或逾期等；</w:t>
      </w:r>
      <w:r>
        <w:rPr>
          <w:w w:val="99"/>
        </w:rPr>
        <w:t> </w:t>
      </w:r>
      <w:r>
        <w:rPr>
          <w:rFonts w:ascii="Times New Roman" w:hAnsi="Times New Roman" w:cs="Times New Roman" w:eastAsia="Times New Roman" w:hint="default"/>
        </w:rPr>
        <w:t>c</w:t>
      </w:r>
      <w:r>
        <w:rPr/>
        <w:t>、本公司出于经济或法律等方面因素的考虑，对发生困难的债务人作出让步；</w:t>
      </w:r>
      <w:r>
        <w:rPr>
          <w:w w:val="99"/>
        </w:rPr>
        <w:t> </w:t>
      </w:r>
      <w:r>
        <w:rPr>
          <w:rFonts w:ascii="Times New Roman" w:hAnsi="Times New Roman" w:cs="Times New Roman" w:eastAsia="Times New Roman" w:hint="default"/>
        </w:rPr>
        <w:t>d</w:t>
      </w:r>
      <w:r>
        <w:rPr/>
        <w:t>、债务人很可能倒闭或进行其他财务重组；</w:t>
      </w:r>
      <w:r>
        <w:rPr>
          <w:w w:val="99"/>
        </w:rPr>
        <w:t> </w:t>
      </w:r>
      <w:r>
        <w:rPr>
          <w:rFonts w:ascii="Times New Roman" w:hAnsi="Times New Roman" w:cs="Times New Roman" w:eastAsia="Times New Roman" w:hint="default"/>
        </w:rPr>
        <w:t>e</w:t>
      </w:r>
      <w:r>
        <w:rPr/>
        <w:t>、因发行方发生重大财务困难，该金融资产无法在活跃市场继续交易；</w:t>
      </w:r>
      <w:r>
        <w:rPr>
          <w:w w:val="99"/>
        </w:rPr>
        <w:t> </w:t>
      </w:r>
      <w:r>
        <w:rPr>
          <w:rFonts w:ascii="Times New Roman" w:hAnsi="Times New Roman" w:cs="Times New Roman" w:eastAsia="Times New Roman" w:hint="default"/>
          <w:spacing w:val="-1"/>
          <w:w w:val="95"/>
        </w:rPr>
        <w:t>f</w:t>
      </w:r>
      <w:r>
        <w:rPr>
          <w:spacing w:val="-1"/>
          <w:w w:val="95"/>
        </w:rPr>
        <w:t>、债务人经营所处的技术、市场、经济和法律环境等发生重大不利变化，使本公司可</w:t>
      </w:r>
      <w:r>
        <w:rPr>
          <w:spacing w:val="-1"/>
        </w:rPr>
      </w:r>
    </w:p>
    <w:p>
      <w:pPr>
        <w:pStyle w:val="BodyText"/>
        <w:spacing w:line="343" w:lineRule="auto" w:before="22"/>
        <w:ind w:left="542" w:right="2839" w:hanging="420"/>
        <w:jc w:val="left"/>
      </w:pPr>
      <w:r>
        <w:rPr/>
        <w:t>能无法收回投资成本；</w:t>
      </w:r>
      <w:r>
        <w:rPr>
          <w:w w:val="99"/>
        </w:rPr>
        <w:t> </w:t>
      </w:r>
      <w:r>
        <w:rPr>
          <w:rFonts w:ascii="Times New Roman" w:hAnsi="Times New Roman" w:cs="Times New Roman" w:eastAsia="Times New Roman" w:hint="default"/>
        </w:rPr>
        <w:t>g</w:t>
      </w:r>
      <w:r>
        <w:rPr/>
        <w:t>、权益工具投资的公允价值发生严重或非暂时性下跌；</w:t>
      </w:r>
      <w:r>
        <w:rPr>
          <w:w w:val="99"/>
        </w:rPr>
        <w:t> </w:t>
      </w:r>
      <w:r>
        <w:rPr>
          <w:rFonts w:ascii="Times New Roman" w:hAnsi="Times New Roman" w:cs="Times New Roman" w:eastAsia="Times New Roman" w:hint="default"/>
        </w:rPr>
        <w:t>h</w:t>
      </w:r>
      <w:r>
        <w:rPr/>
        <w:t>、其他表明金融资产发生减值的客观证据。</w:t>
      </w:r>
      <w:r>
        <w:rPr>
          <w:w w:val="99"/>
        </w:rPr>
        <w:t> </w:t>
      </w:r>
      <w:r>
        <w:rPr>
          <w:rFonts w:ascii="Times New Roman" w:hAnsi="Times New Roman" w:cs="Times New Roman" w:eastAsia="Times New Roman" w:hint="default"/>
        </w:rPr>
        <w:t>F</w:t>
      </w:r>
      <w:r>
        <w:rPr/>
        <w:t>、金融资产减值损失的计量：</w:t>
      </w:r>
    </w:p>
    <w:p>
      <w:pPr>
        <w:pStyle w:val="BodyText"/>
        <w:spacing w:line="336" w:lineRule="auto" w:before="19"/>
        <w:ind w:left="542" w:right="109"/>
        <w:jc w:val="left"/>
      </w:pPr>
      <w:r>
        <w:rPr>
          <w:rFonts w:ascii="Times New Roman" w:hAnsi="Times New Roman" w:cs="Times New Roman" w:eastAsia="Times New Roman" w:hint="default"/>
        </w:rPr>
        <w:t>a</w:t>
      </w:r>
      <w:r>
        <w:rPr/>
        <w:t>、以公允价值计量且其变动计入当期损益的金融资产不需要进行减值测试；</w:t>
      </w:r>
      <w:r>
        <w:rPr>
          <w:w w:val="99"/>
        </w:rPr>
        <w:t> </w:t>
      </w:r>
      <w:r>
        <w:rPr>
          <w:rFonts w:ascii="Times New Roman" w:hAnsi="Times New Roman" w:cs="Times New Roman" w:eastAsia="Times New Roman" w:hint="default"/>
          <w:spacing w:val="-2"/>
          <w:w w:val="95"/>
        </w:rPr>
        <w:t>b</w:t>
      </w:r>
      <w:r>
        <w:rPr>
          <w:spacing w:val="-2"/>
          <w:w w:val="95"/>
        </w:rPr>
        <w:t>、持有至到期投资的减值损失的计量：按预计未来现金流现值低于期末账面价值的差</w:t>
      </w:r>
      <w:r>
        <w:rPr>
          <w:spacing w:val="-2"/>
        </w:rPr>
      </w:r>
    </w:p>
    <w:p>
      <w:pPr>
        <w:pStyle w:val="BodyText"/>
        <w:spacing w:line="240" w:lineRule="auto" w:before="24"/>
        <w:ind w:right="109"/>
        <w:jc w:val="left"/>
      </w:pPr>
      <w:r>
        <w:rPr/>
        <w:t>额计提减值准备；</w:t>
      </w:r>
    </w:p>
    <w:p>
      <w:pPr>
        <w:pStyle w:val="BodyText"/>
        <w:spacing w:line="352" w:lineRule="auto" w:before="133"/>
        <w:ind w:right="222" w:firstLine="420"/>
        <w:jc w:val="both"/>
      </w:pPr>
      <w:r>
        <w:rPr>
          <w:rFonts w:ascii="Times New Roman" w:hAnsi="Times New Roman" w:cs="Times New Roman" w:eastAsia="Times New Roman" w:hint="default"/>
          <w:w w:val="95"/>
        </w:rPr>
        <w:t>c</w:t>
      </w:r>
      <w:r>
        <w:rPr>
          <w:w w:val="95"/>
        </w:rPr>
        <w:t>、应收款项坏账准备的确认标准、计提方法：单项金额重大的，单独进行减值测试，</w:t>
      </w:r>
      <w:r>
        <w:rPr>
          <w:w w:val="59"/>
        </w:rPr>
        <w:t> </w:t>
      </w:r>
      <w:r>
        <w:rPr/>
        <w:t>根据其未来现金流量现值低于其账面价值的差额，确认减值损失，计提坏账准备；单项金</w:t>
      </w:r>
      <w:r>
        <w:rPr>
          <w:w w:val="99"/>
        </w:rPr>
        <w:t> </w:t>
      </w:r>
      <w:r>
        <w:rPr/>
        <w:t>额不重大，经测试未减值的应收款项，采用账龄分析法，按应收款项的账龄和规定的提取</w:t>
      </w:r>
      <w:r>
        <w:rPr>
          <w:w w:val="99"/>
        </w:rPr>
        <w:t> </w:t>
      </w:r>
      <w:r>
        <w:rPr/>
        <w:t>比例确认减值损失，计提坏账准备；单项金额不重大但按信用风险特征组合法组合后风险</w:t>
      </w:r>
      <w:r>
        <w:rPr>
          <w:w w:val="99"/>
        </w:rPr>
        <w:t> </w:t>
      </w:r>
      <w:r>
        <w:rPr/>
        <w:t>较大的应收款项，单独进行测试，并计提个别坏账准备。经单独测试未减值的应收款项，</w:t>
      </w:r>
      <w:r>
        <w:rPr>
          <w:w w:val="99"/>
        </w:rPr>
        <w:t> </w:t>
      </w:r>
      <w:r>
        <w:rPr/>
        <w:t>采用账龄分析法，按应收款项的账龄和规定的提取比例确认减值损失。</w:t>
      </w:r>
    </w:p>
    <w:p>
      <w:pPr>
        <w:spacing w:after="0" w:line="352" w:lineRule="auto"/>
        <w:jc w:val="both"/>
        <w:sectPr>
          <w:pgSz w:w="11910" w:h="16840"/>
          <w:pgMar w:header="0" w:footer="1590" w:top="1780" w:bottom="1780" w:left="1680" w:right="1680"/>
        </w:sectPr>
      </w:pPr>
    </w:p>
    <w:p>
      <w:pPr>
        <w:pStyle w:val="BodyText"/>
        <w:spacing w:line="274" w:lineRule="exact"/>
        <w:ind w:left="642" w:right="0"/>
        <w:jc w:val="left"/>
      </w:pPr>
      <w:bookmarkStart w:name="10、应收款项" w:id="28"/>
      <w:bookmarkEnd w:id="28"/>
      <w:r>
        <w:rPr/>
      </w:r>
      <w:r>
        <w:rPr>
          <w:rFonts w:ascii="Times New Roman" w:hAnsi="Times New Roman" w:cs="Times New Roman" w:eastAsia="Times New Roman" w:hint="default"/>
        </w:rPr>
        <w:t>d</w:t>
      </w:r>
      <w:r>
        <w:rPr/>
        <w:t>、可供出售的金融资产减值的判断：若该项金融资产公允价值出现持续下降，且其下</w:t>
      </w:r>
    </w:p>
    <w:p>
      <w:pPr>
        <w:pStyle w:val="BodyText"/>
        <w:spacing w:line="240" w:lineRule="auto" w:before="117"/>
        <w:ind w:left="222" w:right="0"/>
        <w:jc w:val="left"/>
      </w:pPr>
      <w:r>
        <w:rPr/>
        <w:t>降属于非暂时性的，则可认定该项金融资产发生了减值。</w:t>
      </w:r>
    </w:p>
    <w:p>
      <w:pPr>
        <w:pStyle w:val="BodyText"/>
        <w:spacing w:line="336" w:lineRule="auto" w:before="133"/>
        <w:ind w:left="222" w:right="0" w:firstLine="420"/>
        <w:jc w:val="left"/>
      </w:pPr>
      <w:r>
        <w:rPr>
          <w:rFonts w:ascii="Times New Roman" w:hAnsi="Times New Roman" w:cs="Times New Roman" w:eastAsia="Times New Roman" w:hint="default"/>
        </w:rPr>
        <w:t>G</w:t>
      </w:r>
      <w:r>
        <w:rPr/>
        <w:t>、将尚未到期的持有至到期投资重分类为可供出售金融资产的，说明持有意图或能</w:t>
      </w:r>
      <w:r>
        <w:rPr>
          <w:w w:val="99"/>
        </w:rPr>
        <w:t> </w:t>
      </w:r>
      <w:r>
        <w:rPr/>
        <w:t>力发生改变的依据。</w:t>
      </w:r>
    </w:p>
    <w:p>
      <w:pPr>
        <w:spacing w:line="240" w:lineRule="auto" w:before="5"/>
        <w:rPr>
          <w:rFonts w:ascii="宋体" w:hAnsi="宋体" w:cs="宋体" w:eastAsia="宋体" w:hint="default"/>
          <w:sz w:val="26"/>
          <w:szCs w:val="26"/>
        </w:rPr>
      </w:pPr>
    </w:p>
    <w:p>
      <w:pPr>
        <w:pStyle w:val="Heading4"/>
        <w:spacing w:line="240" w:lineRule="auto"/>
        <w:ind w:left="228" w:right="0"/>
        <w:jc w:val="left"/>
        <w:rPr>
          <w:b w:val="0"/>
          <w:bCs w:val="0"/>
        </w:rPr>
      </w:pPr>
      <w:r>
        <w:rPr>
          <w:rFonts w:ascii="Times New Roman" w:hAnsi="Times New Roman" w:cs="Times New Roman" w:eastAsia="Times New Roman" w:hint="default"/>
        </w:rPr>
        <w:t>10</w:t>
      </w:r>
      <w:r>
        <w:rPr/>
        <w:t>、应收款项</w:t>
      </w:r>
      <w:r>
        <w:rPr>
          <w:b w:val="0"/>
          <w:bCs w:val="0"/>
        </w:rPr>
      </w:r>
    </w:p>
    <w:p>
      <w:pPr>
        <w:pStyle w:val="BodyText"/>
        <w:spacing w:line="240" w:lineRule="auto" w:before="109"/>
        <w:ind w:left="222" w:right="0"/>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605"/>
        <w:gridCol w:w="4812"/>
      </w:tblGrid>
      <w:tr>
        <w:trPr>
          <w:trHeight w:val="1241"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12"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本公司根据公司经营规模、业务性质及客户结算状</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pacing w:val="3"/>
                <w:sz w:val="21"/>
                <w:szCs w:val="21"/>
              </w:rPr>
              <w:t>况等确定单项金额重大的应收账款标准为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w:t>
            </w:r>
          </w:p>
          <w:p>
            <w:pPr>
              <w:pStyle w:val="TableParagraph"/>
              <w:spacing w:line="240" w:lineRule="auto" w:before="119"/>
              <w:ind w:left="100" w:right="0"/>
              <w:jc w:val="left"/>
              <w:rPr>
                <w:rFonts w:ascii="宋体" w:hAnsi="宋体" w:cs="宋体" w:eastAsia="宋体" w:hint="default"/>
                <w:sz w:val="21"/>
                <w:szCs w:val="21"/>
              </w:rPr>
            </w:pPr>
            <w:r>
              <w:rPr>
                <w:rFonts w:ascii="宋体" w:hAnsi="宋体" w:cs="宋体" w:eastAsia="宋体" w:hint="default"/>
                <w:sz w:val="21"/>
                <w:szCs w:val="21"/>
              </w:rPr>
              <w:t>元，其他应收款标准为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1238" w:hRule="exact"/>
        </w:trPr>
        <w:tc>
          <w:tcPr>
            <w:tcW w:w="360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w:t>
            </w:r>
          </w:p>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4812"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有证据表明单项金额重大的应收款项发生减值的，</w:t>
            </w:r>
          </w:p>
          <w:p>
            <w:pPr>
              <w:pStyle w:val="TableParagraph"/>
              <w:spacing w:line="355" w:lineRule="auto" w:before="133"/>
              <w:ind w:left="100" w:right="125"/>
              <w:jc w:val="left"/>
              <w:rPr>
                <w:rFonts w:ascii="宋体" w:hAnsi="宋体" w:cs="宋体" w:eastAsia="宋体" w:hint="default"/>
                <w:sz w:val="21"/>
                <w:szCs w:val="21"/>
              </w:rPr>
            </w:pPr>
            <w:r>
              <w:rPr>
                <w:rFonts w:ascii="宋体" w:hAnsi="宋体" w:cs="宋体" w:eastAsia="宋体" w:hint="default"/>
                <w:spacing w:val="8"/>
                <w:sz w:val="21"/>
                <w:szCs w:val="21"/>
              </w:rPr>
              <w:t>根据预计未来能收回的现金流量现值低于其账面</w:t>
            </w:r>
            <w:r>
              <w:rPr>
                <w:rFonts w:ascii="宋体" w:hAnsi="宋体" w:cs="宋体" w:eastAsia="宋体" w:hint="default"/>
                <w:w w:val="99"/>
                <w:sz w:val="21"/>
                <w:szCs w:val="21"/>
              </w:rPr>
              <w:t> </w:t>
            </w:r>
            <w:r>
              <w:rPr>
                <w:rFonts w:ascii="宋体" w:hAnsi="宋体" w:cs="宋体" w:eastAsia="宋体" w:hint="default"/>
                <w:sz w:val="21"/>
                <w:szCs w:val="21"/>
              </w:rPr>
              <w:t>价值</w:t>
            </w:r>
            <w:r>
              <w:rPr>
                <w:rFonts w:ascii="宋体" w:hAnsi="宋体" w:cs="宋体" w:eastAsia="宋体" w:hint="default"/>
                <w:spacing w:val="-5"/>
                <w:sz w:val="21"/>
                <w:szCs w:val="21"/>
              </w:rPr>
              <w:t> </w:t>
            </w:r>
            <w:r>
              <w:rPr>
                <w:rFonts w:ascii="宋体" w:hAnsi="宋体" w:cs="宋体" w:eastAsia="宋体" w:hint="default"/>
                <w:sz w:val="21"/>
                <w:szCs w:val="21"/>
              </w:rPr>
              <w:t>的差额，确认减值损失，计提坏账准备。</w:t>
            </w:r>
          </w:p>
        </w:tc>
      </w:tr>
    </w:tbl>
    <w:p>
      <w:pPr>
        <w:spacing w:line="240" w:lineRule="auto" w:before="9"/>
        <w:rPr>
          <w:rFonts w:ascii="宋体" w:hAnsi="宋体" w:cs="宋体" w:eastAsia="宋体" w:hint="default"/>
          <w:sz w:val="22"/>
          <w:szCs w:val="22"/>
        </w:rPr>
      </w:pPr>
    </w:p>
    <w:p>
      <w:pPr>
        <w:pStyle w:val="BodyText"/>
        <w:spacing w:line="348" w:lineRule="auto" w:before="34"/>
        <w:ind w:left="222" w:right="4939"/>
        <w:jc w:val="left"/>
      </w:pPr>
      <w:r>
        <w:rPr/>
        <w:pict>
          <v:group style="position:absolute;margin-left:84.720001pt;margin-top:24.16366pt;width:420.15pt;height:.1pt;mso-position-horizontal-relative:page;mso-position-vertical-relative:paragraph;z-index:-686176" coordorigin="1694,483" coordsize="8403,2">
            <v:shape style="position:absolute;left:1694;top:483;width:8403;height:2" coordorigin="1694,483" coordsize="8403,0" path="m1694,483l10097,483e" filled="false" stroked="true" strokeweight=".72pt" strokecolor="#000000">
              <v:path arrowok="t"/>
            </v:shape>
            <w10:wrap type="none"/>
          </v:group>
        </w:pict>
      </w:r>
      <w:r>
        <w:rPr/>
        <w:t>（</w:t>
      </w:r>
      <w:r>
        <w:rPr>
          <w:rFonts w:ascii="Times New Roman" w:hAnsi="Times New Roman" w:cs="Times New Roman" w:eastAsia="Times New Roman" w:hint="default"/>
        </w:rPr>
        <w:t>2</w:t>
      </w:r>
      <w:r>
        <w:rPr/>
        <w:t>）按组合计提坏账准备应收款项：</w:t>
      </w:r>
      <w:r>
        <w:rPr>
          <w:w w:val="99"/>
        </w:rPr>
        <w:t> </w:t>
      </w:r>
      <w:r>
        <w:rPr/>
        <w:t>确定组合的依据</w:t>
      </w:r>
    </w:p>
    <w:p>
      <w:pPr>
        <w:spacing w:line="240" w:lineRule="auto" w:before="1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988"/>
        <w:gridCol w:w="5414"/>
      </w:tblGrid>
      <w:tr>
        <w:trPr>
          <w:trHeight w:val="1240"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41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单项金额不重大的应收款项，以账龄为信用风险特征进行</w:t>
            </w:r>
          </w:p>
          <w:p>
            <w:pPr>
              <w:pStyle w:val="TableParagraph"/>
              <w:spacing w:line="355" w:lineRule="auto" w:before="133"/>
              <w:ind w:left="100" w:right="127"/>
              <w:jc w:val="left"/>
              <w:rPr>
                <w:rFonts w:ascii="宋体" w:hAnsi="宋体" w:cs="宋体" w:eastAsia="宋体" w:hint="default"/>
                <w:sz w:val="21"/>
                <w:szCs w:val="21"/>
              </w:rPr>
            </w:pPr>
            <w:r>
              <w:rPr>
                <w:rFonts w:ascii="宋体" w:hAnsi="宋体" w:cs="宋体" w:eastAsia="宋体" w:hint="default"/>
                <w:spacing w:val="6"/>
                <w:w w:val="95"/>
                <w:sz w:val="21"/>
                <w:szCs w:val="21"/>
              </w:rPr>
              <w:t>组合并结合现实的实际损失率确定不同账龄应计提坏账</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sz w:val="21"/>
                <w:szCs w:val="21"/>
              </w:rPr>
              <w:t>准备的比例。</w:t>
            </w:r>
          </w:p>
        </w:tc>
      </w:tr>
      <w:tr>
        <w:trPr>
          <w:trHeight w:val="378" w:hRule="exact"/>
        </w:trPr>
        <w:tc>
          <w:tcPr>
            <w:tcW w:w="2988" w:type="dxa"/>
            <w:tcBorders>
              <w:top w:val="single" w:sz="6" w:space="0" w:color="000000"/>
              <w:left w:val="nil" w:sz="6" w:space="0" w:color="auto"/>
              <w:bottom w:val="single" w:sz="6" w:space="0" w:color="000000"/>
              <w:right w:val="single" w:sz="6" w:space="0" w:color="000000"/>
            </w:tcBorders>
          </w:tcPr>
          <w:p>
            <w:pPr/>
          </w:p>
        </w:tc>
        <w:tc>
          <w:tcPr>
            <w:tcW w:w="5414" w:type="dxa"/>
            <w:tcBorders>
              <w:top w:val="single" w:sz="6" w:space="0" w:color="000000"/>
              <w:left w:val="single" w:sz="6" w:space="0" w:color="000000"/>
              <w:bottom w:val="single" w:sz="6" w:space="0" w:color="000000"/>
              <w:right w:val="nil" w:sz="6" w:space="0" w:color="auto"/>
            </w:tcBorders>
          </w:tcPr>
          <w:p>
            <w:pPr/>
          </w:p>
        </w:tc>
      </w:tr>
    </w:tbl>
    <w:p>
      <w:pPr>
        <w:pStyle w:val="BodyText"/>
        <w:spacing w:line="241" w:lineRule="exact"/>
        <w:ind w:left="222" w:right="0"/>
        <w:jc w:val="left"/>
      </w:pPr>
      <w:r>
        <w:rPr/>
        <w:t>按组合计提坏账准备的计提方法</w:t>
      </w:r>
    </w:p>
    <w:p>
      <w:pPr>
        <w:spacing w:line="240" w:lineRule="auto" w:before="3"/>
        <w:rPr>
          <w:rFonts w:ascii="宋体" w:hAnsi="宋体" w:cs="宋体" w:eastAsia="宋体" w:hint="default"/>
          <w:sz w:val="12"/>
          <w:szCs w:val="12"/>
        </w:rPr>
      </w:pPr>
    </w:p>
    <w:p>
      <w:pPr>
        <w:spacing w:line="446" w:lineRule="exact"/>
        <w:ind w:left="10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0.85pt;height:22.35pt;mso-position-horizontal-relative:char;mso-position-vertical-relative:line" coordorigin="0,0" coordsize="8417,447">
            <v:group style="position:absolute;left:7;top:14;width:8403;height:2" coordorigin="7,14" coordsize="8403,2">
              <v:shape style="position:absolute;left:7;top:14;width:8403;height:2" coordorigin="7,14" coordsize="8403,0" path="m7,14l8410,14e" filled="false" stroked="true" strokeweight=".72pt" strokecolor="#000000">
                <v:path arrowok="t"/>
              </v:shape>
            </v:group>
            <v:group style="position:absolute;left:7;top:14;width:8403;height:2" coordorigin="7,14" coordsize="8403,2">
              <v:shape style="position:absolute;left:7;top:14;width:8403;height:2" coordorigin="7,14" coordsize="8403,0" path="m7,14l8410,14e" filled="false" stroked="true" strokeweight=".72pt" strokecolor="#000000">
                <v:path arrowok="t"/>
              </v:shape>
            </v:group>
            <v:group style="position:absolute;left:7;top:439;width:8403;height:2" coordorigin="7,439" coordsize="8403,2">
              <v:shape style="position:absolute;left:7;top:439;width:8403;height:2" coordorigin="7,439" coordsize="8403,0" path="m7,439l8410,439e" filled="false" stroked="true" strokeweight=".72pt" strokecolor="#000000">
                <v:path arrowok="t"/>
              </v:shape>
            </v:group>
            <v:group style="position:absolute;left:2995;top:7;width:2;height:425" coordorigin="2995,7" coordsize="2,425">
              <v:shape style="position:absolute;left:2995;top:7;width:2;height:425" coordorigin="2995,7" coordsize="0,425" path="m2995,7l2995,432e" filled="false" stroked="true" strokeweight=".72pt" strokecolor="#000000">
                <v:path arrowok="t"/>
              </v:shape>
              <v:shape style="position:absolute;left:115;top:53;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3103;top:53;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账龄分析法</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8"/>
          <w:sz w:val="20"/>
          <w:szCs w:val="20"/>
        </w:rPr>
      </w:r>
    </w:p>
    <w:p>
      <w:pPr>
        <w:spacing w:line="240" w:lineRule="auto" w:before="7"/>
        <w:rPr>
          <w:rFonts w:ascii="宋体" w:hAnsi="宋体" w:cs="宋体" w:eastAsia="宋体" w:hint="default"/>
          <w:sz w:val="22"/>
          <w:szCs w:val="22"/>
        </w:rPr>
      </w:pPr>
    </w:p>
    <w:p>
      <w:pPr>
        <w:pStyle w:val="BodyText"/>
        <w:spacing w:line="240" w:lineRule="auto" w:before="34"/>
        <w:ind w:left="222" w:right="0"/>
        <w:jc w:val="left"/>
      </w:pPr>
      <w:r>
        <w:rPr/>
        <w:t>组合中，采用账龄分析法计提坏账准备的：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594"/>
        <w:gridCol w:w="3230"/>
        <w:gridCol w:w="2566"/>
      </w:tblGrid>
      <w:tr>
        <w:trPr>
          <w:trHeight w:val="424" w:hRule="exact"/>
        </w:trPr>
        <w:tc>
          <w:tcPr>
            <w:tcW w:w="25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566" w:type="dxa"/>
            <w:tcBorders>
              <w:top w:val="single" w:sz="6" w:space="0" w:color="000000"/>
              <w:left w:val="single" w:sz="6" w:space="0" w:color="000000"/>
              <w:bottom w:val="single" w:sz="6" w:space="0" w:color="000000"/>
              <w:right w:val="nil" w:sz="6" w:space="0" w:color="auto"/>
            </w:tcBorders>
          </w:tcPr>
          <w:p>
            <w:pPr>
              <w:pStyle w:val="TableParagraph"/>
              <w:spacing w:line="25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bl>
    <w:p>
      <w:pPr>
        <w:spacing w:line="240" w:lineRule="auto" w:before="10"/>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2594"/>
        <w:gridCol w:w="3230"/>
        <w:gridCol w:w="2566"/>
      </w:tblGrid>
      <w:tr>
        <w:trPr>
          <w:trHeight w:val="422" w:hRule="exact"/>
        </w:trPr>
        <w:tc>
          <w:tcPr>
            <w:tcW w:w="2594"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465"/>
              <w:jc w:val="right"/>
              <w:rPr>
                <w:rFonts w:ascii="Times New Roman" w:hAnsi="Times New Roman" w:cs="Times New Roman" w:eastAsia="Times New Roman" w:hint="default"/>
                <w:sz w:val="21"/>
                <w:szCs w:val="21"/>
              </w:rPr>
            </w:pPr>
            <w:r>
              <w:rPr>
                <w:rFonts w:ascii="Times New Roman"/>
                <w:w w:val="95"/>
                <w:sz w:val="21"/>
              </w:rPr>
              <w:t>3%</w:t>
            </w:r>
            <w:r>
              <w:rPr>
                <w:rFonts w:ascii="Times New Roman"/>
                <w:sz w:val="21"/>
              </w:rPr>
            </w:r>
          </w:p>
        </w:tc>
        <w:tc>
          <w:tcPr>
            <w:tcW w:w="25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3%</w:t>
            </w:r>
          </w:p>
        </w:tc>
      </w:tr>
      <w:tr>
        <w:trPr>
          <w:trHeight w:val="424" w:hRule="exact"/>
        </w:trPr>
        <w:tc>
          <w:tcPr>
            <w:tcW w:w="2594"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412"/>
              <w:jc w:val="right"/>
              <w:rPr>
                <w:rFonts w:ascii="Times New Roman" w:hAnsi="Times New Roman" w:cs="Times New Roman" w:eastAsia="Times New Roman" w:hint="default"/>
                <w:sz w:val="21"/>
                <w:szCs w:val="21"/>
              </w:rPr>
            </w:pPr>
            <w:r>
              <w:rPr>
                <w:rFonts w:ascii="Times New Roman"/>
                <w:w w:val="95"/>
                <w:sz w:val="21"/>
              </w:rPr>
              <w:t>10%</w:t>
            </w:r>
            <w:r>
              <w:rPr>
                <w:rFonts w:ascii="Times New Roman"/>
                <w:sz w:val="21"/>
              </w:rPr>
            </w:r>
          </w:p>
        </w:tc>
        <w:tc>
          <w:tcPr>
            <w:tcW w:w="25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10%</w:t>
            </w:r>
          </w:p>
        </w:tc>
      </w:tr>
      <w:tr>
        <w:trPr>
          <w:trHeight w:val="424" w:hRule="exact"/>
        </w:trPr>
        <w:tc>
          <w:tcPr>
            <w:tcW w:w="2594"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412"/>
              <w:jc w:val="right"/>
              <w:rPr>
                <w:rFonts w:ascii="Times New Roman" w:hAnsi="Times New Roman" w:cs="Times New Roman" w:eastAsia="Times New Roman" w:hint="default"/>
                <w:sz w:val="21"/>
                <w:szCs w:val="21"/>
              </w:rPr>
            </w:pPr>
            <w:r>
              <w:rPr>
                <w:rFonts w:ascii="Times New Roman"/>
                <w:w w:val="95"/>
                <w:sz w:val="21"/>
              </w:rPr>
              <w:t>20%</w:t>
            </w:r>
            <w:r>
              <w:rPr>
                <w:rFonts w:ascii="Times New Roman"/>
                <w:sz w:val="21"/>
              </w:rPr>
            </w:r>
          </w:p>
        </w:tc>
        <w:tc>
          <w:tcPr>
            <w:tcW w:w="25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w:t>
            </w:r>
          </w:p>
        </w:tc>
      </w:tr>
      <w:tr>
        <w:trPr>
          <w:trHeight w:val="422" w:hRule="exact"/>
        </w:trPr>
        <w:tc>
          <w:tcPr>
            <w:tcW w:w="2594"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60"/>
              <w:jc w:val="right"/>
              <w:rPr>
                <w:rFonts w:ascii="Times New Roman" w:hAnsi="Times New Roman" w:cs="Times New Roman" w:eastAsia="Times New Roman" w:hint="default"/>
                <w:sz w:val="21"/>
                <w:szCs w:val="21"/>
              </w:rPr>
            </w:pPr>
            <w:r>
              <w:rPr>
                <w:rFonts w:ascii="Times New Roman"/>
                <w:sz w:val="21"/>
              </w:rPr>
              <w:t>100%</w:t>
            </w:r>
          </w:p>
        </w:tc>
        <w:tc>
          <w:tcPr>
            <w:tcW w:w="25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headerReference w:type="default" r:id="rId26"/>
          <w:pgSz w:w="11910" w:h="16840"/>
          <w:pgMar w:header="1058" w:footer="1590" w:top="1780" w:bottom="1780" w:left="1580" w:right="1680"/>
        </w:sectPr>
      </w:pPr>
    </w:p>
    <w:p>
      <w:pPr>
        <w:pStyle w:val="BodyText"/>
        <w:spacing w:line="274" w:lineRule="exact"/>
        <w:ind w:left="222" w:right="0"/>
        <w:jc w:val="left"/>
      </w:pPr>
      <w:bookmarkStart w:name="11、存货" w:id="29"/>
      <w:bookmarkEnd w:id="29"/>
      <w:r>
        <w:rPr/>
      </w:r>
      <w:r>
        <w:rPr/>
        <w:t>（</w:t>
      </w:r>
      <w:r>
        <w:rPr>
          <w:rFonts w:ascii="Times New Roman" w:hAnsi="Times New Roman" w:cs="Times New Roman" w:eastAsia="Times New Roman" w:hint="default"/>
        </w:rPr>
        <w:t>3</w:t>
      </w:r>
      <w:r>
        <w:rPr/>
        <w:t>）单项金额虽不重大但单项计提坏账准备的应收账款：</w:t>
      </w: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988"/>
        <w:gridCol w:w="5429"/>
      </w:tblGrid>
      <w:tr>
        <w:trPr>
          <w:trHeight w:val="424"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42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有确凿证据表明其可收回性存在疑问</w:t>
            </w:r>
          </w:p>
        </w:tc>
      </w:tr>
      <w:tr>
        <w:trPr>
          <w:trHeight w:val="832"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429"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单独进行减值测试，根据应收款项未来现金流量现值低于</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其账面价值的差额计提坏账准备。</w:t>
            </w:r>
          </w:p>
        </w:tc>
      </w:tr>
    </w:tbl>
    <w:p>
      <w:pPr>
        <w:spacing w:line="240" w:lineRule="auto" w:before="7"/>
        <w:rPr>
          <w:rFonts w:ascii="宋体" w:hAnsi="宋体" w:cs="宋体" w:eastAsia="宋体" w:hint="default"/>
          <w:sz w:val="26"/>
          <w:szCs w:val="26"/>
        </w:rPr>
      </w:pPr>
    </w:p>
    <w:p>
      <w:pPr>
        <w:pStyle w:val="Heading4"/>
        <w:spacing w:line="333" w:lineRule="exact"/>
        <w:ind w:left="228" w:right="0"/>
        <w:jc w:val="left"/>
        <w:rPr>
          <w:b w:val="0"/>
          <w:bCs w:val="0"/>
        </w:rPr>
      </w:pPr>
      <w:r>
        <w:rPr>
          <w:rFonts w:ascii="Times New Roman" w:hAnsi="Times New Roman" w:cs="Times New Roman" w:eastAsia="Times New Roman" w:hint="default"/>
          <w:spacing w:val="-4"/>
        </w:rPr>
        <w:t>11</w:t>
      </w:r>
      <w:r>
        <w:rPr>
          <w:spacing w:val="-4"/>
        </w:rPr>
        <w:t>、存货</w:t>
      </w:r>
      <w:r>
        <w:rPr>
          <w:b w:val="0"/>
          <w:bCs w:val="0"/>
          <w:spacing w:val="-4"/>
        </w:rPr>
      </w:r>
    </w:p>
    <w:p>
      <w:pPr>
        <w:pStyle w:val="BodyText"/>
        <w:spacing w:line="336" w:lineRule="auto" w:before="109"/>
        <w:ind w:left="642" w:right="0" w:hanging="420"/>
        <w:jc w:val="left"/>
      </w:pPr>
      <w:r>
        <w:rPr/>
        <w:t>（</w:t>
      </w:r>
      <w:r>
        <w:rPr>
          <w:rFonts w:ascii="Times New Roman" w:hAnsi="Times New Roman" w:cs="Times New Roman" w:eastAsia="Times New Roman" w:hint="default"/>
        </w:rPr>
        <w:t>1</w:t>
      </w:r>
      <w:r>
        <w:rPr/>
        <w:t>）存货的分类</w:t>
      </w:r>
      <w:r>
        <w:rPr>
          <w:w w:val="99"/>
        </w:rPr>
        <w:t> </w:t>
      </w:r>
      <w:r>
        <w:rPr>
          <w:w w:val="95"/>
        </w:rPr>
        <w:t>存货分为库存商品、原材料、委托加工材料、在产品、产成品、低值易耗品、包装物</w:t>
      </w:r>
      <w:r>
        <w:rPr/>
      </w:r>
    </w:p>
    <w:p>
      <w:pPr>
        <w:pStyle w:val="BodyText"/>
        <w:spacing w:line="240" w:lineRule="auto" w:before="49"/>
        <w:ind w:left="222" w:right="0"/>
        <w:jc w:val="left"/>
      </w:pPr>
      <w:r>
        <w:rPr/>
        <w:t>等七大类。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336" w:lineRule="auto"/>
        <w:ind w:left="642" w:right="1684" w:hanging="420"/>
        <w:jc w:val="left"/>
      </w:pPr>
      <w:r>
        <w:rPr/>
        <w:t>（</w:t>
      </w:r>
      <w:r>
        <w:rPr>
          <w:rFonts w:ascii="Times New Roman" w:hAnsi="Times New Roman" w:cs="Times New Roman" w:eastAsia="Times New Roman" w:hint="default"/>
        </w:rPr>
        <w:t>2</w:t>
      </w:r>
      <w:r>
        <w:rPr/>
        <w:t>）发出存货的计价方法</w:t>
      </w:r>
      <w:r>
        <w:rPr>
          <w:w w:val="99"/>
        </w:rPr>
        <w:t> </w:t>
      </w:r>
      <w:r>
        <w:rPr/>
        <w:t>各类存货的购入与入库按实际成本计价，发出采用加权平均法计价。</w:t>
      </w:r>
    </w:p>
    <w:p>
      <w:pPr>
        <w:spacing w:line="240" w:lineRule="auto" w:before="0"/>
        <w:rPr>
          <w:rFonts w:ascii="宋体" w:hAnsi="宋体" w:cs="宋体" w:eastAsia="宋体" w:hint="default"/>
          <w:sz w:val="20"/>
          <w:szCs w:val="20"/>
        </w:rPr>
      </w:pPr>
    </w:p>
    <w:p>
      <w:pPr>
        <w:pStyle w:val="BodyText"/>
        <w:spacing w:line="336" w:lineRule="auto" w:before="150"/>
        <w:ind w:left="642" w:right="0" w:hanging="420"/>
        <w:jc w:val="left"/>
      </w:pPr>
      <w:r>
        <w:rPr/>
        <w:t>（</w:t>
      </w:r>
      <w:r>
        <w:rPr>
          <w:rFonts w:ascii="Times New Roman" w:hAnsi="Times New Roman" w:cs="Times New Roman" w:eastAsia="Times New Roman" w:hint="default"/>
        </w:rPr>
        <w:t>3</w:t>
      </w:r>
      <w:r>
        <w:rPr/>
        <w:t>）存货可变现净值的确定依据及存货跌价准备的计提方法</w:t>
      </w:r>
      <w:r>
        <w:rPr>
          <w:w w:val="99"/>
        </w:rPr>
        <w:t> </w:t>
      </w:r>
      <w:r>
        <w:rPr>
          <w:w w:val="95"/>
        </w:rPr>
        <w:t>存货可变现净值系根据本公司在正常经营过程中，以估计售价减去估计完工成本及销</w:t>
      </w:r>
      <w:r>
        <w:rPr/>
      </w:r>
    </w:p>
    <w:p>
      <w:pPr>
        <w:pStyle w:val="BodyText"/>
        <w:spacing w:line="357" w:lineRule="auto" w:before="49"/>
        <w:ind w:left="642" w:right="0" w:hanging="420"/>
        <w:jc w:val="left"/>
      </w:pPr>
      <w:r>
        <w:rPr/>
        <w:t>售所必须的估计费用后的价值。</w:t>
      </w:r>
      <w:r>
        <w:rPr>
          <w:w w:val="99"/>
        </w:rPr>
        <w:t> </w:t>
      </w:r>
      <w:r>
        <w:rPr>
          <w:w w:val="95"/>
        </w:rPr>
        <w:t>存货跌价准备的计提方法：本公司于每年中期期末及年度终了在对存货进行全面盘点</w:t>
      </w:r>
      <w:r>
        <w:rPr/>
      </w:r>
    </w:p>
    <w:p>
      <w:pPr>
        <w:pStyle w:val="BodyText"/>
        <w:spacing w:line="355" w:lineRule="auto" w:before="30"/>
        <w:ind w:left="222" w:right="247"/>
        <w:jc w:val="both"/>
      </w:pPr>
      <w:r>
        <w:rPr>
          <w:w w:val="95"/>
        </w:rPr>
        <w:t>的基础上，对遭受损失，全部或部分陈旧过时或销售价格低于成本的存货，根据存货成本</w:t>
      </w:r>
      <w:r>
        <w:rPr>
          <w:spacing w:val="86"/>
          <w:w w:val="95"/>
        </w:rPr>
        <w:t> </w:t>
      </w:r>
      <w:r>
        <w:rPr>
          <w:spacing w:val="86"/>
          <w:w w:val="95"/>
        </w:rPr>
      </w:r>
      <w:r>
        <w:rPr>
          <w:w w:val="95"/>
        </w:rPr>
        <w:t>与可变现净值孰低计量，按单个存货项目对同类存货项目的可变现净值低于存货成本的差</w:t>
      </w:r>
      <w:r>
        <w:rPr>
          <w:spacing w:val="86"/>
          <w:w w:val="95"/>
        </w:rPr>
        <w:t> </w:t>
      </w:r>
      <w:r>
        <w:rPr>
          <w:spacing w:val="86"/>
          <w:w w:val="95"/>
        </w:rPr>
      </w:r>
      <w:r>
        <w:rPr>
          <w:w w:val="95"/>
        </w:rPr>
        <w:t>额计提存货跌价准备，并计入当期损益。确定可变现净值时，除考虑持有目的和资产负债</w:t>
      </w:r>
      <w:r>
        <w:rPr>
          <w:spacing w:val="86"/>
          <w:w w:val="95"/>
        </w:rPr>
        <w:t> </w:t>
      </w:r>
      <w:r>
        <w:rPr>
          <w:spacing w:val="86"/>
          <w:w w:val="95"/>
        </w:rPr>
      </w:r>
      <w:r>
        <w:rPr/>
        <w:t>表日该存货的价格与成本波动外，还需要考虑未来事项的影响。</w:t>
      </w:r>
    </w:p>
    <w:p>
      <w:pPr>
        <w:spacing w:line="240" w:lineRule="auto" w:before="0"/>
        <w:rPr>
          <w:rFonts w:ascii="宋体" w:hAnsi="宋体" w:cs="宋体" w:eastAsia="宋体" w:hint="default"/>
          <w:sz w:val="20"/>
          <w:szCs w:val="20"/>
        </w:rPr>
      </w:pPr>
    </w:p>
    <w:p>
      <w:pPr>
        <w:pStyle w:val="BodyText"/>
        <w:spacing w:line="336" w:lineRule="auto" w:before="135"/>
        <w:ind w:left="642" w:right="4834" w:hanging="420"/>
        <w:jc w:val="left"/>
      </w:pPr>
      <w:r>
        <w:rPr/>
        <w:t>（</w:t>
      </w:r>
      <w:r>
        <w:rPr>
          <w:rFonts w:ascii="Times New Roman" w:hAnsi="Times New Roman" w:cs="Times New Roman" w:eastAsia="Times New Roman" w:hint="default"/>
        </w:rPr>
        <w:t>4</w:t>
      </w:r>
      <w:r>
        <w:rPr/>
        <w:t>）存货的盘存制度</w:t>
      </w:r>
      <w:r>
        <w:rPr>
          <w:w w:val="99"/>
        </w:rPr>
        <w:t> </w:t>
      </w:r>
      <w:r>
        <w:rPr/>
        <w:t>存货的盘存制度采用永续盘存法。</w:t>
      </w:r>
    </w:p>
    <w:p>
      <w:pPr>
        <w:spacing w:line="240" w:lineRule="auto" w:before="0"/>
        <w:rPr>
          <w:rFonts w:ascii="宋体" w:hAnsi="宋体" w:cs="宋体" w:eastAsia="宋体" w:hint="default"/>
          <w:sz w:val="20"/>
          <w:szCs w:val="20"/>
        </w:rPr>
      </w:pPr>
    </w:p>
    <w:p>
      <w:pPr>
        <w:pStyle w:val="BodyText"/>
        <w:spacing w:line="336" w:lineRule="auto" w:before="150"/>
        <w:ind w:left="222" w:right="4729"/>
        <w:jc w:val="left"/>
      </w:pPr>
      <w:r>
        <w:rPr/>
        <w:t>（</w:t>
      </w:r>
      <w:r>
        <w:rPr>
          <w:rFonts w:ascii="Times New Roman" w:hAnsi="Times New Roman" w:cs="Times New Roman" w:eastAsia="Times New Roman" w:hint="default"/>
        </w:rPr>
        <w:t>5</w:t>
      </w:r>
      <w:r>
        <w:rPr/>
        <w:t>）低值易耗品和包装物的摊销方法。</w:t>
      </w:r>
      <w:r>
        <w:rPr>
          <w:w w:val="99"/>
        </w:rPr>
        <w:t> </w:t>
      </w:r>
      <w:r>
        <w:rPr/>
        <w:t>低值易耗品</w:t>
      </w:r>
    </w:p>
    <w:p>
      <w:pPr>
        <w:pStyle w:val="BodyText"/>
        <w:spacing w:line="240" w:lineRule="auto" w:before="49"/>
        <w:ind w:left="642" w:right="0"/>
        <w:jc w:val="left"/>
      </w:pPr>
      <w:r>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22" w:right="0"/>
        <w:jc w:val="left"/>
      </w:pPr>
      <w:r>
        <w:rPr/>
        <w:t>包装物</w:t>
      </w:r>
    </w:p>
    <w:p>
      <w:pPr>
        <w:pStyle w:val="BodyText"/>
        <w:spacing w:line="240" w:lineRule="auto" w:before="133"/>
        <w:ind w:left="642" w:right="0"/>
        <w:jc w:val="left"/>
      </w:pPr>
      <w:r>
        <w:rPr/>
        <w:t>包装物于其领用时采用一次性摊销法摊销。</w:t>
      </w:r>
    </w:p>
    <w:p>
      <w:pPr>
        <w:spacing w:after="0" w:line="240" w:lineRule="auto"/>
        <w:jc w:val="left"/>
        <w:sectPr>
          <w:pgSz w:w="11910" w:h="16840"/>
          <w:pgMar w:header="1058" w:footer="1590" w:top="1780" w:bottom="1780" w:left="1580" w:right="1680"/>
        </w:sectPr>
      </w:pPr>
    </w:p>
    <w:p>
      <w:pPr>
        <w:pStyle w:val="Heading4"/>
        <w:spacing w:line="282" w:lineRule="exact"/>
        <w:ind w:right="109"/>
        <w:jc w:val="left"/>
        <w:rPr>
          <w:b w:val="0"/>
          <w:bCs w:val="0"/>
        </w:rPr>
      </w:pPr>
      <w:bookmarkStart w:name="12、长期股权投资" w:id="30"/>
      <w:bookmarkEnd w:id="30"/>
      <w:r>
        <w:rPr>
          <w:b w:val="0"/>
          <w:bCs w:val="0"/>
        </w:rPr>
      </w:r>
      <w:r>
        <w:rPr>
          <w:rFonts w:ascii="Times New Roman" w:hAnsi="Times New Roman" w:cs="Times New Roman" w:eastAsia="Times New Roman" w:hint="default"/>
        </w:rPr>
        <w:t>12</w:t>
      </w:r>
      <w:r>
        <w:rPr/>
        <w:t>、长期股权投资</w:t>
      </w:r>
      <w:r>
        <w:rPr>
          <w:b w:val="0"/>
          <w:bCs w:val="0"/>
        </w:rPr>
      </w:r>
    </w:p>
    <w:p>
      <w:pPr>
        <w:pStyle w:val="BodyText"/>
        <w:spacing w:line="336" w:lineRule="auto" w:before="109"/>
        <w:ind w:left="542" w:right="214" w:hanging="420"/>
        <w:jc w:val="left"/>
      </w:pPr>
      <w:r>
        <w:rPr/>
        <w:t>（</w:t>
      </w:r>
      <w:r>
        <w:rPr>
          <w:rFonts w:ascii="Times New Roman" w:hAnsi="Times New Roman" w:cs="Times New Roman" w:eastAsia="Times New Roman" w:hint="default"/>
        </w:rPr>
        <w:t>1</w:t>
      </w:r>
      <w:r>
        <w:rPr/>
        <w:t>）投资成本的确定</w:t>
      </w:r>
      <w:r>
        <w:rPr>
          <w:w w:val="99"/>
        </w:rPr>
        <w:t> </w:t>
      </w:r>
      <w:r>
        <w:rPr>
          <w:rFonts w:ascii="Times New Roman" w:hAnsi="Times New Roman" w:cs="Times New Roman" w:eastAsia="Times New Roman" w:hint="default"/>
        </w:rPr>
        <w:t>A</w:t>
      </w:r>
      <w:r>
        <w:rPr/>
        <w:t>、企业合并形成的长期股权投资，按照下列规定确定其投资成本：</w:t>
      </w:r>
      <w:r>
        <w:rPr>
          <w:w w:val="99"/>
        </w:rPr>
        <w:t> </w:t>
      </w:r>
      <w:r>
        <w:rPr>
          <w:rFonts w:ascii="Times New Roman" w:hAnsi="Times New Roman" w:cs="Times New Roman" w:eastAsia="Times New Roman" w:hint="default"/>
          <w:spacing w:val="2"/>
          <w:w w:val="95"/>
        </w:rPr>
        <w:t>a</w:t>
      </w:r>
      <w:r>
        <w:rPr>
          <w:spacing w:val="2"/>
          <w:w w:val="95"/>
        </w:rPr>
        <w:t>、同一控制下的企业合并，合并方以支付现金、转让非现金资产或承担债务方式作</w:t>
      </w:r>
      <w:r>
        <w:rPr>
          <w:spacing w:val="2"/>
        </w:rPr>
      </w:r>
    </w:p>
    <w:p>
      <w:pPr>
        <w:pStyle w:val="BodyText"/>
        <w:spacing w:line="355" w:lineRule="auto" w:before="26"/>
        <w:ind w:right="247"/>
        <w:jc w:val="both"/>
      </w:pPr>
      <w:r>
        <w:rPr>
          <w:w w:val="95"/>
        </w:rPr>
        <w:t>为合并对价的，在合并日按照取得被合并方所有者权益账面价值的份额作为长期股权投资</w:t>
      </w:r>
      <w:r>
        <w:rPr>
          <w:spacing w:val="86"/>
          <w:w w:val="95"/>
        </w:rPr>
        <w:t> </w:t>
      </w:r>
      <w:r>
        <w:rPr>
          <w:spacing w:val="86"/>
          <w:w w:val="95"/>
        </w:rPr>
      </w:r>
      <w:r>
        <w:rPr>
          <w:w w:val="95"/>
        </w:rPr>
        <w:t>的投资成本。长期股权投资投资成本与支付的现金、转让的非现金资产以及所承担债务账</w:t>
      </w:r>
      <w:r>
        <w:rPr>
          <w:spacing w:val="85"/>
          <w:w w:val="95"/>
        </w:rPr>
        <w:t> </w:t>
      </w:r>
      <w:r>
        <w:rPr>
          <w:spacing w:val="85"/>
          <w:w w:val="95"/>
        </w:rPr>
      </w:r>
      <w:r>
        <w:rPr/>
        <w:t>面价值之间的差额，调整资本公积；资本公积不足冲减的，调整留存收益。</w:t>
      </w:r>
    </w:p>
    <w:p>
      <w:pPr>
        <w:pStyle w:val="BodyText"/>
        <w:spacing w:line="357" w:lineRule="auto" w:before="32"/>
        <w:ind w:right="247" w:firstLine="420"/>
        <w:jc w:val="both"/>
      </w:pPr>
      <w:r>
        <w:rPr>
          <w:w w:val="95"/>
        </w:rPr>
        <w:t>合并方以发行权益性证券作为合并对价的，在合并日按照取得被合并方所有者权益账</w:t>
      </w:r>
      <w:r>
        <w:rPr>
          <w:w w:val="99"/>
        </w:rPr>
        <w:t> </w:t>
      </w:r>
      <w:r>
        <w:rPr>
          <w:w w:val="95"/>
        </w:rPr>
        <w:t>面价值的份额作为长期股权投资的投资成本。按④照发行股份的面值总额作为股本，长期</w:t>
      </w:r>
      <w:r>
        <w:rPr>
          <w:spacing w:val="85"/>
          <w:w w:val="95"/>
        </w:rPr>
        <w:t> </w:t>
      </w:r>
      <w:r>
        <w:rPr>
          <w:spacing w:val="85"/>
          <w:w w:val="95"/>
        </w:rPr>
      </w:r>
      <w:r>
        <w:rPr>
          <w:w w:val="95"/>
        </w:rPr>
        <w:t>股权投资投资成本与所发行股份面值总额之间的差额，调整资本公积；资本公积不足冲减</w:t>
      </w:r>
      <w:r>
        <w:rPr>
          <w:spacing w:val="85"/>
          <w:w w:val="95"/>
        </w:rPr>
        <w:t> </w:t>
      </w:r>
      <w:r>
        <w:rPr>
          <w:spacing w:val="85"/>
          <w:w w:val="95"/>
        </w:rPr>
      </w:r>
      <w:r>
        <w:rPr/>
        <w:t>的，调整留存收益。</w:t>
      </w:r>
    </w:p>
    <w:p>
      <w:pPr>
        <w:pStyle w:val="BodyText"/>
        <w:spacing w:line="336" w:lineRule="auto" w:before="30"/>
        <w:ind w:right="247" w:firstLine="420"/>
        <w:jc w:val="both"/>
      </w:pPr>
      <w:r>
        <w:rPr>
          <w:rFonts w:ascii="Times New Roman" w:hAnsi="Times New Roman" w:cs="Times New Roman" w:eastAsia="Times New Roman" w:hint="default"/>
          <w:spacing w:val="2"/>
        </w:rPr>
        <w:t>b</w:t>
      </w:r>
      <w:r>
        <w:rPr>
          <w:spacing w:val="2"/>
        </w:rPr>
        <w:t>、非同一控制下的企业合并，按照下列规定确定的合并成本作为长期股权投资的</w:t>
      </w:r>
      <w:r>
        <w:rPr>
          <w:spacing w:val="-89"/>
        </w:rPr>
        <w:t> </w:t>
      </w:r>
      <w:r>
        <w:rPr/>
        <w:t>投</w:t>
      </w:r>
      <w:r>
        <w:rPr>
          <w:w w:val="99"/>
        </w:rPr>
        <w:t> </w:t>
      </w:r>
      <w:r>
        <w:rPr/>
        <w:t>资成本：</w:t>
      </w:r>
    </w:p>
    <w:p>
      <w:pPr>
        <w:pStyle w:val="BodyText"/>
        <w:spacing w:line="357" w:lineRule="auto" w:before="49"/>
        <w:ind w:right="247" w:firstLine="420"/>
        <w:jc w:val="both"/>
      </w:pPr>
      <w:r>
        <w:rPr>
          <w:w w:val="95"/>
        </w:rPr>
        <w:t>①一次交换交易实现的企业合并，合并成本为购买方在购买日为取得对被购买方的控</w:t>
      </w:r>
      <w:r>
        <w:rPr>
          <w:w w:val="99"/>
        </w:rPr>
        <w:t> </w:t>
      </w:r>
      <w:r>
        <w:rPr/>
        <w:t>制权而付出的资产、发生或承担的负债以及发行的权益性证券的公允价值。</w:t>
      </w:r>
    </w:p>
    <w:p>
      <w:pPr>
        <w:pStyle w:val="BodyText"/>
        <w:spacing w:line="240" w:lineRule="auto" w:before="30"/>
        <w:ind w:left="542" w:right="109"/>
        <w:jc w:val="left"/>
      </w:pPr>
      <w:r>
        <w:rPr/>
        <w:t>②通过多次交换交易分步实现的企业合并，合并成本为每一单项交易成本之和。</w:t>
      </w:r>
    </w:p>
    <w:p>
      <w:pPr>
        <w:pStyle w:val="BodyText"/>
        <w:spacing w:line="240" w:lineRule="auto" w:before="133"/>
        <w:ind w:left="542" w:right="109"/>
        <w:jc w:val="left"/>
      </w:pPr>
      <w:r>
        <w:rPr/>
        <w:t>③购买方为进行企业合并发生的各项直接相关费用也计入企业合并成本。</w:t>
      </w:r>
    </w:p>
    <w:p>
      <w:pPr>
        <w:pStyle w:val="BodyText"/>
        <w:spacing w:line="355" w:lineRule="auto" w:before="133"/>
        <w:ind w:right="247" w:firstLine="420"/>
        <w:jc w:val="both"/>
      </w:pPr>
      <w:r>
        <w:rPr>
          <w:w w:val="95"/>
        </w:rPr>
        <w:t>④在合并合同或协议中对可能影响合并成本的未来事项作出约定的，购买日如果估计</w:t>
      </w:r>
      <w:r>
        <w:rPr>
          <w:w w:val="99"/>
        </w:rPr>
        <w:t> </w:t>
      </w:r>
      <w:r>
        <w:rPr>
          <w:w w:val="95"/>
        </w:rPr>
        <w:t>未来事项很可能发生并且对合并成本的影响金额能够可靠计量的，购买方将其计入合并成  </w:t>
      </w:r>
      <w:r>
        <w:rPr>
          <w:spacing w:val="86"/>
          <w:w w:val="95"/>
        </w:rPr>
        <w:t> </w:t>
      </w:r>
      <w:r>
        <w:rPr>
          <w:spacing w:val="86"/>
          <w:w w:val="95"/>
        </w:rPr>
      </w:r>
      <w:r>
        <w:rPr/>
        <w:t>本。</w:t>
      </w:r>
    </w:p>
    <w:p>
      <w:pPr>
        <w:pStyle w:val="BodyText"/>
        <w:spacing w:line="336" w:lineRule="auto" w:before="34"/>
        <w:ind w:right="259" w:firstLine="420"/>
        <w:jc w:val="both"/>
      </w:pPr>
      <w:r>
        <w:rPr>
          <w:rFonts w:ascii="Times New Roman" w:hAnsi="Times New Roman" w:cs="Times New Roman" w:eastAsia="Times New Roman" w:hint="default"/>
        </w:rPr>
        <w:t>B</w:t>
      </w:r>
      <w:r>
        <w:rPr/>
        <w:t>、除企业合并形成的长期股权投资以外，其它方式取得的长期股权投资，按照下列</w:t>
      </w:r>
      <w:r>
        <w:rPr>
          <w:w w:val="99"/>
        </w:rPr>
        <w:t> </w:t>
      </w:r>
      <w:r>
        <w:rPr/>
        <w:t>规定确定其投资成本：</w:t>
      </w:r>
    </w:p>
    <w:p>
      <w:pPr>
        <w:pStyle w:val="BodyText"/>
        <w:spacing w:line="336" w:lineRule="auto" w:before="49"/>
        <w:ind w:right="247" w:firstLine="420"/>
        <w:jc w:val="both"/>
      </w:pPr>
      <w:r>
        <w:rPr>
          <w:rFonts w:ascii="Times New Roman" w:hAnsi="Times New Roman" w:cs="Times New Roman" w:eastAsia="Times New Roman" w:hint="default"/>
          <w:spacing w:val="2"/>
        </w:rPr>
        <w:t>a</w:t>
      </w:r>
      <w:r>
        <w:rPr>
          <w:spacing w:val="2"/>
        </w:rPr>
        <w:t>、以支付现金取得的长期股权投资，按照实际支付的购买价款作为</w:t>
      </w:r>
      <w:r>
        <w:rPr>
          <w:spacing w:val="-88"/>
        </w:rPr>
        <w:t> </w:t>
      </w:r>
      <w:r>
        <w:rPr>
          <w:spacing w:val="3"/>
        </w:rPr>
        <w:t>投资成本。投资</w:t>
      </w:r>
      <w:r>
        <w:rPr>
          <w:w w:val="99"/>
        </w:rPr>
        <w:t> </w:t>
      </w:r>
      <w:r>
        <w:rPr/>
        <w:t>成本包括与取得长期股权投资直接相关的费用、税金及其它必要支出。</w:t>
      </w:r>
    </w:p>
    <w:p>
      <w:pPr>
        <w:pStyle w:val="BodyText"/>
        <w:spacing w:line="336" w:lineRule="auto" w:before="51"/>
        <w:ind w:right="247" w:firstLine="420"/>
        <w:jc w:val="both"/>
      </w:pPr>
      <w:r>
        <w:rPr>
          <w:rFonts w:ascii="Times New Roman" w:hAnsi="Times New Roman" w:cs="Times New Roman" w:eastAsia="Times New Roman" w:hint="default"/>
          <w:spacing w:val="2"/>
        </w:rPr>
        <w:t>b</w:t>
      </w:r>
      <w:r>
        <w:rPr>
          <w:spacing w:val="2"/>
        </w:rPr>
        <w:t>、以发行权益性证券取得的长期股权投资，按照发行权益性证券的公允价值作为</w:t>
      </w:r>
      <w:r>
        <w:rPr>
          <w:spacing w:val="-89"/>
        </w:rPr>
        <w:t> </w:t>
      </w:r>
      <w:r>
        <w:rPr/>
        <w:t>投</w:t>
      </w:r>
      <w:r>
        <w:rPr>
          <w:w w:val="99"/>
        </w:rPr>
        <w:t> </w:t>
      </w:r>
      <w:r>
        <w:rPr/>
        <w:t>资成本。</w:t>
      </w:r>
    </w:p>
    <w:p>
      <w:pPr>
        <w:pStyle w:val="BodyText"/>
        <w:spacing w:line="338" w:lineRule="auto" w:before="49"/>
        <w:ind w:right="247" w:firstLine="420"/>
        <w:jc w:val="both"/>
      </w:pPr>
      <w:r>
        <w:rPr>
          <w:rFonts w:ascii="Times New Roman" w:hAnsi="Times New Roman" w:cs="Times New Roman" w:eastAsia="Times New Roman" w:hint="default"/>
          <w:spacing w:val="2"/>
        </w:rPr>
        <w:t>c</w:t>
      </w:r>
      <w:r>
        <w:rPr>
          <w:spacing w:val="2"/>
        </w:rPr>
        <w:t>、投资者投入的长期股权投资，按照投资合同或协议约定的价值作为</w:t>
      </w:r>
      <w:r>
        <w:rPr>
          <w:spacing w:val="-87"/>
        </w:rPr>
        <w:t> </w:t>
      </w:r>
      <w:r>
        <w:rPr>
          <w:spacing w:val="3"/>
        </w:rPr>
        <w:t>投资成本，但</w:t>
      </w:r>
      <w:r>
        <w:rPr>
          <w:w w:val="99"/>
        </w:rPr>
        <w:t> </w:t>
      </w:r>
      <w:r>
        <w:rPr/>
        <w:t>合同或协议约定价值不公允的除外。</w:t>
      </w:r>
    </w:p>
    <w:p>
      <w:pPr>
        <w:pStyle w:val="BodyText"/>
        <w:spacing w:line="350" w:lineRule="auto" w:before="47"/>
        <w:ind w:right="247" w:firstLine="420"/>
        <w:jc w:val="both"/>
      </w:pPr>
      <w:r>
        <w:rPr>
          <w:rFonts w:ascii="Times New Roman" w:hAnsi="Times New Roman" w:cs="Times New Roman" w:eastAsia="Times New Roman" w:hint="default"/>
          <w:w w:val="95"/>
        </w:rPr>
        <w:t>d</w:t>
      </w:r>
      <w:r>
        <w:rPr>
          <w:w w:val="95"/>
        </w:rPr>
        <w:t>、通过非货币性资产交换取得的长期股权投资，如非货币性资产交换具有商业实质，</w:t>
      </w:r>
      <w:r>
        <w:rPr>
          <w:w w:val="49"/>
        </w:rPr>
        <w:t> </w:t>
      </w:r>
      <w:r>
        <w:rPr>
          <w:w w:val="95"/>
        </w:rPr>
        <w:t>换入的长期股权投资按照公允价值和应支付的相关税费作为投资成本；如非货币资产交易</w:t>
      </w:r>
      <w:r>
        <w:rPr>
          <w:spacing w:val="86"/>
          <w:w w:val="95"/>
        </w:rPr>
        <w:t> </w:t>
      </w:r>
      <w:r>
        <w:rPr>
          <w:spacing w:val="86"/>
          <w:w w:val="95"/>
        </w:rPr>
      </w:r>
      <w:r>
        <w:rPr>
          <w:w w:val="95"/>
        </w:rPr>
        <w:t>不具有商业实质，换入的长期股权投资以换出资产的账面价值和应支付的相关税费作为投</w:t>
      </w:r>
      <w:r>
        <w:rPr>
          <w:spacing w:val="86"/>
          <w:w w:val="95"/>
        </w:rPr>
        <w:t> </w:t>
      </w:r>
      <w:r>
        <w:rPr>
          <w:spacing w:val="86"/>
          <w:w w:val="95"/>
        </w:rPr>
      </w:r>
      <w:r>
        <w:rPr/>
        <w:t>资成本。</w:t>
      </w:r>
    </w:p>
    <w:p>
      <w:pPr>
        <w:spacing w:after="0" w:line="350" w:lineRule="auto"/>
        <w:jc w:val="both"/>
        <w:sectPr>
          <w:headerReference w:type="default" r:id="rId27"/>
          <w:footerReference w:type="default" r:id="rId28"/>
          <w:pgSz w:w="11910" w:h="16840"/>
          <w:pgMar w:header="1058" w:footer="1590" w:top="1780" w:bottom="1780" w:left="1680" w:right="1680"/>
          <w:pgNumType w:start="80"/>
        </w:sectPr>
      </w:pPr>
    </w:p>
    <w:p>
      <w:pPr>
        <w:pStyle w:val="BodyText"/>
        <w:spacing w:line="274" w:lineRule="exact"/>
        <w:ind w:left="542" w:right="109"/>
        <w:jc w:val="left"/>
      </w:pPr>
      <w:r>
        <w:rPr>
          <w:rFonts w:ascii="Times New Roman" w:hAnsi="Times New Roman" w:cs="Times New Roman" w:eastAsia="Times New Roman" w:hint="default"/>
          <w:spacing w:val="2"/>
          <w:w w:val="95"/>
        </w:rPr>
        <w:t>e</w:t>
      </w:r>
      <w:r>
        <w:rPr>
          <w:spacing w:val="2"/>
          <w:w w:val="95"/>
        </w:rPr>
        <w:t>、通过债务重组取得的长期股权投资，其  </w:t>
      </w:r>
      <w:r>
        <w:rPr>
          <w:spacing w:val="71"/>
          <w:w w:val="95"/>
        </w:rPr>
        <w:t> </w:t>
      </w:r>
      <w:r>
        <w:rPr>
          <w:spacing w:val="2"/>
          <w:w w:val="95"/>
        </w:rPr>
        <w:t>投资成本按照公允价值和应付的相关税费</w:t>
      </w:r>
      <w:r>
        <w:rPr>
          <w:spacing w:val="2"/>
        </w:rPr>
      </w:r>
    </w:p>
    <w:p>
      <w:pPr>
        <w:pStyle w:val="BodyText"/>
        <w:spacing w:line="240" w:lineRule="auto" w:before="117"/>
        <w:ind w:right="109"/>
        <w:jc w:val="left"/>
      </w:pPr>
      <w:r>
        <w:rPr/>
        <w:t>确定。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right="109"/>
        <w:jc w:val="left"/>
      </w:pPr>
      <w:r>
        <w:rPr/>
        <w:t>（</w:t>
      </w:r>
      <w:r>
        <w:rPr>
          <w:rFonts w:ascii="Times New Roman" w:hAnsi="Times New Roman" w:cs="Times New Roman" w:eastAsia="Times New Roman" w:hint="default"/>
        </w:rPr>
        <w:t>2</w:t>
      </w:r>
      <w:r>
        <w:rPr/>
        <w:t>）后续计量及损益确认方法</w:t>
      </w:r>
    </w:p>
    <w:p>
      <w:pPr>
        <w:pStyle w:val="BodyText"/>
        <w:spacing w:line="345" w:lineRule="auto" w:before="117"/>
        <w:ind w:right="232" w:firstLine="420"/>
        <w:jc w:val="both"/>
      </w:pPr>
      <w:r>
        <w:rPr>
          <w:rFonts w:ascii="Times New Roman" w:hAnsi="Times New Roman" w:cs="Times New Roman" w:eastAsia="Times New Roman" w:hint="default"/>
        </w:rPr>
        <w:t>A</w:t>
      </w:r>
      <w:r>
        <w:rPr/>
        <w:t>、本公司能够对被投资单位实施控制的长期股权投资或本公司对被投资单位不具有</w:t>
      </w:r>
      <w:r>
        <w:rPr>
          <w:w w:val="99"/>
        </w:rPr>
        <w:t> </w:t>
      </w:r>
      <w:r>
        <w:rPr/>
        <w:t>共同控制或重大影响，并且在活跃市场中没有报价、公允价值不能可靠计量的长期股权投</w:t>
      </w:r>
      <w:r>
        <w:rPr>
          <w:w w:val="99"/>
        </w:rPr>
        <w:t> </w:t>
      </w:r>
      <w:r>
        <w:rPr/>
        <w:t>资采用成本法核算。</w:t>
      </w:r>
    </w:p>
    <w:p>
      <w:pPr>
        <w:pStyle w:val="BodyText"/>
        <w:spacing w:line="357" w:lineRule="auto" w:before="40"/>
        <w:ind w:right="232" w:firstLine="420"/>
        <w:jc w:val="both"/>
      </w:pPr>
      <w:r>
        <w:rPr/>
        <w:t>采用成本法核算的长期股权投资按照投资成本计价。追加或收回投资时调整长期股权</w:t>
      </w:r>
      <w:r>
        <w:rPr>
          <w:w w:val="99"/>
        </w:rPr>
        <w:t> </w:t>
      </w:r>
      <w:r>
        <w:rPr/>
        <w:t>投资的成本。被投资单位宣告分派的现金股利或利润，除取得投资时实际支付的价款或对</w:t>
      </w:r>
      <w:r>
        <w:rPr>
          <w:w w:val="99"/>
        </w:rPr>
        <w:t> </w:t>
      </w:r>
      <w:r>
        <w:rPr/>
        <w:t>价中包含的已宣告但尚未发放的现金股利或利润外，本公司按照享有被投资单位宣告发放</w:t>
      </w:r>
      <w:r>
        <w:rPr>
          <w:w w:val="99"/>
        </w:rPr>
        <w:t> </w:t>
      </w:r>
      <w:r>
        <w:rPr/>
        <w:t>的现金股利或利润确认当期投资收益。</w:t>
      </w:r>
    </w:p>
    <w:p>
      <w:pPr>
        <w:pStyle w:val="BodyText"/>
        <w:spacing w:line="338" w:lineRule="auto" w:before="30"/>
        <w:ind w:left="542" w:right="109"/>
        <w:jc w:val="left"/>
      </w:pPr>
      <w:r>
        <w:rPr>
          <w:rFonts w:ascii="Times New Roman" w:hAnsi="Times New Roman" w:cs="Times New Roman" w:eastAsia="Times New Roman" w:hint="default"/>
          <w:w w:val="95"/>
        </w:rPr>
        <w:t>B</w:t>
      </w:r>
      <w:r>
        <w:rPr>
          <w:w w:val="95"/>
        </w:rPr>
        <w:t>、本公司对被投资单位具有共同控制或重大影响的长期股权投资，采用权益法核算。</w:t>
      </w:r>
      <w:r>
        <w:rPr>
          <w:spacing w:val="49"/>
          <w:w w:val="95"/>
        </w:rPr>
        <w:t> </w:t>
      </w:r>
      <w:r>
        <w:rPr>
          <w:spacing w:val="49"/>
          <w:w w:val="95"/>
        </w:rPr>
      </w:r>
      <w:r>
        <w:rPr>
          <w:spacing w:val="5"/>
        </w:rPr>
        <w:t>长期股权投资的投资成本大于投资时应享有被投资单位可辨认净资产公允价值份额</w:t>
      </w:r>
    </w:p>
    <w:p>
      <w:pPr>
        <w:pStyle w:val="BodyText"/>
        <w:spacing w:line="355" w:lineRule="auto" w:before="47"/>
        <w:ind w:right="235"/>
        <w:jc w:val="both"/>
      </w:pPr>
      <w:r>
        <w:rPr>
          <w:w w:val="95"/>
        </w:rPr>
        <w:t>的，不调整长期股权投资的投资成本；长期股权投资的投资成本本小于投资时应享有被投</w:t>
      </w:r>
      <w:r>
        <w:rPr>
          <w:spacing w:val="98"/>
          <w:w w:val="95"/>
        </w:rPr>
        <w:t> </w:t>
      </w:r>
      <w:r>
        <w:rPr>
          <w:spacing w:val="98"/>
          <w:w w:val="95"/>
        </w:rPr>
      </w:r>
      <w:r>
        <w:rPr>
          <w:w w:val="95"/>
        </w:rPr>
        <w:t>资单位可辨认净资产公允价值份额的，其差额应当计入当期损益，同时调整长期股权投资</w:t>
      </w:r>
      <w:r>
        <w:rPr>
          <w:spacing w:val="98"/>
          <w:w w:val="95"/>
        </w:rPr>
        <w:t> </w:t>
      </w:r>
      <w:r>
        <w:rPr>
          <w:spacing w:val="98"/>
          <w:w w:val="95"/>
        </w:rPr>
      </w:r>
      <w:r>
        <w:rPr/>
        <w:t>的成本。</w:t>
      </w:r>
    </w:p>
    <w:p>
      <w:pPr>
        <w:pStyle w:val="BodyText"/>
        <w:spacing w:line="357" w:lineRule="auto" w:before="32"/>
        <w:ind w:right="232" w:firstLine="480"/>
        <w:jc w:val="both"/>
      </w:pPr>
      <w:r>
        <w:rPr>
          <w:w w:val="95"/>
        </w:rPr>
        <w:t>公司取得长期股权投资后，按照应享有或应分担的被投资单位实现的净损益的份额，</w:t>
      </w:r>
      <w:r>
        <w:rPr>
          <w:w w:val="69"/>
        </w:rPr>
        <w:t> </w:t>
      </w:r>
      <w:r>
        <w:rPr/>
        <w:t>确认投资损益并调整长期股权投资的账面价值；按照被投资单位宣告分派的利润或现金股</w:t>
      </w:r>
      <w:r>
        <w:rPr>
          <w:w w:val="99"/>
        </w:rPr>
        <w:t> </w:t>
      </w:r>
      <w:r>
        <w:rPr/>
        <w:t>利计算应分得的部分，相应减少长期股权投资的账面价值。公司确认被投资单位发生的净</w:t>
      </w:r>
      <w:r>
        <w:rPr>
          <w:w w:val="99"/>
        </w:rPr>
        <w:t> </w:t>
      </w:r>
      <w:r>
        <w:rPr/>
        <w:t>亏损，以长期股权投资的账面价值以及其他实质上构成对被投资单位净投资的长期权益减</w:t>
      </w:r>
      <w:r>
        <w:rPr>
          <w:w w:val="99"/>
        </w:rPr>
        <w:t> </w:t>
      </w:r>
      <w:r>
        <w:rPr/>
        <w:t>记至零为限，公司负有承担额外损失义务的除外。被投资单位以后实现净利润的，投资企</w:t>
      </w:r>
      <w:r>
        <w:rPr>
          <w:w w:val="99"/>
        </w:rPr>
        <w:t> </w:t>
      </w:r>
      <w:r>
        <w:rPr/>
        <w:t>业在其收益分享额弥补未确认的亏损分担额后，恢复确认收益分享额。</w:t>
      </w:r>
    </w:p>
    <w:p>
      <w:pPr>
        <w:pStyle w:val="BodyText"/>
        <w:spacing w:line="355" w:lineRule="auto" w:before="32"/>
        <w:ind w:right="232" w:firstLine="420"/>
        <w:jc w:val="both"/>
      </w:pPr>
      <w:r>
        <w:rPr/>
        <w:t>在确认应享有被投资单位净损益的份额时，以取得投资时被投资单位各项可辨认资产</w:t>
      </w:r>
      <w:r>
        <w:rPr>
          <w:w w:val="99"/>
        </w:rPr>
        <w:t> </w:t>
      </w:r>
      <w:r>
        <w:rPr>
          <w:w w:val="95"/>
        </w:rPr>
        <w:t>等的公允价值为基础，对被投资单位的净利润进行调整后确认。被投资单位采用的会计政</w:t>
      </w:r>
      <w:r>
        <w:rPr>
          <w:spacing w:val="98"/>
          <w:w w:val="95"/>
        </w:rPr>
        <w:t> </w:t>
      </w:r>
      <w:r>
        <w:rPr>
          <w:spacing w:val="98"/>
          <w:w w:val="95"/>
        </w:rPr>
      </w:r>
      <w:r>
        <w:rPr>
          <w:w w:val="95"/>
        </w:rPr>
        <w:t>策及会计期间与投资企业不一致的，应当按照投资企业的会计政策及会计期间对被投资单</w:t>
      </w:r>
      <w:r>
        <w:rPr>
          <w:spacing w:val="98"/>
          <w:w w:val="95"/>
        </w:rPr>
        <w:t> </w:t>
      </w:r>
      <w:r>
        <w:rPr>
          <w:spacing w:val="98"/>
          <w:w w:val="95"/>
        </w:rPr>
      </w:r>
      <w:r>
        <w:rPr/>
        <w:t>位的财务报表进行调整，并据以确认投资损益。</w:t>
      </w:r>
    </w:p>
    <w:p>
      <w:pPr>
        <w:pStyle w:val="BodyText"/>
        <w:spacing w:line="240" w:lineRule="auto" w:before="34"/>
        <w:ind w:left="542" w:right="109"/>
        <w:jc w:val="left"/>
      </w:pPr>
      <w:r>
        <w:rPr>
          <w:rFonts w:ascii="Times New Roman" w:hAnsi="Times New Roman" w:cs="Times New Roman" w:eastAsia="Times New Roman"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pStyle w:val="BodyText"/>
        <w:spacing w:line="336" w:lineRule="auto" w:before="192"/>
        <w:ind w:left="542" w:right="214" w:hanging="420"/>
        <w:jc w:val="left"/>
      </w:pPr>
      <w:r>
        <w:rPr/>
        <w:t>（</w:t>
      </w:r>
      <w:r>
        <w:rPr>
          <w:rFonts w:ascii="Times New Roman" w:hAnsi="Times New Roman" w:cs="Times New Roman" w:eastAsia="Times New Roman" w:hint="default"/>
        </w:rPr>
        <w:t>3</w:t>
      </w:r>
      <w:r>
        <w:rPr/>
        <w:t>）确定对被投资单位具有共同控制、重大影响的依据</w:t>
      </w:r>
      <w:r>
        <w:rPr>
          <w:w w:val="99"/>
        </w:rPr>
        <w:t> </w:t>
      </w:r>
      <w:r>
        <w:rPr/>
        <w:t>共同控制，是指按照合同约定对某项经济活动所共有的控制，仅在与该项经济活动相</w:t>
      </w:r>
    </w:p>
    <w:p>
      <w:pPr>
        <w:pStyle w:val="BodyText"/>
        <w:spacing w:line="357" w:lineRule="auto" w:before="49"/>
        <w:ind w:left="542" w:right="214" w:hanging="420"/>
        <w:jc w:val="left"/>
      </w:pPr>
      <w:r>
        <w:rPr/>
        <w:t>关的重要财务和经营决策需要分享控制权的投资方一致同意时存在。</w:t>
      </w:r>
      <w:r>
        <w:rPr>
          <w:w w:val="99"/>
        </w:rPr>
        <w:t> </w:t>
      </w:r>
      <w:r>
        <w:rPr/>
        <w:t>重大影响，是指对一个企业的财务和经营政策有参与决策的权力，但并不能够控制或</w:t>
      </w:r>
    </w:p>
    <w:p>
      <w:pPr>
        <w:spacing w:after="0" w:line="357" w:lineRule="auto"/>
        <w:jc w:val="left"/>
        <w:sectPr>
          <w:pgSz w:w="11910" w:h="16840"/>
          <w:pgMar w:header="1058" w:footer="1590" w:top="1780" w:bottom="1780" w:left="1680" w:right="1680"/>
        </w:sectPr>
      </w:pPr>
    </w:p>
    <w:p>
      <w:pPr>
        <w:pStyle w:val="BodyText"/>
        <w:spacing w:line="258" w:lineRule="exact"/>
        <w:ind w:left="222" w:right="254"/>
        <w:jc w:val="left"/>
      </w:pPr>
      <w:bookmarkStart w:name="13、投资性房地产" w:id="31"/>
      <w:bookmarkEnd w:id="31"/>
      <w:r>
        <w:rPr/>
      </w:r>
      <w:bookmarkStart w:name="14、固定资产" w:id="32"/>
      <w:bookmarkEnd w:id="32"/>
      <w:r>
        <w:rPr/>
      </w:r>
      <w:r>
        <w:rPr/>
        <w:t>者与其他方一起共同控制这些政策的制定。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642" w:right="254" w:hanging="420"/>
        <w:jc w:val="left"/>
      </w:pPr>
      <w:r>
        <w:rPr/>
        <w:t>（</w:t>
      </w:r>
      <w:r>
        <w:rPr>
          <w:rFonts w:ascii="Times New Roman" w:hAnsi="Times New Roman" w:cs="Times New Roman" w:eastAsia="Times New Roman" w:hint="default"/>
        </w:rPr>
        <w:t>4</w:t>
      </w:r>
      <w:r>
        <w:rPr/>
        <w:t>）减值测试方法及减值准备计提方法</w:t>
      </w:r>
      <w:r>
        <w:rPr>
          <w:w w:val="99"/>
        </w:rPr>
        <w:t> </w:t>
      </w:r>
      <w:r>
        <w:rPr/>
        <w:t>资产负债表日对长期股权投资逐项进行检查，判断长期股权投资是否存在可能发生减</w:t>
      </w:r>
    </w:p>
    <w:p>
      <w:pPr>
        <w:pStyle w:val="BodyText"/>
        <w:spacing w:line="357" w:lineRule="auto" w:before="49"/>
        <w:ind w:left="222" w:right="246"/>
        <w:jc w:val="both"/>
      </w:pPr>
      <w:r>
        <w:rPr/>
        <w:t>值的迹象。如果存在被投资单位经营状况恶化等减值迹象的，则估计其可收回金额。可收</w:t>
      </w:r>
      <w:r>
        <w:rPr>
          <w:w w:val="99"/>
        </w:rPr>
        <w:t> </w:t>
      </w:r>
      <w:r>
        <w:rPr/>
        <w:t>回金额的计量结果表明，长期股权投资的可收回金额低于其</w:t>
      </w:r>
      <w:r>
        <w:rPr>
          <w:spacing w:val="-44"/>
        </w:rPr>
        <w:t> </w:t>
      </w:r>
      <w:r>
        <w:rPr>
          <w:spacing w:val="-3"/>
        </w:rPr>
        <w:t>账面价值的，将长期股权投资</w:t>
      </w:r>
      <w:r>
        <w:rPr>
          <w:w w:val="99"/>
        </w:rPr>
        <w:t> </w:t>
      </w:r>
      <w:r>
        <w:rPr/>
        <w:t>的账面价值减记至可收回金额，减记的金额确认为资产减值损失，计入当期损益，同时计</w:t>
      </w:r>
      <w:r>
        <w:rPr>
          <w:w w:val="99"/>
        </w:rPr>
        <w:t> </w:t>
      </w:r>
      <w:r>
        <w:rPr/>
        <w:t>提相应的长期投资减值准备。长期投资减值损失一经确认，在以后会计期间不再转回。</w:t>
      </w:r>
    </w:p>
    <w:p>
      <w:pPr>
        <w:spacing w:line="240" w:lineRule="auto" w:before="10"/>
        <w:rPr>
          <w:rFonts w:ascii="宋体" w:hAnsi="宋体" w:cs="宋体" w:eastAsia="宋体" w:hint="default"/>
          <w:sz w:val="28"/>
          <w:szCs w:val="28"/>
        </w:rPr>
      </w:pPr>
    </w:p>
    <w:p>
      <w:pPr>
        <w:spacing w:line="314" w:lineRule="auto" w:before="0"/>
        <w:ind w:left="642" w:right="1094"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投资性房地产，是指为赚取租金或资本增值，或两者兼有而持有的房地产。</w:t>
      </w:r>
    </w:p>
    <w:p>
      <w:pPr>
        <w:pStyle w:val="BodyText"/>
        <w:spacing w:line="240" w:lineRule="auto" w:before="68"/>
        <w:ind w:left="642" w:right="254"/>
        <w:jc w:val="left"/>
      </w:pPr>
      <w:r>
        <w:rPr/>
        <w:t>（</w:t>
      </w:r>
      <w:r>
        <w:rPr>
          <w:rFonts w:ascii="Times New Roman" w:hAnsi="Times New Roman" w:cs="Times New Roman" w:eastAsia="Times New Roman" w:hint="default"/>
        </w:rPr>
        <w:t>1</w:t>
      </w:r>
      <w:r>
        <w:rPr/>
        <w:t>）投资性房地产按照成本进行初始计量：</w:t>
      </w:r>
    </w:p>
    <w:p>
      <w:pPr>
        <w:pStyle w:val="BodyText"/>
        <w:spacing w:line="336" w:lineRule="auto" w:before="117"/>
        <w:ind w:left="222" w:right="254" w:firstLine="525"/>
        <w:jc w:val="left"/>
      </w:pPr>
      <w:r>
        <w:rPr>
          <w:rFonts w:ascii="Times New Roman" w:hAnsi="Times New Roman" w:cs="Times New Roman" w:eastAsia="Times New Roman" w:hint="default"/>
          <w:w w:val="95"/>
        </w:rPr>
        <w:t>A</w:t>
      </w:r>
      <w:r>
        <w:rPr>
          <w:w w:val="95"/>
        </w:rPr>
        <w:t>、外购投资性房地产的成本，包括购买价款、相关税费和可直接归属于该资产的其</w:t>
      </w:r>
      <w:r>
        <w:rPr>
          <w:w w:val="99"/>
        </w:rPr>
        <w:t> </w:t>
      </w:r>
      <w:r>
        <w:rPr/>
        <w:t>他支出。</w:t>
      </w:r>
    </w:p>
    <w:p>
      <w:pPr>
        <w:pStyle w:val="BodyText"/>
        <w:spacing w:line="336" w:lineRule="auto" w:before="51"/>
        <w:ind w:left="222" w:right="254" w:firstLine="525"/>
        <w:jc w:val="left"/>
      </w:pPr>
      <w:r>
        <w:rPr>
          <w:rFonts w:ascii="Times New Roman" w:hAnsi="Times New Roman" w:cs="Times New Roman" w:eastAsia="Times New Roman" w:hint="default"/>
          <w:w w:val="95"/>
        </w:rPr>
        <w:t>B</w:t>
      </w:r>
      <w:r>
        <w:rPr>
          <w:w w:val="95"/>
        </w:rPr>
        <w:t>、自行建造投资性房地产的成本，由建造该项资产达到预定可使用状态前所发生的</w:t>
      </w:r>
      <w:r>
        <w:rPr>
          <w:w w:val="99"/>
        </w:rPr>
        <w:t> </w:t>
      </w:r>
      <w:r>
        <w:rPr/>
        <w:t>必要支出构成。</w:t>
      </w:r>
    </w:p>
    <w:p>
      <w:pPr>
        <w:pStyle w:val="BodyText"/>
        <w:spacing w:line="240" w:lineRule="auto" w:before="49"/>
        <w:ind w:left="747" w:right="254"/>
        <w:jc w:val="left"/>
      </w:pPr>
      <w:r>
        <w:rPr>
          <w:rFonts w:ascii="Times New Roman" w:hAnsi="Times New Roman" w:cs="Times New Roman" w:eastAsia="Times New Roman" w:hint="default"/>
        </w:rPr>
        <w:t>C</w:t>
      </w:r>
      <w:r>
        <w:rPr/>
        <w:t>、以其他方式取得的投资性房地产的成本，按照相关会计准则的规定确定。</w:t>
      </w:r>
    </w:p>
    <w:p>
      <w:pPr>
        <w:pStyle w:val="BodyText"/>
        <w:spacing w:line="336" w:lineRule="auto" w:before="117"/>
        <w:ind w:left="642" w:right="254"/>
        <w:jc w:val="left"/>
      </w:pPr>
      <w:r>
        <w:rPr/>
        <w:t>（</w:t>
      </w:r>
      <w:r>
        <w:rPr>
          <w:rFonts w:ascii="Times New Roman" w:hAnsi="Times New Roman" w:cs="Times New Roman" w:eastAsia="Times New Roman" w:hint="default"/>
        </w:rPr>
        <w:t>2</w:t>
      </w:r>
      <w:r>
        <w:rPr/>
        <w:t>）后续计量</w:t>
      </w:r>
      <w:r>
        <w:rPr>
          <w:w w:val="99"/>
        </w:rPr>
        <w:t> </w:t>
      </w:r>
      <w:r>
        <w:rPr/>
        <w:t>与投资性房地产有关的后续支出，如与该投资性房地产有关的经济利益很可能流入企</w:t>
      </w:r>
    </w:p>
    <w:p>
      <w:pPr>
        <w:pStyle w:val="BodyText"/>
        <w:spacing w:line="357" w:lineRule="auto" w:before="49"/>
        <w:ind w:left="222" w:right="464"/>
        <w:jc w:val="left"/>
      </w:pPr>
      <w:r>
        <w:rPr/>
        <w:t>业且该投资性房</w:t>
      </w:r>
      <w:r>
        <w:rPr>
          <w:w w:val="99"/>
        </w:rPr>
        <w:t> </w:t>
      </w:r>
      <w:r>
        <w:rPr/>
        <w:t>地产的成本能够可靠地计量，则计入投资性房地产成本；否则在发生时计入当期损益。</w:t>
      </w:r>
      <w:r>
        <w:rPr>
          <w:w w:val="99"/>
        </w:rPr>
        <w:t> </w:t>
      </w:r>
      <w:r>
        <w:rPr/>
        <w:t>公司在资产负债表日采用成本模式对投资性房地产进行后续计量</w:t>
      </w:r>
    </w:p>
    <w:p>
      <w:pPr>
        <w:spacing w:line="240" w:lineRule="auto" w:before="12"/>
        <w:rPr>
          <w:rFonts w:ascii="宋体" w:hAnsi="宋体" w:cs="宋体" w:eastAsia="宋体" w:hint="default"/>
          <w:sz w:val="24"/>
          <w:szCs w:val="24"/>
        </w:rPr>
      </w:pPr>
    </w:p>
    <w:p>
      <w:pPr>
        <w:pStyle w:val="Heading4"/>
        <w:spacing w:line="240" w:lineRule="auto"/>
        <w:ind w:left="228" w:right="254"/>
        <w:jc w:val="left"/>
        <w:rPr>
          <w:b w:val="0"/>
          <w:bCs w:val="0"/>
        </w:rPr>
      </w:pPr>
      <w:r>
        <w:rPr>
          <w:rFonts w:ascii="Times New Roman" w:hAnsi="Times New Roman" w:cs="Times New Roman" w:eastAsia="Times New Roman" w:hint="default"/>
        </w:rPr>
        <w:t>14</w:t>
      </w:r>
      <w:r>
        <w:rPr/>
        <w:t>、固定资产</w:t>
      </w:r>
      <w:r>
        <w:rPr>
          <w:b w:val="0"/>
          <w:bCs w:val="0"/>
        </w:rPr>
      </w:r>
    </w:p>
    <w:p>
      <w:pPr>
        <w:pStyle w:val="BodyText"/>
        <w:spacing w:line="336" w:lineRule="auto" w:before="111"/>
        <w:ind w:left="642" w:right="231" w:hanging="420"/>
        <w:jc w:val="left"/>
      </w:pPr>
      <w:r>
        <w:rPr/>
        <w:t>（</w:t>
      </w:r>
      <w:r>
        <w:rPr>
          <w:rFonts w:ascii="Times New Roman" w:hAnsi="Times New Roman" w:cs="Times New Roman" w:eastAsia="Times New Roman" w:hint="default"/>
        </w:rPr>
        <w:t>1</w:t>
      </w:r>
      <w:r>
        <w:rPr/>
        <w:t>）固定资产确认条件</w:t>
      </w:r>
      <w:r>
        <w:rPr>
          <w:w w:val="99"/>
        </w:rPr>
        <w:t> </w:t>
      </w:r>
      <w:r>
        <w:rPr/>
        <w:t>为生产商品、提供劳务、出租或经营管理而持有的、使用寿命超过一个会计年度的有</w:t>
      </w:r>
    </w:p>
    <w:p>
      <w:pPr>
        <w:pStyle w:val="BodyText"/>
        <w:spacing w:line="240" w:lineRule="auto" w:before="49"/>
        <w:ind w:left="222" w:right="254"/>
        <w:jc w:val="left"/>
      </w:pPr>
      <w:r>
        <w:rPr/>
        <w:t>形资产。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222" w:right="254"/>
        <w:jc w:val="left"/>
      </w:pPr>
      <w:r>
        <w:rPr/>
        <w:t>（</w:t>
      </w:r>
      <w:r>
        <w:rPr>
          <w:rFonts w:ascii="Times New Roman" w:hAnsi="Times New Roman" w:cs="Times New Roman" w:eastAsia="Times New Roman" w:hint="default"/>
        </w:rPr>
        <w:t>2</w:t>
      </w:r>
      <w:r>
        <w:rPr/>
        <w:t>）各类固定资产的折旧方法</w:t>
      </w:r>
    </w:p>
    <w:p>
      <w:pPr>
        <w:spacing w:line="240" w:lineRule="auto" w:before="7"/>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84"/>
        <w:gridCol w:w="2441"/>
        <w:gridCol w:w="2347"/>
        <w:gridCol w:w="1786"/>
      </w:tblGrid>
      <w:tr>
        <w:trPr>
          <w:trHeight w:val="420"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2"/>
              <w:jc w:val="right"/>
              <w:rPr>
                <w:rFonts w:ascii="宋体" w:hAnsi="宋体" w:cs="宋体" w:eastAsia="宋体" w:hint="default"/>
                <w:sz w:val="21"/>
                <w:szCs w:val="21"/>
              </w:rPr>
            </w:pPr>
            <w:r>
              <w:rPr>
                <w:rFonts w:ascii="宋体" w:hAnsi="宋体" w:cs="宋体" w:eastAsia="宋体" w:hint="default"/>
                <w:w w:val="95"/>
                <w:sz w:val="21"/>
                <w:szCs w:val="21"/>
              </w:rPr>
              <w:t>折旧年限</w:t>
            </w:r>
            <w:r>
              <w:rPr>
                <w:rFonts w:ascii="宋体" w:hAnsi="宋体" w:cs="宋体" w:eastAsia="宋体" w:hint="default"/>
                <w:sz w:val="21"/>
                <w:szCs w:val="21"/>
              </w:rPr>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w w:val="95"/>
                <w:sz w:val="21"/>
                <w:szCs w:val="21"/>
              </w:rPr>
              <w:t>年折旧率</w:t>
            </w:r>
            <w:r>
              <w:rPr>
                <w:rFonts w:ascii="宋体" w:hAnsi="宋体" w:cs="宋体" w:eastAsia="宋体" w:hint="default"/>
                <w:sz w:val="21"/>
                <w:szCs w:val="21"/>
              </w:rPr>
            </w:r>
          </w:p>
        </w:tc>
      </w:tr>
      <w:tr>
        <w:trPr>
          <w:trHeight w:val="41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68"/>
              <w:jc w:val="righ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407"/>
              <w:jc w:val="right"/>
              <w:rPr>
                <w:rFonts w:ascii="Times New Roman" w:hAnsi="Times New Roman" w:cs="Times New Roman" w:eastAsia="Times New Roman" w:hint="default"/>
                <w:sz w:val="21"/>
                <w:szCs w:val="21"/>
              </w:rPr>
            </w:pPr>
            <w:r>
              <w:rPr>
                <w:rFonts w:ascii="Times New Roman"/>
                <w:w w:val="95"/>
                <w:sz w:val="21"/>
              </w:rPr>
              <w:t>3.17%</w:t>
            </w:r>
            <w:r>
              <w:rPr>
                <w:rFonts w:ascii="Times New Roman"/>
                <w:sz w:val="21"/>
              </w:rPr>
            </w:r>
          </w:p>
        </w:tc>
      </w:tr>
      <w:tr>
        <w:trPr>
          <w:trHeight w:val="41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68"/>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460"/>
              <w:jc w:val="right"/>
              <w:rPr>
                <w:rFonts w:ascii="Times New Roman" w:hAnsi="Times New Roman" w:cs="Times New Roman" w:eastAsia="Times New Roman" w:hint="default"/>
                <w:sz w:val="21"/>
                <w:szCs w:val="21"/>
              </w:rPr>
            </w:pPr>
            <w:r>
              <w:rPr>
                <w:rFonts w:ascii="Times New Roman"/>
                <w:w w:val="95"/>
                <w:sz w:val="21"/>
              </w:rPr>
              <w:t>9.5%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058" w:footer="1590" w:top="1780" w:bottom="1780" w:left="1580" w:right="1640"/>
        </w:sectPr>
      </w:pPr>
    </w:p>
    <w:tbl>
      <w:tblPr>
        <w:tblW w:w="0" w:type="auto"/>
        <w:jc w:val="left"/>
        <w:tblInd w:w="109" w:type="dxa"/>
        <w:tblLayout w:type="fixed"/>
        <w:tblCellMar>
          <w:top w:w="0" w:type="dxa"/>
          <w:left w:w="0" w:type="dxa"/>
          <w:bottom w:w="0" w:type="dxa"/>
          <w:right w:w="0" w:type="dxa"/>
        </w:tblCellMar>
        <w:tblLook w:val="01E0"/>
      </w:tblPr>
      <w:tblGrid>
        <w:gridCol w:w="1884"/>
        <w:gridCol w:w="2441"/>
        <w:gridCol w:w="2347"/>
        <w:gridCol w:w="1786"/>
      </w:tblGrid>
      <w:tr>
        <w:trPr>
          <w:trHeight w:val="41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bookmarkStart w:name="15、在建工程" w:id="33"/>
            <w:bookmarkEnd w:id="33"/>
            <w:r>
              <w:rPr/>
            </w:r>
            <w:r>
              <w:rPr>
                <w:rFonts w:ascii="宋体" w:hAnsi="宋体" w:cs="宋体" w:eastAsia="宋体" w:hint="default"/>
                <w:sz w:val="21"/>
                <w:szCs w:val="21"/>
              </w:rPr>
              <w:t>运输设备</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4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p>
        </w:tc>
      </w:tr>
      <w:tr>
        <w:trPr>
          <w:trHeight w:val="41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18" w:right="0"/>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0"/>
        <w:rPr>
          <w:rFonts w:ascii="宋体" w:hAnsi="宋体" w:cs="宋体" w:eastAsia="宋体" w:hint="default"/>
          <w:sz w:val="24"/>
          <w:szCs w:val="24"/>
        </w:rPr>
      </w:pPr>
    </w:p>
    <w:p>
      <w:pPr>
        <w:pStyle w:val="BodyText"/>
        <w:spacing w:line="336" w:lineRule="auto" w:before="34"/>
        <w:ind w:left="642" w:right="254" w:hanging="420"/>
        <w:jc w:val="left"/>
      </w:pPr>
      <w:r>
        <w:rPr/>
        <w:t>（</w:t>
      </w:r>
      <w:r>
        <w:rPr>
          <w:rFonts w:ascii="Times New Roman" w:hAnsi="Times New Roman" w:cs="Times New Roman" w:eastAsia="Times New Roman" w:hint="default"/>
        </w:rPr>
        <w:t>3</w:t>
      </w:r>
      <w:r>
        <w:rPr/>
        <w:t>）固定资产的减值测试方法、减值准备计提方法</w:t>
      </w:r>
      <w:r>
        <w:rPr>
          <w:w w:val="99"/>
        </w:rPr>
        <w:t> </w:t>
      </w:r>
      <w:r>
        <w:rPr>
          <w:spacing w:val="2"/>
          <w:w w:val="95"/>
        </w:rPr>
        <w:t>资产负债表日判断固定资产是否存在可能发生减值的迹象。如果存在资产市价持续下</w:t>
      </w:r>
      <w:r>
        <w:rPr>
          <w:spacing w:val="2"/>
        </w:rPr>
      </w:r>
    </w:p>
    <w:p>
      <w:pPr>
        <w:pStyle w:val="BodyText"/>
        <w:spacing w:line="357" w:lineRule="auto" w:before="46"/>
        <w:ind w:left="222" w:right="222"/>
        <w:jc w:val="both"/>
      </w:pPr>
      <w:r>
        <w:rPr>
          <w:spacing w:val="2"/>
          <w:w w:val="95"/>
        </w:rPr>
        <w:t>跌，或技术陈旧、损坏、长期闲置等减值迹象的，则估计其可收回金额。可收回金额的计</w:t>
      </w:r>
      <w:r>
        <w:rPr>
          <w:spacing w:val="62"/>
          <w:w w:val="95"/>
        </w:rPr>
        <w:t> </w:t>
      </w:r>
      <w:r>
        <w:rPr>
          <w:spacing w:val="62"/>
          <w:w w:val="95"/>
        </w:rPr>
      </w:r>
      <w:r>
        <w:rPr>
          <w:spacing w:val="2"/>
          <w:w w:val="95"/>
        </w:rPr>
        <w:t>量结果表明，固定资产的可收回金额低于其账面价值的，将固定资产的账面价值减记至可</w:t>
      </w:r>
      <w:r>
        <w:rPr>
          <w:spacing w:val="61"/>
          <w:w w:val="95"/>
        </w:rPr>
        <w:t> </w:t>
      </w:r>
      <w:r>
        <w:rPr>
          <w:spacing w:val="61"/>
          <w:w w:val="95"/>
        </w:rPr>
      </w:r>
      <w:r>
        <w:rPr/>
        <w:t>收回金额，减记的金额确认为资产减值损失，计入当期损益，同时计提相应的固定资产减</w:t>
      </w:r>
      <w:r>
        <w:rPr>
          <w:spacing w:val="-77"/>
        </w:rPr>
        <w:t> </w:t>
      </w:r>
      <w:r>
        <w:rPr>
          <w:spacing w:val="-77"/>
        </w:rPr>
      </w:r>
      <w:r>
        <w:rPr/>
        <w:t>值准备。固定资产减值损失一经确认，在以后会计期间不再转回。</w:t>
      </w:r>
    </w:p>
    <w:p>
      <w:pPr>
        <w:spacing w:line="240" w:lineRule="auto" w:before="0"/>
        <w:rPr>
          <w:rFonts w:ascii="宋体" w:hAnsi="宋体" w:cs="宋体" w:eastAsia="宋体" w:hint="default"/>
          <w:sz w:val="20"/>
          <w:szCs w:val="20"/>
        </w:rPr>
      </w:pPr>
    </w:p>
    <w:p>
      <w:pPr>
        <w:pStyle w:val="BodyText"/>
        <w:spacing w:line="336" w:lineRule="auto" w:before="133"/>
        <w:ind w:left="642" w:right="231" w:hanging="420"/>
        <w:jc w:val="left"/>
      </w:pPr>
      <w:r>
        <w:rPr/>
        <w:t>（</w:t>
      </w:r>
      <w:r>
        <w:rPr>
          <w:rFonts w:ascii="Times New Roman" w:hAnsi="Times New Roman" w:cs="Times New Roman" w:eastAsia="Times New Roman" w:hint="default"/>
        </w:rPr>
        <w:t>4</w:t>
      </w:r>
      <w:r>
        <w:rPr/>
        <w:t>）融资租入固定资产的认定依据、计价方法</w:t>
      </w:r>
      <w:r>
        <w:rPr>
          <w:w w:val="99"/>
        </w:rPr>
        <w:t> </w:t>
      </w:r>
      <w:r>
        <w:rPr/>
        <w:t>如果与某项租入固定资产有关的全部风险和报酬实质上已经转移，本公司认定为融资</w:t>
      </w:r>
    </w:p>
    <w:p>
      <w:pPr>
        <w:pStyle w:val="BodyText"/>
        <w:spacing w:line="357" w:lineRule="auto" w:before="49"/>
        <w:ind w:left="222" w:right="227"/>
        <w:jc w:val="both"/>
      </w:pPr>
      <w:r>
        <w:rPr/>
        <w:t>租赁。融资租入固定资产需按租赁开始日租赁资产的公允价值与最低租赁付款额现值两者</w:t>
      </w:r>
      <w:r>
        <w:rPr>
          <w:spacing w:val="-77"/>
        </w:rPr>
        <w:t> </w:t>
      </w:r>
      <w:r>
        <w:rPr>
          <w:spacing w:val="-77"/>
        </w:rPr>
      </w:r>
      <w:r>
        <w:rPr/>
        <w:t>中的较低者，加上可直接归属于租赁项目的初始直接费用，作为租入资产的入账价值，将</w:t>
      </w:r>
      <w:r>
        <w:rPr>
          <w:spacing w:val="-77"/>
        </w:rPr>
        <w:t> </w:t>
      </w:r>
      <w:r>
        <w:rPr>
          <w:spacing w:val="-77"/>
        </w:rPr>
      </w:r>
      <w:r>
        <w:rPr/>
        <w:t>最低租赁付款额作为长期应付款的入账价值，其差额作为未确认融资费用。未确认融资费</w:t>
      </w:r>
      <w:r>
        <w:rPr>
          <w:spacing w:val="-77"/>
        </w:rPr>
        <w:t> </w:t>
      </w:r>
      <w:r>
        <w:rPr>
          <w:spacing w:val="-77"/>
        </w:rPr>
      </w:r>
      <w:r>
        <w:rPr/>
        <w:t>用采用实际利率法在租赁期内分摊。租入固定资产按租赁期和估计净残值确定折旧率，计</w:t>
      </w:r>
      <w:r>
        <w:rPr>
          <w:spacing w:val="-77"/>
        </w:rPr>
        <w:t> </w:t>
      </w:r>
      <w:r>
        <w:rPr>
          <w:spacing w:val="-77"/>
        </w:rPr>
      </w:r>
      <w:r>
        <w:rPr/>
        <w:t>提折旧。</w:t>
      </w:r>
    </w:p>
    <w:p>
      <w:pPr>
        <w:spacing w:line="240" w:lineRule="auto" w:before="12"/>
        <w:rPr>
          <w:rFonts w:ascii="宋体" w:hAnsi="宋体" w:cs="宋体" w:eastAsia="宋体" w:hint="default"/>
          <w:sz w:val="24"/>
          <w:szCs w:val="24"/>
        </w:rPr>
      </w:pPr>
    </w:p>
    <w:p>
      <w:pPr>
        <w:pStyle w:val="Heading4"/>
        <w:spacing w:line="240" w:lineRule="auto"/>
        <w:ind w:left="228" w:right="0"/>
        <w:jc w:val="both"/>
        <w:rPr>
          <w:b w:val="0"/>
          <w:bCs w:val="0"/>
        </w:rPr>
      </w:pPr>
      <w:r>
        <w:rPr>
          <w:rFonts w:ascii="Times New Roman" w:hAnsi="Times New Roman" w:cs="Times New Roman" w:eastAsia="Times New Roman" w:hint="default"/>
        </w:rPr>
        <w:t>15</w:t>
      </w:r>
      <w:r>
        <w:rPr/>
        <w:t>、在建工程</w:t>
      </w:r>
      <w:r>
        <w:rPr>
          <w:b w:val="0"/>
          <w:bCs w:val="0"/>
        </w:rPr>
      </w:r>
    </w:p>
    <w:p>
      <w:pPr>
        <w:pStyle w:val="BodyText"/>
        <w:spacing w:line="338" w:lineRule="auto" w:before="109"/>
        <w:ind w:left="642" w:right="231"/>
        <w:jc w:val="left"/>
      </w:pPr>
      <w:r>
        <w:rPr>
          <w:rFonts w:ascii="Times New Roman" w:hAnsi="Times New Roman" w:cs="Times New Roman" w:eastAsia="Times New Roman" w:hint="default"/>
        </w:rPr>
        <w:t>A</w:t>
      </w:r>
      <w:r>
        <w:rPr/>
        <w:t>、在建工程的核算方法</w:t>
      </w:r>
      <w:r>
        <w:rPr>
          <w:w w:val="99"/>
        </w:rPr>
        <w:t> </w:t>
      </w:r>
      <w:r>
        <w:rPr/>
        <w:t>在建工程包括施工前期准备、正在施工中的建筑工程、安装工程、技术改造工程和大</w:t>
      </w:r>
    </w:p>
    <w:p>
      <w:pPr>
        <w:pStyle w:val="BodyText"/>
        <w:spacing w:line="355" w:lineRule="auto" w:before="47"/>
        <w:ind w:left="222" w:right="227"/>
        <w:jc w:val="both"/>
      </w:pPr>
      <w:r>
        <w:rPr/>
        <w:t>修理工程等。在建工程按照实际发生的支出分项目核算，并在工程达到预定可使用状态时</w:t>
      </w:r>
      <w:r>
        <w:rPr>
          <w:spacing w:val="-77"/>
        </w:rPr>
        <w:t> </w:t>
      </w:r>
      <w:r>
        <w:rPr>
          <w:spacing w:val="-77"/>
        </w:rPr>
      </w:r>
      <w:r>
        <w:rPr>
          <w:spacing w:val="-6"/>
          <w:w w:val="98"/>
        </w:rPr>
        <w:t>结转为固定资产。与在建工程有关的借款费用（包括借款利息、溢折价摊销、汇兑损益等），</w:t>
      </w:r>
      <w:r>
        <w:rPr>
          <w:spacing w:val="-96"/>
          <w:w w:val="98"/>
        </w:rPr>
        <w:t> </w:t>
      </w:r>
      <w:r>
        <w:rPr>
          <w:spacing w:val="-96"/>
          <w:w w:val="98"/>
        </w:rPr>
      </w:r>
      <w:r>
        <w:rPr/>
        <w:t>在相关工程达到预定可使用状态前的计入工程成本，在相关工程达到预定可使用状态后的</w:t>
      </w:r>
      <w:r>
        <w:rPr>
          <w:spacing w:val="-77"/>
        </w:rPr>
        <w:t> </w:t>
      </w:r>
      <w:r>
        <w:rPr>
          <w:spacing w:val="-77"/>
        </w:rPr>
      </w:r>
      <w:r>
        <w:rPr/>
        <w:t>计入当期财务费用。</w:t>
      </w:r>
    </w:p>
    <w:p>
      <w:pPr>
        <w:pStyle w:val="BodyText"/>
        <w:spacing w:line="336" w:lineRule="auto" w:before="34"/>
        <w:ind w:left="642" w:right="231"/>
        <w:jc w:val="left"/>
      </w:pPr>
      <w:r>
        <w:rPr>
          <w:rFonts w:ascii="Times New Roman" w:hAnsi="Times New Roman" w:cs="Times New Roman" w:eastAsia="Times New Roman" w:hint="default"/>
        </w:rPr>
        <w:t>B</w:t>
      </w:r>
      <w:r>
        <w:rPr/>
        <w:t>、在建工程减值准备</w:t>
      </w:r>
      <w:r>
        <w:rPr>
          <w:w w:val="99"/>
        </w:rPr>
        <w:t> </w:t>
      </w:r>
      <w:r>
        <w:rPr>
          <w:spacing w:val="-1"/>
          <w:w w:val="98"/>
        </w:rPr>
        <w:t>资产负债表日对在建工程进行全面检查，判断固定资产是否存在可能发生减值的迹象。</w:t>
      </w:r>
      <w:r>
        <w:rPr>
          <w:spacing w:val="-1"/>
        </w:rPr>
      </w:r>
    </w:p>
    <w:p>
      <w:pPr>
        <w:pStyle w:val="BodyText"/>
        <w:spacing w:line="352" w:lineRule="auto" w:before="49"/>
        <w:ind w:left="222" w:right="227"/>
        <w:jc w:val="both"/>
      </w:pPr>
      <w:r>
        <w:rPr>
          <w:spacing w:val="-4"/>
          <w:w w:val="99"/>
        </w:rPr>
        <w:t>如果存在：（</w:t>
      </w:r>
      <w:r>
        <w:rPr>
          <w:rFonts w:ascii="Times New Roman" w:hAnsi="Times New Roman" w:cs="Times New Roman" w:eastAsia="Times New Roman" w:hint="default"/>
          <w:spacing w:val="-4"/>
          <w:w w:val="99"/>
        </w:rPr>
        <w:t>1</w:t>
      </w:r>
      <w:r>
        <w:rPr>
          <w:spacing w:val="-4"/>
          <w:w w:val="99"/>
        </w:rPr>
        <w:t>）在建工程长期停建并且预计在未来</w:t>
      </w:r>
      <w:r>
        <w:rPr>
          <w:spacing w:val="-28"/>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9"/>
          <w:w w:val="99"/>
        </w:rPr>
        <w:t> </w:t>
      </w:r>
      <w:r>
        <w:rPr>
          <w:spacing w:val="-5"/>
          <w:w w:val="99"/>
        </w:rPr>
        <w:t>年内不会重新开工，（</w:t>
      </w:r>
      <w:r>
        <w:rPr>
          <w:rFonts w:ascii="Times New Roman" w:hAnsi="Times New Roman" w:cs="Times New Roman" w:eastAsia="Times New Roman" w:hint="default"/>
          <w:spacing w:val="-5"/>
          <w:w w:val="99"/>
        </w:rPr>
        <w:t>2</w:t>
      </w:r>
      <w:r>
        <w:rPr>
          <w:spacing w:val="-5"/>
          <w:w w:val="99"/>
        </w:rPr>
        <w:t>）所建项目在</w:t>
      </w:r>
      <w:r>
        <w:rPr>
          <w:spacing w:val="-101"/>
          <w:w w:val="99"/>
        </w:rPr>
        <w:t> </w:t>
      </w:r>
      <w:r>
        <w:rPr>
          <w:spacing w:val="-101"/>
          <w:w w:val="99"/>
        </w:rPr>
      </w:r>
      <w:r>
        <w:rPr/>
        <w:t>性能上、技术上已经落后并且所带来的经济效益具有很大的不确定性等减值迹象的，则估</w:t>
      </w:r>
      <w:r>
        <w:rPr>
          <w:spacing w:val="-77"/>
        </w:rPr>
        <w:t> </w:t>
      </w:r>
      <w:r>
        <w:rPr>
          <w:spacing w:val="-77"/>
        </w:rPr>
      </w:r>
      <w:r>
        <w:rPr>
          <w:spacing w:val="-1"/>
          <w:w w:val="95"/>
        </w:rPr>
        <w:t>计其可收回金额。可收回金额的计量结果表明，在建工程的可收回金额低于其账面价值的，</w:t>
      </w:r>
      <w:r>
        <w:rPr>
          <w:spacing w:val="79"/>
          <w:w w:val="95"/>
        </w:rPr>
        <w:t> </w:t>
      </w:r>
      <w:r>
        <w:rPr>
          <w:spacing w:val="79"/>
          <w:w w:val="95"/>
        </w:rPr>
      </w:r>
      <w:r>
        <w:rPr/>
        <w:t>将在建工程的账面价值减记至可收回金额，减记的金额确认为资产减值损失，计入当期损</w:t>
      </w:r>
      <w:r>
        <w:rPr>
          <w:spacing w:val="-77"/>
        </w:rPr>
        <w:t> </w:t>
      </w:r>
      <w:r>
        <w:rPr>
          <w:spacing w:val="-77"/>
        </w:rPr>
      </w:r>
      <w:r>
        <w:rPr/>
        <w:t>益，同时计提相应的在建工程减值准备。在建工程减值损失一经确认，在以后会计期间不</w:t>
      </w:r>
    </w:p>
    <w:p>
      <w:pPr>
        <w:spacing w:after="0" w:line="352" w:lineRule="auto"/>
        <w:jc w:val="both"/>
        <w:sectPr>
          <w:pgSz w:w="11910" w:h="16840"/>
          <w:pgMar w:header="1058" w:footer="1590" w:top="1780" w:bottom="1780" w:left="1580" w:right="1640"/>
        </w:sectPr>
      </w:pPr>
    </w:p>
    <w:p>
      <w:pPr>
        <w:pStyle w:val="BodyText"/>
        <w:spacing w:line="258" w:lineRule="exact"/>
        <w:ind w:right="0"/>
        <w:jc w:val="both"/>
      </w:pPr>
      <w:bookmarkStart w:name="16、借款费用" w:id="34"/>
      <w:bookmarkEnd w:id="34"/>
      <w:r>
        <w:rPr/>
      </w:r>
      <w:bookmarkStart w:name="17、无形资产" w:id="35"/>
      <w:bookmarkEnd w:id="35"/>
      <w:r>
        <w:rPr/>
      </w:r>
      <w:r>
        <w:rPr/>
        <w:t>再转回。</w:t>
      </w:r>
    </w:p>
    <w:p>
      <w:pPr>
        <w:spacing w:line="240" w:lineRule="auto" w:before="0"/>
        <w:rPr>
          <w:rFonts w:ascii="宋体" w:hAnsi="宋体" w:cs="宋体" w:eastAsia="宋体" w:hint="default"/>
          <w:sz w:val="20"/>
          <w:szCs w:val="20"/>
        </w:rPr>
      </w:pPr>
    </w:p>
    <w:p>
      <w:pPr>
        <w:pStyle w:val="Heading4"/>
        <w:spacing w:line="240" w:lineRule="auto" w:before="167"/>
        <w:ind w:right="0"/>
        <w:jc w:val="both"/>
        <w:rPr>
          <w:b w:val="0"/>
          <w:bCs w:val="0"/>
        </w:rPr>
      </w:pPr>
      <w:r>
        <w:rPr>
          <w:rFonts w:ascii="Times New Roman" w:hAnsi="Times New Roman" w:cs="Times New Roman" w:eastAsia="Times New Roman" w:hint="default"/>
        </w:rPr>
        <w:t>16</w:t>
      </w:r>
      <w:r>
        <w:rPr/>
        <w:t>、借款费用</w:t>
      </w:r>
      <w:r>
        <w:rPr>
          <w:b w:val="0"/>
          <w:bCs w:val="0"/>
        </w:rPr>
      </w:r>
    </w:p>
    <w:p>
      <w:pPr>
        <w:pStyle w:val="BodyText"/>
        <w:spacing w:line="345" w:lineRule="auto" w:before="109"/>
        <w:ind w:right="232" w:firstLine="420"/>
        <w:jc w:val="both"/>
      </w:pPr>
      <w:r>
        <w:rPr>
          <w:rFonts w:ascii="Times New Roman" w:hAnsi="Times New Roman" w:cs="Times New Roman" w:eastAsia="Times New Roman" w:hint="default"/>
        </w:rPr>
        <w:t>A</w:t>
      </w:r>
      <w:r>
        <w:rPr/>
        <w:t>、企业发生的借款费用，可直接归属于符合资本化条件的资产的购建或者生产的，</w:t>
      </w:r>
      <w:r>
        <w:rPr>
          <w:w w:val="99"/>
        </w:rPr>
        <w:t> </w:t>
      </w:r>
      <w:r>
        <w:rPr/>
        <w:t>予以资本化，计入相关资产成本；其他借款费用，在发生时根据其发生额确认为费用，计</w:t>
      </w:r>
      <w:r>
        <w:rPr>
          <w:w w:val="99"/>
        </w:rPr>
        <w:t> </w:t>
      </w:r>
      <w:r>
        <w:rPr/>
        <w:t>入当期损益。借款费用同时满足下列条件的，开始资本化：</w:t>
      </w:r>
    </w:p>
    <w:p>
      <w:pPr>
        <w:pStyle w:val="BodyText"/>
        <w:spacing w:line="338" w:lineRule="auto" w:before="40"/>
        <w:ind w:right="206" w:firstLine="420"/>
        <w:jc w:val="both"/>
      </w:pPr>
      <w:r>
        <w:rPr>
          <w:rFonts w:ascii="Times New Roman" w:hAnsi="Times New Roman" w:cs="Times New Roman" w:eastAsia="Times New Roman" w:hint="default"/>
          <w:spacing w:val="-1"/>
          <w:w w:val="95"/>
        </w:rPr>
        <w:t>a</w:t>
      </w:r>
      <w:r>
        <w:rPr>
          <w:spacing w:val="-1"/>
          <w:w w:val="95"/>
        </w:rPr>
        <w:t>、资产支出已经发生，资产支出包括为购建或者生产符合资本化条件的资产而以支付</w:t>
      </w:r>
      <w:r>
        <w:rPr>
          <w:w w:val="99"/>
        </w:rPr>
        <w:t> </w:t>
      </w:r>
      <w:r>
        <w:rPr/>
        <w:t>现金、转移非现金资产或者承担带息债务形式发生的支出；</w:t>
      </w:r>
    </w:p>
    <w:p>
      <w:pPr>
        <w:pStyle w:val="BodyText"/>
        <w:spacing w:line="336" w:lineRule="auto" w:before="47"/>
        <w:ind w:left="542" w:right="283"/>
        <w:jc w:val="left"/>
      </w:pPr>
      <w:r>
        <w:rPr>
          <w:rFonts w:ascii="Times New Roman" w:hAnsi="Times New Roman" w:cs="Times New Roman" w:eastAsia="Times New Roman" w:hint="default"/>
        </w:rPr>
        <w:t>b</w:t>
      </w:r>
      <w:r>
        <w:rPr/>
        <w:t>、借款费用已经发生；</w:t>
      </w:r>
      <w:r>
        <w:rPr>
          <w:w w:val="99"/>
        </w:rPr>
        <w:t> </w:t>
      </w:r>
      <w:r>
        <w:rPr>
          <w:rFonts w:ascii="Times New Roman" w:hAnsi="Times New Roman" w:cs="Times New Roman" w:eastAsia="Times New Roman" w:hint="default"/>
        </w:rPr>
        <w:t>c</w:t>
      </w:r>
      <w:r>
        <w:rPr/>
        <w:t>、为使资产达到预定可使用或者可销售状态所必要的购建或者生产活动已经开始。</w:t>
      </w:r>
      <w:r>
        <w:rPr>
          <w:w w:val="99"/>
        </w:rPr>
        <w:t> </w:t>
      </w:r>
      <w:r>
        <w:rPr>
          <w:rFonts w:ascii="Times New Roman" w:hAnsi="Times New Roman" w:cs="Times New Roman" w:eastAsia="Times New Roman" w:hint="default"/>
        </w:rPr>
        <w:t>B</w:t>
      </w:r>
      <w:r>
        <w:rPr/>
        <w:t>、购建或者生产符合资本化条件的资产达到预定可使用或者可销售状态时，借款费</w:t>
      </w:r>
    </w:p>
    <w:p>
      <w:pPr>
        <w:pStyle w:val="BodyText"/>
        <w:spacing w:line="355" w:lineRule="auto" w:before="26"/>
        <w:ind w:right="232"/>
        <w:jc w:val="both"/>
      </w:pPr>
      <w:r>
        <w:rPr/>
        <w:t>用停止资本化。在符合资本化条件的资产达到预定可使用或者可销售状态之后所发生的借</w:t>
      </w:r>
      <w:r>
        <w:rPr>
          <w:w w:val="99"/>
        </w:rPr>
        <w:t> </w:t>
      </w:r>
      <w:r>
        <w:rPr/>
        <w:t>款费用，在发生时根据其发生额确认为费用，计入当期损益。</w:t>
      </w:r>
    </w:p>
    <w:p>
      <w:pPr>
        <w:spacing w:line="240" w:lineRule="auto" w:before="1"/>
        <w:rPr>
          <w:rFonts w:ascii="宋体" w:hAnsi="宋体" w:cs="宋体" w:eastAsia="宋体" w:hint="default"/>
          <w:sz w:val="29"/>
          <w:szCs w:val="29"/>
        </w:rPr>
      </w:pPr>
    </w:p>
    <w:p>
      <w:pPr>
        <w:pStyle w:val="Heading4"/>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pStyle w:val="BodyText"/>
        <w:spacing w:line="336" w:lineRule="auto" w:before="109"/>
        <w:ind w:right="247" w:firstLine="420"/>
        <w:jc w:val="both"/>
      </w:pPr>
      <w:r>
        <w:rPr>
          <w:rFonts w:ascii="Times New Roman" w:hAnsi="Times New Roman" w:cs="Times New Roman" w:eastAsia="Times New Roman" w:hint="default"/>
        </w:rPr>
        <w:t>A</w:t>
      </w:r>
      <w:r>
        <w:rPr/>
        <w:t>、无形资产指企业拥有或控制的没有实物形态的可辨认非货币性资产，包括专有技</w:t>
      </w:r>
      <w:r>
        <w:rPr>
          <w:w w:val="99"/>
        </w:rPr>
        <w:t> </w:t>
      </w:r>
      <w:r>
        <w:rPr/>
        <w:t>术、土地使用权等。</w:t>
      </w:r>
    </w:p>
    <w:p>
      <w:pPr>
        <w:pStyle w:val="BodyText"/>
        <w:spacing w:line="336" w:lineRule="auto" w:before="49"/>
        <w:ind w:left="542" w:right="109"/>
        <w:jc w:val="left"/>
      </w:pPr>
      <w:r>
        <w:rPr>
          <w:rFonts w:ascii="Times New Roman" w:hAnsi="Times New Roman" w:cs="Times New Roman" w:eastAsia="Times New Roman" w:hint="default"/>
        </w:rPr>
        <w:t>B</w:t>
      </w:r>
      <w:r>
        <w:rPr/>
        <w:t>、无形资产在取得时按照实际成本计价。</w:t>
      </w:r>
      <w:r>
        <w:rPr>
          <w:w w:val="99"/>
        </w:rPr>
        <w:t> </w:t>
      </w:r>
      <w:r>
        <w:rPr>
          <w:rFonts w:ascii="Times New Roman" w:hAnsi="Times New Roman" w:cs="Times New Roman" w:eastAsia="Times New Roman" w:hint="default"/>
        </w:rPr>
        <w:t>C</w:t>
      </w:r>
      <w:r>
        <w:rPr/>
        <w:t>、对使用寿命确定的无形资产，自无形资产可供使用时起，在使用寿命内采用直线</w:t>
      </w:r>
    </w:p>
    <w:p>
      <w:pPr>
        <w:pStyle w:val="BodyText"/>
        <w:spacing w:line="357" w:lineRule="auto" w:before="24"/>
        <w:ind w:right="235"/>
        <w:jc w:val="both"/>
      </w:pPr>
      <w:r>
        <w:rPr>
          <w:w w:val="95"/>
        </w:rPr>
        <w:t>法摊销，计入当期损益；对使用寿命不确定的无形资产不摊销；公司于年度终了对无形资</w:t>
      </w:r>
      <w:r>
        <w:rPr>
          <w:spacing w:val="99"/>
          <w:w w:val="95"/>
        </w:rPr>
        <w:t> </w:t>
      </w:r>
      <w:r>
        <w:rPr>
          <w:spacing w:val="99"/>
          <w:w w:val="95"/>
        </w:rPr>
      </w:r>
      <w:r>
        <w:rPr>
          <w:w w:val="95"/>
        </w:rPr>
        <w:t>产的使用寿命及摊销方法进行复核，使用寿命及摊销方法与以前估计不同的，则改变摊销</w:t>
      </w:r>
      <w:r>
        <w:rPr>
          <w:spacing w:val="98"/>
          <w:w w:val="95"/>
        </w:rPr>
        <w:t> </w:t>
      </w:r>
      <w:r>
        <w:rPr>
          <w:spacing w:val="98"/>
          <w:w w:val="95"/>
        </w:rPr>
      </w:r>
      <w:r>
        <w:rPr/>
        <w:t>期限和摊销方法。</w:t>
      </w:r>
    </w:p>
    <w:p>
      <w:pPr>
        <w:pStyle w:val="BodyText"/>
        <w:spacing w:line="336" w:lineRule="auto" w:before="30"/>
        <w:ind w:left="542" w:right="109"/>
        <w:jc w:val="left"/>
      </w:pPr>
      <w:r>
        <w:rPr>
          <w:rFonts w:ascii="Times New Roman" w:hAnsi="Times New Roman" w:cs="Times New Roman" w:eastAsia="Times New Roman" w:hint="default"/>
        </w:rPr>
        <w:t>D</w:t>
      </w:r>
      <w:r>
        <w:rPr/>
        <w:t>、无形资产减值准备</w:t>
      </w:r>
      <w:r>
        <w:rPr>
          <w:w w:val="99"/>
        </w:rPr>
        <w:t> </w:t>
      </w:r>
      <w:r>
        <w:rPr>
          <w:w w:val="95"/>
        </w:rPr>
        <w:t>期末检查各项无形资产预计给本公司带来未来经济利益的能力，当存在以下情形之一</w:t>
      </w:r>
      <w:r>
        <w:rPr/>
      </w:r>
    </w:p>
    <w:p>
      <w:pPr>
        <w:pStyle w:val="BodyText"/>
        <w:spacing w:line="338" w:lineRule="auto" w:before="49"/>
        <w:ind w:right="235"/>
        <w:jc w:val="both"/>
      </w:pPr>
      <w:r>
        <w:rPr>
          <w:spacing w:val="2"/>
          <w:w w:val="99"/>
        </w:rPr>
        <w:t>时</w:t>
      </w:r>
      <w:r>
        <w:rPr>
          <w:spacing w:val="-106"/>
          <w:w w:val="99"/>
        </w:rPr>
        <w:t>：</w:t>
      </w:r>
      <w:r>
        <w:rPr>
          <w:spacing w:val="2"/>
          <w:w w:val="99"/>
        </w:rPr>
        <w:t>（</w:t>
      </w:r>
      <w:r>
        <w:rPr>
          <w:rFonts w:ascii="Times New Roman" w:hAnsi="Times New Roman" w:cs="Times New Roman" w:eastAsia="Times New Roman" w:hint="default"/>
          <w:spacing w:val="-2"/>
          <w:w w:val="99"/>
        </w:rPr>
        <w:t>1</w:t>
      </w:r>
      <w:r>
        <w:rPr>
          <w:w w:val="99"/>
        </w:rPr>
        <w:t>）</w:t>
      </w:r>
      <w:r>
        <w:rPr>
          <w:spacing w:val="2"/>
          <w:w w:val="99"/>
        </w:rPr>
        <w:t>某</w:t>
      </w:r>
      <w:r>
        <w:rPr>
          <w:w w:val="99"/>
        </w:rPr>
        <w:t>项</w:t>
      </w:r>
      <w:r>
        <w:rPr>
          <w:spacing w:val="2"/>
          <w:w w:val="99"/>
        </w:rPr>
        <w:t>无</w:t>
      </w:r>
      <w:r>
        <w:rPr>
          <w:w w:val="99"/>
        </w:rPr>
        <w:t>形</w:t>
      </w:r>
      <w:r>
        <w:rPr>
          <w:spacing w:val="2"/>
          <w:w w:val="99"/>
        </w:rPr>
        <w:t>资</w:t>
      </w:r>
      <w:r>
        <w:rPr>
          <w:w w:val="99"/>
        </w:rPr>
        <w:t>产</w:t>
      </w:r>
      <w:r>
        <w:rPr>
          <w:spacing w:val="2"/>
          <w:w w:val="99"/>
        </w:rPr>
        <w:t>已</w:t>
      </w:r>
      <w:r>
        <w:rPr>
          <w:w w:val="99"/>
        </w:rPr>
        <w:t>被</w:t>
      </w:r>
      <w:r>
        <w:rPr>
          <w:spacing w:val="2"/>
          <w:w w:val="99"/>
        </w:rPr>
        <w:t>其</w:t>
      </w:r>
      <w:r>
        <w:rPr>
          <w:w w:val="99"/>
        </w:rPr>
        <w:t>他</w:t>
      </w:r>
      <w:r>
        <w:rPr>
          <w:spacing w:val="2"/>
          <w:w w:val="99"/>
        </w:rPr>
        <w:t>新</w:t>
      </w:r>
      <w:r>
        <w:rPr>
          <w:w w:val="99"/>
        </w:rPr>
        <w:t>技</w:t>
      </w:r>
      <w:r>
        <w:rPr>
          <w:spacing w:val="2"/>
          <w:w w:val="99"/>
        </w:rPr>
        <w:t>术</w:t>
      </w:r>
      <w:r>
        <w:rPr>
          <w:w w:val="99"/>
        </w:rPr>
        <w:t>等</w:t>
      </w:r>
      <w:r>
        <w:rPr>
          <w:spacing w:val="2"/>
          <w:w w:val="99"/>
        </w:rPr>
        <w:t>所</w:t>
      </w:r>
      <w:r>
        <w:rPr>
          <w:w w:val="99"/>
        </w:rPr>
        <w:t>替</w:t>
      </w:r>
      <w:r>
        <w:rPr>
          <w:spacing w:val="2"/>
          <w:w w:val="99"/>
        </w:rPr>
        <w:t>代</w:t>
      </w:r>
      <w:r>
        <w:rPr>
          <w:w w:val="99"/>
        </w:rPr>
        <w:t>，</w:t>
      </w:r>
      <w:r>
        <w:rPr>
          <w:spacing w:val="2"/>
          <w:w w:val="99"/>
        </w:rPr>
        <w:t>使</w:t>
      </w:r>
      <w:r>
        <w:rPr>
          <w:w w:val="99"/>
        </w:rPr>
        <w:t>其</w:t>
      </w:r>
      <w:r>
        <w:rPr>
          <w:spacing w:val="2"/>
          <w:w w:val="99"/>
        </w:rPr>
        <w:t>为</w:t>
      </w:r>
      <w:r>
        <w:rPr>
          <w:w w:val="99"/>
        </w:rPr>
        <w:t>企</w:t>
      </w:r>
      <w:r>
        <w:rPr>
          <w:spacing w:val="2"/>
          <w:w w:val="99"/>
        </w:rPr>
        <w:t>业</w:t>
      </w:r>
      <w:r>
        <w:rPr>
          <w:w w:val="99"/>
        </w:rPr>
        <w:t>创</w:t>
      </w:r>
      <w:r>
        <w:rPr>
          <w:spacing w:val="2"/>
          <w:w w:val="99"/>
        </w:rPr>
        <w:t>造</w:t>
      </w:r>
      <w:r>
        <w:rPr>
          <w:w w:val="99"/>
        </w:rPr>
        <w:t>经</w:t>
      </w:r>
      <w:r>
        <w:rPr>
          <w:spacing w:val="2"/>
          <w:w w:val="99"/>
        </w:rPr>
        <w:t>济</w:t>
      </w:r>
      <w:r>
        <w:rPr>
          <w:w w:val="99"/>
        </w:rPr>
        <w:t>利</w:t>
      </w:r>
      <w:r>
        <w:rPr>
          <w:spacing w:val="2"/>
          <w:w w:val="99"/>
        </w:rPr>
        <w:t>益</w:t>
      </w:r>
      <w:r>
        <w:rPr>
          <w:w w:val="99"/>
        </w:rPr>
        <w:t>的</w:t>
      </w:r>
      <w:r>
        <w:rPr>
          <w:spacing w:val="2"/>
          <w:w w:val="99"/>
        </w:rPr>
        <w:t>能</w:t>
      </w:r>
      <w:r>
        <w:rPr>
          <w:w w:val="99"/>
        </w:rPr>
        <w:t>力</w:t>
      </w:r>
      <w:r>
        <w:rPr>
          <w:spacing w:val="2"/>
          <w:w w:val="99"/>
        </w:rPr>
        <w:t>受</w:t>
      </w:r>
      <w:r>
        <w:rPr>
          <w:w w:val="99"/>
        </w:rPr>
        <w:t>到重</w:t>
      </w:r>
      <w:r>
        <w:rPr>
          <w:w w:val="99"/>
        </w:rPr>
        <w:t> </w:t>
      </w:r>
      <w:r>
        <w:rPr>
          <w:spacing w:val="2"/>
          <w:w w:val="99"/>
        </w:rPr>
        <w:t>大</w:t>
      </w:r>
      <w:r>
        <w:rPr>
          <w:w w:val="99"/>
        </w:rPr>
        <w:t>不</w:t>
      </w:r>
      <w:r>
        <w:rPr>
          <w:spacing w:val="2"/>
          <w:w w:val="99"/>
        </w:rPr>
        <w:t>利</w:t>
      </w:r>
      <w:r>
        <w:rPr>
          <w:w w:val="99"/>
        </w:rPr>
        <w:t>影</w:t>
      </w:r>
      <w:r>
        <w:rPr>
          <w:spacing w:val="2"/>
          <w:w w:val="99"/>
        </w:rPr>
        <w:t>响</w:t>
      </w:r>
      <w:r>
        <w:rPr>
          <w:spacing w:val="-140"/>
          <w:w w:val="99"/>
        </w:rPr>
        <w:t>；</w:t>
      </w:r>
      <w:r>
        <w:rPr>
          <w:w w:val="99"/>
        </w:rPr>
        <w:t>（</w:t>
      </w:r>
      <w:r>
        <w:rPr>
          <w:rFonts w:ascii="Times New Roman" w:hAnsi="Times New Roman" w:cs="Times New Roman" w:eastAsia="Times New Roman" w:hint="default"/>
          <w:spacing w:val="1"/>
          <w:w w:val="99"/>
        </w:rPr>
        <w:t>2</w:t>
      </w:r>
      <w:r>
        <w:rPr>
          <w:spacing w:val="-36"/>
          <w:w w:val="99"/>
        </w:rPr>
        <w:t>）</w:t>
      </w:r>
      <w:r>
        <w:rPr>
          <w:spacing w:val="2"/>
          <w:w w:val="99"/>
        </w:rPr>
        <w:t>某</w:t>
      </w:r>
      <w:r>
        <w:rPr>
          <w:w w:val="99"/>
        </w:rPr>
        <w:t>项</w:t>
      </w:r>
      <w:r>
        <w:rPr>
          <w:spacing w:val="2"/>
          <w:w w:val="99"/>
        </w:rPr>
        <w:t>无</w:t>
      </w:r>
      <w:r>
        <w:rPr>
          <w:w w:val="99"/>
        </w:rPr>
        <w:t>形</w:t>
      </w:r>
      <w:r>
        <w:rPr>
          <w:spacing w:val="2"/>
          <w:w w:val="99"/>
        </w:rPr>
        <w:t>资</w:t>
      </w:r>
      <w:r>
        <w:rPr>
          <w:w w:val="99"/>
        </w:rPr>
        <w:t>产</w:t>
      </w:r>
      <w:r>
        <w:rPr>
          <w:spacing w:val="2"/>
          <w:w w:val="99"/>
        </w:rPr>
        <w:t>的</w:t>
      </w:r>
      <w:r>
        <w:rPr>
          <w:w w:val="99"/>
        </w:rPr>
        <w:t>市</w:t>
      </w:r>
      <w:r>
        <w:rPr>
          <w:spacing w:val="2"/>
          <w:w w:val="99"/>
        </w:rPr>
        <w:t>价</w:t>
      </w:r>
      <w:r>
        <w:rPr>
          <w:w w:val="99"/>
        </w:rPr>
        <w:t>在</w:t>
      </w:r>
      <w:r>
        <w:rPr>
          <w:spacing w:val="2"/>
          <w:w w:val="99"/>
        </w:rPr>
        <w:t>当</w:t>
      </w:r>
      <w:r>
        <w:rPr>
          <w:w w:val="99"/>
        </w:rPr>
        <w:t>期</w:t>
      </w:r>
      <w:r>
        <w:rPr>
          <w:spacing w:val="2"/>
          <w:w w:val="99"/>
        </w:rPr>
        <w:t>大</w:t>
      </w:r>
      <w:r>
        <w:rPr>
          <w:w w:val="99"/>
        </w:rPr>
        <w:t>幅</w:t>
      </w:r>
      <w:r>
        <w:rPr>
          <w:spacing w:val="2"/>
          <w:w w:val="99"/>
        </w:rPr>
        <w:t>下</w:t>
      </w:r>
      <w:r>
        <w:rPr>
          <w:w w:val="99"/>
        </w:rPr>
        <w:t>跌</w:t>
      </w:r>
      <w:r>
        <w:rPr>
          <w:spacing w:val="-34"/>
          <w:w w:val="99"/>
        </w:rPr>
        <w:t>，</w:t>
      </w:r>
      <w:r>
        <w:rPr>
          <w:spacing w:val="2"/>
          <w:w w:val="99"/>
        </w:rPr>
        <w:t>在</w:t>
      </w:r>
      <w:r>
        <w:rPr>
          <w:w w:val="99"/>
        </w:rPr>
        <w:t>剩</w:t>
      </w:r>
      <w:r>
        <w:rPr>
          <w:spacing w:val="2"/>
          <w:w w:val="99"/>
        </w:rPr>
        <w:t>余</w:t>
      </w:r>
      <w:r>
        <w:rPr>
          <w:w w:val="99"/>
        </w:rPr>
        <w:t>摊</w:t>
      </w:r>
      <w:r>
        <w:rPr>
          <w:spacing w:val="2"/>
          <w:w w:val="99"/>
        </w:rPr>
        <w:t>销</w:t>
      </w:r>
      <w:r>
        <w:rPr>
          <w:w w:val="99"/>
        </w:rPr>
        <w:t>年</w:t>
      </w:r>
      <w:r>
        <w:rPr>
          <w:spacing w:val="2"/>
          <w:w w:val="99"/>
        </w:rPr>
        <w:t>限</w:t>
      </w:r>
      <w:r>
        <w:rPr>
          <w:w w:val="99"/>
        </w:rPr>
        <w:t>内</w:t>
      </w:r>
      <w:r>
        <w:rPr>
          <w:spacing w:val="2"/>
          <w:w w:val="99"/>
        </w:rPr>
        <w:t>预</w:t>
      </w:r>
      <w:r>
        <w:rPr>
          <w:w w:val="99"/>
        </w:rPr>
        <w:t>期</w:t>
      </w:r>
      <w:r>
        <w:rPr>
          <w:spacing w:val="2"/>
          <w:w w:val="99"/>
        </w:rPr>
        <w:t>不</w:t>
      </w:r>
      <w:r>
        <w:rPr>
          <w:w w:val="99"/>
        </w:rPr>
        <w:t>会</w:t>
      </w:r>
      <w:r>
        <w:rPr>
          <w:spacing w:val="2"/>
          <w:w w:val="99"/>
        </w:rPr>
        <w:t>恢</w:t>
      </w:r>
      <w:r>
        <w:rPr>
          <w:w w:val="99"/>
        </w:rPr>
        <w:t>复</w:t>
      </w:r>
      <w:r>
        <w:rPr>
          <w:w w:val="49"/>
        </w:rPr>
        <w:t>；</w:t>
      </w:r>
      <w:r>
        <w:rPr/>
      </w:r>
    </w:p>
    <w:p>
      <w:pPr>
        <w:pStyle w:val="BodyText"/>
        <w:spacing w:line="348" w:lineRule="auto" w:before="22"/>
        <w:ind w:right="235"/>
        <w:jc w:val="both"/>
      </w:pPr>
      <w:r>
        <w:rPr>
          <w:spacing w:val="2"/>
        </w:rPr>
        <w:t>（</w:t>
      </w:r>
      <w:r>
        <w:rPr>
          <w:rFonts w:ascii="Times New Roman" w:hAnsi="Times New Roman" w:cs="Times New Roman" w:eastAsia="Times New Roman" w:hint="default"/>
          <w:spacing w:val="2"/>
        </w:rPr>
        <w:t>3</w:t>
      </w:r>
      <w:r>
        <w:rPr>
          <w:spacing w:val="2"/>
        </w:rPr>
        <w:t>）某项无形资产已超过法律保护期限，但仍然具有部分使用价值等减值迹象的，则估</w:t>
      </w:r>
      <w:r>
        <w:rPr>
          <w:w w:val="99"/>
        </w:rPr>
        <w:t> </w:t>
      </w:r>
      <w:r>
        <w:rPr>
          <w:spacing w:val="-2"/>
          <w:w w:val="95"/>
        </w:rPr>
        <w:t>计其可收回金额。可收回金额的计量结果表明，无形资产的可收回金额低于其账面价值的，</w:t>
      </w:r>
      <w:r>
        <w:rPr>
          <w:spacing w:val="79"/>
          <w:w w:val="95"/>
        </w:rPr>
        <w:t> </w:t>
      </w:r>
      <w:r>
        <w:rPr>
          <w:spacing w:val="79"/>
          <w:w w:val="95"/>
        </w:rPr>
      </w:r>
      <w:r>
        <w:rPr>
          <w:w w:val="95"/>
        </w:rPr>
        <w:t>将无形资产的账面价值减记至可收回金额，减记的金额确认为资产减值损失，计入当期损</w:t>
      </w:r>
      <w:r>
        <w:rPr>
          <w:spacing w:val="99"/>
          <w:w w:val="95"/>
        </w:rPr>
        <w:t> </w:t>
      </w:r>
      <w:r>
        <w:rPr>
          <w:spacing w:val="99"/>
          <w:w w:val="95"/>
        </w:rPr>
      </w:r>
      <w:r>
        <w:rPr>
          <w:spacing w:val="-2"/>
          <w:w w:val="99"/>
        </w:rPr>
        <w:t>益，同时计提相应的无形资产减值准备；（</w:t>
      </w:r>
      <w:r>
        <w:rPr>
          <w:rFonts w:ascii="Times New Roman" w:hAnsi="Times New Roman" w:cs="Times New Roman" w:eastAsia="Times New Roman" w:hint="default"/>
          <w:spacing w:val="-2"/>
          <w:w w:val="99"/>
        </w:rPr>
        <w:t>4</w:t>
      </w:r>
      <w:r>
        <w:rPr>
          <w:spacing w:val="-2"/>
          <w:w w:val="99"/>
        </w:rPr>
        <w:t>）其他足以证明某项无形资产实质上已发生了</w:t>
      </w:r>
      <w:r>
        <w:rPr>
          <w:spacing w:val="-94"/>
          <w:w w:val="99"/>
        </w:rPr>
        <w:t> </w:t>
      </w:r>
      <w:r>
        <w:rPr>
          <w:spacing w:val="-94"/>
          <w:w w:val="99"/>
        </w:rPr>
      </w:r>
      <w:r>
        <w:rPr>
          <w:w w:val="95"/>
        </w:rPr>
        <w:t>减值准备情形的情况，按预计可收回金额低于账面价值的差额计提无形资产减值准备。无</w:t>
      </w:r>
      <w:r>
        <w:rPr>
          <w:spacing w:val="98"/>
          <w:w w:val="95"/>
        </w:rPr>
        <w:t> </w:t>
      </w:r>
      <w:r>
        <w:rPr>
          <w:spacing w:val="98"/>
          <w:w w:val="95"/>
        </w:rPr>
      </w:r>
      <w:r>
        <w:rPr/>
        <w:t>形资产减值损失一经确认，在以后会计期间不再转回。</w:t>
      </w:r>
    </w:p>
    <w:p>
      <w:pPr>
        <w:spacing w:after="0" w:line="348" w:lineRule="auto"/>
        <w:jc w:val="both"/>
        <w:sectPr>
          <w:footerReference w:type="default" r:id="rId29"/>
          <w:pgSz w:w="11910" w:h="16840"/>
          <w:pgMar w:footer="1590" w:header="1058" w:top="1780" w:bottom="1780" w:left="1680" w:right="1680"/>
          <w:pgNumType w:start="84"/>
        </w:sectPr>
      </w:pPr>
    </w:p>
    <w:p>
      <w:pPr>
        <w:spacing w:line="240" w:lineRule="auto" w:before="9"/>
        <w:rPr>
          <w:rFonts w:ascii="宋体" w:hAnsi="宋体" w:cs="宋体" w:eastAsia="宋体" w:hint="default"/>
          <w:sz w:val="27"/>
          <w:szCs w:val="27"/>
        </w:rPr>
      </w:pPr>
    </w:p>
    <w:p>
      <w:pPr>
        <w:pStyle w:val="Heading4"/>
        <w:spacing w:line="333" w:lineRule="exact"/>
        <w:ind w:right="0"/>
        <w:jc w:val="both"/>
        <w:rPr>
          <w:b w:val="0"/>
          <w:bCs w:val="0"/>
        </w:rPr>
      </w:pPr>
      <w:bookmarkStart w:name="18、长期待摊费用" w:id="36"/>
      <w:bookmarkEnd w:id="36"/>
      <w:r>
        <w:rPr>
          <w:b w:val="0"/>
          <w:bCs w:val="0"/>
        </w:rPr>
      </w:r>
      <w:bookmarkStart w:name="19、预计负债" w:id="37"/>
      <w:bookmarkEnd w:id="37"/>
      <w:r>
        <w:rPr>
          <w:b w:val="0"/>
          <w:bCs w:val="0"/>
        </w:rPr>
      </w:r>
      <w:bookmarkStart w:name="20、收入" w:id="38"/>
      <w:bookmarkEnd w:id="38"/>
      <w:r>
        <w:rPr>
          <w:b w:val="0"/>
          <w:bCs w:val="0"/>
        </w:rPr>
      </w:r>
      <w:r>
        <w:rPr>
          <w:rFonts w:ascii="Times New Roman" w:hAnsi="Times New Roman" w:cs="Times New Roman" w:eastAsia="Times New Roman" w:hint="default"/>
        </w:rPr>
        <w:t>18</w:t>
      </w:r>
      <w:r>
        <w:rPr/>
        <w:t>、长期待摊费用</w:t>
      </w:r>
      <w:r>
        <w:rPr>
          <w:b w:val="0"/>
          <w:bCs w:val="0"/>
        </w:rPr>
      </w:r>
    </w:p>
    <w:p>
      <w:pPr>
        <w:pStyle w:val="BodyText"/>
        <w:spacing w:line="336" w:lineRule="auto" w:before="109"/>
        <w:ind w:left="542" w:right="226"/>
        <w:jc w:val="left"/>
      </w:pPr>
      <w:r>
        <w:rPr>
          <w:rFonts w:ascii="Times New Roman" w:hAnsi="Times New Roman" w:cs="Times New Roman" w:eastAsia="Times New Roman" w:hint="default"/>
        </w:rPr>
        <w:t>A</w:t>
      </w:r>
      <w:r>
        <w:rPr/>
        <w:t>、长期待摊费用指应由本期和以后各期负担的分摊期限在一年以上的各项费用。</w:t>
      </w:r>
      <w:r>
        <w:rPr>
          <w:w w:val="99"/>
        </w:rPr>
        <w:t> </w:t>
      </w:r>
      <w:r>
        <w:rPr>
          <w:rFonts w:ascii="Times New Roman" w:hAnsi="Times New Roman" w:cs="Times New Roman" w:eastAsia="Times New Roman" w:hint="default"/>
        </w:rPr>
        <w:t>B</w:t>
      </w:r>
      <w:r>
        <w:rPr/>
        <w:t>、长期待摊费用在取得时按照实际成本计价</w:t>
      </w:r>
      <w:r>
        <w:rPr>
          <w:spacing w:val="-48"/>
        </w:rPr>
        <w:t> </w:t>
      </w:r>
      <w:r>
        <w:rPr/>
        <w:t>，开办费在发生时计入当期损益；经营</w:t>
      </w:r>
    </w:p>
    <w:p>
      <w:pPr>
        <w:pStyle w:val="BodyText"/>
        <w:spacing w:line="355" w:lineRule="auto" w:before="26"/>
        <w:ind w:right="229"/>
        <w:jc w:val="both"/>
      </w:pPr>
      <w:r>
        <w:rPr/>
        <w:t>性租赁固定资产的装修费用在总经营租赁摊销期限平均摊销，其他长期待摊费用按项目的</w:t>
      </w:r>
      <w:r>
        <w:rPr>
          <w:w w:val="99"/>
        </w:rPr>
        <w:t> </w:t>
      </w:r>
      <w:r>
        <w:rPr/>
        <w:t>受益期平均摊销。对于在以后会计期间已无法带来预期经济利益的长期待摊费用，本公司</w:t>
      </w:r>
      <w:r>
        <w:rPr>
          <w:w w:val="99"/>
        </w:rPr>
        <w:t> </w:t>
      </w:r>
      <w:r>
        <w:rPr/>
        <w:t>对其尚未摊销的摊余价值全部转入当期损益。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19</w:t>
      </w:r>
      <w:r>
        <w:rPr/>
        <w:t>、预计负债</w:t>
      </w:r>
      <w:r>
        <w:rPr>
          <w:b w:val="0"/>
          <w:bCs w:val="0"/>
        </w:rPr>
      </w:r>
    </w:p>
    <w:p>
      <w:pPr>
        <w:pStyle w:val="BodyText"/>
        <w:spacing w:line="345" w:lineRule="auto" w:before="109"/>
        <w:ind w:right="232" w:firstLine="420"/>
        <w:jc w:val="both"/>
      </w:pPr>
      <w:r>
        <w:rPr>
          <w:rFonts w:ascii="Times New Roman" w:hAnsi="Times New Roman" w:cs="Times New Roman" w:eastAsia="Times New Roman" w:hint="default"/>
        </w:rPr>
        <w:t>A</w:t>
      </w:r>
      <w:r>
        <w:rPr/>
        <w:t>、与或有事项相关的义务同时符合以下条件，本公司将其确认为预计负债：该义务</w:t>
      </w:r>
      <w:r>
        <w:rPr>
          <w:w w:val="99"/>
        </w:rPr>
        <w:t> </w:t>
      </w:r>
      <w:r>
        <w:rPr/>
        <w:t>是本公司承担的现时义务；该义务的履行很可能导致经济利益流出企业；该义务的金额能</w:t>
      </w:r>
      <w:r>
        <w:rPr>
          <w:w w:val="99"/>
        </w:rPr>
        <w:t> </w:t>
      </w:r>
      <w:r>
        <w:rPr/>
        <w:t>够可靠的计量；</w:t>
      </w:r>
    </w:p>
    <w:p>
      <w:pPr>
        <w:pStyle w:val="BodyText"/>
        <w:spacing w:line="348" w:lineRule="auto" w:before="40"/>
        <w:ind w:right="232" w:firstLine="420"/>
        <w:jc w:val="both"/>
      </w:pPr>
      <w:r>
        <w:rPr>
          <w:rFonts w:ascii="Times New Roman" w:hAnsi="Times New Roman" w:cs="Times New Roman" w:eastAsia="Times New Roman" w:hint="default"/>
        </w:rPr>
        <w:t>B</w:t>
      </w:r>
      <w:r>
        <w:rPr/>
        <w:t>、本公司清偿预计负债所需支出全部或部分预期由第三方补偿的，补偿金额只有在</w:t>
      </w:r>
      <w:r>
        <w:rPr>
          <w:w w:val="99"/>
        </w:rPr>
        <w:t> </w:t>
      </w:r>
      <w:r>
        <w:rPr/>
        <w:t>基本确定能够收到时，才能作为资产单独确认，同时对该项单独核算的资产确认的补偿金</w:t>
      </w:r>
      <w:r>
        <w:rPr>
          <w:w w:val="99"/>
        </w:rPr>
        <w:t> </w:t>
      </w:r>
      <w:r>
        <w:rPr/>
        <w:t>额不超过对应的预计负债的账面金额。</w:t>
      </w:r>
    </w:p>
    <w:p>
      <w:pPr>
        <w:spacing w:line="240" w:lineRule="auto" w:before="8"/>
        <w:rPr>
          <w:rFonts w:ascii="宋体" w:hAnsi="宋体" w:cs="宋体" w:eastAsia="宋体" w:hint="default"/>
          <w:sz w:val="29"/>
          <w:szCs w:val="29"/>
        </w:rPr>
      </w:pPr>
    </w:p>
    <w:p>
      <w:pPr>
        <w:pStyle w:val="Heading4"/>
        <w:spacing w:line="240" w:lineRule="auto"/>
        <w:ind w:right="0"/>
        <w:jc w:val="both"/>
        <w:rPr>
          <w:b w:val="0"/>
          <w:bCs w:val="0"/>
        </w:rPr>
      </w:pPr>
      <w:r>
        <w:rPr>
          <w:rFonts w:ascii="Times New Roman" w:hAnsi="Times New Roman" w:cs="Times New Roman" w:eastAsia="Times New Roman" w:hint="default"/>
        </w:rPr>
        <w:t>20</w:t>
      </w:r>
      <w:r>
        <w:rPr/>
        <w:t>、收入</w:t>
      </w:r>
      <w:r>
        <w:rPr>
          <w:b w:val="0"/>
          <w:bCs w:val="0"/>
        </w:rPr>
      </w:r>
    </w:p>
    <w:p>
      <w:pPr>
        <w:pStyle w:val="BodyText"/>
        <w:spacing w:line="336" w:lineRule="auto" w:before="109"/>
        <w:ind w:left="436" w:right="109" w:firstLine="105"/>
        <w:jc w:val="left"/>
      </w:pPr>
      <w:r>
        <w:rPr>
          <w:rFonts w:ascii="Times New Roman" w:hAnsi="Times New Roman" w:cs="Times New Roman" w:eastAsia="Times New Roman" w:hint="default"/>
        </w:rPr>
        <w:t>A</w:t>
      </w:r>
      <w:r>
        <w:rPr/>
        <w:t>、销售商品收入</w:t>
      </w:r>
      <w:r>
        <w:rPr>
          <w:w w:val="99"/>
        </w:rPr>
        <w:t> </w:t>
      </w:r>
      <w:r>
        <w:rPr>
          <w:spacing w:val="-2"/>
          <w:w w:val="99"/>
        </w:rPr>
        <w:t>企业已将商品所有权上的主要风险和报酬转移给购货方；企业既没有保留通常与所有权</w:t>
      </w:r>
      <w:r>
        <w:rPr>
          <w:spacing w:val="-2"/>
        </w:rPr>
      </w:r>
    </w:p>
    <w:p>
      <w:pPr>
        <w:pStyle w:val="BodyText"/>
        <w:spacing w:line="355" w:lineRule="auto" w:before="49"/>
        <w:ind w:right="109"/>
        <w:jc w:val="left"/>
      </w:pPr>
      <w:r>
        <w:rPr>
          <w:spacing w:val="-2"/>
          <w:w w:val="95"/>
        </w:rPr>
        <w:t>相联系的继续管理权，也没有对已售出的商品实施有效控制；收入的金额能够可靠地计量；</w:t>
      </w:r>
      <w:r>
        <w:rPr>
          <w:spacing w:val="93"/>
          <w:w w:val="95"/>
        </w:rPr>
        <w:t> </w:t>
      </w:r>
      <w:r>
        <w:rPr>
          <w:spacing w:val="93"/>
          <w:w w:val="95"/>
        </w:rPr>
      </w:r>
      <w:r>
        <w:rPr/>
        <w:t>相关的经济利益很可能流入企业；相关的已发生或将发生的成本能够可靠地计量。</w:t>
      </w:r>
    </w:p>
    <w:p>
      <w:pPr>
        <w:pStyle w:val="BodyText"/>
        <w:spacing w:line="336" w:lineRule="auto" w:before="34"/>
        <w:ind w:left="436" w:right="109"/>
        <w:jc w:val="left"/>
      </w:pPr>
      <w:r>
        <w:rPr>
          <w:rFonts w:ascii="Times New Roman" w:hAnsi="Times New Roman" w:cs="Times New Roman" w:eastAsia="Times New Roman" w:hint="default"/>
        </w:rPr>
        <w:t>B</w:t>
      </w:r>
      <w:r>
        <w:rPr/>
        <w:t>、提供劳务收入</w:t>
      </w:r>
      <w:r>
        <w:rPr>
          <w:w w:val="99"/>
        </w:rPr>
        <w:t> </w:t>
      </w:r>
      <w:r>
        <w:rPr>
          <w:spacing w:val="-2"/>
          <w:w w:val="95"/>
        </w:rPr>
        <w:t>对在同一会计年度内开始并完成的劳务，于完成劳务时确认收入；如果劳务的开始和完</w:t>
      </w:r>
      <w:r>
        <w:rPr>
          <w:spacing w:val="-2"/>
        </w:rPr>
      </w:r>
    </w:p>
    <w:p>
      <w:pPr>
        <w:pStyle w:val="BodyText"/>
        <w:spacing w:line="355" w:lineRule="auto" w:before="49"/>
        <w:ind w:right="214"/>
        <w:jc w:val="left"/>
      </w:pPr>
      <w:r>
        <w:rPr/>
        <w:t>成分属不同的会计年度，则在提供劳务交易的结果能够可靠估计的情况下，于期末按完工</w:t>
      </w:r>
      <w:r>
        <w:rPr>
          <w:w w:val="99"/>
        </w:rPr>
        <w:t> </w:t>
      </w:r>
      <w:r>
        <w:rPr/>
        <w:t>百分比法确认相关的劳务收入。</w:t>
      </w:r>
    </w:p>
    <w:p>
      <w:pPr>
        <w:pStyle w:val="BodyText"/>
        <w:spacing w:line="336" w:lineRule="auto" w:before="34"/>
        <w:ind w:left="436" w:right="109"/>
        <w:jc w:val="left"/>
      </w:pPr>
      <w:r>
        <w:rPr>
          <w:rFonts w:ascii="Times New Roman" w:hAnsi="Times New Roman" w:cs="Times New Roman" w:eastAsia="Times New Roman" w:hint="default"/>
        </w:rPr>
        <w:t>C</w:t>
      </w:r>
      <w:r>
        <w:rPr/>
        <w:t>、让渡资产使用权收入</w:t>
      </w:r>
      <w:r>
        <w:rPr>
          <w:w w:val="99"/>
        </w:rPr>
        <w:t> </w:t>
      </w:r>
      <w:r>
        <w:rPr>
          <w:spacing w:val="-2"/>
          <w:w w:val="95"/>
        </w:rPr>
        <w:t>让渡资产使用权收入包括利息收入和使用费收入等；利息收入金额，按照他人使用本公</w:t>
      </w:r>
      <w:r>
        <w:rPr>
          <w:spacing w:val="-2"/>
        </w:rPr>
      </w:r>
    </w:p>
    <w:p>
      <w:pPr>
        <w:pStyle w:val="BodyText"/>
        <w:spacing w:line="355" w:lineRule="auto" w:before="49"/>
        <w:ind w:right="214"/>
        <w:jc w:val="left"/>
      </w:pPr>
      <w:r>
        <w:rPr/>
        <w:t>司货币资金的时间和实际利率计算确定；使用费收入金额，按照有关合同或协议约定的收</w:t>
      </w:r>
      <w:r>
        <w:rPr>
          <w:w w:val="99"/>
        </w:rPr>
        <w:t> </w:t>
      </w:r>
      <w:r>
        <w:rPr/>
        <w:t>费时间和方法计算确定。</w:t>
      </w:r>
    </w:p>
    <w:p>
      <w:pPr>
        <w:spacing w:after="0" w:line="355" w:lineRule="auto"/>
        <w:jc w:val="left"/>
        <w:sectPr>
          <w:pgSz w:w="11910" w:h="16840"/>
          <w:pgMar w:header="1058" w:footer="1590" w:top="1780" w:bottom="1780" w:left="1680" w:right="1680"/>
        </w:sectPr>
      </w:pPr>
    </w:p>
    <w:p>
      <w:pPr>
        <w:pStyle w:val="Heading4"/>
        <w:spacing w:line="282" w:lineRule="exact"/>
        <w:ind w:right="109"/>
        <w:jc w:val="left"/>
        <w:rPr>
          <w:b w:val="0"/>
          <w:bCs w:val="0"/>
        </w:rPr>
      </w:pPr>
      <w:bookmarkStart w:name="21、政府补助" w:id="39"/>
      <w:bookmarkEnd w:id="39"/>
      <w:r>
        <w:rPr>
          <w:b w:val="0"/>
          <w:bCs w:val="0"/>
        </w:rPr>
      </w:r>
      <w:bookmarkStart w:name="22、递延所得税资产/递延所得税负债" w:id="40"/>
      <w:bookmarkEnd w:id="40"/>
      <w:r>
        <w:rPr>
          <w:b w:val="0"/>
          <w:bCs w:val="0"/>
        </w:rPr>
      </w:r>
      <w:r>
        <w:rPr>
          <w:rFonts w:ascii="Times New Roman" w:hAnsi="Times New Roman" w:cs="Times New Roman" w:eastAsia="Times New Roman" w:hint="default"/>
        </w:rPr>
        <w:t>21</w:t>
      </w:r>
      <w:r>
        <w:rPr/>
        <w:t>、政府补助</w:t>
      </w:r>
      <w:r>
        <w:rPr>
          <w:b w:val="0"/>
          <w:bCs w:val="0"/>
        </w:rPr>
      </w:r>
    </w:p>
    <w:p>
      <w:pPr>
        <w:pStyle w:val="BodyText"/>
        <w:spacing w:line="357" w:lineRule="auto" w:before="109"/>
        <w:ind w:right="247" w:firstLine="420"/>
        <w:jc w:val="both"/>
      </w:pPr>
      <w:r>
        <w:rPr>
          <w:w w:val="95"/>
        </w:rPr>
        <w:t>包括财政拨款、财政贴息、税收返还和无偿划拨非货币性资产。本公司收到的与资产</w:t>
      </w:r>
      <w:r>
        <w:rPr>
          <w:w w:val="99"/>
        </w:rPr>
        <w:t> </w:t>
      </w:r>
      <w:r>
        <w:rPr>
          <w:w w:val="95"/>
        </w:rPr>
        <w:t>相关的政府补助，确认为递延收益，自相关资产达到预定可使用状态时起，在该资产使用</w:t>
      </w:r>
      <w:r>
        <w:rPr>
          <w:spacing w:val="86"/>
          <w:w w:val="95"/>
        </w:rPr>
        <w:t> </w:t>
      </w:r>
      <w:r>
        <w:rPr>
          <w:spacing w:val="86"/>
          <w:w w:val="95"/>
        </w:rPr>
      </w:r>
      <w:r>
        <w:rPr>
          <w:spacing w:val="-3"/>
          <w:w w:val="98"/>
        </w:rPr>
        <w:t>寿命内平均计入各期损益。相关资产在使用寿命结束前被出售、转让、报废或发生毁损的，</w:t>
      </w:r>
      <w:r>
        <w:rPr>
          <w:spacing w:val="-65"/>
          <w:w w:val="98"/>
        </w:rPr>
        <w:t> </w:t>
      </w:r>
      <w:r>
        <w:rPr>
          <w:spacing w:val="-65"/>
          <w:w w:val="98"/>
        </w:rPr>
      </w:r>
      <w:r>
        <w:rPr>
          <w:w w:val="95"/>
        </w:rPr>
        <w:t>将递延收益余额一次性转入资产处置当期的损益。收到的与收益相关的政府补助，用于补</w:t>
      </w:r>
      <w:r>
        <w:rPr>
          <w:spacing w:val="86"/>
          <w:w w:val="95"/>
        </w:rPr>
        <w:t> </w:t>
      </w:r>
      <w:r>
        <w:rPr>
          <w:spacing w:val="86"/>
          <w:w w:val="95"/>
        </w:rPr>
      </w:r>
      <w:r>
        <w:rPr>
          <w:spacing w:val="-3"/>
          <w:w w:val="95"/>
        </w:rPr>
        <w:t>偿以后期间的相关费用或损失的，确认为递延收益，在确认相关费用的期间计入当期损益；</w:t>
      </w:r>
      <w:r>
        <w:rPr>
          <w:spacing w:val="12"/>
          <w:w w:val="95"/>
        </w:rPr>
        <w:t> </w:t>
      </w:r>
      <w:r>
        <w:rPr>
          <w:spacing w:val="12"/>
          <w:w w:val="95"/>
        </w:rPr>
      </w:r>
      <w:r>
        <w:rPr/>
        <w:t>用于补偿已经发生的相关费用或损失的，取得时直接计入当期损益。</w:t>
      </w:r>
    </w:p>
    <w:p>
      <w:pPr>
        <w:spacing w:line="240" w:lineRule="auto" w:before="12"/>
        <w:rPr>
          <w:rFonts w:ascii="宋体" w:hAnsi="宋体" w:cs="宋体" w:eastAsia="宋体" w:hint="default"/>
          <w:sz w:val="28"/>
          <w:szCs w:val="28"/>
        </w:rPr>
      </w:pPr>
    </w:p>
    <w:p>
      <w:pPr>
        <w:pStyle w:val="Heading4"/>
        <w:spacing w:line="240" w:lineRule="auto"/>
        <w:ind w:right="109"/>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36" w:lineRule="auto" w:before="109"/>
        <w:ind w:left="542" w:right="109"/>
        <w:jc w:val="left"/>
      </w:pPr>
      <w:r>
        <w:rPr>
          <w:rFonts w:ascii="Times New Roman" w:hAnsi="Times New Roman" w:cs="Times New Roman" w:eastAsia="Times New Roman" w:hint="default"/>
        </w:rPr>
        <w:t>A</w:t>
      </w:r>
      <w:r>
        <w:rPr/>
        <w:t>、递延所得税资产的确认</w:t>
      </w:r>
      <w:r>
        <w:rPr>
          <w:w w:val="99"/>
        </w:rPr>
        <w:t> </w:t>
      </w:r>
      <w:r>
        <w:rPr>
          <w:rFonts w:ascii="Times New Roman" w:hAnsi="Times New Roman" w:cs="Times New Roman" w:eastAsia="Times New Roman" w:hint="default"/>
          <w:spacing w:val="2"/>
          <w:w w:val="95"/>
        </w:rPr>
        <w:t>a</w:t>
      </w:r>
      <w:r>
        <w:rPr>
          <w:spacing w:val="2"/>
          <w:w w:val="95"/>
        </w:rPr>
        <w:t>、本公司以很可能取得用来抵扣可抵扣暂时性差异的应纳税所得额为限，确认由可</w:t>
      </w:r>
      <w:r>
        <w:rPr>
          <w:spacing w:val="2"/>
        </w:rPr>
      </w:r>
    </w:p>
    <w:p>
      <w:pPr>
        <w:pStyle w:val="BodyText"/>
        <w:spacing w:line="355" w:lineRule="auto" w:before="24"/>
        <w:ind w:right="109"/>
        <w:jc w:val="left"/>
      </w:pPr>
      <w:r>
        <w:rPr>
          <w:w w:val="95"/>
        </w:rPr>
        <w:t>抵扣暂时性差异产生的递延所得税资产。但是同时具有下列特征的交易中因资产或负债的</w:t>
      </w:r>
      <w:r>
        <w:rPr>
          <w:spacing w:val="86"/>
          <w:w w:val="95"/>
        </w:rPr>
        <w:t> </w:t>
      </w:r>
      <w:r>
        <w:rPr>
          <w:spacing w:val="86"/>
          <w:w w:val="95"/>
        </w:rPr>
      </w:r>
      <w:r>
        <w:rPr/>
        <w:t>初始确认所产生的递延所得税资产不予确认：</w:t>
      </w:r>
    </w:p>
    <w:p>
      <w:pPr>
        <w:pStyle w:val="BodyText"/>
        <w:spacing w:line="240" w:lineRule="auto" w:before="34"/>
        <w:ind w:left="542" w:right="1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该项交易不是企业合并；</w:t>
      </w:r>
    </w:p>
    <w:p>
      <w:pPr>
        <w:pStyle w:val="BodyText"/>
        <w:spacing w:line="240" w:lineRule="auto" w:before="117"/>
        <w:ind w:left="542" w:right="109"/>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pStyle w:val="BodyText"/>
        <w:spacing w:line="336" w:lineRule="auto" w:before="117"/>
        <w:ind w:right="109" w:firstLine="420"/>
        <w:jc w:val="left"/>
      </w:pPr>
      <w:r>
        <w:rPr>
          <w:rFonts w:ascii="Times New Roman" w:hAnsi="Times New Roman" w:cs="Times New Roman" w:eastAsia="Times New Roman" w:hint="default"/>
          <w:spacing w:val="2"/>
          <w:w w:val="95"/>
        </w:rPr>
        <w:t>b</w:t>
      </w:r>
      <w:r>
        <w:rPr>
          <w:spacing w:val="2"/>
          <w:w w:val="95"/>
        </w:rPr>
        <w:t>、本公司对与子公司、联营公司及合营企业投资相关的可抵扣暂时性差异，同时满</w:t>
      </w:r>
      <w:r>
        <w:rPr>
          <w:w w:val="99"/>
        </w:rPr>
        <w:t> </w:t>
      </w:r>
      <w:r>
        <w:rPr/>
        <w:t>足下列条件的，确认相应的递延所得税资产：</w:t>
      </w:r>
    </w:p>
    <w:p>
      <w:pPr>
        <w:pStyle w:val="BodyText"/>
        <w:spacing w:line="240" w:lineRule="auto" w:before="51"/>
        <w:ind w:left="542" w:right="1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暂时性差异在可预见的未来很可能转回；</w:t>
      </w:r>
    </w:p>
    <w:p>
      <w:pPr>
        <w:pStyle w:val="BodyText"/>
        <w:spacing w:line="240" w:lineRule="auto" w:before="117"/>
        <w:ind w:left="542" w:right="10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未来很可能获得用来抵扣暂时性差异的应纳税所得额。</w:t>
      </w:r>
    </w:p>
    <w:p>
      <w:pPr>
        <w:pStyle w:val="BodyText"/>
        <w:spacing w:line="336" w:lineRule="auto" w:before="117"/>
        <w:ind w:right="109" w:firstLine="420"/>
        <w:jc w:val="left"/>
      </w:pPr>
      <w:r>
        <w:rPr>
          <w:rFonts w:ascii="Times New Roman" w:hAnsi="Times New Roman" w:cs="Times New Roman" w:eastAsia="Times New Roman" w:hint="default"/>
          <w:spacing w:val="2"/>
          <w:w w:val="95"/>
        </w:rPr>
        <w:t>c</w:t>
      </w:r>
      <w:r>
        <w:rPr>
          <w:spacing w:val="2"/>
          <w:w w:val="95"/>
        </w:rPr>
        <w:t>、本公司对于能够结转以后年度的可抵扣亏损和税款抵减，以很可能获得用来抵扣</w:t>
      </w:r>
      <w:r>
        <w:rPr>
          <w:w w:val="99"/>
        </w:rPr>
        <w:t> </w:t>
      </w:r>
      <w:r>
        <w:rPr/>
        <w:t>可抵扣亏损和税款抵减的未来应纳税所得额为限，确认相应的递延所得税资产。</w:t>
      </w:r>
    </w:p>
    <w:p>
      <w:pPr>
        <w:pStyle w:val="BodyText"/>
        <w:spacing w:line="348" w:lineRule="auto" w:before="49"/>
        <w:ind w:right="109" w:firstLine="420"/>
        <w:jc w:val="left"/>
      </w:pPr>
      <w:r>
        <w:rPr>
          <w:rFonts w:ascii="Times New Roman" w:hAnsi="Times New Roman" w:cs="Times New Roman" w:eastAsia="Times New Roman" w:hint="default"/>
        </w:rPr>
        <w:t>B</w:t>
      </w:r>
      <w:r>
        <w:rPr/>
        <w:t>、递延所得税负债的确认</w:t>
      </w:r>
      <w:r>
        <w:rPr>
          <w:w w:val="99"/>
        </w:rPr>
        <w:t> </w:t>
      </w:r>
      <w:r>
        <w:rPr>
          <w:w w:val="95"/>
        </w:rPr>
        <w:t>除下列情况产生的递延所得税负债以外，本公司确认所有应纳税暂时性差异产生的递延所</w:t>
      </w:r>
      <w:r>
        <w:rPr>
          <w:spacing w:val="86"/>
          <w:w w:val="95"/>
        </w:rPr>
        <w:t> </w:t>
      </w:r>
      <w:r>
        <w:rPr>
          <w:spacing w:val="86"/>
          <w:w w:val="95"/>
        </w:rPr>
      </w:r>
      <w:r>
        <w:rPr/>
        <w:t>得税负债：</w:t>
      </w:r>
    </w:p>
    <w:p>
      <w:pPr>
        <w:pStyle w:val="BodyText"/>
        <w:spacing w:line="336" w:lineRule="auto" w:before="38"/>
        <w:ind w:left="542" w:right="1789"/>
        <w:jc w:val="left"/>
      </w:pPr>
      <w:r>
        <w:rPr>
          <w:rFonts w:ascii="Times New Roman" w:hAnsi="Times New Roman" w:cs="Times New Roman" w:eastAsia="Times New Roman" w:hint="default"/>
        </w:rPr>
        <w:t>a</w:t>
      </w:r>
      <w:r>
        <w:rPr/>
        <w:t>、商誉的初始确认；</w:t>
      </w:r>
      <w:r>
        <w:rPr>
          <w:w w:val="99"/>
        </w:rPr>
        <w:t> </w:t>
      </w:r>
      <w:r>
        <w:rPr>
          <w:rFonts w:ascii="Times New Roman" w:hAnsi="Times New Roman" w:cs="Times New Roman" w:eastAsia="Times New Roman" w:hint="default"/>
        </w:rPr>
        <w:t>b</w:t>
      </w:r>
      <w:r>
        <w:rPr/>
        <w:t>、同时满足具有下列特征的交易中产生的资产或负债的初始确认：</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该项交易不是企业合并；</w:t>
      </w:r>
    </w:p>
    <w:p>
      <w:pPr>
        <w:pStyle w:val="BodyText"/>
        <w:spacing w:line="240" w:lineRule="auto" w:before="26"/>
        <w:ind w:left="542" w:right="109"/>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pStyle w:val="BodyText"/>
        <w:spacing w:line="336" w:lineRule="auto" w:before="117"/>
        <w:ind w:right="109" w:firstLine="420"/>
        <w:jc w:val="left"/>
      </w:pPr>
      <w:r>
        <w:rPr>
          <w:rFonts w:ascii="Times New Roman" w:hAnsi="Times New Roman" w:cs="Times New Roman" w:eastAsia="Times New Roman" w:hint="default"/>
          <w:spacing w:val="2"/>
          <w:w w:val="95"/>
        </w:rPr>
        <w:t>c</w:t>
      </w:r>
      <w:r>
        <w:rPr>
          <w:spacing w:val="2"/>
          <w:w w:val="95"/>
        </w:rPr>
        <w:t>、本公司对与子公司、联营公司及合营企业投资产生相关的应纳税暂时性差异，同</w:t>
      </w:r>
      <w:r>
        <w:rPr>
          <w:w w:val="99"/>
        </w:rPr>
        <w:t> </w:t>
      </w:r>
      <w:r>
        <w:rPr/>
        <w:t>时满足下列条件的：</w:t>
      </w:r>
    </w:p>
    <w:p>
      <w:pPr>
        <w:pStyle w:val="BodyText"/>
        <w:spacing w:line="240" w:lineRule="auto" w:before="49"/>
        <w:ind w:left="542" w:right="1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投资企业能够控制暂时性差异的转回的时间；</w:t>
      </w:r>
    </w:p>
    <w:p>
      <w:pPr>
        <w:pStyle w:val="BodyText"/>
        <w:spacing w:line="240" w:lineRule="auto" w:before="119"/>
        <w:ind w:left="542" w:right="10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暂时性差异在可预见的未来很可能不会转回。</w:t>
      </w:r>
    </w:p>
    <w:p>
      <w:pPr>
        <w:spacing w:after="0" w:line="240" w:lineRule="auto"/>
        <w:jc w:val="left"/>
        <w:sectPr>
          <w:pgSz w:w="11910" w:h="16840"/>
          <w:pgMar w:header="1058" w:footer="1590" w:top="1780" w:bottom="1780" w:left="1680" w:right="1680"/>
        </w:sectPr>
      </w:pPr>
    </w:p>
    <w:p>
      <w:pPr>
        <w:spacing w:line="240" w:lineRule="auto" w:before="9"/>
        <w:rPr>
          <w:rFonts w:ascii="宋体" w:hAnsi="宋体" w:cs="宋体" w:eastAsia="宋体" w:hint="default"/>
          <w:sz w:val="27"/>
          <w:szCs w:val="27"/>
        </w:rPr>
      </w:pPr>
    </w:p>
    <w:p>
      <w:pPr>
        <w:pStyle w:val="Heading4"/>
        <w:spacing w:line="333" w:lineRule="exact"/>
        <w:ind w:left="228" w:right="0"/>
        <w:jc w:val="left"/>
        <w:rPr>
          <w:b w:val="0"/>
          <w:bCs w:val="0"/>
        </w:rPr>
      </w:pPr>
      <w:bookmarkStart w:name="23、经营租赁" w:id="41"/>
      <w:bookmarkEnd w:id="41"/>
      <w:r>
        <w:rPr>
          <w:b w:val="0"/>
          <w:bCs w:val="0"/>
        </w:rPr>
      </w:r>
      <w:bookmarkStart w:name="24、主要会计政策、会计估计的变更" w:id="42"/>
      <w:bookmarkEnd w:id="42"/>
      <w:r>
        <w:rPr>
          <w:b w:val="0"/>
          <w:bCs w:val="0"/>
        </w:rPr>
      </w:r>
      <w:bookmarkStart w:name="25、前期会计差错更正" w:id="43"/>
      <w:bookmarkEnd w:id="43"/>
      <w:r>
        <w:rPr>
          <w:b w:val="0"/>
          <w:bCs w:val="0"/>
        </w:rPr>
      </w:r>
      <w:bookmarkStart w:name="三、税项" w:id="44"/>
      <w:bookmarkEnd w:id="44"/>
      <w:r>
        <w:rPr>
          <w:b w:val="0"/>
          <w:bCs w:val="0"/>
        </w:rPr>
      </w:r>
      <w:r>
        <w:rPr>
          <w:rFonts w:ascii="Times New Roman" w:hAnsi="Times New Roman" w:cs="Times New Roman" w:eastAsia="Times New Roman" w:hint="default"/>
        </w:rPr>
        <w:t>23</w:t>
      </w:r>
      <w:r>
        <w:rPr/>
        <w:t>、经营租赁</w:t>
      </w:r>
      <w:r>
        <w:rPr>
          <w:b w:val="0"/>
          <w:bCs w:val="0"/>
        </w:rPr>
      </w:r>
    </w:p>
    <w:p>
      <w:pPr>
        <w:pStyle w:val="BodyText"/>
        <w:spacing w:line="355" w:lineRule="auto" w:before="109"/>
        <w:ind w:left="642" w:right="2104"/>
        <w:jc w:val="left"/>
      </w:pPr>
      <w:r>
        <w:rPr/>
        <w:t>经营租赁</w:t>
      </w:r>
      <w:r>
        <w:rPr>
          <w:w w:val="99"/>
        </w:rPr>
        <w:t> </w:t>
      </w:r>
      <w:r>
        <w:rPr/>
        <w:t>公司经营租赁以需支付的租赁费在总经营租赁期内的平均分摊。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0"/>
          <w:pgSz w:w="11910" w:h="16840"/>
          <w:pgMar w:footer="1590" w:header="1058" w:top="1780" w:bottom="1780" w:left="1580" w:right="1680"/>
          <w:pgNumType w:start="87"/>
        </w:sectPr>
      </w:pPr>
    </w:p>
    <w:p>
      <w:pPr>
        <w:pStyle w:val="Heading4"/>
        <w:spacing w:line="240" w:lineRule="auto" w:before="119"/>
        <w:ind w:left="228" w:right="0"/>
        <w:jc w:val="left"/>
        <w:rPr>
          <w:b w:val="0"/>
          <w:bCs w:val="0"/>
        </w:rPr>
      </w:pPr>
      <w:r>
        <w:rPr>
          <w:rFonts w:ascii="Times New Roman" w:hAnsi="Times New Roman" w:cs="Times New Roman" w:eastAsia="Times New Roman" w:hint="default"/>
          <w:w w:val="95"/>
        </w:rPr>
        <w:t>24</w:t>
      </w:r>
      <w:r>
        <w:rPr>
          <w:w w:val="95"/>
        </w:rPr>
        <w:t>、主要会计政策、会计估计的变更</w:t>
      </w:r>
      <w:r>
        <w:rPr>
          <w:b w:val="0"/>
          <w:bCs w:val="0"/>
        </w:rPr>
      </w:r>
    </w:p>
    <w:p>
      <w:pPr>
        <w:pStyle w:val="BodyText"/>
        <w:spacing w:line="674" w:lineRule="auto" w:before="111"/>
        <w:ind w:left="222" w:right="400"/>
        <w:jc w:val="left"/>
      </w:pPr>
      <w:r>
        <w:rPr/>
        <w:pict>
          <v:shape style="position:absolute;margin-left:84.479996pt;margin-top:68.453667pt;width:420.85pt;height:42.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0"/>
                    <w:gridCol w:w="1416"/>
                    <w:gridCol w:w="2618"/>
                    <w:gridCol w:w="1418"/>
                  </w:tblGrid>
                  <w:tr>
                    <w:trPr>
                      <w:trHeight w:val="419"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19" w:hRule="exact"/>
                    </w:trPr>
                    <w:tc>
                      <w:tcPr>
                        <w:tcW w:w="29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t>（</w:t>
      </w:r>
      <w:r>
        <w:rPr>
          <w:rFonts w:ascii="Times New Roman" w:hAnsi="Times New Roman" w:cs="Times New Roman" w:eastAsia="Times New Roman" w:hint="default"/>
        </w:rPr>
        <w:t>1</w:t>
      </w:r>
      <w:r>
        <w:rPr/>
        <w:t>）会计政策变更</w:t>
      </w:r>
      <w:r>
        <w:rPr>
          <w:w w:val="99"/>
        </w:rPr>
        <w:t> </w:t>
      </w:r>
      <w:r>
        <w:rPr/>
        <w:t>本报告期主要会计政策是否变更</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1273" w:val="left" w:leader="none"/>
        </w:tabs>
        <w:spacing w:line="240" w:lineRule="auto"/>
        <w:ind w:left="222" w:right="0"/>
        <w:jc w:val="left"/>
      </w:pPr>
      <w:r>
        <w:rPr>
          <w:w w:val="95"/>
        </w:rPr>
        <w:t>单位：元</w:t>
        <w:tab/>
      </w:r>
      <w:r>
        <w:rPr/>
        <w:t>币种：人民币</w:t>
      </w:r>
    </w:p>
    <w:p>
      <w:pPr>
        <w:spacing w:after="0" w:line="240" w:lineRule="auto"/>
        <w:jc w:val="left"/>
        <w:sectPr>
          <w:type w:val="continuous"/>
          <w:pgSz w:w="11910" w:h="16840"/>
          <w:pgMar w:top="940" w:bottom="920" w:left="1580" w:right="1680"/>
          <w:cols w:num="2" w:equalWidth="0">
            <w:col w:w="3583" w:space="2407"/>
            <w:col w:w="26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940" w:bottom="920" w:left="1580" w:right="1680"/>
        </w:sectPr>
      </w:pPr>
    </w:p>
    <w:p>
      <w:pPr>
        <w:pStyle w:val="BodyText"/>
        <w:spacing w:line="674" w:lineRule="auto" w:before="177"/>
        <w:ind w:left="222" w:right="0"/>
        <w:jc w:val="left"/>
      </w:pPr>
      <w:r>
        <w:rPr/>
        <w:pict>
          <v:shape style="position:absolute;margin-left:84.479996pt;margin-top:71.813667pt;width:420.25pt;height:42.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2"/>
                    <w:gridCol w:w="1404"/>
                    <w:gridCol w:w="2618"/>
                    <w:gridCol w:w="1406"/>
                  </w:tblGrid>
                  <w:tr>
                    <w:trPr>
                      <w:trHeight w:val="419"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220"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1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t>（</w:t>
      </w:r>
      <w:r>
        <w:rPr>
          <w:rFonts w:ascii="Times New Roman" w:hAnsi="Times New Roman" w:cs="Times New Roman" w:eastAsia="Times New Roman" w:hint="default"/>
        </w:rPr>
        <w:t>2</w:t>
      </w:r>
      <w:r>
        <w:rPr/>
        <w:t>）会计估计变更</w:t>
      </w:r>
      <w:r>
        <w:rPr>
          <w:w w:val="99"/>
        </w:rPr>
        <w:t> </w:t>
      </w:r>
      <w:r>
        <w:rPr>
          <w:w w:val="95"/>
        </w:rPr>
        <w:t>本报告期主要会计估计是否变更</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4"/>
          <w:szCs w:val="24"/>
        </w:rPr>
      </w:pPr>
    </w:p>
    <w:p>
      <w:pPr>
        <w:pStyle w:val="BodyText"/>
        <w:tabs>
          <w:tab w:pos="1273" w:val="left" w:leader="none"/>
        </w:tabs>
        <w:spacing w:line="240" w:lineRule="auto"/>
        <w:ind w:left="222" w:right="0"/>
        <w:jc w:val="left"/>
      </w:pPr>
      <w:r>
        <w:rPr>
          <w:w w:val="95"/>
        </w:rPr>
        <w:t>单位：元</w:t>
        <w:tab/>
      </w:r>
      <w:r>
        <w:rPr/>
        <w:t>币种：人民币</w:t>
      </w:r>
    </w:p>
    <w:p>
      <w:pPr>
        <w:spacing w:after="0" w:line="240" w:lineRule="auto"/>
        <w:jc w:val="left"/>
        <w:sectPr>
          <w:type w:val="continuous"/>
          <w:pgSz w:w="11910" w:h="16840"/>
          <w:pgMar w:top="940" w:bottom="920" w:left="1580" w:right="1680"/>
          <w:cols w:num="2" w:equalWidth="0">
            <w:col w:w="3163" w:space="2827"/>
            <w:col w:w="26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940" w:bottom="920" w:left="1580" w:right="1680"/>
        </w:sectPr>
      </w:pPr>
    </w:p>
    <w:p>
      <w:pPr>
        <w:pStyle w:val="Heading4"/>
        <w:spacing w:line="333" w:lineRule="exact"/>
        <w:ind w:left="228"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13"/>
        <w:rPr>
          <w:rFonts w:ascii="Microsoft JhengHei" w:hAnsi="Microsoft JhengHei" w:cs="Microsoft JhengHei" w:eastAsia="Microsoft JhengHei" w:hint="default"/>
          <w:b/>
          <w:bCs/>
          <w:sz w:val="29"/>
          <w:szCs w:val="29"/>
        </w:rPr>
      </w:pPr>
    </w:p>
    <w:p>
      <w:pPr>
        <w:pStyle w:val="BodyText"/>
        <w:spacing w:line="338" w:lineRule="auto"/>
        <w:ind w:left="222" w:right="0"/>
        <w:jc w:val="left"/>
      </w:pPr>
      <w:r>
        <w:rPr/>
        <w:t>（</w:t>
      </w:r>
      <w:r>
        <w:rPr>
          <w:rFonts w:ascii="Times New Roman" w:hAnsi="Times New Roman" w:cs="Times New Roman" w:eastAsia="Times New Roman" w:hint="default"/>
        </w:rPr>
        <w:t>1</w:t>
      </w:r>
      <w:r>
        <w:rPr/>
        <w:t>）追溯重述法</w:t>
      </w:r>
      <w:r>
        <w:rPr>
          <w:w w:val="99"/>
        </w:rPr>
        <w:t> </w:t>
      </w:r>
      <w:r>
        <w:rPr>
          <w:w w:val="95"/>
        </w:rPr>
        <w:t>本报告期是否发现采用追溯重述法的前期会计差错</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pStyle w:val="BodyText"/>
        <w:tabs>
          <w:tab w:pos="1273" w:val="left" w:leader="none"/>
        </w:tabs>
        <w:spacing w:line="240" w:lineRule="auto"/>
        <w:ind w:left="222" w:right="0"/>
        <w:jc w:val="left"/>
      </w:pPr>
      <w:r>
        <w:rPr>
          <w:w w:val="95"/>
        </w:rPr>
        <w:t>单位：元</w:t>
        <w:tab/>
      </w:r>
      <w:r>
        <w:rPr/>
        <w:t>币种：人民币</w:t>
      </w:r>
    </w:p>
    <w:p>
      <w:pPr>
        <w:spacing w:after="0" w:line="240" w:lineRule="auto"/>
        <w:jc w:val="left"/>
        <w:sectPr>
          <w:type w:val="continuous"/>
          <w:pgSz w:w="11910" w:h="16840"/>
          <w:pgMar w:top="940" w:bottom="920" w:left="1580" w:right="1680"/>
          <w:cols w:num="2" w:equalWidth="0">
            <w:col w:w="4843" w:space="1147"/>
            <w:col w:w="2660"/>
          </w:cols>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50"/>
        <w:gridCol w:w="1526"/>
        <w:gridCol w:w="2688"/>
        <w:gridCol w:w="2112"/>
      </w:tblGrid>
      <w:tr>
        <w:trPr>
          <w:trHeight w:val="828"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会计差错更正的内</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w w:val="99"/>
                <w:sz w:val="21"/>
                <w:szCs w:val="21"/>
              </w:rPr>
              <w:t>容</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受影响的各个比较期间报</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表项目名称</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201"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418"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336" w:lineRule="auto" w:before="34"/>
        <w:ind w:left="222" w:right="3784"/>
        <w:jc w:val="left"/>
      </w:pPr>
      <w:r>
        <w:rPr/>
        <w:t>（</w:t>
      </w:r>
      <w:r>
        <w:rPr>
          <w:rFonts w:ascii="Times New Roman" w:hAnsi="Times New Roman" w:cs="Times New Roman" w:eastAsia="Times New Roman" w:hint="default"/>
        </w:rPr>
        <w:t>2</w:t>
      </w:r>
      <w:r>
        <w:rPr/>
        <w:t>）未来适用法</w:t>
      </w:r>
      <w:r>
        <w:rPr>
          <w:w w:val="99"/>
        </w:rPr>
        <w:t> </w:t>
      </w:r>
      <w:r>
        <w:rPr/>
        <w:t>本报告期是否发现采用未来适用法的前期会计差错</w:t>
      </w:r>
    </w:p>
    <w:p>
      <w:pPr>
        <w:spacing w:line="240" w:lineRule="auto" w:before="6"/>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58"/>
        <w:gridCol w:w="3082"/>
        <w:gridCol w:w="2551"/>
      </w:tblGrid>
      <w:tr>
        <w:trPr>
          <w:trHeight w:val="419"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418"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1" w:lineRule="exact"/>
        <w:ind w:left="228" w:right="0"/>
        <w:jc w:val="left"/>
        <w:rPr>
          <w:rFonts w:ascii="宋体" w:hAnsi="宋体" w:cs="宋体" w:eastAsia="宋体" w:hint="default"/>
        </w:rPr>
      </w:pPr>
      <w:r>
        <w:rPr>
          <w:rFonts w:ascii="宋体" w:hAnsi="宋体" w:cs="宋体" w:eastAsia="宋体" w:hint="default"/>
        </w:rPr>
        <w:t>三、税项</w:t>
      </w:r>
    </w:p>
    <w:p>
      <w:pPr>
        <w:spacing w:after="0" w:line="241" w:lineRule="exact"/>
        <w:jc w:val="left"/>
        <w:rPr>
          <w:rFonts w:ascii="宋体" w:hAnsi="宋体" w:cs="宋体" w:eastAsia="宋体" w:hint="default"/>
        </w:rPr>
        <w:sectPr>
          <w:type w:val="continuous"/>
          <w:pgSz w:w="11910" w:h="16840"/>
          <w:pgMar w:top="940" w:bottom="920" w:left="1580" w:right="1680"/>
        </w:sectPr>
      </w:pPr>
    </w:p>
    <w:p>
      <w:pPr>
        <w:pStyle w:val="Heading4"/>
        <w:spacing w:line="282" w:lineRule="exact"/>
        <w:ind w:left="808" w:right="0"/>
        <w:jc w:val="left"/>
        <w:rPr>
          <w:b w:val="0"/>
          <w:bCs w:val="0"/>
        </w:rPr>
      </w:pPr>
      <w:bookmarkStart w:name="2、税收优惠及批文" w:id="45"/>
      <w:bookmarkEnd w:id="45"/>
      <w:r>
        <w:rPr>
          <w:b w:val="0"/>
          <w:bCs w:val="0"/>
        </w:rPr>
      </w:r>
      <w:bookmarkStart w:name="四、企业合并及合并财务报表" w:id="46"/>
      <w:bookmarkEnd w:id="46"/>
      <w:r>
        <w:rPr>
          <w:b w:val="0"/>
          <w:bCs w:val="0"/>
        </w:rPr>
      </w:r>
      <w:bookmarkStart w:name="(一)子公司情况" w:id="47"/>
      <w:bookmarkEnd w:id="4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689" w:type="dxa"/>
        <w:tblLayout w:type="fixed"/>
        <w:tblCellMar>
          <w:top w:w="0" w:type="dxa"/>
          <w:left w:w="0" w:type="dxa"/>
          <w:bottom w:w="0" w:type="dxa"/>
          <w:right w:w="0" w:type="dxa"/>
        </w:tblCellMar>
        <w:tblLook w:val="01E0"/>
      </w:tblPr>
      <w:tblGrid>
        <w:gridCol w:w="2093"/>
        <w:gridCol w:w="4620"/>
        <w:gridCol w:w="1663"/>
      </w:tblGrid>
      <w:tr>
        <w:trPr>
          <w:trHeight w:val="41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w w:val="95"/>
                <w:sz w:val="21"/>
                <w:szCs w:val="21"/>
              </w:rPr>
              <w:t>税率</w:t>
            </w:r>
            <w:r>
              <w:rPr>
                <w:rFonts w:ascii="宋体" w:hAnsi="宋体" w:cs="宋体" w:eastAsia="宋体" w:hint="default"/>
                <w:sz w:val="21"/>
                <w:szCs w:val="21"/>
              </w:rPr>
            </w:r>
          </w:p>
        </w:tc>
      </w:tr>
      <w:tr>
        <w:trPr>
          <w:trHeight w:val="827"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销售收入、加工及修理修配劳务收入以及进口货</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物应税金额</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89"/>
              <w:jc w:val="right"/>
              <w:rPr>
                <w:rFonts w:ascii="Times New Roman" w:hAnsi="Times New Roman" w:cs="Times New Roman" w:eastAsia="Times New Roman" w:hint="default"/>
                <w:sz w:val="21"/>
                <w:szCs w:val="21"/>
              </w:rPr>
            </w:pPr>
            <w:r>
              <w:rPr>
                <w:rFonts w:ascii="Times New Roman"/>
                <w:w w:val="95"/>
                <w:sz w:val="21"/>
              </w:rPr>
              <w:t>17%</w:t>
            </w:r>
            <w:r>
              <w:rPr>
                <w:rFonts w:ascii="Times New Roman"/>
                <w:sz w:val="21"/>
              </w:rPr>
            </w:r>
          </w:p>
        </w:tc>
      </w:tr>
      <w:tr>
        <w:trPr>
          <w:trHeight w:val="418"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应税劳务收入、转让无形资产及销售不动产收入</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642"/>
              <w:jc w:val="right"/>
              <w:rPr>
                <w:rFonts w:ascii="Times New Roman" w:hAnsi="Times New Roman" w:cs="Times New Roman" w:eastAsia="Times New Roman" w:hint="default"/>
                <w:sz w:val="21"/>
                <w:szCs w:val="21"/>
              </w:rPr>
            </w:pPr>
            <w:r>
              <w:rPr>
                <w:rFonts w:ascii="Times New Roman"/>
                <w:w w:val="95"/>
                <w:sz w:val="21"/>
              </w:rPr>
              <w:t>5%</w:t>
            </w:r>
            <w:r>
              <w:rPr>
                <w:rFonts w:ascii="Times New Roman"/>
                <w:sz w:val="21"/>
              </w:rPr>
            </w:r>
          </w:p>
        </w:tc>
      </w:tr>
      <w:tr>
        <w:trPr>
          <w:trHeight w:val="41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642"/>
              <w:jc w:val="right"/>
              <w:rPr>
                <w:rFonts w:ascii="Times New Roman" w:hAnsi="Times New Roman" w:cs="Times New Roman" w:eastAsia="Times New Roman" w:hint="default"/>
                <w:sz w:val="21"/>
                <w:szCs w:val="21"/>
              </w:rPr>
            </w:pPr>
            <w:r>
              <w:rPr>
                <w:rFonts w:ascii="Times New Roman"/>
                <w:w w:val="95"/>
                <w:sz w:val="21"/>
              </w:rPr>
              <w:t>5%</w:t>
            </w:r>
            <w:r>
              <w:rPr>
                <w:rFonts w:ascii="Times New Roman"/>
                <w:sz w:val="21"/>
              </w:rPr>
            </w:r>
          </w:p>
        </w:tc>
      </w:tr>
      <w:tr>
        <w:trPr>
          <w:trHeight w:val="41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642"/>
              <w:jc w:val="right"/>
              <w:rPr>
                <w:rFonts w:ascii="Times New Roman" w:hAnsi="Times New Roman" w:cs="Times New Roman" w:eastAsia="Times New Roman" w:hint="default"/>
                <w:sz w:val="21"/>
                <w:szCs w:val="21"/>
              </w:rPr>
            </w:pPr>
            <w:r>
              <w:rPr>
                <w:rFonts w:ascii="Times New Roman"/>
                <w:w w:val="95"/>
                <w:sz w:val="21"/>
              </w:rPr>
              <w:t>3%</w:t>
            </w:r>
            <w:r>
              <w:rPr>
                <w:rFonts w:ascii="Times New Roman"/>
                <w:sz w:val="21"/>
              </w:rPr>
            </w:r>
          </w:p>
        </w:tc>
      </w:tr>
      <w:tr>
        <w:trPr>
          <w:trHeight w:val="418"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589"/>
              <w:jc w:val="right"/>
              <w:rPr>
                <w:rFonts w:ascii="Times New Roman" w:hAnsi="Times New Roman" w:cs="Times New Roman" w:eastAsia="Times New Roman" w:hint="default"/>
                <w:sz w:val="21"/>
                <w:szCs w:val="21"/>
              </w:rPr>
            </w:pPr>
            <w:r>
              <w:rPr>
                <w:rFonts w:ascii="Times New Roman"/>
                <w:w w:val="95"/>
                <w:sz w:val="21"/>
              </w:rPr>
              <w:t>25%</w:t>
            </w:r>
            <w:r>
              <w:rPr>
                <w:rFonts w:ascii="Times New Roman"/>
                <w:sz w:val="21"/>
              </w:rPr>
            </w:r>
          </w:p>
        </w:tc>
      </w:tr>
    </w:tbl>
    <w:p>
      <w:pPr>
        <w:spacing w:line="240" w:lineRule="auto" w:before="16"/>
        <w:rPr>
          <w:rFonts w:ascii="Microsoft JhengHei" w:hAnsi="Microsoft JhengHei" w:cs="Microsoft JhengHei" w:eastAsia="Microsoft JhengHei" w:hint="default"/>
          <w:b/>
          <w:bCs/>
          <w:sz w:val="16"/>
          <w:szCs w:val="16"/>
        </w:rPr>
      </w:pPr>
    </w:p>
    <w:p>
      <w:pPr>
        <w:pStyle w:val="Heading4"/>
        <w:spacing w:line="333" w:lineRule="exact"/>
        <w:ind w:left="808" w:right="0"/>
        <w:jc w:val="left"/>
        <w:rPr>
          <w:b w:val="0"/>
          <w:bCs w:val="0"/>
        </w:rPr>
      </w:pPr>
      <w:r>
        <w:rPr>
          <w:rFonts w:ascii="Times New Roman" w:hAnsi="Times New Roman" w:cs="Times New Roman" w:eastAsia="Times New Roman" w:hint="default"/>
        </w:rPr>
        <w:t>2</w:t>
      </w:r>
      <w:r>
        <w:rPr/>
        <w:t>、税收优惠及批文</w:t>
      </w:r>
      <w:r>
        <w:rPr>
          <w:b w:val="0"/>
          <w:bCs w:val="0"/>
        </w:rPr>
      </w:r>
    </w:p>
    <w:p>
      <w:pPr>
        <w:pStyle w:val="BodyText"/>
        <w:spacing w:line="240" w:lineRule="auto" w:before="109"/>
        <w:ind w:left="1222" w:right="0"/>
        <w:jc w:val="left"/>
      </w:pPr>
      <w:r>
        <w:rPr/>
        <w:t>（</w:t>
      </w:r>
      <w:r>
        <w:rPr>
          <w:rFonts w:ascii="Times New Roman" w:hAnsi="Times New Roman" w:cs="Times New Roman" w:eastAsia="Times New Roman" w:hint="default"/>
        </w:rPr>
        <w:t>1</w:t>
      </w:r>
      <w:r>
        <w:rPr/>
        <w:t>）按</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t>年</w:t>
      </w:r>
      <w:r>
        <w:rPr>
          <w:spacing w:val="-76"/>
        </w:rPr>
        <w:t>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月</w:t>
      </w:r>
      <w:r>
        <w:rPr>
          <w:spacing w:val="-76"/>
        </w:rPr>
        <w:t> </w:t>
      </w:r>
      <w:r>
        <w:rPr>
          <w:rFonts w:ascii="Times New Roman" w:hAnsi="Times New Roman" w:cs="Times New Roman" w:eastAsia="Times New Roman" w:hint="default"/>
        </w:rPr>
        <w:t>14</w:t>
      </w:r>
      <w:r>
        <w:rPr>
          <w:rFonts w:ascii="Times New Roman" w:hAnsi="Times New Roman" w:cs="Times New Roman" w:eastAsia="Times New Roman" w:hint="default"/>
          <w:spacing w:val="-24"/>
        </w:rPr>
        <w:t> </w:t>
      </w:r>
      <w:r>
        <w:rPr/>
        <w:t>日科技部、财政部、国家税务总局联合文件国科发火〔</w:t>
      </w:r>
      <w:r>
        <w:rPr>
          <w:rFonts w:ascii="Times New Roman" w:hAnsi="Times New Roman" w:cs="Times New Roman" w:eastAsia="Times New Roman" w:hint="default"/>
        </w:rPr>
        <w:t>2008</w:t>
      </w:r>
      <w:r>
        <w:rPr/>
        <w:t>〕</w:t>
      </w:r>
    </w:p>
    <w:p>
      <w:pPr>
        <w:pStyle w:val="BodyText"/>
        <w:spacing w:line="240" w:lineRule="auto" w:before="117"/>
        <w:ind w:left="802" w:right="0"/>
        <w:jc w:val="left"/>
      </w:pPr>
      <w:r>
        <w:rPr>
          <w:rFonts w:ascii="Times New Roman" w:hAnsi="Times New Roman" w:cs="Times New Roman" w:eastAsia="Times New Roman" w:hint="default"/>
        </w:rPr>
        <w:t>172</w:t>
      </w:r>
      <w:r>
        <w:rPr>
          <w:rFonts w:ascii="Times New Roman" w:hAnsi="Times New Roman" w:cs="Times New Roman" w:eastAsia="Times New Roman" w:hint="default"/>
          <w:spacing w:val="-27"/>
        </w:rPr>
        <w:t> </w:t>
      </w:r>
      <w:r>
        <w:rPr/>
        <w:t>号《高新技术企业认定管理办法》的标准，本公司获高新技术企业认定，并于</w:t>
      </w:r>
      <w:r>
        <w:rPr>
          <w:spacing w:val="-8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w:t>
      </w:r>
    </w:p>
    <w:p>
      <w:pPr>
        <w:pStyle w:val="BodyText"/>
        <w:spacing w:line="336" w:lineRule="auto" w:before="119"/>
        <w:ind w:left="802" w:right="927"/>
        <w:jc w:val="left"/>
      </w:pPr>
      <w:r>
        <w:rPr>
          <w:rFonts w:ascii="Times New Roman" w:hAnsi="Times New Roman" w:cs="Times New Roman" w:eastAsia="Times New Roman" w:hint="default"/>
          <w:w w:val="99"/>
        </w:rPr>
        <w:t>12</w:t>
      </w:r>
      <w:r>
        <w:rPr>
          <w:rFonts w:ascii="Times New Roman" w:hAnsi="Times New Roman" w:cs="Times New Roman" w:eastAsia="Times New Roman" w:hint="default"/>
          <w:spacing w:val="-3"/>
          <w:w w:val="99"/>
        </w:rPr>
        <w:t> </w:t>
      </w:r>
      <w:r>
        <w:rPr>
          <w:w w:val="99"/>
        </w:rPr>
        <w:t>月</w:t>
      </w:r>
      <w:r>
        <w:rPr>
          <w:spacing w:val="-52"/>
          <w:w w:val="99"/>
        </w:rPr>
        <w:t> </w:t>
      </w:r>
      <w:r>
        <w:rPr>
          <w:rFonts w:ascii="Times New Roman" w:hAnsi="Times New Roman" w:cs="Times New Roman" w:eastAsia="Times New Roman" w:hint="default"/>
          <w:w w:val="99"/>
        </w:rPr>
        <w:t>29</w:t>
      </w:r>
      <w:r>
        <w:rPr>
          <w:rFonts w:ascii="Times New Roman" w:hAnsi="Times New Roman" w:cs="Times New Roman" w:eastAsia="Times New Roman" w:hint="default"/>
          <w:spacing w:val="-3"/>
          <w:w w:val="99"/>
        </w:rPr>
        <w:t> </w:t>
      </w:r>
      <w:r>
        <w:rPr>
          <w:spacing w:val="-9"/>
          <w:w w:val="99"/>
        </w:rPr>
        <w:t>日取得《高新技术企业证书》，证书编号为</w:t>
      </w:r>
      <w:r>
        <w:rPr>
          <w:spacing w:val="-52"/>
          <w:w w:val="99"/>
        </w:rPr>
        <w:t> </w:t>
      </w:r>
      <w:r>
        <w:rPr>
          <w:rFonts w:ascii="Times New Roman" w:hAnsi="Times New Roman" w:cs="Times New Roman" w:eastAsia="Times New Roman" w:hint="default"/>
          <w:spacing w:val="-1"/>
          <w:w w:val="97"/>
        </w:rPr>
        <w:t>GR200834000657</w:t>
      </w:r>
      <w:r>
        <w:rPr>
          <w:spacing w:val="-1"/>
          <w:w w:val="97"/>
        </w:rPr>
        <w:t>。按新企业所得税法，</w:t>
      </w:r>
      <w:r>
        <w:rPr>
          <w:w w:val="49"/>
        </w:rPr>
        <w:t> </w:t>
      </w:r>
      <w:r>
        <w:rPr/>
        <w:t>本公司</w:t>
      </w:r>
      <w:r>
        <w:rPr>
          <w:spacing w:val="-55"/>
        </w:rPr>
        <w:t> </w:t>
      </w:r>
      <w:r>
        <w:rPr>
          <w:rFonts w:ascii="Times New Roman" w:hAnsi="Times New Roman" w:cs="Times New Roman" w:eastAsia="Times New Roman" w:hint="default"/>
        </w:rPr>
        <w:t>2008-2010</w:t>
      </w:r>
      <w:r>
        <w:rPr>
          <w:rFonts w:ascii="Times New Roman" w:hAnsi="Times New Roman" w:cs="Times New Roman" w:eastAsia="Times New Roman" w:hint="default"/>
          <w:spacing w:val="-3"/>
        </w:rPr>
        <w:t> </w:t>
      </w:r>
      <w:r>
        <w:rPr/>
        <w:t>年企业所得税适用</w:t>
      </w:r>
      <w:r>
        <w:rPr>
          <w:spacing w:val="-55"/>
        </w:rPr>
        <w:t> </w:t>
      </w:r>
      <w:r>
        <w:rPr>
          <w:rFonts w:ascii="Times New Roman" w:hAnsi="Times New Roman" w:cs="Times New Roman" w:eastAsia="Times New Roman" w:hint="default"/>
        </w:rPr>
        <w:t>15%</w:t>
      </w:r>
      <w:r>
        <w:rPr/>
        <w:t>的税率；</w:t>
      </w:r>
    </w:p>
    <w:p>
      <w:pPr>
        <w:pStyle w:val="BodyText"/>
        <w:spacing w:line="338" w:lineRule="auto" w:before="24"/>
        <w:ind w:left="802" w:right="922" w:firstLine="314"/>
        <w:jc w:val="both"/>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2</w:t>
      </w:r>
      <w:r>
        <w:rPr>
          <w:spacing w:val="-3"/>
        </w:rPr>
        <w:t>）根据重庆市经济委员会</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spacing w:val="-10"/>
        </w:rPr>
        <w:t>日【内】鼓励类确认【</w:t>
      </w:r>
      <w:r>
        <w:rPr>
          <w:rFonts w:ascii="Times New Roman" w:hAnsi="Times New Roman" w:cs="Times New Roman" w:eastAsia="Times New Roman" w:hint="default"/>
          <w:spacing w:val="-10"/>
        </w:rPr>
        <w:t>2008</w:t>
      </w:r>
      <w:r>
        <w:rPr>
          <w:spacing w:val="-10"/>
        </w:rPr>
        <w:t>】</w:t>
      </w:r>
      <w:r>
        <w:rPr>
          <w:rFonts w:ascii="Times New Roman" w:hAnsi="Times New Roman" w:cs="Times New Roman" w:eastAsia="Times New Roman" w:hint="default"/>
          <w:spacing w:val="-10"/>
        </w:rPr>
        <w:t>517</w:t>
      </w:r>
      <w:r>
        <w:rPr>
          <w:rFonts w:ascii="Times New Roman" w:hAnsi="Times New Roman" w:cs="Times New Roman" w:eastAsia="Times New Roman" w:hint="default"/>
          <w:spacing w:val="-6"/>
        </w:rPr>
        <w:t> </w:t>
      </w:r>
      <w:r>
        <w:rPr>
          <w:spacing w:val="-9"/>
        </w:rPr>
        <w:t>号文《国</w:t>
      </w:r>
      <w:r>
        <w:rPr>
          <w:w w:val="99"/>
        </w:rPr>
        <w:t> </w:t>
      </w:r>
      <w:r>
        <w:rPr>
          <w:spacing w:val="-2"/>
          <w:w w:val="98"/>
        </w:rPr>
        <w:t>家鼓励类产业确认书》，认定子公司重庆市渝神科技有限责任公司（以下简称</w:t>
      </w:r>
      <w:r>
        <w:rPr>
          <w:rFonts w:ascii="Times New Roman" w:hAnsi="Times New Roman" w:cs="Times New Roman" w:eastAsia="Times New Roman" w:hint="default"/>
          <w:spacing w:val="-2"/>
          <w:w w:val="98"/>
        </w:rPr>
        <w:t>“</w:t>
      </w:r>
      <w:r>
        <w:rPr>
          <w:spacing w:val="-2"/>
          <w:w w:val="98"/>
        </w:rPr>
        <w:t>渝神科技</w:t>
      </w:r>
      <w:r>
        <w:rPr>
          <w:rFonts w:ascii="Times New Roman" w:hAnsi="Times New Roman" w:cs="Times New Roman" w:eastAsia="Times New Roman" w:hint="default"/>
          <w:spacing w:val="-2"/>
          <w:w w:val="98"/>
        </w:rPr>
        <w:t>”</w:t>
      </w:r>
      <w:r>
        <w:rPr>
          <w:spacing w:val="-2"/>
          <w:w w:val="98"/>
        </w:rPr>
        <w:t>）</w:t>
      </w:r>
      <w:r>
        <w:rPr>
          <w:spacing w:val="-92"/>
          <w:w w:val="98"/>
        </w:rPr>
        <w:t> </w:t>
      </w:r>
      <w:r>
        <w:rPr>
          <w:w w:val="95"/>
        </w:rPr>
        <w:t>为国家鼓励类产业的内资企业，按照重庆市经济委员会、重庆市对外贸易经济委员会  </w:t>
      </w:r>
      <w:r>
        <w:rPr>
          <w:spacing w:val="86"/>
          <w:w w:val="95"/>
        </w:rPr>
        <w:t> </w:t>
      </w:r>
      <w:r>
        <w:rPr>
          <w:rFonts w:ascii="Times New Roman" w:hAnsi="Times New Roman" w:cs="Times New Roman" w:eastAsia="Times New Roman" w:hint="default"/>
          <w:w w:val="95"/>
        </w:rPr>
        <w:t>2003</w:t>
      </w:r>
      <w:r>
        <w:rPr>
          <w:rFonts w:ascii="Times New Roman" w:hAnsi="Times New Roman" w:cs="Times New Roman" w:eastAsia="Times New Roman" w:hint="default"/>
        </w:rPr>
      </w:r>
    </w:p>
    <w:p>
      <w:pPr>
        <w:pStyle w:val="BodyText"/>
        <w:spacing w:line="240" w:lineRule="auto" w:before="22"/>
        <w:ind w:left="802" w:right="0"/>
        <w:jc w:val="left"/>
      </w:pP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日发布的渝经投资【</w:t>
      </w:r>
      <w:r>
        <w:rPr>
          <w:rFonts w:ascii="Times New Roman" w:hAnsi="Times New Roman" w:cs="Times New Roman" w:eastAsia="Times New Roman" w:hint="default"/>
          <w:spacing w:val="-3"/>
        </w:rPr>
        <w:t>2003</w:t>
      </w:r>
      <w:r>
        <w:rPr>
          <w:spacing w:val="-3"/>
        </w:rPr>
        <w:t>】</w:t>
      </w:r>
      <w:r>
        <w:rPr>
          <w:rFonts w:ascii="Times New Roman" w:hAnsi="Times New Roman" w:cs="Times New Roman" w:eastAsia="Times New Roman" w:hint="default"/>
          <w:spacing w:val="-3"/>
        </w:rPr>
        <w:t>162</w:t>
      </w:r>
      <w:r>
        <w:rPr>
          <w:rFonts w:ascii="Times New Roman" w:hAnsi="Times New Roman" w:cs="Times New Roman" w:eastAsia="Times New Roman" w:hint="default"/>
          <w:spacing w:val="-5"/>
        </w:rPr>
        <w:t> </w:t>
      </w:r>
      <w:r>
        <w:rPr/>
        <w:t>号文《贯彻落实西部大开发企业所得税优惠政策</w:t>
      </w:r>
    </w:p>
    <w:p>
      <w:pPr>
        <w:pStyle w:val="BodyText"/>
        <w:spacing w:line="336" w:lineRule="auto" w:before="117"/>
        <w:ind w:left="802" w:right="918"/>
        <w:jc w:val="left"/>
      </w:pPr>
      <w:r>
        <w:rPr>
          <w:spacing w:val="2"/>
          <w:w w:val="99"/>
        </w:rPr>
        <w:t>实</w:t>
      </w:r>
      <w:r>
        <w:rPr>
          <w:w w:val="99"/>
        </w:rPr>
        <w:t>施</w:t>
      </w:r>
      <w:r>
        <w:rPr>
          <w:spacing w:val="2"/>
          <w:w w:val="99"/>
        </w:rPr>
        <w:t>意</w:t>
      </w:r>
      <w:r>
        <w:rPr>
          <w:w w:val="99"/>
        </w:rPr>
        <w:t>见</w:t>
      </w:r>
      <w:r>
        <w:rPr>
          <w:spacing w:val="-104"/>
          <w:w w:val="99"/>
        </w:rPr>
        <w:t>》</w:t>
      </w:r>
      <w:r>
        <w:rPr>
          <w:spacing w:val="-15"/>
          <w:w w:val="99"/>
        </w:rPr>
        <w:t>，</w:t>
      </w:r>
      <w:r>
        <w:rPr>
          <w:spacing w:val="2"/>
          <w:w w:val="99"/>
        </w:rPr>
        <w:t>及</w:t>
      </w:r>
      <w:r>
        <w:rPr>
          <w:w w:val="99"/>
        </w:rPr>
        <w:t>国</w:t>
      </w:r>
      <w:r>
        <w:rPr>
          <w:spacing w:val="2"/>
          <w:w w:val="99"/>
        </w:rPr>
        <w:t>务</w:t>
      </w:r>
      <w:r>
        <w:rPr>
          <w:w w:val="99"/>
        </w:rPr>
        <w:t>院</w:t>
      </w:r>
      <w:r>
        <w:rPr>
          <w:spacing w:val="-53"/>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日</w:t>
      </w:r>
      <w:r>
        <w:rPr>
          <w:w w:val="99"/>
        </w:rPr>
        <w:t>发</w:t>
      </w:r>
      <w:r>
        <w:rPr>
          <w:spacing w:val="2"/>
          <w:w w:val="99"/>
        </w:rPr>
        <w:t>布</w:t>
      </w:r>
      <w:r>
        <w:rPr>
          <w:w w:val="99"/>
        </w:rPr>
        <w:t>的</w:t>
      </w:r>
      <w:r>
        <w:rPr>
          <w:spacing w:val="2"/>
          <w:w w:val="99"/>
        </w:rPr>
        <w:t>国</w:t>
      </w:r>
      <w:r>
        <w:rPr>
          <w:spacing w:val="-17"/>
          <w:w w:val="99"/>
        </w:rPr>
        <w:t>发</w:t>
      </w:r>
      <w:r>
        <w:rPr>
          <w:spacing w:val="2"/>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7</w:t>
      </w:r>
      <w:r>
        <w:rPr>
          <w:spacing w:val="-17"/>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spacing w:val="2"/>
          <w:w w:val="99"/>
        </w:rPr>
        <w:t>号</w:t>
      </w:r>
      <w:r>
        <w:rPr>
          <w:spacing w:val="-17"/>
          <w:w w:val="99"/>
        </w:rPr>
        <w:t>文</w:t>
      </w:r>
      <w:r>
        <w:rPr>
          <w:w w:val="99"/>
        </w:rPr>
        <w:t>《</w:t>
      </w:r>
      <w:r>
        <w:rPr>
          <w:spacing w:val="2"/>
          <w:w w:val="99"/>
        </w:rPr>
        <w:t>关</w:t>
      </w:r>
      <w:r>
        <w:rPr>
          <w:w w:val="99"/>
        </w:rPr>
        <w:t>于</w:t>
      </w:r>
      <w:r>
        <w:rPr>
          <w:spacing w:val="2"/>
          <w:w w:val="99"/>
        </w:rPr>
        <w:t>实</w:t>
      </w:r>
      <w:r>
        <w:rPr>
          <w:w w:val="99"/>
        </w:rPr>
        <w:t>施</w:t>
      </w:r>
      <w:r>
        <w:rPr>
          <w:spacing w:val="2"/>
          <w:w w:val="99"/>
        </w:rPr>
        <w:t>企</w:t>
      </w:r>
      <w:r>
        <w:rPr>
          <w:w w:val="99"/>
        </w:rPr>
        <w:t>业</w:t>
      </w:r>
      <w:r>
        <w:rPr>
          <w:spacing w:val="2"/>
          <w:w w:val="99"/>
        </w:rPr>
        <w:t>所</w:t>
      </w:r>
      <w:r>
        <w:rPr>
          <w:w w:val="99"/>
        </w:rPr>
        <w:t>得</w:t>
      </w:r>
      <w:r>
        <w:rPr>
          <w:w w:val="99"/>
        </w:rPr>
        <w:t> </w:t>
      </w:r>
      <w:r>
        <w:rPr>
          <w:spacing w:val="2"/>
          <w:w w:val="99"/>
        </w:rPr>
        <w:t>税</w:t>
      </w:r>
      <w:r>
        <w:rPr>
          <w:w w:val="99"/>
        </w:rPr>
        <w:t>过</w:t>
      </w:r>
      <w:r>
        <w:rPr>
          <w:spacing w:val="2"/>
          <w:w w:val="99"/>
        </w:rPr>
        <w:t>渡</w:t>
      </w:r>
      <w:r>
        <w:rPr>
          <w:w w:val="99"/>
        </w:rPr>
        <w:t>优</w:t>
      </w:r>
      <w:r>
        <w:rPr>
          <w:spacing w:val="2"/>
          <w:w w:val="99"/>
        </w:rPr>
        <w:t>惠</w:t>
      </w:r>
      <w:r>
        <w:rPr>
          <w:w w:val="99"/>
        </w:rPr>
        <w:t>政</w:t>
      </w:r>
      <w:r>
        <w:rPr>
          <w:spacing w:val="2"/>
          <w:w w:val="99"/>
        </w:rPr>
        <w:t>策</w:t>
      </w:r>
      <w:r>
        <w:rPr>
          <w:w w:val="99"/>
        </w:rPr>
        <w:t>的</w:t>
      </w:r>
      <w:r>
        <w:rPr>
          <w:spacing w:val="2"/>
          <w:w w:val="99"/>
        </w:rPr>
        <w:t>通</w:t>
      </w:r>
      <w:r>
        <w:rPr>
          <w:w w:val="99"/>
        </w:rPr>
        <w:t>知</w:t>
      </w:r>
      <w:r>
        <w:rPr>
          <w:spacing w:val="-104"/>
          <w:w w:val="99"/>
        </w:rPr>
        <w:t>》</w:t>
      </w:r>
      <w:r>
        <w:rPr>
          <w:spacing w:val="2"/>
          <w:w w:val="99"/>
        </w:rPr>
        <w:t>，</w:t>
      </w:r>
      <w:r>
        <w:rPr>
          <w:w w:val="99"/>
        </w:rPr>
        <w:t>渝</w:t>
      </w:r>
      <w:r>
        <w:rPr>
          <w:spacing w:val="2"/>
          <w:w w:val="99"/>
        </w:rPr>
        <w:t>神</w:t>
      </w:r>
      <w:r>
        <w:rPr>
          <w:w w:val="99"/>
        </w:rPr>
        <w:t>科技</w:t>
      </w:r>
      <w:r>
        <w:rPr>
          <w:spacing w:val="-53"/>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企</w:t>
      </w:r>
      <w:r>
        <w:rPr>
          <w:spacing w:val="2"/>
          <w:w w:val="99"/>
        </w:rPr>
        <w:t>业</w:t>
      </w:r>
      <w:r>
        <w:rPr>
          <w:w w:val="99"/>
        </w:rPr>
        <w:t>所</w:t>
      </w:r>
      <w:r>
        <w:rPr>
          <w:spacing w:val="2"/>
          <w:w w:val="99"/>
        </w:rPr>
        <w:t>得</w:t>
      </w:r>
      <w:r>
        <w:rPr>
          <w:w w:val="99"/>
        </w:rPr>
        <w:t>税</w:t>
      </w:r>
      <w:r>
        <w:rPr>
          <w:spacing w:val="2"/>
          <w:w w:val="99"/>
        </w:rPr>
        <w:t>适</w:t>
      </w:r>
      <w:r>
        <w:rPr>
          <w:w w:val="99"/>
        </w:rPr>
        <w:t>用</w:t>
      </w:r>
      <w:r>
        <w:rPr>
          <w:spacing w:val="2"/>
          <w:w w:val="99"/>
        </w:rPr>
        <w:t>税</w:t>
      </w:r>
      <w:r>
        <w:rPr>
          <w:w w:val="99"/>
        </w:rPr>
        <w:t>率为</w:t>
      </w:r>
      <w:r>
        <w:rPr>
          <w:spacing w:val="-50"/>
        </w:rPr>
        <w:t> </w:t>
      </w:r>
      <w:r>
        <w:rPr>
          <w:rFonts w:ascii="Times New Roman" w:hAnsi="Times New Roman" w:cs="Times New Roman" w:eastAsia="Times New Roman" w:hint="default"/>
          <w:spacing w:val="1"/>
          <w:w w:val="99"/>
        </w:rPr>
        <w:t>15</w:t>
      </w:r>
      <w:r>
        <w:rPr>
          <w:rFonts w:ascii="Times New Roman" w:hAnsi="Times New Roman" w:cs="Times New Roman" w:eastAsia="Times New Roman" w:hint="default"/>
          <w:spacing w:val="-2"/>
          <w:w w:val="99"/>
        </w:rPr>
        <w:t>%</w:t>
      </w:r>
      <w:r>
        <w:rPr>
          <w:w w:val="99"/>
        </w:rPr>
        <w:t>。</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58" w:footer="1590" w:top="1780" w:bottom="1780" w:left="1000" w:right="1000"/>
        </w:sectPr>
      </w:pPr>
    </w:p>
    <w:p>
      <w:pPr>
        <w:spacing w:line="304" w:lineRule="auto" w:before="177"/>
        <w:ind w:left="802" w:right="0" w:firstLine="6"/>
        <w:jc w:val="left"/>
        <w:rPr>
          <w:rFonts w:ascii="宋体" w:hAnsi="宋体" w:cs="宋体" w:eastAsia="宋体" w:hint="default"/>
          <w:sz w:val="21"/>
          <w:szCs w:val="21"/>
        </w:rPr>
      </w:pPr>
      <w:r>
        <w:rPr>
          <w:rFonts w:ascii="宋体" w:hAnsi="宋体" w:cs="宋体" w:eastAsia="宋体" w:hint="default"/>
          <w:sz w:val="21"/>
          <w:szCs w:val="21"/>
        </w:rPr>
        <w:t>四、企业合并及合并财务报表</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b/>
          <w:bCs/>
          <w:w w:val="99"/>
          <w:sz w:val="21"/>
          <w:szCs w:val="21"/>
        </w:rPr>
        <w:t> </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853" w:val="left" w:leader="none"/>
        </w:tabs>
        <w:spacing w:line="240" w:lineRule="auto"/>
        <w:ind w:left="802" w:right="0"/>
        <w:jc w:val="left"/>
      </w:pPr>
      <w:r>
        <w:rPr>
          <w:w w:val="95"/>
        </w:rPr>
        <w:t>单位：元</w:t>
        <w:tab/>
      </w:r>
      <w:r>
        <w:rPr/>
        <w:t>币种：人民币</w:t>
      </w:r>
    </w:p>
    <w:p>
      <w:pPr>
        <w:spacing w:after="0" w:line="240" w:lineRule="auto"/>
        <w:jc w:val="left"/>
        <w:sectPr>
          <w:type w:val="continuous"/>
          <w:pgSz w:w="11910" w:h="16840"/>
          <w:pgMar w:top="940" w:bottom="920" w:left="1000" w:right="1000"/>
          <w:cols w:num="2" w:equalWidth="0">
            <w:col w:w="4477" w:space="1513"/>
            <w:col w:w="3920"/>
          </w:cols>
        </w:sectPr>
      </w:pP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581"/>
        <w:gridCol w:w="667"/>
        <w:gridCol w:w="530"/>
        <w:gridCol w:w="742"/>
        <w:gridCol w:w="576"/>
        <w:gridCol w:w="1632"/>
        <w:gridCol w:w="1250"/>
        <w:gridCol w:w="1570"/>
        <w:gridCol w:w="677"/>
        <w:gridCol w:w="761"/>
        <w:gridCol w:w="679"/>
      </w:tblGrid>
      <w:tr>
        <w:trPr>
          <w:trHeight w:val="1181" w:hRule="exact"/>
        </w:trPr>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10" w:right="103"/>
              <w:jc w:val="left"/>
              <w:rPr>
                <w:rFonts w:ascii="宋体" w:hAnsi="宋体" w:cs="宋体" w:eastAsia="宋体" w:hint="default"/>
                <w:sz w:val="18"/>
                <w:szCs w:val="18"/>
              </w:rPr>
            </w:pPr>
            <w:r>
              <w:rPr>
                <w:rFonts w:ascii="宋体" w:hAnsi="宋体" w:cs="宋体" w:eastAsia="宋体" w:hint="default"/>
                <w:sz w:val="18"/>
                <w:szCs w:val="18"/>
              </w:rPr>
              <w:t>公司 全称</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48" w:right="14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170" w:right="16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87" w:right="18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05" w:right="9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441" w:right="168"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151" w:right="146"/>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53" w:right="151"/>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7" w:lineRule="auto"/>
              <w:ind w:left="196" w:right="103"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92"/>
              <w:ind w:left="156" w:right="156"/>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855" w:hRule="exact"/>
        </w:trPr>
        <w:tc>
          <w:tcPr>
            <w:tcW w:w="581" w:type="dxa"/>
            <w:tcBorders>
              <w:top w:val="single" w:sz="4" w:space="0" w:color="000000"/>
              <w:left w:val="nil" w:sz="6" w:space="0" w:color="auto"/>
              <w:bottom w:val="nil" w:sz="6" w:space="0" w:color="auto"/>
              <w:right w:val="single" w:sz="4" w:space="0" w:color="000000"/>
            </w:tcBorders>
          </w:tcPr>
          <w:p>
            <w:pPr>
              <w:pStyle w:val="TableParagraph"/>
              <w:spacing w:line="350" w:lineRule="atLeast" w:before="153"/>
              <w:ind w:left="110" w:right="103"/>
              <w:jc w:val="left"/>
              <w:rPr>
                <w:rFonts w:ascii="宋体" w:hAnsi="宋体" w:cs="宋体" w:eastAsia="宋体" w:hint="default"/>
                <w:sz w:val="18"/>
                <w:szCs w:val="18"/>
              </w:rPr>
            </w:pPr>
            <w:r>
              <w:rPr>
                <w:rFonts w:ascii="宋体" w:hAnsi="宋体" w:cs="宋体" w:eastAsia="宋体" w:hint="default"/>
                <w:sz w:val="18"/>
                <w:szCs w:val="18"/>
              </w:rPr>
              <w:t>渝神 科技</w:t>
            </w: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350" w:lineRule="atLeast" w:before="153"/>
              <w:ind w:left="148" w:right="14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5" w:lineRule="auto"/>
              <w:ind w:left="170" w:right="168"/>
              <w:jc w:val="left"/>
              <w:rPr>
                <w:rFonts w:ascii="宋体" w:hAnsi="宋体" w:cs="宋体" w:eastAsia="宋体" w:hint="default"/>
                <w:sz w:val="18"/>
                <w:szCs w:val="18"/>
              </w:rPr>
            </w:pPr>
            <w:r>
              <w:rPr>
                <w:rFonts w:ascii="宋体" w:hAnsi="宋体" w:cs="宋体" w:eastAsia="宋体" w:hint="default"/>
                <w:sz w:val="18"/>
                <w:szCs w:val="18"/>
              </w:rPr>
              <w:t>重 庆</w:t>
            </w:r>
          </w:p>
        </w:tc>
        <w:tc>
          <w:tcPr>
            <w:tcW w:w="742" w:type="dxa"/>
            <w:tcBorders>
              <w:top w:val="single" w:sz="4" w:space="0" w:color="000000"/>
              <w:left w:val="single" w:sz="4" w:space="0" w:color="000000"/>
              <w:bottom w:val="nil" w:sz="6" w:space="0" w:color="auto"/>
              <w:right w:val="single" w:sz="4" w:space="0" w:color="000000"/>
            </w:tcBorders>
          </w:tcPr>
          <w:p>
            <w:pPr>
              <w:pStyle w:val="TableParagraph"/>
              <w:spacing w:line="350" w:lineRule="atLeast" w:before="153"/>
              <w:ind w:left="278" w:right="182"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2" w:type="dxa"/>
            <w:tcBorders>
              <w:top w:val="single" w:sz="4" w:space="0" w:color="000000"/>
              <w:left w:val="single" w:sz="4" w:space="0" w:color="000000"/>
              <w:bottom w:val="nil" w:sz="6" w:space="0" w:color="auto"/>
              <w:right w:val="single" w:sz="4" w:space="0" w:color="000000"/>
            </w:tcBorders>
          </w:tcPr>
          <w:p>
            <w:pPr>
              <w:pStyle w:val="TableParagraph"/>
              <w:spacing w:line="357" w:lineRule="auto" w:before="92"/>
              <w:ind w:left="105" w:right="101"/>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销</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锌</w:t>
            </w:r>
            <w:r>
              <w:rPr>
                <w:rFonts w:ascii="宋体" w:hAnsi="宋体" w:cs="宋体" w:eastAsia="宋体" w:hint="default"/>
                <w:spacing w:val="-66"/>
                <w:sz w:val="18"/>
                <w:szCs w:val="18"/>
              </w:rPr>
              <w:t> </w:t>
            </w:r>
            <w:r>
              <w:rPr>
                <w:rFonts w:ascii="宋体" w:hAnsi="宋体" w:cs="宋体" w:eastAsia="宋体" w:hint="default"/>
                <w:sz w:val="18"/>
                <w:szCs w:val="18"/>
              </w:rPr>
              <w:t>铝</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z w:val="18"/>
                <w:szCs w:val="18"/>
              </w:rPr>
              <w:t> </w:t>
            </w:r>
            <w:r>
              <w:rPr>
                <w:rFonts w:ascii="宋体" w:hAnsi="宋体" w:cs="宋体" w:eastAsia="宋体" w:hint="default"/>
                <w:spacing w:val="-4"/>
                <w:sz w:val="18"/>
                <w:szCs w:val="18"/>
              </w:rPr>
              <w:t>金钢绞线、普通钢</w:t>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4,424,533.17</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679"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6" w:hRule="exact"/>
        </w:trPr>
        <w:tc>
          <w:tcPr>
            <w:tcW w:w="581" w:type="dxa"/>
            <w:tcBorders>
              <w:top w:val="nil" w:sz="6" w:space="0" w:color="auto"/>
              <w:left w:val="nil" w:sz="6" w:space="0" w:color="auto"/>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pacing w:val="-4"/>
                <w:sz w:val="18"/>
                <w:szCs w:val="18"/>
              </w:rPr>
              <w:t>丝、钢芯铝绞线等</w:t>
            </w:r>
          </w:p>
        </w:tc>
        <w:tc>
          <w:tcPr>
            <w:tcW w:w="1250" w:type="dxa"/>
            <w:tcBorders>
              <w:top w:val="nil" w:sz="6" w:space="0" w:color="auto"/>
              <w:left w:val="single" w:sz="4" w:space="0" w:color="000000"/>
              <w:bottom w:val="single" w:sz="4" w:space="0" w:color="000000"/>
              <w:right w:val="single" w:sz="4" w:space="0" w:color="000000"/>
            </w:tcBorders>
          </w:tcPr>
          <w:p>
            <w:pPr/>
          </w:p>
        </w:tc>
        <w:tc>
          <w:tcPr>
            <w:tcW w:w="157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nil" w:sz="6" w:space="0" w:color="auto"/>
            </w:tcBorders>
          </w:tcPr>
          <w:p>
            <w:pPr/>
          </w:p>
        </w:tc>
      </w:tr>
      <w:tr>
        <w:trPr>
          <w:trHeight w:val="490" w:hRule="exact"/>
        </w:trPr>
        <w:tc>
          <w:tcPr>
            <w:tcW w:w="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z w:val="18"/>
                <w:szCs w:val="18"/>
              </w:rPr>
              <w:t>隆泰</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宋体" w:hAnsi="宋体" w:cs="宋体" w:eastAsia="宋体" w:hint="default"/>
                <w:sz w:val="18"/>
                <w:szCs w:val="18"/>
              </w:rPr>
            </w:pPr>
            <w:r>
              <w:rPr>
                <w:rFonts w:ascii="宋体" w:hAnsi="宋体" w:cs="宋体" w:eastAsia="宋体" w:hint="default"/>
                <w:sz w:val="18"/>
                <w:szCs w:val="18"/>
              </w:rPr>
              <w:t>重</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5" w:right="0"/>
              <w:jc w:val="left"/>
              <w:rPr>
                <w:rFonts w:ascii="Times New Roman" w:hAnsi="Times New Roman" w:cs="Times New Roman" w:eastAsia="Times New Roman" w:hint="default"/>
                <w:sz w:val="18"/>
                <w:szCs w:val="18"/>
              </w:rPr>
            </w:pPr>
            <w:r>
              <w:rPr>
                <w:rFonts w:ascii="Times New Roman"/>
                <w:sz w:val="18"/>
              </w:rPr>
              <w:t>1000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销</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稀</w:t>
            </w:r>
            <w:r>
              <w:rPr>
                <w:rFonts w:ascii="宋体" w:hAnsi="宋体" w:cs="宋体" w:eastAsia="宋体" w:hint="default"/>
                <w:spacing w:val="-66"/>
                <w:sz w:val="18"/>
                <w:szCs w:val="18"/>
              </w:rPr>
              <w:t> </w:t>
            </w:r>
            <w:r>
              <w:rPr>
                <w:rFonts w:ascii="宋体" w:hAnsi="宋体" w:cs="宋体" w:eastAsia="宋体" w:hint="default"/>
                <w:sz w:val="18"/>
                <w:szCs w:val="18"/>
              </w:rPr>
              <w:t>土</w:t>
            </w:r>
            <w:r>
              <w:rPr>
                <w:rFonts w:ascii="宋体" w:hAnsi="宋体" w:cs="宋体" w:eastAsia="宋体" w:hint="default"/>
                <w:spacing w:val="-66"/>
                <w:sz w:val="18"/>
                <w:szCs w:val="18"/>
              </w:rPr>
              <w:t> </w:t>
            </w:r>
            <w:r>
              <w:rPr>
                <w:rFonts w:ascii="宋体" w:hAnsi="宋体" w:cs="宋体" w:eastAsia="宋体" w:hint="default"/>
                <w:sz w:val="18"/>
                <w:szCs w:val="18"/>
              </w:rPr>
              <w:t>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 w:right="0"/>
              <w:jc w:val="center"/>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7"/>
              <w:jc w:val="right"/>
              <w:rPr>
                <w:rFonts w:ascii="Times New Roman" w:hAnsi="Times New Roman" w:cs="Times New Roman" w:eastAsia="Times New Roman" w:hint="default"/>
                <w:sz w:val="18"/>
                <w:szCs w:val="18"/>
              </w:rPr>
            </w:pPr>
            <w:r>
              <w:rPr>
                <w:rFonts w:ascii="Times New Roman"/>
                <w:sz w:val="18"/>
              </w:rPr>
              <w:t>100%</w:t>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type w:val="continuous"/>
          <w:pgSz w:w="11910" w:h="16840"/>
          <w:pgMar w:top="940" w:bottom="920" w:left="1000" w:right="1000"/>
        </w:sectPr>
      </w:pPr>
    </w:p>
    <w:tbl>
      <w:tblPr>
        <w:tblW w:w="0" w:type="auto"/>
        <w:jc w:val="left"/>
        <w:tblInd w:w="113" w:type="dxa"/>
        <w:tblLayout w:type="fixed"/>
        <w:tblCellMar>
          <w:top w:w="0" w:type="dxa"/>
          <w:left w:w="0" w:type="dxa"/>
          <w:bottom w:w="0" w:type="dxa"/>
          <w:right w:w="0" w:type="dxa"/>
        </w:tblCellMar>
        <w:tblLook w:val="01E0"/>
      </w:tblPr>
      <w:tblGrid>
        <w:gridCol w:w="578"/>
        <w:gridCol w:w="667"/>
        <w:gridCol w:w="533"/>
        <w:gridCol w:w="742"/>
        <w:gridCol w:w="576"/>
        <w:gridCol w:w="1632"/>
        <w:gridCol w:w="1250"/>
        <w:gridCol w:w="1567"/>
        <w:gridCol w:w="679"/>
        <w:gridCol w:w="761"/>
        <w:gridCol w:w="679"/>
      </w:tblGrid>
      <w:tr>
        <w:trPr>
          <w:trHeight w:val="305" w:hRule="exact"/>
        </w:trPr>
        <w:tc>
          <w:tcPr>
            <w:tcW w:w="578" w:type="dxa"/>
            <w:tcBorders>
              <w:top w:val="single" w:sz="4" w:space="0" w:color="000000"/>
              <w:left w:val="nil" w:sz="6" w:space="0" w:color="auto"/>
              <w:bottom w:val="nil" w:sz="6" w:space="0" w:color="auto"/>
              <w:right w:val="single" w:sz="4" w:space="0" w:color="000000"/>
            </w:tcBorders>
          </w:tcPr>
          <w:p>
            <w:pPr>
              <w:pStyle w:val="TableParagraph"/>
              <w:spacing w:line="208" w:lineRule="exact"/>
              <w:ind w:left="7" w:right="0"/>
              <w:jc w:val="center"/>
              <w:rPr>
                <w:rFonts w:ascii="宋体" w:hAnsi="宋体" w:cs="宋体" w:eastAsia="宋体" w:hint="default"/>
                <w:sz w:val="18"/>
                <w:szCs w:val="18"/>
              </w:rPr>
            </w:pPr>
            <w:bookmarkStart w:name="五、合并财务报表项目注释" w:id="48"/>
            <w:bookmarkEnd w:id="48"/>
            <w:r>
              <w:rPr/>
            </w:r>
            <w:r>
              <w:rPr>
                <w:rFonts w:ascii="宋体" w:hAnsi="宋体" w:cs="宋体" w:eastAsia="宋体" w:hint="default"/>
                <w:sz w:val="18"/>
                <w:szCs w:val="18"/>
              </w:rPr>
              <w:t>稀土</w:t>
            </w: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5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33"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hAnsi="宋体" w:cs="宋体" w:eastAsia="宋体" w:hint="default"/>
                <w:sz w:val="18"/>
                <w:szCs w:val="18"/>
              </w:rPr>
              <w:t>庆</w:t>
            </w:r>
          </w:p>
        </w:tc>
        <w:tc>
          <w:tcPr>
            <w:tcW w:w="74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3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铝合金，稀土多元</w:t>
            </w:r>
          </w:p>
        </w:tc>
        <w:tc>
          <w:tcPr>
            <w:tcW w:w="1250" w:type="dxa"/>
            <w:vMerge w:val="restart"/>
            <w:tcBorders>
              <w:top w:val="single" w:sz="4" w:space="0" w:color="000000"/>
              <w:left w:val="single" w:sz="4" w:space="0" w:color="000000"/>
              <w:right w:val="single" w:sz="4" w:space="0" w:color="000000"/>
            </w:tcBorders>
          </w:tcPr>
          <w:p>
            <w:pPr/>
          </w:p>
        </w:tc>
        <w:tc>
          <w:tcPr>
            <w:tcW w:w="1567"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nil" w:sz="6" w:space="0" w:color="auto"/>
            </w:tcBorders>
          </w:tcPr>
          <w:p>
            <w:pPr/>
          </w:p>
        </w:tc>
      </w:tr>
      <w:tr>
        <w:trPr>
          <w:trHeight w:val="343" w:hRule="exact"/>
        </w:trPr>
        <w:tc>
          <w:tcPr>
            <w:tcW w:w="57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nil" w:sz="6" w:space="0" w:color="auto"/>
              <w:left w:val="single" w:sz="4" w:space="0" w:color="000000"/>
              <w:bottom w:val="nil" w:sz="6" w:space="0" w:color="auto"/>
              <w:right w:val="single" w:sz="4" w:space="0" w:color="000000"/>
            </w:tcBorders>
          </w:tcPr>
          <w:p>
            <w:pPr/>
          </w:p>
        </w:tc>
        <w:tc>
          <w:tcPr>
            <w:tcW w:w="533"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镀</w:t>
            </w:r>
            <w:r>
              <w:rPr>
                <w:rFonts w:ascii="宋体" w:hAnsi="宋体" w:cs="宋体" w:eastAsia="宋体" w:hint="default"/>
                <w:spacing w:val="-66"/>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宋体" w:hAnsi="宋体" w:cs="宋体" w:eastAsia="宋体" w:hint="default"/>
                <w:sz w:val="18"/>
                <w:szCs w:val="18"/>
              </w:rPr>
              <w:t>丝</w:t>
            </w:r>
            <w:r>
              <w:rPr>
                <w:rFonts w:ascii="宋体" w:hAnsi="宋体" w:cs="宋体" w:eastAsia="宋体" w:hint="default"/>
                <w:spacing w:val="-66"/>
                <w:sz w:val="18"/>
                <w:szCs w:val="18"/>
              </w:rPr>
              <w:t> </w:t>
            </w:r>
            <w:r>
              <w:rPr>
                <w:rFonts w:ascii="宋体" w:hAnsi="宋体" w:cs="宋体" w:eastAsia="宋体" w:hint="default"/>
                <w:sz w:val="18"/>
                <w:szCs w:val="18"/>
              </w:rPr>
              <w:t>绳</w:t>
            </w:r>
            <w:r>
              <w:rPr>
                <w:rFonts w:ascii="宋体" w:hAnsi="宋体" w:cs="宋体" w:eastAsia="宋体" w:hint="default"/>
                <w:spacing w:val="-66"/>
                <w:sz w:val="18"/>
                <w:szCs w:val="18"/>
              </w:rPr>
              <w:t> </w:t>
            </w:r>
            <w:r>
              <w:rPr>
                <w:rFonts w:ascii="宋体" w:hAnsi="宋体" w:cs="宋体" w:eastAsia="宋体" w:hint="default"/>
                <w:sz w:val="18"/>
                <w:szCs w:val="18"/>
              </w:rPr>
              <w:t>及</w:t>
            </w:r>
          </w:p>
        </w:tc>
        <w:tc>
          <w:tcPr>
            <w:tcW w:w="1250"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679" w:type="dxa"/>
            <w:vMerge/>
            <w:tcBorders>
              <w:left w:val="single" w:sz="4" w:space="0" w:color="000000"/>
              <w:right w:val="nil" w:sz="6" w:space="0" w:color="auto"/>
            </w:tcBorders>
          </w:tcPr>
          <w:p>
            <w:pPr/>
          </w:p>
        </w:tc>
      </w:tr>
      <w:tr>
        <w:trPr>
          <w:trHeight w:val="413" w:hRule="exact"/>
        </w:trPr>
        <w:tc>
          <w:tcPr>
            <w:tcW w:w="578" w:type="dxa"/>
            <w:tcBorders>
              <w:top w:val="nil" w:sz="6" w:space="0" w:color="auto"/>
              <w:left w:val="nil" w:sz="6" w:space="0" w:color="auto"/>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镀件等</w:t>
            </w:r>
          </w:p>
        </w:tc>
        <w:tc>
          <w:tcPr>
            <w:tcW w:w="1250"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nil" w:sz="6" w:space="0" w:color="auto"/>
            </w:tcBorders>
          </w:tcPr>
          <w:p>
            <w:pPr/>
          </w:p>
        </w:tc>
      </w:tr>
    </w:tbl>
    <w:p>
      <w:pPr>
        <w:pStyle w:val="BodyText"/>
        <w:spacing w:line="268" w:lineRule="exact"/>
        <w:ind w:left="802" w:right="0"/>
        <w:jc w:val="both"/>
      </w:pPr>
      <w:r>
        <w:rPr>
          <w:rFonts w:ascii="Times New Roman" w:hAnsi="Times New Roman" w:cs="Times New Roman" w:eastAsia="Times New Roman" w:hint="default"/>
          <w:sz w:val="18"/>
          <w:szCs w:val="18"/>
        </w:rPr>
        <w:t>*</w:t>
      </w:r>
      <w:r>
        <w:rPr/>
        <w:t>隆泰稀土系重庆市隆泰稀土新材料有限责任公司的简称。</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802" w:right="0"/>
        <w:jc w:val="both"/>
      </w:pPr>
      <w:r>
        <w:rPr>
          <w:rFonts w:ascii="Times New Roman" w:hAnsi="Times New Roman" w:cs="Times New Roman" w:eastAsia="Times New Roman" w:hint="default"/>
        </w:rPr>
        <w:t>2</w:t>
      </w:r>
      <w:r>
        <w:rPr/>
        <w:t>、子公司具体情况</w:t>
      </w:r>
    </w:p>
    <w:p>
      <w:pPr>
        <w:pStyle w:val="BodyText"/>
        <w:spacing w:line="336" w:lineRule="auto" w:before="117"/>
        <w:ind w:left="1222" w:right="0"/>
        <w:jc w:val="left"/>
      </w:pPr>
      <w:r>
        <w:rPr/>
        <w:t>（</w:t>
      </w:r>
      <w:r>
        <w:rPr>
          <w:rFonts w:ascii="Times New Roman" w:hAnsi="Times New Roman" w:cs="Times New Roman" w:eastAsia="Times New Roman" w:hint="default"/>
        </w:rPr>
        <w:t>1</w:t>
      </w:r>
      <w:r>
        <w:rPr/>
        <w:t>）渝神科技</w:t>
      </w:r>
      <w:r>
        <w:rPr>
          <w:w w:val="99"/>
        </w:rPr>
        <w:t> </w:t>
      </w:r>
      <w:r>
        <w:rPr/>
        <w:t>经本公司股东会决议同意，鼎泰科技与刘冀鲁、宫为平、黄学春、唐成宽、袁福祥、</w:t>
      </w:r>
    </w:p>
    <w:p>
      <w:pPr>
        <w:pStyle w:val="BodyText"/>
        <w:spacing w:line="240" w:lineRule="auto" w:before="49"/>
        <w:ind w:left="802" w:right="0"/>
        <w:jc w:val="both"/>
      </w:pPr>
      <w:r>
        <w:rPr/>
        <w:t>吴翠华等六名自然人共同出资设立重庆市渝神科技有限责任公司。</w:t>
      </w:r>
      <w:r>
        <w:rPr>
          <w:spacing w:val="-8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2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日，渝神</w:t>
      </w:r>
    </w:p>
    <w:p>
      <w:pPr>
        <w:pStyle w:val="BodyText"/>
        <w:spacing w:line="240" w:lineRule="auto" w:before="117"/>
        <w:ind w:left="802" w:right="0"/>
        <w:jc w:val="both"/>
        <w:rPr>
          <w:rFonts w:ascii="Times New Roman" w:hAnsi="Times New Roman" w:cs="Times New Roman" w:eastAsia="Times New Roman" w:hint="default"/>
        </w:rPr>
      </w:pPr>
      <w:r>
        <w:rPr>
          <w:spacing w:val="3"/>
        </w:rPr>
        <w:t>科技在重庆市綦江县工商行政管理局领取了营业执照（注册号：綦工商</w:t>
      </w:r>
      <w:r>
        <w:rPr>
          <w:spacing w:val="-46"/>
        </w:rPr>
        <w:t> </w:t>
      </w:r>
      <w:r>
        <w:rPr>
          <w:rFonts w:ascii="Times New Roman" w:hAnsi="Times New Roman" w:cs="Times New Roman" w:eastAsia="Times New Roman" w:hint="default"/>
        </w:rPr>
        <w:t>500222000004133</w:t>
      </w:r>
    </w:p>
    <w:p>
      <w:pPr>
        <w:pStyle w:val="BodyText"/>
        <w:spacing w:line="240" w:lineRule="auto" w:before="119"/>
        <w:ind w:left="802" w:right="0"/>
        <w:jc w:val="both"/>
      </w:pP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3"/>
          <w:w w:val="99"/>
        </w:rPr>
        <w:t>-</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w:t>
      </w:r>
      <w:r>
        <w:rPr>
          <w:spacing w:val="-104"/>
          <w:w w:val="99"/>
        </w:rPr>
        <w:t>）</w:t>
      </w:r>
      <w:r>
        <w:rPr>
          <w:spacing w:val="2"/>
          <w:w w:val="99"/>
        </w:rPr>
        <w:t>。</w:t>
      </w:r>
      <w:r>
        <w:rPr>
          <w:w w:val="99"/>
        </w:rPr>
        <w:t>根</w:t>
      </w:r>
      <w:r>
        <w:rPr>
          <w:spacing w:val="2"/>
          <w:w w:val="99"/>
        </w:rPr>
        <w:t>据</w:t>
      </w:r>
      <w:r>
        <w:rPr>
          <w:w w:val="99"/>
        </w:rPr>
        <w:t>章</w:t>
      </w:r>
      <w:r>
        <w:rPr>
          <w:spacing w:val="2"/>
          <w:w w:val="99"/>
        </w:rPr>
        <w:t>程</w:t>
      </w:r>
      <w:r>
        <w:rPr>
          <w:w w:val="99"/>
        </w:rPr>
        <w:t>规</w:t>
      </w:r>
      <w:r>
        <w:rPr>
          <w:spacing w:val="2"/>
          <w:w w:val="99"/>
        </w:rPr>
        <w:t>定</w:t>
      </w:r>
      <w:r>
        <w:rPr>
          <w:w w:val="99"/>
        </w:rPr>
        <w:t>，</w:t>
      </w:r>
      <w:r>
        <w:rPr>
          <w:spacing w:val="2"/>
          <w:w w:val="99"/>
        </w:rPr>
        <w:t>渝</w:t>
      </w:r>
      <w:r>
        <w:rPr>
          <w:w w:val="99"/>
        </w:rPr>
        <w:t>神</w:t>
      </w:r>
      <w:r>
        <w:rPr>
          <w:spacing w:val="2"/>
          <w:w w:val="99"/>
        </w:rPr>
        <w:t>科</w:t>
      </w:r>
      <w:r>
        <w:rPr>
          <w:w w:val="99"/>
        </w:rPr>
        <w:t>技</w:t>
      </w:r>
      <w:r>
        <w:rPr>
          <w:spacing w:val="2"/>
          <w:w w:val="99"/>
        </w:rPr>
        <w:t>注</w:t>
      </w:r>
      <w:r>
        <w:rPr>
          <w:w w:val="99"/>
        </w:rPr>
        <w:t>册</w:t>
      </w:r>
      <w:r>
        <w:rPr>
          <w:spacing w:val="2"/>
          <w:w w:val="99"/>
        </w:rPr>
        <w:t>资</w:t>
      </w:r>
      <w:r>
        <w:rPr>
          <w:w w:val="99"/>
        </w:rPr>
        <w:t>本</w:t>
      </w:r>
      <w:r>
        <w:rPr>
          <w:spacing w:val="-53"/>
        </w:rPr>
        <w:t> </w:t>
      </w:r>
      <w:r>
        <w:rPr>
          <w:rFonts w:ascii="Times New Roman" w:hAnsi="Times New Roman" w:cs="Times New Roman" w:eastAsia="Times New Roman" w:hint="default"/>
          <w:spacing w:val="1"/>
          <w:w w:val="99"/>
        </w:rPr>
        <w:t>40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万</w:t>
      </w:r>
      <w:r>
        <w:rPr>
          <w:w w:val="99"/>
        </w:rPr>
        <w:t>元</w:t>
      </w:r>
      <w:r>
        <w:rPr>
          <w:spacing w:val="2"/>
          <w:w w:val="99"/>
        </w:rPr>
        <w:t>，</w:t>
      </w:r>
      <w:r>
        <w:rPr>
          <w:w w:val="99"/>
        </w:rPr>
        <w:t>由</w:t>
      </w:r>
      <w:r>
        <w:rPr>
          <w:spacing w:val="2"/>
          <w:w w:val="99"/>
        </w:rPr>
        <w:t>全</w:t>
      </w:r>
      <w:r>
        <w:rPr>
          <w:w w:val="99"/>
        </w:rPr>
        <w:t>体</w:t>
      </w:r>
      <w:r>
        <w:rPr>
          <w:spacing w:val="2"/>
          <w:w w:val="99"/>
        </w:rPr>
        <w:t>股</w:t>
      </w:r>
      <w:r>
        <w:rPr>
          <w:w w:val="99"/>
        </w:rPr>
        <w:t>东</w:t>
      </w:r>
      <w:r>
        <w:rPr>
          <w:spacing w:val="2"/>
          <w:w w:val="99"/>
        </w:rPr>
        <w:t>分</w:t>
      </w:r>
      <w:r>
        <w:rPr>
          <w:w w:val="99"/>
        </w:rPr>
        <w:t>二</w:t>
      </w:r>
      <w:r>
        <w:rPr>
          <w:spacing w:val="2"/>
          <w:w w:val="99"/>
        </w:rPr>
        <w:t>期</w:t>
      </w:r>
      <w:r>
        <w:rPr>
          <w:w w:val="99"/>
        </w:rPr>
        <w:t>缴</w:t>
      </w:r>
      <w:r>
        <w:rPr>
          <w:spacing w:val="2"/>
          <w:w w:val="99"/>
        </w:rPr>
        <w:t>足</w:t>
      </w:r>
      <w:r>
        <w:rPr>
          <w:w w:val="99"/>
        </w:rPr>
        <w:t>。</w:t>
      </w:r>
      <w:r>
        <w:rPr/>
      </w:r>
    </w:p>
    <w:p>
      <w:pPr>
        <w:pStyle w:val="BodyText"/>
        <w:spacing w:line="240" w:lineRule="auto" w:before="117"/>
        <w:ind w:left="1222" w:right="0"/>
        <w:jc w:val="left"/>
        <w:rPr>
          <w:rFonts w:ascii="Times New Roman" w:hAnsi="Times New Roman" w:cs="Times New Roman" w:eastAsia="Times New Roman" w:hint="default"/>
        </w:rPr>
      </w:pPr>
      <w:r>
        <w:rPr>
          <w:spacing w:val="4"/>
          <w:w w:val="99"/>
        </w:rPr>
        <w:t>根</w:t>
      </w:r>
      <w:r>
        <w:rPr>
          <w:spacing w:val="2"/>
          <w:w w:val="99"/>
        </w:rPr>
        <w:t>据重庆富勤会计师事务所《验资报</w:t>
      </w:r>
      <w:r>
        <w:rPr>
          <w:w w:val="99"/>
        </w:rPr>
        <w:t>告</w:t>
      </w:r>
      <w:r>
        <w:rPr>
          <w:spacing w:val="-77"/>
        </w:rPr>
        <w:t> </w:t>
      </w:r>
      <w:r>
        <w:rPr>
          <w:spacing w:val="-101"/>
          <w:w w:val="99"/>
        </w:rPr>
        <w:t>》</w:t>
      </w:r>
      <w:r>
        <w:rPr>
          <w:spacing w:val="4"/>
          <w:w w:val="99"/>
        </w:rPr>
        <w:t>（</w:t>
      </w:r>
      <w:r>
        <w:rPr>
          <w:spacing w:val="2"/>
          <w:w w:val="99"/>
        </w:rPr>
        <w:t>富勤验</w:t>
      </w:r>
      <w:r>
        <w:rPr>
          <w:spacing w:val="9"/>
          <w:w w:val="99"/>
        </w:rPr>
        <w:t>字</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2007</w:t>
      </w:r>
      <w:r>
        <w:rPr>
          <w:rFonts w:ascii="Times New Roman" w:hAnsi="Times New Roman" w:cs="Times New Roman" w:eastAsia="Times New Roman" w:hint="default"/>
          <w:w w:val="99"/>
        </w:rPr>
        <w:t>]</w:t>
      </w:r>
      <w:r>
        <w:rPr>
          <w:w w:val="99"/>
        </w:rPr>
        <w:t>第</w:t>
      </w:r>
      <w:r>
        <w:rPr>
          <w:spacing w:val="-48"/>
        </w:rPr>
        <w:t> </w:t>
      </w:r>
      <w:r>
        <w:rPr>
          <w:rFonts w:ascii="Times New Roman" w:hAnsi="Times New Roman" w:cs="Times New Roman" w:eastAsia="Times New Roman" w:hint="default"/>
          <w:spacing w:val="1"/>
          <w:w w:val="99"/>
        </w:rPr>
        <w:t>02</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4"/>
          <w:w w:val="99"/>
        </w:rPr>
        <w:t>号</w:t>
      </w:r>
      <w:r>
        <w:rPr>
          <w:spacing w:val="-101"/>
          <w:w w:val="99"/>
        </w:rPr>
        <w:t>）</w:t>
      </w:r>
      <w:r>
        <w:rPr>
          <w:spacing w:val="4"/>
          <w:w w:val="99"/>
        </w:rPr>
        <w:t>，</w:t>
      </w:r>
      <w:r>
        <w:rPr>
          <w:spacing w:val="2"/>
          <w:w w:val="99"/>
        </w:rPr>
        <w:t>截</w:t>
      </w:r>
      <w:r>
        <w:rPr>
          <w:w w:val="99"/>
        </w:rPr>
        <w:t>止</w:t>
      </w:r>
      <w:r>
        <w:rPr>
          <w:spacing w:val="-48"/>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48"/>
        </w:rPr>
        <w:t> </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pStyle w:val="BodyText"/>
        <w:spacing w:line="240" w:lineRule="auto" w:before="117"/>
        <w:ind w:left="802" w:right="0"/>
        <w:jc w:val="both"/>
      </w:pP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日，股东认缴的第一期注册资本</w:t>
      </w:r>
      <w:r>
        <w:rPr>
          <w:spacing w:val="-55"/>
        </w:rPr>
        <w:t> </w:t>
      </w:r>
      <w:r>
        <w:rPr>
          <w:rFonts w:ascii="Times New Roman" w:hAnsi="Times New Roman" w:cs="Times New Roman" w:eastAsia="Times New Roman" w:hint="default"/>
        </w:rPr>
        <w:t>220</w:t>
      </w:r>
      <w:r>
        <w:rPr>
          <w:rFonts w:ascii="Times New Roman" w:hAnsi="Times New Roman" w:cs="Times New Roman" w:eastAsia="Times New Roman" w:hint="default"/>
          <w:spacing w:val="-3"/>
        </w:rPr>
        <w:t> </w:t>
      </w:r>
      <w:r>
        <w:rPr/>
        <w:t>万元已足额缴纳。</w:t>
      </w:r>
    </w:p>
    <w:p>
      <w:pPr>
        <w:pStyle w:val="BodyText"/>
        <w:spacing w:line="348" w:lineRule="auto" w:before="117"/>
        <w:ind w:left="802" w:right="837" w:firstLine="42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月，分别经鼎泰科技股东会及渝神科技股东会决议通过，刘冀鲁、宫为平、</w:t>
      </w:r>
      <w:r>
        <w:rPr>
          <w:w w:val="99"/>
        </w:rPr>
        <w:t> </w:t>
      </w:r>
      <w:r>
        <w:rPr/>
        <w:t>黄学春、唐成宽、袁福祥、吴翠华等六位自然人分别与鼎泰科技签订股权转让协议，将各</w:t>
      </w:r>
      <w:r>
        <w:rPr>
          <w:spacing w:val="-77"/>
        </w:rPr>
        <w:t> </w:t>
      </w:r>
      <w:r>
        <w:rPr>
          <w:spacing w:val="-77"/>
        </w:rPr>
      </w:r>
      <w:r>
        <w:rPr/>
        <w:t>自所持有的渝神科技股权，包括已认缴与申请认缴部分，转让予鼎泰科技，转让金额为上</w:t>
      </w:r>
      <w:r>
        <w:rPr>
          <w:spacing w:val="-77"/>
        </w:rPr>
        <w:t> </w:t>
      </w:r>
      <w:r>
        <w:rPr>
          <w:spacing w:val="-77"/>
        </w:rPr>
      </w:r>
      <w:r>
        <w:rPr/>
        <w:t>述六位自然人第一期已认缴注册资本，共计</w:t>
      </w:r>
      <w:r>
        <w:rPr>
          <w:spacing w:val="-70"/>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万元。上述股权转让后，渝神科技成为本公</w:t>
      </w:r>
      <w:r>
        <w:rPr>
          <w:w w:val="99"/>
        </w:rPr>
        <w:t> </w:t>
      </w:r>
      <w:r>
        <w:rPr/>
        <w:t>司的全资子公司。</w:t>
      </w:r>
    </w:p>
    <w:p>
      <w:pPr>
        <w:pStyle w:val="BodyText"/>
        <w:spacing w:line="240" w:lineRule="auto" w:before="38"/>
        <w:ind w:left="1222" w:right="0"/>
        <w:jc w:val="left"/>
        <w:rPr>
          <w:rFonts w:ascii="Times New Roman" w:hAnsi="Times New Roman" w:cs="Times New Roman" w:eastAsia="Times New Roman" w:hint="default"/>
        </w:rPr>
      </w:pPr>
      <w:r>
        <w:rPr>
          <w:spacing w:val="2"/>
          <w:w w:val="99"/>
        </w:rPr>
        <w:t>根</w:t>
      </w:r>
      <w:r>
        <w:rPr>
          <w:w w:val="99"/>
        </w:rPr>
        <w:t>据</w:t>
      </w:r>
      <w:r>
        <w:rPr>
          <w:spacing w:val="2"/>
          <w:w w:val="99"/>
        </w:rPr>
        <w:t>重</w:t>
      </w:r>
      <w:r>
        <w:rPr>
          <w:w w:val="99"/>
        </w:rPr>
        <w:t>庆</w:t>
      </w:r>
      <w:r>
        <w:rPr>
          <w:spacing w:val="2"/>
          <w:w w:val="99"/>
        </w:rPr>
        <w:t>智</w:t>
      </w:r>
      <w:r>
        <w:rPr>
          <w:w w:val="99"/>
        </w:rPr>
        <w:t>汇</w:t>
      </w:r>
      <w:r>
        <w:rPr>
          <w:spacing w:val="2"/>
          <w:w w:val="99"/>
        </w:rPr>
        <w:t>鑫</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w:t>
      </w:r>
      <w:r>
        <w:rPr>
          <w:spacing w:val="2"/>
          <w:w w:val="99"/>
        </w:rPr>
        <w:t>验</w:t>
      </w:r>
      <w:r>
        <w:rPr>
          <w:w w:val="99"/>
        </w:rPr>
        <w:t>资</w:t>
      </w:r>
      <w:r>
        <w:rPr>
          <w:spacing w:val="2"/>
          <w:w w:val="99"/>
        </w:rPr>
        <w:t>报告</w:t>
      </w:r>
      <w:r>
        <w:rPr>
          <w:spacing w:val="-104"/>
          <w:w w:val="99"/>
        </w:rPr>
        <w:t>》</w:t>
      </w:r>
      <w:r>
        <w:rPr>
          <w:spacing w:val="2"/>
          <w:w w:val="99"/>
        </w:rPr>
        <w:t>（</w:t>
      </w:r>
      <w:r>
        <w:rPr>
          <w:w w:val="99"/>
        </w:rPr>
        <w:t>重</w:t>
      </w:r>
      <w:r>
        <w:rPr>
          <w:spacing w:val="2"/>
          <w:w w:val="99"/>
        </w:rPr>
        <w:t>智</w:t>
      </w:r>
      <w:r>
        <w:rPr>
          <w:w w:val="99"/>
        </w:rPr>
        <w:t>验</w:t>
      </w:r>
      <w:r>
        <w:rPr>
          <w:spacing w:val="2"/>
          <w:w w:val="99"/>
        </w:rPr>
        <w:t>字</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7</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100</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号</w:t>
      </w:r>
      <w:r>
        <w:rPr>
          <w:spacing w:val="-104"/>
          <w:w w:val="99"/>
        </w:rPr>
        <w:t>）</w:t>
      </w:r>
      <w:r>
        <w:rPr>
          <w:spacing w:val="2"/>
          <w:w w:val="99"/>
        </w:rPr>
        <w:t>，</w:t>
      </w:r>
      <w:r>
        <w:rPr>
          <w:w w:val="99"/>
        </w:rPr>
        <w:t>截止</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9</w:t>
      </w:r>
      <w:r>
        <w:rPr>
          <w:rFonts w:ascii="Times New Roman" w:hAnsi="Times New Roman" w:cs="Times New Roman" w:eastAsia="Times New Roman" w:hint="default"/>
        </w:rPr>
      </w:r>
    </w:p>
    <w:p>
      <w:pPr>
        <w:pStyle w:val="BodyText"/>
        <w:spacing w:line="240" w:lineRule="auto" w:before="117"/>
        <w:ind w:left="802" w:right="0"/>
        <w:jc w:val="both"/>
      </w:pPr>
      <w:r>
        <w:rPr/>
        <w:t>月</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日，鼎泰科技以现金方式认缴的第</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期注册资本</w:t>
      </w:r>
      <w:r>
        <w:rPr>
          <w:spacing w:val="-58"/>
        </w:rPr>
        <w:t> </w:t>
      </w:r>
      <w:r>
        <w:rPr>
          <w:rFonts w:ascii="Times New Roman" w:hAnsi="Times New Roman" w:cs="Times New Roman" w:eastAsia="Times New Roman" w:hint="default"/>
        </w:rPr>
        <w:t>180</w:t>
      </w:r>
      <w:r>
        <w:rPr>
          <w:rFonts w:ascii="Times New Roman" w:hAnsi="Times New Roman" w:cs="Times New Roman" w:eastAsia="Times New Roman" w:hint="default"/>
          <w:spacing w:val="-8"/>
        </w:rPr>
        <w:t> </w:t>
      </w:r>
      <w:r>
        <w:rPr/>
        <w:t>万元已足额缴纳。至此，渝神科</w:t>
      </w:r>
    </w:p>
    <w:p>
      <w:pPr>
        <w:pStyle w:val="BodyText"/>
        <w:spacing w:line="240" w:lineRule="auto" w:before="119"/>
        <w:ind w:left="802" w:right="0"/>
        <w:jc w:val="both"/>
      </w:pPr>
      <w:r>
        <w:rPr/>
        <w:t>技注册资本</w:t>
      </w:r>
      <w:r>
        <w:rPr>
          <w:spacing w:val="-55"/>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万元已全部到位，并于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日换领了营业执照。</w:t>
      </w:r>
    </w:p>
    <w:p>
      <w:pPr>
        <w:spacing w:line="240" w:lineRule="auto" w:before="0"/>
        <w:rPr>
          <w:rFonts w:ascii="宋体" w:hAnsi="宋体" w:cs="宋体" w:eastAsia="宋体" w:hint="default"/>
          <w:sz w:val="22"/>
          <w:szCs w:val="22"/>
        </w:rPr>
      </w:pPr>
    </w:p>
    <w:p>
      <w:pPr>
        <w:pStyle w:val="BodyText"/>
        <w:spacing w:line="240" w:lineRule="auto" w:before="192"/>
        <w:ind w:left="1236" w:right="0"/>
        <w:jc w:val="left"/>
      </w:pPr>
      <w:r>
        <w:rPr/>
        <w:t>（</w:t>
      </w:r>
      <w:r>
        <w:rPr>
          <w:rFonts w:ascii="Times New Roman" w:hAnsi="Times New Roman" w:cs="Times New Roman" w:eastAsia="Times New Roman" w:hint="default"/>
        </w:rPr>
        <w:t>2</w:t>
      </w:r>
      <w:r>
        <w:rPr/>
        <w:t>）隆泰稀土</w:t>
      </w:r>
    </w:p>
    <w:p>
      <w:pPr>
        <w:pStyle w:val="BodyText"/>
        <w:spacing w:line="240" w:lineRule="auto" w:before="117"/>
        <w:ind w:left="1236"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日，本公司第一届董事会十五次会议审议通过了《关于设立全资子公司</w:t>
      </w:r>
    </w:p>
    <w:p>
      <w:pPr>
        <w:pStyle w:val="BodyText"/>
        <w:spacing w:line="240" w:lineRule="auto" w:before="117"/>
        <w:ind w:left="802" w:right="0"/>
        <w:jc w:val="both"/>
      </w:pPr>
      <w:r>
        <w:rPr>
          <w:spacing w:val="2"/>
          <w:w w:val="99"/>
        </w:rPr>
        <w:t>的</w:t>
      </w:r>
      <w:r>
        <w:rPr>
          <w:w w:val="99"/>
        </w:rPr>
        <w:t>议</w:t>
      </w:r>
      <w:r>
        <w:rPr>
          <w:spacing w:val="2"/>
          <w:w w:val="99"/>
        </w:rPr>
        <w:t>案</w:t>
      </w:r>
      <w:r>
        <w:rPr>
          <w:spacing w:val="-104"/>
          <w:w w:val="99"/>
        </w:rPr>
        <w:t>》</w:t>
      </w:r>
      <w:r>
        <w:rPr>
          <w:spacing w:val="2"/>
          <w:w w:val="99"/>
        </w:rPr>
        <w:t>。</w:t>
      </w:r>
      <w:r>
        <w:rPr>
          <w:w w:val="99"/>
        </w:rPr>
        <w:t>根</w:t>
      </w:r>
      <w:r>
        <w:rPr>
          <w:spacing w:val="2"/>
          <w:w w:val="99"/>
        </w:rPr>
        <w:t>据</w:t>
      </w:r>
      <w:r>
        <w:rPr>
          <w:w w:val="99"/>
        </w:rPr>
        <w:t>协</w:t>
      </w:r>
      <w:r>
        <w:rPr>
          <w:spacing w:val="2"/>
          <w:w w:val="99"/>
        </w:rPr>
        <w:t>议</w:t>
      </w:r>
      <w:r>
        <w:rPr>
          <w:w w:val="99"/>
        </w:rPr>
        <w:t>、</w:t>
      </w:r>
      <w:r>
        <w:rPr>
          <w:spacing w:val="2"/>
          <w:w w:val="99"/>
        </w:rPr>
        <w:t>章</w:t>
      </w:r>
      <w:r>
        <w:rPr>
          <w:w w:val="99"/>
        </w:rPr>
        <w:t>程</w:t>
      </w:r>
      <w:r>
        <w:rPr>
          <w:spacing w:val="2"/>
          <w:w w:val="99"/>
        </w:rPr>
        <w:t>的</w:t>
      </w:r>
      <w:r>
        <w:rPr>
          <w:w w:val="99"/>
        </w:rPr>
        <w:t>规</w:t>
      </w:r>
      <w:r>
        <w:rPr>
          <w:spacing w:val="2"/>
          <w:w w:val="99"/>
        </w:rPr>
        <w:t>定</w:t>
      </w:r>
      <w:r>
        <w:rPr>
          <w:w w:val="99"/>
        </w:rPr>
        <w:t>，</w:t>
      </w:r>
      <w:r>
        <w:rPr>
          <w:spacing w:val="2"/>
          <w:w w:val="99"/>
        </w:rPr>
        <w:t>拟</w:t>
      </w:r>
      <w:r>
        <w:rPr>
          <w:w w:val="99"/>
        </w:rPr>
        <w:t>设</w:t>
      </w:r>
      <w:r>
        <w:rPr>
          <w:spacing w:val="2"/>
          <w:w w:val="99"/>
        </w:rPr>
        <w:t>全</w:t>
      </w:r>
      <w:r>
        <w:rPr>
          <w:w w:val="99"/>
        </w:rPr>
        <w:t>资</w:t>
      </w:r>
      <w:r>
        <w:rPr>
          <w:spacing w:val="2"/>
          <w:w w:val="99"/>
        </w:rPr>
        <w:t>子</w:t>
      </w:r>
      <w:r>
        <w:rPr>
          <w:w w:val="99"/>
        </w:rPr>
        <w:t>公</w:t>
      </w:r>
      <w:r>
        <w:rPr>
          <w:spacing w:val="2"/>
          <w:w w:val="99"/>
        </w:rPr>
        <w:t>司</w:t>
      </w:r>
      <w:r>
        <w:rPr>
          <w:w w:val="99"/>
        </w:rPr>
        <w:t>隆</w:t>
      </w:r>
      <w:r>
        <w:rPr>
          <w:spacing w:val="2"/>
          <w:w w:val="99"/>
        </w:rPr>
        <w:t>泰</w:t>
      </w:r>
      <w:r>
        <w:rPr>
          <w:w w:val="99"/>
        </w:rPr>
        <w:t>稀</w:t>
      </w:r>
      <w:r>
        <w:rPr>
          <w:spacing w:val="2"/>
          <w:w w:val="99"/>
        </w:rPr>
        <w:t>土</w:t>
      </w:r>
      <w:r>
        <w:rPr>
          <w:w w:val="99"/>
        </w:rPr>
        <w:t>注</w:t>
      </w:r>
      <w:r>
        <w:rPr>
          <w:spacing w:val="2"/>
          <w:w w:val="99"/>
        </w:rPr>
        <w:t>册</w:t>
      </w:r>
      <w:r>
        <w:rPr>
          <w:w w:val="99"/>
        </w:rPr>
        <w:t>资</w:t>
      </w:r>
      <w:r>
        <w:rPr>
          <w:spacing w:val="2"/>
          <w:w w:val="99"/>
        </w:rPr>
        <w:t>本</w:t>
      </w:r>
      <w:r>
        <w:rPr>
          <w:w w:val="99"/>
        </w:rPr>
        <w:t>为</w:t>
      </w:r>
      <w:r>
        <w:rPr>
          <w:spacing w:val="2"/>
          <w:w w:val="99"/>
        </w:rPr>
        <w:t>人</w:t>
      </w:r>
      <w:r>
        <w:rPr>
          <w:w w:val="99"/>
        </w:rPr>
        <w:t>民币</w:t>
      </w:r>
      <w:r>
        <w:rPr>
          <w:spacing w:val="-53"/>
        </w:rPr>
        <w:t> </w:t>
      </w:r>
      <w:r>
        <w:rPr>
          <w:rFonts w:ascii="Times New Roman" w:hAnsi="Times New Roman" w:cs="Times New Roman" w:eastAsia="Times New Roman" w:hint="default"/>
          <w:spacing w:val="1"/>
          <w:w w:val="99"/>
        </w:rPr>
        <w:t>100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万</w:t>
      </w:r>
      <w:r>
        <w:rPr>
          <w:w w:val="99"/>
        </w:rPr>
        <w:t>元</w:t>
      </w:r>
      <w:r>
        <w:rPr>
          <w:w w:val="51"/>
        </w:rPr>
        <w:t>，</w:t>
      </w:r>
      <w:r>
        <w:rPr/>
      </w:r>
    </w:p>
    <w:p>
      <w:pPr>
        <w:pStyle w:val="BodyText"/>
        <w:spacing w:line="240" w:lineRule="auto" w:before="119"/>
        <w:ind w:left="802" w:right="0"/>
        <w:jc w:val="both"/>
      </w:pPr>
      <w:r>
        <w:rPr/>
        <w:t>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日前由本公司一次缴足。截至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日止，公司已向隆泰稀土货币</w:t>
      </w:r>
    </w:p>
    <w:p>
      <w:pPr>
        <w:pStyle w:val="BodyText"/>
        <w:spacing w:line="336" w:lineRule="auto" w:before="117"/>
        <w:ind w:left="802" w:right="801"/>
        <w:jc w:val="both"/>
      </w:pPr>
      <w:r>
        <w:rPr/>
        <w:t>出资</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万元，隆泰稀土为本公司全资子公司。此次出资经重庆永达会计师事务所出具的</w:t>
      </w:r>
      <w:r>
        <w:rPr>
          <w:w w:val="99"/>
        </w:rPr>
        <w:t> </w:t>
      </w:r>
      <w:r>
        <w:rPr/>
        <w:t>“渝永达验</w:t>
      </w:r>
      <w:r>
        <w:rPr>
          <w:rFonts w:ascii="Times New Roman" w:hAnsi="Times New Roman" w:cs="Times New Roman" w:eastAsia="Times New Roman" w:hint="default"/>
        </w:rPr>
        <w:t>[2010]68</w:t>
      </w:r>
      <w:r>
        <w:rPr>
          <w:rFonts w:ascii="Times New Roman" w:hAnsi="Times New Roman" w:cs="Times New Roman" w:eastAsia="Times New Roman" w:hint="default"/>
          <w:spacing w:val="-6"/>
        </w:rPr>
        <w:t> </w:t>
      </w:r>
      <w:r>
        <w:rPr/>
        <w:t>号”验资报告审验。</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日，隆泰稀土取得了重庆市武隆县</w:t>
      </w:r>
      <w:r>
        <w:rPr>
          <w:w w:val="99"/>
        </w:rPr>
        <w:t> </w:t>
      </w:r>
      <w:r>
        <w:rPr/>
        <w:t>工商行政管理局颁发的企业法人营业执照。</w:t>
      </w:r>
    </w:p>
    <w:p>
      <w:pPr>
        <w:spacing w:line="240" w:lineRule="auto" w:before="0"/>
        <w:rPr>
          <w:rFonts w:ascii="宋体" w:hAnsi="宋体" w:cs="宋体" w:eastAsia="宋体" w:hint="default"/>
          <w:sz w:val="20"/>
          <w:szCs w:val="20"/>
        </w:rPr>
      </w:pPr>
    </w:p>
    <w:p>
      <w:pPr>
        <w:pStyle w:val="BodyText"/>
        <w:spacing w:line="240" w:lineRule="auto" w:before="152"/>
        <w:ind w:left="808" w:right="0"/>
        <w:jc w:val="both"/>
        <w:rPr>
          <w:rFonts w:ascii="宋体" w:hAnsi="宋体" w:cs="宋体" w:eastAsia="宋体" w:hint="default"/>
        </w:rPr>
      </w:pPr>
      <w:r>
        <w:rPr>
          <w:rFonts w:ascii="宋体" w:hAnsi="宋体" w:cs="宋体" w:eastAsia="宋体" w:hint="default"/>
        </w:rPr>
        <w:t>五、合并财务报表项目注释</w:t>
      </w:r>
    </w:p>
    <w:p>
      <w:pPr>
        <w:spacing w:after="0" w:line="240" w:lineRule="auto"/>
        <w:jc w:val="both"/>
        <w:rPr>
          <w:rFonts w:ascii="宋体" w:hAnsi="宋体" w:cs="宋体" w:eastAsia="宋体" w:hint="default"/>
        </w:rPr>
        <w:sectPr>
          <w:pgSz w:w="11910" w:h="16840"/>
          <w:pgMar w:header="1058" w:footer="1590" w:top="1780" w:bottom="1780" w:left="1000" w:right="1000"/>
        </w:sectPr>
      </w:pPr>
    </w:p>
    <w:p>
      <w:pPr>
        <w:pStyle w:val="Heading4"/>
        <w:spacing w:line="282" w:lineRule="exact"/>
        <w:ind w:left="688" w:right="0"/>
        <w:jc w:val="left"/>
        <w:rPr>
          <w:b w:val="0"/>
          <w:bCs w:val="0"/>
        </w:rPr>
      </w:pPr>
      <w:bookmarkStart w:name="1、货币资金" w:id="49"/>
      <w:bookmarkEnd w:id="49"/>
      <w:r>
        <w:rPr>
          <w:b w:val="0"/>
          <w:bCs w:val="0"/>
        </w:rPr>
      </w:r>
      <w:r>
        <w:rPr>
          <w:rFonts w:ascii="Times New Roman" w:hAnsi="Times New Roman" w:cs="Times New Roman" w:eastAsia="Times New Roman" w:hint="default"/>
        </w:rPr>
        <w:t>1</w:t>
      </w:r>
      <w:r>
        <w:rPr/>
        <w:t>、货币资金</w:t>
      </w:r>
      <w:r>
        <w:rPr>
          <w:b w:val="0"/>
          <w:bCs w:val="0"/>
        </w:rPr>
      </w:r>
    </w:p>
    <w:p>
      <w:pPr>
        <w:pStyle w:val="BodyText"/>
        <w:spacing w:line="240" w:lineRule="auto" w:before="109"/>
        <w:ind w:left="0" w:right="64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96"/>
        <w:gridCol w:w="1298"/>
        <w:gridCol w:w="1039"/>
        <w:gridCol w:w="1555"/>
        <w:gridCol w:w="1298"/>
        <w:gridCol w:w="1039"/>
        <w:gridCol w:w="1565"/>
      </w:tblGrid>
      <w:tr>
        <w:trPr>
          <w:trHeight w:val="420" w:hRule="exact"/>
        </w:trPr>
        <w:tc>
          <w:tcPr>
            <w:tcW w:w="1596" w:type="dxa"/>
            <w:vMerge w:val="restart"/>
            <w:tcBorders>
              <w:top w:val="single" w:sz="4" w:space="0" w:color="000000"/>
              <w:left w:val="nil" w:sz="6" w:space="0" w:color="auto"/>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02"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596" w:type="dxa"/>
            <w:vMerge/>
            <w:tcBorders>
              <w:left w:val="nil" w:sz="6" w:space="0" w:color="auto"/>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1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Arial Narrow" w:hAnsi="Arial Narrow" w:cs="Arial Narrow" w:eastAsia="Arial Narrow" w:hint="default"/>
                <w:sz w:val="16"/>
                <w:szCs w:val="16"/>
              </w:rPr>
            </w:pPr>
            <w:r>
              <w:rPr>
                <w:rFonts w:ascii="Arial Narrow"/>
                <w:color w:val="0000FF"/>
                <w:w w:val="100"/>
                <w:sz w:val="16"/>
              </w:rPr>
              <w:t>-</w:t>
            </w:r>
            <w:r>
              <w:rPr>
                <w:rFonts w:ascii="Arial Narrow"/>
                <w:w w:val="100"/>
                <w:sz w:val="16"/>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Arial Narrow" w:hAnsi="Arial Narrow" w:cs="Arial Narrow" w:eastAsia="Arial Narrow" w:hint="default"/>
                <w:sz w:val="16"/>
                <w:szCs w:val="16"/>
              </w:rPr>
            </w:pPr>
            <w:r>
              <w:rPr>
                <w:rFonts w:ascii="Arial Narrow"/>
                <w:color w:val="0000FF"/>
                <w:w w:val="100"/>
                <w:sz w:val="16"/>
              </w:rPr>
              <w:t>-</w:t>
            </w:r>
            <w:r>
              <w:rPr>
                <w:rFonts w:ascii="Arial Narrow"/>
                <w:w w:val="100"/>
                <w:sz w:val="16"/>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66,098.40</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29,780.33</w:t>
            </w:r>
            <w:r>
              <w:rPr>
                <w:rFonts w:ascii="Times New Roman"/>
                <w:sz w:val="21"/>
              </w:rPr>
            </w:r>
          </w:p>
        </w:tc>
      </w:tr>
      <w:tr>
        <w:trPr>
          <w:trHeight w:val="41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266,189,634.60</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64,410,649.32</w:t>
            </w:r>
            <w:r>
              <w:rPr>
                <w:rFonts w:ascii="Times New Roman"/>
                <w:sz w:val="21"/>
              </w:rPr>
            </w:r>
          </w:p>
        </w:tc>
      </w:tr>
      <w:tr>
        <w:trPr>
          <w:trHeight w:val="73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0" w:lineRule="auto" w:before="123"/>
              <w:ind w:left="424" w:right="0"/>
              <w:jc w:val="left"/>
              <w:rPr>
                <w:rFonts w:ascii="宋体" w:hAnsi="宋体" w:cs="宋体" w:eastAsia="宋体" w:hint="default"/>
                <w:sz w:val="21"/>
                <w:szCs w:val="21"/>
              </w:rPr>
            </w:pPr>
            <w:r>
              <w:rPr>
                <w:rFonts w:ascii="宋体" w:hAnsi="宋体" w:cs="宋体" w:eastAsia="宋体" w:hint="default"/>
                <w:w w:val="95"/>
                <w:sz w:val="21"/>
                <w:szCs w:val="21"/>
              </w:rPr>
              <w:t>美</w:t>
              <w:tab/>
            </w:r>
            <w:r>
              <w:rPr>
                <w:rFonts w:ascii="宋体" w:hAnsi="宋体" w:cs="宋体" w:eastAsia="宋体" w:hint="default"/>
                <w:sz w:val="21"/>
                <w:szCs w:val="21"/>
              </w:rPr>
              <w:t>元</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196,522.27</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6.6227</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1,301,508.04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39,519.26</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6.83</w:t>
            </w:r>
            <w:r>
              <w:rPr>
                <w:rFonts w:ascii="Times New Roman"/>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269,801.94</w:t>
            </w:r>
            <w:r>
              <w:rPr>
                <w:rFonts w:ascii="Times New Roman"/>
                <w:sz w:val="21"/>
              </w:rPr>
            </w:r>
          </w:p>
        </w:tc>
      </w:tr>
      <w:tr>
        <w:trPr>
          <w:trHeight w:val="736"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0" w:lineRule="auto" w:before="124"/>
              <w:ind w:left="424" w:right="0"/>
              <w:jc w:val="left"/>
              <w:rPr>
                <w:rFonts w:ascii="宋体" w:hAnsi="宋体" w:cs="宋体" w:eastAsia="宋体" w:hint="default"/>
                <w:sz w:val="21"/>
                <w:szCs w:val="21"/>
              </w:rPr>
            </w:pPr>
            <w:r>
              <w:rPr>
                <w:rFonts w:ascii="宋体" w:hAnsi="宋体" w:cs="宋体" w:eastAsia="宋体" w:hint="default"/>
                <w:w w:val="95"/>
                <w:sz w:val="21"/>
                <w:szCs w:val="21"/>
              </w:rPr>
              <w:t>欧</w:t>
              <w:tab/>
            </w:r>
            <w:r>
              <w:rPr>
                <w:rFonts w:ascii="宋体" w:hAnsi="宋体" w:cs="宋体" w:eastAsia="宋体" w:hint="default"/>
                <w:sz w:val="21"/>
                <w:szCs w:val="21"/>
              </w:rPr>
              <w:t>元</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1.89</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8.8065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16.64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1.61</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9.80</w:t>
            </w:r>
            <w:r>
              <w:rPr>
                <w:rFonts w:ascii="Times New Roman"/>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15.77</w:t>
            </w:r>
            <w:r>
              <w:rPr>
                <w:rFonts w:ascii="Times New Roman"/>
                <w:sz w:val="21"/>
              </w:rPr>
            </w:r>
          </w:p>
        </w:tc>
      </w:tr>
      <w:tr>
        <w:trPr>
          <w:trHeight w:val="419"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267,491,159.28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64,680,467.03</w:t>
            </w:r>
            <w:r>
              <w:rPr>
                <w:rFonts w:ascii="Times New Roman"/>
                <w:sz w:val="21"/>
              </w:rPr>
            </w:r>
          </w:p>
        </w:tc>
      </w:tr>
      <w:tr>
        <w:trPr>
          <w:trHeight w:val="41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6,084,154.40</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10,928,798.32</w:t>
            </w:r>
            <w:r>
              <w:rPr>
                <w:rFonts w:ascii="Times New Roman"/>
                <w:sz w:val="21"/>
              </w:rPr>
            </w:r>
          </w:p>
        </w:tc>
      </w:tr>
      <w:tr>
        <w:trPr>
          <w:trHeight w:val="418"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w w:val="95"/>
                <w:sz w:val="21"/>
              </w:rPr>
              <w:t>273,641,412.08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75,639,045.68</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013" w:right="0"/>
        <w:jc w:val="left"/>
      </w:pPr>
      <w:r>
        <w:rPr/>
        <w:t>期末保证金帐户为受限人民帐户共计</w:t>
      </w:r>
      <w:r>
        <w:rPr>
          <w:spacing w:val="-67"/>
        </w:rPr>
        <w:t> </w:t>
      </w:r>
      <w:r>
        <w:rPr>
          <w:rFonts w:ascii="Times New Roman" w:hAnsi="Times New Roman" w:cs="Times New Roman" w:eastAsia="Times New Roman" w:hint="default"/>
        </w:rPr>
        <w:t>6,084,154.40</w:t>
      </w:r>
      <w:r>
        <w:rPr>
          <w:rFonts w:ascii="Times New Roman" w:hAnsi="Times New Roman" w:cs="Times New Roman" w:eastAsia="Times New Roman" w:hint="default"/>
          <w:spacing w:val="-15"/>
        </w:rPr>
        <w:t> </w:t>
      </w:r>
      <w:r>
        <w:rPr/>
        <w:t>元，其中保函保证金</w:t>
      </w:r>
      <w:r>
        <w:rPr>
          <w:spacing w:val="-65"/>
        </w:rPr>
        <w:t> </w:t>
      </w:r>
      <w:r>
        <w:rPr>
          <w:rFonts w:ascii="Times New Roman" w:hAnsi="Times New Roman" w:cs="Times New Roman" w:eastAsia="Times New Roman" w:hint="default"/>
        </w:rPr>
        <w:t>34,154.40</w:t>
      </w:r>
      <w:r>
        <w:rPr>
          <w:rFonts w:ascii="Times New Roman" w:hAnsi="Times New Roman" w:cs="Times New Roman" w:eastAsia="Times New Roman" w:hint="default"/>
          <w:spacing w:val="25"/>
        </w:rPr>
        <w:t> </w:t>
      </w:r>
      <w:r>
        <w:rPr/>
        <w:t>元，</w:t>
      </w:r>
    </w:p>
    <w:p>
      <w:pPr>
        <w:pStyle w:val="BodyText"/>
        <w:spacing w:line="240" w:lineRule="auto" w:before="117"/>
        <w:ind w:left="593" w:right="0"/>
        <w:jc w:val="both"/>
      </w:pPr>
      <w:r>
        <w:rPr/>
        <w:t>银行承兑汇票保证金</w:t>
      </w:r>
      <w:r>
        <w:rPr>
          <w:spacing w:val="-59"/>
        </w:rPr>
        <w:t> </w:t>
      </w:r>
      <w:r>
        <w:rPr>
          <w:rFonts w:ascii="Times New Roman" w:hAnsi="Times New Roman" w:cs="Times New Roman" w:eastAsia="Times New Roman" w:hint="default"/>
        </w:rPr>
        <w:t>5,100,000.00</w:t>
      </w:r>
      <w:r>
        <w:rPr>
          <w:rFonts w:ascii="Times New Roman" w:hAnsi="Times New Roman" w:cs="Times New Roman" w:eastAsia="Times New Roman" w:hint="default"/>
          <w:spacing w:val="-5"/>
        </w:rPr>
        <w:t> </w:t>
      </w:r>
      <w:r>
        <w:rPr>
          <w:spacing w:val="-3"/>
        </w:rPr>
        <w:t>元，远期结汇</w:t>
      </w:r>
      <w:r>
        <w:rPr>
          <w:rFonts w:ascii="Times New Roman" w:hAnsi="Times New Roman" w:cs="Times New Roman" w:eastAsia="Times New Roman" w:hint="default"/>
          <w:spacing w:val="-3"/>
        </w:rPr>
        <w:t>/</w:t>
      </w:r>
      <w:r>
        <w:rPr>
          <w:spacing w:val="-3"/>
        </w:rPr>
        <w:t>售汇保证金</w:t>
      </w:r>
      <w:r>
        <w:rPr>
          <w:spacing w:val="-56"/>
        </w:rPr>
        <w:t> </w:t>
      </w:r>
      <w:r>
        <w:rPr>
          <w:rFonts w:ascii="Times New Roman" w:hAnsi="Times New Roman" w:cs="Times New Roman" w:eastAsia="Times New Roman" w:hint="default"/>
        </w:rPr>
        <w:t>950,000.00</w:t>
      </w:r>
      <w:r>
        <w:rPr>
          <w:rFonts w:ascii="Times New Roman" w:hAnsi="Times New Roman" w:cs="Times New Roman" w:eastAsia="Times New Roman" w:hint="default"/>
          <w:spacing w:val="-7"/>
        </w:rPr>
        <w:t> </w:t>
      </w:r>
      <w:r>
        <w:rPr>
          <w:spacing w:val="-3"/>
        </w:rPr>
        <w:t>元。具体情况如下：</w:t>
      </w:r>
    </w:p>
    <w:p>
      <w:pPr>
        <w:pStyle w:val="BodyText"/>
        <w:spacing w:line="240" w:lineRule="auto" w:before="117"/>
        <w:ind w:left="1207" w:right="0"/>
        <w:jc w:val="left"/>
      </w:pPr>
      <w:r>
        <w:rPr/>
        <w:t>（</w:t>
      </w:r>
      <w:r>
        <w:rPr>
          <w:rFonts w:ascii="Times New Roman" w:hAnsi="Times New Roman" w:cs="Times New Roman" w:eastAsia="Times New Roman" w:hint="default"/>
        </w:rPr>
        <w:t>1</w:t>
      </w:r>
      <w:r>
        <w:rPr/>
        <w:t>）保函保证金 </w:t>
      </w:r>
      <w:r>
        <w:rPr>
          <w:rFonts w:ascii="Times New Roman" w:hAnsi="Times New Roman" w:cs="Times New Roman" w:eastAsia="Times New Roman" w:hint="default"/>
        </w:rPr>
        <w:t>34,154.40</w:t>
      </w:r>
      <w:r>
        <w:rPr>
          <w:rFonts w:ascii="Times New Roman" w:hAnsi="Times New Roman" w:cs="Times New Roman" w:eastAsia="Times New Roman" w:hint="default"/>
          <w:spacing w:val="-8"/>
        </w:rPr>
        <w:t> </w:t>
      </w:r>
      <w:r>
        <w:rPr/>
        <w:t>元</w:t>
      </w:r>
    </w:p>
    <w:p>
      <w:pPr>
        <w:pStyle w:val="BodyText"/>
        <w:spacing w:line="240" w:lineRule="auto" w:before="117"/>
        <w:ind w:left="1102"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日，本公司（甲方）与中国建设银行股份有限公司马鞍山市分行（乙</w:t>
      </w:r>
    </w:p>
    <w:p>
      <w:pPr>
        <w:pStyle w:val="BodyText"/>
        <w:spacing w:line="240" w:lineRule="auto" w:before="119"/>
        <w:ind w:left="682" w:right="0"/>
        <w:jc w:val="both"/>
      </w:pPr>
      <w:r>
        <w:rPr>
          <w:spacing w:val="2"/>
          <w:w w:val="99"/>
        </w:rPr>
        <w:t>方）签订合同编号为建马保</w:t>
      </w:r>
      <w:r>
        <w:rPr>
          <w:w w:val="99"/>
        </w:rPr>
        <w:t>函</w:t>
      </w:r>
      <w:r>
        <w:rPr>
          <w:spacing w:val="-41"/>
        </w:rPr>
        <w:t> </w:t>
      </w:r>
      <w:r>
        <w:rPr>
          <w:rFonts w:ascii="Times New Roman" w:hAnsi="Times New Roman" w:cs="Times New Roman" w:eastAsia="Times New Roman" w:hint="default"/>
          <w:spacing w:val="1"/>
          <w:w w:val="99"/>
        </w:rPr>
        <w:t>100</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号</w:t>
      </w:r>
      <w:r>
        <w:rPr>
          <w:w w:val="99"/>
        </w:rPr>
        <w:t>和</w:t>
      </w:r>
      <w:r>
        <w:rPr>
          <w:spacing w:val="-48"/>
        </w:rPr>
        <w:t> </w:t>
      </w:r>
      <w:r>
        <w:rPr>
          <w:rFonts w:ascii="Times New Roman" w:hAnsi="Times New Roman" w:cs="Times New Roman" w:eastAsia="Times New Roman" w:hint="default"/>
          <w:spacing w:val="1"/>
          <w:w w:val="99"/>
        </w:rPr>
        <w:t>10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32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号《出具保函协</w:t>
      </w:r>
      <w:r>
        <w:rPr>
          <w:spacing w:val="7"/>
          <w:w w:val="99"/>
        </w:rPr>
        <w:t>议</w:t>
      </w:r>
      <w:r>
        <w:rPr>
          <w:spacing w:val="-101"/>
          <w:w w:val="99"/>
        </w:rPr>
        <w:t>》</w:t>
      </w:r>
      <w:r>
        <w:rPr>
          <w:spacing w:val="2"/>
          <w:w w:val="99"/>
        </w:rPr>
        <w:t>，乙方为甲方出</w:t>
      </w:r>
      <w:r>
        <w:rPr>
          <w:w w:val="99"/>
        </w:rPr>
        <w:t>具</w:t>
      </w:r>
      <w:r>
        <w:rPr/>
      </w:r>
    </w:p>
    <w:p>
      <w:pPr>
        <w:pStyle w:val="BodyText"/>
        <w:spacing w:line="240" w:lineRule="auto" w:before="117"/>
        <w:ind w:left="682" w:right="0"/>
        <w:jc w:val="both"/>
      </w:pPr>
      <w:r>
        <w:rPr/>
        <w:t>币种为人民币、保证金额分别为</w:t>
      </w:r>
      <w:r>
        <w:rPr>
          <w:spacing w:val="-65"/>
        </w:rPr>
        <w:t> </w:t>
      </w:r>
      <w:r>
        <w:rPr>
          <w:rFonts w:ascii="Times New Roman" w:hAnsi="Times New Roman" w:cs="Times New Roman" w:eastAsia="Times New Roman" w:hint="default"/>
        </w:rPr>
        <w:t>21,614.40</w:t>
      </w:r>
      <w:r>
        <w:rPr>
          <w:rFonts w:ascii="Times New Roman" w:hAnsi="Times New Roman" w:cs="Times New Roman" w:eastAsia="Times New Roman" w:hint="default"/>
          <w:spacing w:val="-14"/>
        </w:rPr>
        <w:t> </w:t>
      </w:r>
      <w:r>
        <w:rPr/>
        <w:t>元和</w:t>
      </w:r>
      <w:r>
        <w:rPr>
          <w:spacing w:val="-67"/>
        </w:rPr>
        <w:t> </w:t>
      </w:r>
      <w:r>
        <w:rPr>
          <w:rFonts w:ascii="Times New Roman" w:hAnsi="Times New Roman" w:cs="Times New Roman" w:eastAsia="Times New Roman" w:hint="default"/>
        </w:rPr>
        <w:t>12,540.00</w:t>
      </w:r>
      <w:r>
        <w:rPr>
          <w:rFonts w:ascii="Times New Roman" w:hAnsi="Times New Roman" w:cs="Times New Roman" w:eastAsia="Times New Roman" w:hint="default"/>
          <w:spacing w:val="-15"/>
        </w:rPr>
        <w:t> </w:t>
      </w:r>
      <w:r>
        <w:rPr/>
        <w:t>元的履约保函。甲方以约定的保</w:t>
      </w:r>
    </w:p>
    <w:p>
      <w:pPr>
        <w:pStyle w:val="BodyText"/>
        <w:spacing w:line="240" w:lineRule="auto" w:before="117"/>
        <w:ind w:left="682" w:right="0"/>
        <w:jc w:val="both"/>
      </w:pPr>
      <w:r>
        <w:rPr/>
        <w:t>证金提供质押担保，保证金</w:t>
      </w:r>
      <w:r>
        <w:rPr>
          <w:spacing w:val="-57"/>
        </w:rPr>
        <w:t> </w:t>
      </w:r>
      <w:r>
        <w:rPr>
          <w:rFonts w:ascii="Times New Roman" w:hAnsi="Times New Roman" w:cs="Times New Roman" w:eastAsia="Times New Roman" w:hint="default"/>
        </w:rPr>
        <w:t>21,614.40</w:t>
      </w:r>
      <w:r>
        <w:rPr>
          <w:rFonts w:ascii="Times New Roman" w:hAnsi="Times New Roman" w:cs="Times New Roman" w:eastAsia="Times New Roman" w:hint="default"/>
          <w:spacing w:val="-3"/>
        </w:rPr>
        <w:t> </w:t>
      </w:r>
      <w:r>
        <w:rPr/>
        <w:t>元和</w:t>
      </w:r>
      <w:r>
        <w:rPr>
          <w:spacing w:val="-57"/>
        </w:rPr>
        <w:t> </w:t>
      </w:r>
      <w:r>
        <w:rPr>
          <w:rFonts w:ascii="Times New Roman" w:hAnsi="Times New Roman" w:cs="Times New Roman" w:eastAsia="Times New Roman" w:hint="default"/>
        </w:rPr>
        <w:t>12,540.00</w:t>
      </w:r>
      <w:r>
        <w:rPr>
          <w:rFonts w:ascii="Times New Roman" w:hAnsi="Times New Roman" w:cs="Times New Roman" w:eastAsia="Times New Roman" w:hint="default"/>
          <w:spacing w:val="-5"/>
        </w:rPr>
        <w:t> </w:t>
      </w:r>
      <w:r>
        <w:rPr/>
        <w:t>元分别划入保证金专户。</w:t>
      </w:r>
    </w:p>
    <w:p>
      <w:pPr>
        <w:pStyle w:val="BodyText"/>
        <w:spacing w:line="240" w:lineRule="auto" w:before="117"/>
        <w:ind w:left="1116" w:right="0"/>
        <w:jc w:val="left"/>
      </w:pPr>
      <w:r>
        <w:rPr/>
        <w:t>（</w:t>
      </w:r>
      <w:r>
        <w:rPr>
          <w:rFonts w:ascii="Times New Roman" w:hAnsi="Times New Roman" w:cs="Times New Roman" w:eastAsia="Times New Roman" w:hint="default"/>
        </w:rPr>
        <w:t>2</w:t>
      </w:r>
      <w:r>
        <w:rPr/>
        <w:t>）银行承兑汇票保证金</w:t>
      </w:r>
      <w:r>
        <w:rPr>
          <w:spacing w:val="-57"/>
        </w:rPr>
        <w:t> </w:t>
      </w:r>
      <w:r>
        <w:rPr>
          <w:rFonts w:ascii="Times New Roman" w:hAnsi="Times New Roman" w:cs="Times New Roman" w:eastAsia="Times New Roman" w:hint="default"/>
        </w:rPr>
        <w:t>5,100,000.00</w:t>
      </w:r>
      <w:r>
        <w:rPr>
          <w:rFonts w:ascii="Times New Roman" w:hAnsi="Times New Roman" w:cs="Times New Roman" w:eastAsia="Times New Roman" w:hint="default"/>
          <w:spacing w:val="-3"/>
        </w:rPr>
        <w:t> </w:t>
      </w:r>
      <w:r>
        <w:rPr/>
        <w:t>元</w:t>
      </w:r>
    </w:p>
    <w:p>
      <w:pPr>
        <w:pStyle w:val="BodyText"/>
        <w:spacing w:line="240" w:lineRule="auto" w:before="119"/>
        <w:ind w:left="1116"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日，本公司申请徽商银行新银支行为其开出一份金额为</w:t>
      </w:r>
      <w:r>
        <w:rPr>
          <w:spacing w:val="-51"/>
        </w:rPr>
        <w:t> </w:t>
      </w:r>
      <w:r>
        <w:rPr>
          <w:rFonts w:ascii="Times New Roman" w:hAnsi="Times New Roman" w:cs="Times New Roman" w:eastAsia="Times New Roman" w:hint="default"/>
        </w:rPr>
        <w:t>1700</w:t>
      </w:r>
      <w:r>
        <w:rPr>
          <w:rFonts w:ascii="Times New Roman" w:hAnsi="Times New Roman" w:cs="Times New Roman" w:eastAsia="Times New Roman" w:hint="default"/>
          <w:spacing w:val="-4"/>
        </w:rPr>
        <w:t> </w:t>
      </w:r>
      <w:r>
        <w:rPr/>
        <w:t>万元整</w:t>
      </w:r>
    </w:p>
    <w:p>
      <w:pPr>
        <w:pStyle w:val="BodyText"/>
        <w:spacing w:line="240" w:lineRule="auto" w:before="117"/>
        <w:ind w:left="682" w:right="0"/>
        <w:jc w:val="both"/>
      </w:pPr>
      <w:r>
        <w:rPr>
          <w:spacing w:val="2"/>
        </w:rPr>
        <w:t>的银行承兑汇票；同时与该行签订编号为</w:t>
      </w:r>
      <w:r>
        <w:rPr>
          <w:spacing w:val="-62"/>
        </w:rPr>
        <w:t> </w:t>
      </w:r>
      <w:r>
        <w:rPr>
          <w:rFonts w:ascii="Times New Roman" w:hAnsi="Times New Roman" w:cs="Times New Roman" w:eastAsia="Times New Roman" w:hint="default"/>
        </w:rPr>
        <w:t>6042010103</w:t>
      </w:r>
      <w:r>
        <w:rPr>
          <w:rFonts w:ascii="Times New Roman" w:hAnsi="Times New Roman" w:cs="Times New Roman" w:eastAsia="Times New Roman" w:hint="default"/>
          <w:spacing w:val="-12"/>
        </w:rPr>
        <w:t> </w:t>
      </w:r>
      <w:r>
        <w:rPr>
          <w:spacing w:val="2"/>
        </w:rPr>
        <w:t>的银行承兑协议，该协议下承诺本</w:t>
      </w:r>
    </w:p>
    <w:p>
      <w:pPr>
        <w:pStyle w:val="BodyText"/>
        <w:spacing w:line="338" w:lineRule="auto" w:before="117"/>
        <w:ind w:left="682" w:right="797"/>
        <w:jc w:val="both"/>
      </w:pPr>
      <w:r>
        <w:rPr/>
        <w:t>公司按汇票金额百分之三十即</w:t>
      </w:r>
      <w:r>
        <w:rPr>
          <w:spacing w:val="-56"/>
        </w:rPr>
        <w:t> </w:t>
      </w:r>
      <w:r>
        <w:rPr>
          <w:rFonts w:ascii="Times New Roman" w:hAnsi="Times New Roman" w:cs="Times New Roman" w:eastAsia="Times New Roman" w:hint="default"/>
        </w:rPr>
        <w:t>5,100,000.00</w:t>
      </w:r>
      <w:r>
        <w:rPr>
          <w:rFonts w:ascii="Times New Roman" w:hAnsi="Times New Roman" w:cs="Times New Roman" w:eastAsia="Times New Roman" w:hint="default"/>
          <w:spacing w:val="-3"/>
        </w:rPr>
        <w:t> </w:t>
      </w:r>
      <w:r>
        <w:rPr/>
        <w:t>元作为银行承兑汇票的保证金存入其在承兑银</w:t>
      </w:r>
      <w:r>
        <w:rPr>
          <w:w w:val="99"/>
        </w:rPr>
        <w:t> </w:t>
      </w:r>
      <w:r>
        <w:rPr/>
        <w:t>行开设的保证金帐户</w:t>
      </w:r>
      <w:r>
        <w:rPr>
          <w:spacing w:val="-59"/>
        </w:rPr>
        <w:t> </w:t>
      </w:r>
      <w:r>
        <w:rPr>
          <w:rFonts w:ascii="Times New Roman" w:hAnsi="Times New Roman" w:cs="Times New Roman" w:eastAsia="Times New Roman" w:hint="default"/>
        </w:rPr>
        <w:t>1560401021000129198</w:t>
      </w:r>
      <w:r>
        <w:rPr/>
        <w:t>。以该保证金对汇票承兑提供质押担保，并对</w:t>
      </w:r>
      <w:r>
        <w:rPr>
          <w:w w:val="99"/>
        </w:rPr>
        <w:t> </w:t>
      </w:r>
      <w:r>
        <w:rPr/>
        <w:t>汇票金额与保证金差额部分提供抵押担保，担保合同号为</w:t>
      </w:r>
      <w:r>
        <w:rPr>
          <w:spacing w:val="-2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年新银抵</w:t>
      </w:r>
      <w:r>
        <w:rPr>
          <w:spacing w:val="-44"/>
        </w:rPr>
        <w:t> </w:t>
      </w:r>
      <w:r>
        <w:rPr>
          <w:rFonts w:ascii="Times New Roman" w:hAnsi="Times New Roman" w:cs="Times New Roman" w:eastAsia="Times New Roman" w:hint="default"/>
        </w:rPr>
        <w:t>023</w:t>
      </w:r>
      <w:r>
        <w:rPr>
          <w:rFonts w:ascii="Times New Roman" w:hAnsi="Times New Roman" w:cs="Times New Roman" w:eastAsia="Times New Roman" w:hint="default"/>
          <w:spacing w:val="4"/>
        </w:rPr>
        <w:t> </w:t>
      </w:r>
      <w:r>
        <w:rPr/>
        <w:t>号（详见附</w:t>
      </w:r>
      <w:r>
        <w:rPr>
          <w:w w:val="99"/>
        </w:rPr>
        <w:t> 注</w:t>
      </w:r>
      <w:r>
        <w:rPr>
          <w:spacing w:val="-51"/>
          <w:w w:val="99"/>
        </w:rPr>
        <w:t> </w:t>
      </w:r>
      <w:r>
        <w:rPr>
          <w:rFonts w:ascii="Times New Roman" w:hAnsi="Times New Roman" w:cs="Times New Roman" w:eastAsia="Times New Roman" w:hint="default"/>
          <w:spacing w:val="-35"/>
          <w:w w:val="99"/>
        </w:rPr>
        <w:t>7</w:t>
      </w:r>
      <w:r>
        <w:rPr>
          <w:spacing w:val="-35"/>
          <w:w w:val="99"/>
        </w:rPr>
        <w:t>）。</w:t>
      </w:r>
      <w:r>
        <w:rPr>
          <w:spacing w:val="-35"/>
        </w:rPr>
      </w:r>
    </w:p>
    <w:p>
      <w:pPr>
        <w:pStyle w:val="BodyText"/>
        <w:spacing w:line="240" w:lineRule="auto" w:before="22"/>
        <w:ind w:left="1102" w:right="0"/>
        <w:jc w:val="left"/>
      </w:pPr>
      <w:r>
        <w:rPr/>
        <w:t>（</w:t>
      </w:r>
      <w:r>
        <w:rPr>
          <w:rFonts w:ascii="Times New Roman" w:hAnsi="Times New Roman" w:cs="Times New Roman" w:eastAsia="Times New Roman" w:hint="default"/>
        </w:rPr>
        <w:t>3</w:t>
      </w:r>
      <w:r>
        <w:rPr/>
        <w:t>）远期结汇</w:t>
      </w:r>
      <w:r>
        <w:rPr>
          <w:rFonts w:ascii="Times New Roman" w:hAnsi="Times New Roman" w:cs="Times New Roman" w:eastAsia="Times New Roman" w:hint="default"/>
        </w:rPr>
        <w:t>/</w:t>
      </w:r>
      <w:r>
        <w:rPr/>
        <w:t>售汇保证金</w:t>
      </w:r>
      <w:r>
        <w:rPr>
          <w:spacing w:val="-57"/>
        </w:rPr>
        <w:t> </w:t>
      </w:r>
      <w:r>
        <w:rPr>
          <w:rFonts w:ascii="Times New Roman" w:hAnsi="Times New Roman" w:cs="Times New Roman" w:eastAsia="Times New Roman" w:hint="default"/>
        </w:rPr>
        <w:t>950,000.00</w:t>
      </w:r>
      <w:r>
        <w:rPr>
          <w:rFonts w:ascii="Times New Roman" w:hAnsi="Times New Roman" w:cs="Times New Roman" w:eastAsia="Times New Roman" w:hint="default"/>
          <w:spacing w:val="-5"/>
        </w:rPr>
        <w:t> </w:t>
      </w:r>
      <w:r>
        <w:rPr/>
        <w:t>元</w:t>
      </w:r>
    </w:p>
    <w:p>
      <w:pPr>
        <w:spacing w:after="0" w:line="240" w:lineRule="auto"/>
        <w:jc w:val="left"/>
        <w:sectPr>
          <w:footerReference w:type="default" r:id="rId31"/>
          <w:pgSz w:w="11910" w:h="16840"/>
          <w:pgMar w:footer="1590" w:header="1058" w:top="1780" w:bottom="1780" w:left="1120" w:right="1160"/>
          <w:pgNumType w:start="90"/>
        </w:sectPr>
      </w:pPr>
    </w:p>
    <w:p>
      <w:pPr>
        <w:pStyle w:val="BodyText"/>
        <w:spacing w:line="274" w:lineRule="exact"/>
        <w:ind w:left="222" w:right="0" w:firstLine="420"/>
        <w:jc w:val="left"/>
      </w:pPr>
      <w:bookmarkStart w:name="2、应收票据" w:id="50"/>
      <w:bookmarkEnd w:id="50"/>
      <w:r>
        <w:rPr/>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日，本公司向建设银行马鞍山湖东路支行申请</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笔远期结汇</w:t>
      </w:r>
      <w:r>
        <w:rPr>
          <w:rFonts w:ascii="Times New Roman" w:hAnsi="Times New Roman" w:cs="Times New Roman" w:eastAsia="Times New Roman" w:hint="default"/>
        </w:rPr>
        <w:t>/</w:t>
      </w:r>
      <w:r>
        <w:rPr/>
        <w:t>售汇，择</w:t>
      </w:r>
    </w:p>
    <w:p>
      <w:pPr>
        <w:pStyle w:val="BodyText"/>
        <w:spacing w:line="336" w:lineRule="auto" w:before="117"/>
        <w:ind w:left="222" w:right="112"/>
        <w:jc w:val="left"/>
      </w:pPr>
      <w:r>
        <w:rPr/>
        <w:t>期</w:t>
      </w:r>
      <w:r>
        <w:rPr>
          <w:spacing w:val="-84"/>
        </w:rPr>
        <w:t> </w:t>
      </w:r>
      <w:r>
        <w:rPr/>
        <w:t>起</w:t>
      </w:r>
      <w:r>
        <w:rPr>
          <w:spacing w:val="-84"/>
        </w:rPr>
        <w:t> </w:t>
      </w:r>
      <w:r>
        <w:rPr/>
        <w:t>始</w:t>
      </w:r>
      <w:r>
        <w:rPr>
          <w:spacing w:val="-84"/>
        </w:rPr>
        <w:t> </w:t>
      </w:r>
      <w:r>
        <w:rPr/>
        <w:t>日</w:t>
      </w:r>
      <w:r>
        <w:rPr>
          <w:spacing w:val="-84"/>
        </w:rPr>
        <w:t> </w:t>
      </w:r>
      <w:r>
        <w:rPr/>
        <w:t>分</w:t>
      </w:r>
      <w:r>
        <w:rPr>
          <w:spacing w:val="-84"/>
        </w:rPr>
        <w:t> </w:t>
      </w:r>
      <w:r>
        <w:rPr/>
        <w:t>别</w:t>
      </w:r>
      <w:r>
        <w:rPr>
          <w:spacing w:val="-84"/>
        </w:rPr>
        <w:t> </w:t>
      </w:r>
      <w:r>
        <w:rPr/>
        <w:t>为</w:t>
      </w:r>
      <w:r>
        <w:rPr>
          <w:spacing w:val="-38"/>
        </w:rPr>
        <w:t> </w:t>
      </w:r>
      <w:r>
        <w:rPr>
          <w:rFonts w:ascii="Times New Roman" w:hAnsi="Times New Roman" w:cs="Times New Roman" w:eastAsia="Times New Roman" w:hint="default"/>
        </w:rPr>
        <w:t>2010.11.01-2010.11.30</w:t>
      </w:r>
      <w:r>
        <w:rPr>
          <w:rFonts w:ascii="Times New Roman" w:hAnsi="Times New Roman" w:cs="Times New Roman" w:eastAsia="Times New Roman" w:hint="default"/>
          <w:spacing w:val="-33"/>
        </w:rPr>
        <w:t> </w:t>
      </w:r>
      <w:r>
        <w:rPr/>
        <w:t>、</w:t>
      </w:r>
      <w:r>
        <w:rPr>
          <w:spacing w:val="-82"/>
        </w:rPr>
        <w:t> </w:t>
      </w:r>
      <w:r>
        <w:rPr>
          <w:rFonts w:ascii="Times New Roman" w:hAnsi="Times New Roman" w:cs="Times New Roman" w:eastAsia="Times New Roman" w:hint="default"/>
        </w:rPr>
        <w:t>2010.12.01-2010.12.31</w:t>
      </w:r>
      <w:r>
        <w:rPr>
          <w:rFonts w:ascii="Times New Roman" w:hAnsi="Times New Roman" w:cs="Times New Roman" w:eastAsia="Times New Roman" w:hint="default"/>
          <w:spacing w:val="-33"/>
        </w:rPr>
        <w:t> </w:t>
      </w:r>
      <w:r>
        <w:rPr/>
        <w:t>、</w:t>
      </w:r>
      <w:r>
        <w:rPr>
          <w:spacing w:val="-84"/>
        </w:rPr>
        <w:t> </w:t>
      </w:r>
      <w:r>
        <w:rPr>
          <w:rFonts w:ascii="Times New Roman" w:hAnsi="Times New Roman" w:cs="Times New Roman" w:eastAsia="Times New Roman" w:hint="default"/>
        </w:rPr>
        <w:t>2011.01.04-2011.01.31</w:t>
      </w:r>
      <w:r>
        <w:rPr>
          <w:rFonts w:ascii="Times New Roman" w:hAnsi="Times New Roman" w:cs="Times New Roman" w:eastAsia="Times New Roman" w:hint="default"/>
          <w:spacing w:val="-33"/>
        </w:rPr>
        <w:t> </w:t>
      </w:r>
      <w:r>
        <w:rPr/>
        <w:t>、</w:t>
      </w:r>
      <w:r>
        <w:rPr>
          <w:w w:val="99"/>
        </w:rPr>
        <w:t> </w:t>
      </w:r>
      <w:r>
        <w:rPr>
          <w:rFonts w:ascii="Times New Roman" w:hAnsi="Times New Roman" w:cs="Times New Roman" w:eastAsia="Times New Roman" w:hint="default"/>
        </w:rPr>
        <w:t>2011.02.01-2011.02.28</w:t>
      </w:r>
      <w:r>
        <w:rPr/>
        <w:t>、</w:t>
      </w:r>
      <w:r>
        <w:rPr>
          <w:rFonts w:ascii="Times New Roman" w:hAnsi="Times New Roman" w:cs="Times New Roman" w:eastAsia="Times New Roman" w:hint="default"/>
        </w:rPr>
        <w:t>2011.03.01-2011.03.31</w:t>
      </w:r>
      <w:r>
        <w:rPr/>
        <w:t>，共预计售出美元币</w:t>
      </w:r>
      <w:r>
        <w:rPr>
          <w:spacing w:val="-77"/>
        </w:rPr>
        <w:t> </w:t>
      </w:r>
      <w:r>
        <w:rPr>
          <w:rFonts w:ascii="Times New Roman" w:hAnsi="Times New Roman" w:cs="Times New Roman" w:eastAsia="Times New Roman" w:hint="default"/>
        </w:rPr>
        <w:t>600</w:t>
      </w:r>
      <w:r>
        <w:rPr>
          <w:rFonts w:ascii="Times New Roman" w:hAnsi="Times New Roman" w:cs="Times New Roman" w:eastAsia="Times New Roman" w:hint="default"/>
          <w:spacing w:val="-26"/>
        </w:rPr>
        <w:t> </w:t>
      </w:r>
      <w:r>
        <w:rPr/>
        <w:t>万；双方就此签订编</w:t>
      </w:r>
    </w:p>
    <w:p>
      <w:pPr>
        <w:pStyle w:val="BodyText"/>
        <w:spacing w:line="240" w:lineRule="auto" w:before="24"/>
        <w:ind w:left="222" w:right="0"/>
        <w:jc w:val="left"/>
      </w:pPr>
      <w:r>
        <w:rPr/>
        <w:t>号</w:t>
      </w:r>
      <w:r>
        <w:rPr>
          <w:spacing w:val="-47"/>
        </w:rPr>
        <w:t> </w:t>
      </w:r>
      <w:r>
        <w:rPr/>
        <w:t>为</w:t>
      </w:r>
      <w:r>
        <w:rPr>
          <w:spacing w:val="4"/>
        </w:rPr>
        <w:t> </w:t>
      </w:r>
      <w:r>
        <w:rPr>
          <w:rFonts w:ascii="Times New Roman" w:hAnsi="Times New Roman" w:cs="Times New Roman" w:eastAsia="Times New Roman" w:hint="default"/>
        </w:rPr>
        <w:t>2010-001 </w:t>
      </w:r>
      <w:r>
        <w:rPr>
          <w:rFonts w:ascii="Times New Roman" w:hAnsi="Times New Roman" w:cs="Times New Roman" w:eastAsia="Times New Roman" w:hint="default"/>
          <w:spacing w:val="6"/>
        </w:rPr>
        <w:t> </w:t>
      </w:r>
      <w:r>
        <w:rPr/>
        <w:t>的</w:t>
      </w:r>
      <w:r>
        <w:rPr>
          <w:spacing w:val="-47"/>
        </w:rPr>
        <w:t> </w:t>
      </w:r>
      <w:r>
        <w:rPr/>
        <w:t>远</w:t>
      </w:r>
      <w:r>
        <w:rPr>
          <w:spacing w:val="-47"/>
        </w:rPr>
        <w:t> </w:t>
      </w:r>
      <w:r>
        <w:rPr/>
        <w:t>期</w:t>
      </w:r>
      <w:r>
        <w:rPr>
          <w:spacing w:val="-47"/>
        </w:rPr>
        <w:t> </w:t>
      </w:r>
      <w:r>
        <w:rPr/>
        <w:t>结</w:t>
      </w:r>
      <w:r>
        <w:rPr>
          <w:spacing w:val="-47"/>
        </w:rPr>
        <w:t> </w:t>
      </w:r>
      <w:r>
        <w:rPr/>
        <w:t>汇</w:t>
      </w:r>
      <w:r>
        <w:rPr>
          <w:spacing w:val="-45"/>
        </w:rPr>
        <w:t>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售</w:t>
      </w:r>
      <w:r>
        <w:rPr>
          <w:spacing w:val="-47"/>
        </w:rPr>
        <w:t> </w:t>
      </w:r>
      <w:r>
        <w:rPr/>
        <w:t>汇</w:t>
      </w:r>
      <w:r>
        <w:rPr>
          <w:spacing w:val="-47"/>
        </w:rPr>
        <w:t> </w:t>
      </w:r>
      <w:r>
        <w:rPr/>
        <w:t>协</w:t>
      </w:r>
      <w:r>
        <w:rPr>
          <w:spacing w:val="-47"/>
        </w:rPr>
        <w:t> </w:t>
      </w:r>
      <w:r>
        <w:rPr/>
        <w:t>议</w:t>
      </w:r>
      <w:r>
        <w:rPr>
          <w:spacing w:val="-47"/>
        </w:rPr>
        <w:t> </w:t>
      </w:r>
      <w:r>
        <w:rPr/>
        <w:t>书</w:t>
      </w:r>
      <w:r>
        <w:rPr>
          <w:spacing w:val="-47"/>
        </w:rPr>
        <w:t> </w:t>
      </w:r>
      <w:r>
        <w:rPr/>
        <w:t>，</w:t>
      </w:r>
      <w:r>
        <w:rPr>
          <w:spacing w:val="-47"/>
        </w:rPr>
        <w:t> </w:t>
      </w:r>
      <w:r>
        <w:rPr/>
        <w:t>本</w:t>
      </w:r>
      <w:r>
        <w:rPr>
          <w:spacing w:val="-47"/>
        </w:rPr>
        <w:t> </w:t>
      </w:r>
      <w:r>
        <w:rPr/>
        <w:t>公</w:t>
      </w:r>
      <w:r>
        <w:rPr>
          <w:spacing w:val="-47"/>
        </w:rPr>
        <w:t> </w:t>
      </w:r>
      <w:r>
        <w:rPr/>
        <w:t>司</w:t>
      </w:r>
      <w:r>
        <w:rPr>
          <w:spacing w:val="-47"/>
        </w:rPr>
        <w:t> </w:t>
      </w:r>
      <w:r>
        <w:rPr/>
        <w:t>承</w:t>
      </w:r>
      <w:r>
        <w:rPr>
          <w:spacing w:val="-47"/>
        </w:rPr>
        <w:t> </w:t>
      </w:r>
      <w:r>
        <w:rPr/>
        <w:t>诺</w:t>
      </w:r>
      <w:r>
        <w:rPr>
          <w:spacing w:val="-47"/>
        </w:rPr>
        <w:t> </w:t>
      </w:r>
      <w:r>
        <w:rPr/>
        <w:t>在</w:t>
      </w:r>
      <w:r>
        <w:rPr>
          <w:spacing w:val="-47"/>
        </w:rPr>
        <w:t> </w:t>
      </w:r>
      <w:r>
        <w:rPr/>
        <w:t>该</w:t>
      </w:r>
      <w:r>
        <w:rPr>
          <w:spacing w:val="-47"/>
        </w:rPr>
        <w:t> </w:t>
      </w:r>
      <w:r>
        <w:rPr/>
        <w:t>行</w:t>
      </w:r>
      <w:r>
        <w:rPr>
          <w:spacing w:val="-47"/>
        </w:rPr>
        <w:t> </w:t>
      </w:r>
      <w:r>
        <w:rPr/>
        <w:t>账</w:t>
      </w:r>
      <w:r>
        <w:rPr>
          <w:spacing w:val="-47"/>
        </w:rPr>
        <w:t> </w:t>
      </w:r>
      <w:r>
        <w:rPr/>
        <w:t>户</w:t>
      </w:r>
      <w:r>
        <w:rPr>
          <w:spacing w:val="-47"/>
        </w:rPr>
        <w:t> </w:t>
      </w:r>
      <w:r>
        <w:rPr/>
        <w:t>（</w:t>
      </w:r>
      <w:r>
        <w:rPr>
          <w:spacing w:val="-47"/>
        </w:rPr>
        <w:t> </w:t>
      </w:r>
      <w:r>
        <w:rPr/>
        <w:t>账</w:t>
      </w:r>
      <w:r>
        <w:rPr>
          <w:spacing w:val="-47"/>
        </w:rPr>
        <w:t> </w:t>
      </w:r>
      <w:r>
        <w:rPr/>
        <w:t>号</w:t>
      </w:r>
      <w:r>
        <w:rPr>
          <w:spacing w:val="-36"/>
        </w:rPr>
        <w:t> </w:t>
      </w:r>
      <w:r>
        <w:rPr/>
        <w:t>为</w:t>
      </w:r>
    </w:p>
    <w:p>
      <w:pPr>
        <w:pStyle w:val="BodyText"/>
        <w:spacing w:line="240" w:lineRule="auto" w:before="119"/>
        <w:ind w:left="222" w:right="0"/>
        <w:jc w:val="left"/>
      </w:pPr>
      <w:r>
        <w:rPr>
          <w:rFonts w:ascii="Times New Roman" w:hAnsi="Times New Roman" w:cs="Times New Roman" w:eastAsia="Times New Roman" w:hint="default"/>
        </w:rPr>
        <w:t>34001658608053005737</w:t>
      </w:r>
      <w:r>
        <w:rPr/>
        <w:t>）存入远期交易金额的</w:t>
      </w:r>
      <w:r>
        <w:rPr>
          <w:spacing w:val="-58"/>
        </w:rPr>
        <w:t> </w:t>
      </w:r>
      <w:r>
        <w:rPr>
          <w:rFonts w:ascii="Times New Roman" w:hAnsi="Times New Roman" w:cs="Times New Roman" w:eastAsia="Times New Roman" w:hint="default"/>
        </w:rPr>
        <w:t>2%</w:t>
      </w:r>
      <w:r>
        <w:rPr/>
        <w:t>作为保证金，即</w:t>
      </w:r>
      <w:r>
        <w:rPr>
          <w:spacing w:val="-58"/>
        </w:rPr>
        <w:t> </w:t>
      </w:r>
      <w:r>
        <w:rPr>
          <w:rFonts w:ascii="Times New Roman" w:hAnsi="Times New Roman" w:cs="Times New Roman" w:eastAsia="Times New Roman" w:hint="default"/>
        </w:rPr>
        <w:t>950,000.00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1058" w:footer="1590" w:top="1780" w:bottom="1780" w:left="1580" w:right="1680"/>
        </w:sectPr>
      </w:pPr>
    </w:p>
    <w:p>
      <w:pPr>
        <w:pStyle w:val="Heading4"/>
        <w:spacing w:line="333" w:lineRule="exact"/>
        <w:ind w:left="228" w:right="0"/>
        <w:jc w:val="left"/>
        <w:rPr>
          <w:b w:val="0"/>
          <w:bCs w:val="0"/>
        </w:rPr>
      </w:pPr>
      <w:r>
        <w:rPr>
          <w:rFonts w:ascii="Times New Roman" w:hAnsi="Times New Roman" w:cs="Times New Roman" w:eastAsia="Times New Roman" w:hint="default"/>
        </w:rPr>
        <w:t>2</w:t>
      </w:r>
      <w:r>
        <w:rPr/>
        <w:t>、应收票据</w:t>
      </w:r>
      <w:r>
        <w:rPr>
          <w:b w:val="0"/>
          <w:bCs w:val="0"/>
        </w:rPr>
      </w:r>
    </w:p>
    <w:p>
      <w:pPr>
        <w:pStyle w:val="BodyText"/>
        <w:spacing w:line="240" w:lineRule="auto" w:before="111"/>
        <w:ind w:left="222" w:right="0"/>
        <w:jc w:val="left"/>
      </w:pPr>
      <w:r>
        <w:rPr>
          <w:w w:val="95"/>
        </w:rPr>
        <w:t>（</w:t>
      </w:r>
      <w:r>
        <w:rPr>
          <w:rFonts w:ascii="Times New Roman" w:hAnsi="Times New Roman" w:cs="Times New Roman" w:eastAsia="Times New Roman" w:hint="default"/>
          <w:w w:val="95"/>
        </w:rPr>
        <w:t>1</w:t>
      </w:r>
      <w:r>
        <w:rPr>
          <w:w w:val="95"/>
        </w:rPr>
        <w:t>）应收票据分类</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22" w:right="0"/>
        <w:jc w:val="left"/>
      </w:pPr>
      <w:r>
        <w:rPr/>
        <w:t>单位：元</w:t>
      </w:r>
      <w:r>
        <w:rPr>
          <w:spacing w:val="-3"/>
        </w:rPr>
        <w:t> </w:t>
      </w:r>
      <w:r>
        <w:rPr/>
        <w:t>币种：人民币</w:t>
      </w:r>
    </w:p>
    <w:p>
      <w:pPr>
        <w:spacing w:after="0" w:line="240" w:lineRule="auto"/>
        <w:jc w:val="left"/>
        <w:sectPr>
          <w:type w:val="continuous"/>
          <w:pgSz w:w="11910" w:h="16840"/>
          <w:pgMar w:top="940" w:bottom="920" w:left="1580" w:right="1680"/>
          <w:cols w:num="2" w:equalWidth="0">
            <w:col w:w="2006" w:space="4090"/>
            <w:col w:w="2554"/>
          </w:cols>
        </w:sectPr>
      </w:pP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83"/>
        <w:gridCol w:w="2515"/>
        <w:gridCol w:w="2578"/>
      </w:tblGrid>
      <w:tr>
        <w:trPr>
          <w:trHeight w:val="420"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w w:val="95"/>
                <w:sz w:val="21"/>
              </w:rPr>
              <w:t>1,216,006.00</w:t>
            </w:r>
            <w:r>
              <w:rPr>
                <w:rFonts w:ascii="Times New Roman"/>
                <w:sz w:val="21"/>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9,515,267.17</w:t>
            </w:r>
            <w:r>
              <w:rPr>
                <w:rFonts w:ascii="Times New Roman"/>
                <w:sz w:val="21"/>
              </w:rPr>
            </w:r>
          </w:p>
        </w:tc>
      </w:tr>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32,868,730.00</w:t>
            </w:r>
            <w:r>
              <w:rPr>
                <w:rFonts w:ascii="Times New Roman"/>
                <w:sz w:val="21"/>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0"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已贴现未到期的银行承兑汇票</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18,378,137.86</w:t>
            </w:r>
            <w:r>
              <w:rPr>
                <w:rFonts w:ascii="Times New Roman"/>
                <w:sz w:val="21"/>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8,080,000.00</w:t>
            </w:r>
            <w:r>
              <w:rPr>
                <w:rFonts w:ascii="Times New Roman"/>
                <w:sz w:val="21"/>
              </w:rPr>
            </w:r>
          </w:p>
        </w:tc>
      </w:tr>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52,462,873.86</w:t>
            </w:r>
            <w:r>
              <w:rPr>
                <w:rFonts w:ascii="Times New Roman"/>
                <w:sz w:val="21"/>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17,595,267.17</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222" w:right="0"/>
        <w:jc w:val="left"/>
      </w:pPr>
      <w:r>
        <w:rPr/>
        <w:t>（</w:t>
      </w:r>
      <w:r>
        <w:rPr>
          <w:rFonts w:ascii="Times New Roman" w:hAnsi="Times New Roman" w:cs="Times New Roman" w:eastAsia="Times New Roman" w:hint="default"/>
        </w:rPr>
        <w:t>2</w:t>
      </w:r>
      <w:r>
        <w:rPr/>
        <w:t>）期末公司已经背书给他方但尚未到期的票据情况</w:t>
      </w:r>
    </w:p>
    <w:p>
      <w:pPr>
        <w:pStyle w:val="BodyText"/>
        <w:spacing w:line="240" w:lineRule="auto" w:before="117"/>
        <w:ind w:left="0" w:right="12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19.2pt;height:.5pt;mso-position-horizontal-relative:char;mso-position-vertical-relative:line" coordorigin="0,0" coordsize="8384,10">
            <v:group style="position:absolute;left:5;top:5;width:8374;height:2" coordorigin="5,5" coordsize="8374,2">
              <v:shape style="position:absolute;left:5;top:5;width:8374;height:2" coordorigin="5,5" coordsize="8374,0" path="m5,5l8378,5e" filled="false" stroked="true" strokeweight=".48pt" strokecolor="#000000">
                <v:path arrowok="t"/>
              </v:shape>
            </v:group>
          </v:group>
        </w:pict>
      </w:r>
      <w:r>
        <w:rPr>
          <w:rFonts w:ascii="宋体" w:hAnsi="宋体" w:cs="宋体" w:eastAsia="宋体" w:hint="default"/>
          <w:sz w:val="2"/>
          <w:szCs w:val="2"/>
        </w:rPr>
      </w:r>
    </w:p>
    <w:p>
      <w:pPr>
        <w:pStyle w:val="BodyText"/>
        <w:spacing w:line="230" w:lineRule="exact"/>
        <w:ind w:left="239" w:right="0"/>
        <w:jc w:val="left"/>
      </w:pPr>
      <w:r>
        <w:rPr/>
        <w:t>公司已经背书给其他方但尚未到期的票据前五名单位：</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2"/>
        <w:gridCol w:w="1217"/>
        <w:gridCol w:w="1188"/>
        <w:gridCol w:w="1361"/>
        <w:gridCol w:w="1666"/>
      </w:tblGrid>
      <w:tr>
        <w:trPr>
          <w:trHeight w:val="41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变压器有限公司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2010.9.16</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w w:val="95"/>
                <w:sz w:val="21"/>
              </w:rPr>
              <w:t>2011.3.14</w:t>
            </w:r>
            <w:r>
              <w:rPr>
                <w:rFonts w:ascii="Times New Roman"/>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spacing w:val="-1"/>
                <w:sz w:val="21"/>
              </w:rPr>
              <w:t>4,311,427.03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BB/0103222373</w:t>
            </w:r>
            <w:r>
              <w:rPr>
                <w:rFonts w:ascii="Times New Roman"/>
                <w:sz w:val="21"/>
              </w:rPr>
            </w:r>
          </w:p>
        </w:tc>
      </w:tr>
      <w:tr>
        <w:trPr>
          <w:trHeight w:val="419"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江苏圣安电缆有限公司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2010.10.9</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w w:val="95"/>
                <w:sz w:val="21"/>
              </w:rPr>
              <w:t>2011.4.9</w:t>
            </w:r>
            <w:r>
              <w:rPr>
                <w:rFonts w:ascii="Times New Roman"/>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1,500,000.00</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DB/0105672907</w:t>
            </w:r>
            <w:r>
              <w:rPr>
                <w:rFonts w:ascii="Times New Roman"/>
                <w:sz w:val="21"/>
              </w:rPr>
            </w:r>
          </w:p>
        </w:tc>
      </w:tr>
      <w:tr>
        <w:trPr>
          <w:trHeight w:val="41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江苏藤仓亨通光电有限公司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2010.10.21</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w w:val="95"/>
                <w:sz w:val="21"/>
              </w:rPr>
              <w:t>2011.4.21</w:t>
            </w:r>
            <w:r>
              <w:rPr>
                <w:rFonts w:ascii="Times New Roman"/>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1,350,000.00</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GA/0102666595</w:t>
            </w:r>
            <w:r>
              <w:rPr>
                <w:rFonts w:ascii="Times New Roman"/>
                <w:sz w:val="21"/>
              </w:rPr>
            </w:r>
          </w:p>
        </w:tc>
      </w:tr>
      <w:tr>
        <w:trPr>
          <w:trHeight w:val="420"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浦江新兴服饰有限公司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2010.9.6</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w w:val="95"/>
                <w:sz w:val="21"/>
              </w:rPr>
              <w:t>2011.3.6</w:t>
            </w:r>
            <w:r>
              <w:rPr>
                <w:rFonts w:ascii="Times New Roman"/>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CA/0102425506</w:t>
            </w:r>
            <w:r>
              <w:rPr>
                <w:rFonts w:ascii="Times New Roman"/>
                <w:sz w:val="21"/>
              </w:rPr>
            </w:r>
          </w:p>
        </w:tc>
      </w:tr>
      <w:tr>
        <w:trPr>
          <w:trHeight w:val="41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沈阳电缆产业有限公司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w w:val="95"/>
                <w:sz w:val="21"/>
              </w:rPr>
              <w:t>2010.11.9</w:t>
            </w:r>
            <w:r>
              <w:rPr>
                <w:rFonts w:ascii="Times New Roman"/>
                <w:spacing w:val="-1"/>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w w:val="95"/>
                <w:sz w:val="21"/>
              </w:rPr>
              <w:t>2011.5.9</w:t>
            </w:r>
            <w:r>
              <w:rPr>
                <w:rFonts w:ascii="Times New Roman"/>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1,000,000.00</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GA/0101407384</w:t>
            </w:r>
            <w:r>
              <w:rPr>
                <w:rFonts w:ascii="Times New Roman"/>
                <w:sz w:val="21"/>
              </w:rPr>
            </w:r>
          </w:p>
        </w:tc>
      </w:tr>
      <w:tr>
        <w:trPr>
          <w:trHeight w:val="418" w:hRule="exact"/>
        </w:trPr>
        <w:tc>
          <w:tcPr>
            <w:tcW w:w="29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9,161,427.03</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642" w:right="0"/>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日，本公司以未到期的银行承兑汇票背书给第三方金额共计</w:t>
      </w:r>
    </w:p>
    <w:p>
      <w:pPr>
        <w:pStyle w:val="BodyText"/>
        <w:spacing w:line="240" w:lineRule="auto" w:before="119"/>
        <w:ind w:left="222" w:right="0"/>
        <w:jc w:val="left"/>
      </w:pPr>
      <w:r>
        <w:rPr>
          <w:rFonts w:ascii="Times New Roman" w:hAnsi="Times New Roman" w:cs="Times New Roman" w:eastAsia="Times New Roman" w:hint="default"/>
        </w:rPr>
        <w:t>29,400,047.75</w:t>
      </w:r>
      <w:r>
        <w:rPr/>
        <w:t>元。</w:t>
      </w:r>
    </w:p>
    <w:p>
      <w:pPr>
        <w:spacing w:line="240" w:lineRule="auto" w:before="0"/>
        <w:rPr>
          <w:rFonts w:ascii="宋体" w:hAnsi="宋体" w:cs="宋体" w:eastAsia="宋体" w:hint="default"/>
          <w:sz w:val="22"/>
          <w:szCs w:val="22"/>
        </w:rPr>
      </w:pPr>
    </w:p>
    <w:p>
      <w:pPr>
        <w:pStyle w:val="BodyText"/>
        <w:spacing w:line="240" w:lineRule="auto" w:before="192"/>
        <w:ind w:left="222" w:right="0"/>
        <w:jc w:val="left"/>
      </w:pPr>
      <w:r>
        <w:rPr/>
        <w:t>（</w:t>
      </w:r>
      <w:r>
        <w:rPr>
          <w:rFonts w:ascii="Times New Roman" w:hAnsi="Times New Roman" w:cs="Times New Roman" w:eastAsia="Times New Roman" w:hint="default"/>
        </w:rPr>
        <w:t>3</w:t>
      </w:r>
      <w:r>
        <w:rPr/>
        <w:t>）应收票据期末余额中无持有本公司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）以上股份的股东单位的欠款。</w:t>
      </w:r>
    </w:p>
    <w:p>
      <w:pPr>
        <w:spacing w:line="240" w:lineRule="auto" w:before="0"/>
        <w:rPr>
          <w:rFonts w:ascii="宋体" w:hAnsi="宋体" w:cs="宋体" w:eastAsia="宋体" w:hint="default"/>
          <w:sz w:val="22"/>
          <w:szCs w:val="22"/>
        </w:rPr>
      </w:pPr>
    </w:p>
    <w:p>
      <w:pPr>
        <w:pStyle w:val="BodyText"/>
        <w:spacing w:line="240" w:lineRule="auto" w:before="192"/>
        <w:ind w:left="222" w:right="0"/>
        <w:jc w:val="left"/>
      </w:pPr>
      <w:r>
        <w:rPr/>
        <w:t>（</w:t>
      </w:r>
      <w:r>
        <w:rPr>
          <w:rFonts w:ascii="Times New Roman" w:hAnsi="Times New Roman" w:cs="Times New Roman" w:eastAsia="Times New Roman" w:hint="default"/>
        </w:rPr>
        <w:t>4</w:t>
      </w:r>
      <w:r>
        <w:rPr/>
        <w:t>）已贴现未到期的应收票据：</w:t>
      </w:r>
    </w:p>
    <w:p>
      <w:pPr>
        <w:pStyle w:val="BodyText"/>
        <w:spacing w:line="240" w:lineRule="auto" w:before="117"/>
        <w:ind w:left="642" w:right="0"/>
        <w:jc w:val="left"/>
      </w:pPr>
      <w:r>
        <w:rPr/>
        <w:t>截止</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年末，本公司以收到的未到期银行承兑汇票共</w:t>
      </w:r>
      <w:r>
        <w:rPr>
          <w:spacing w:val="-66"/>
        </w:rPr>
        <w:t> </w:t>
      </w:r>
      <w:r>
        <w:rPr>
          <w:rFonts w:ascii="Times New Roman" w:hAnsi="Times New Roman" w:cs="Times New Roman" w:eastAsia="Times New Roman" w:hint="default"/>
        </w:rPr>
        <w:t>18,378,137.86</w:t>
      </w:r>
      <w:r>
        <w:rPr>
          <w:rFonts w:ascii="Times New Roman" w:hAnsi="Times New Roman" w:cs="Times New Roman" w:eastAsia="Times New Roman" w:hint="default"/>
          <w:spacing w:val="-16"/>
        </w:rPr>
        <w:t> </w:t>
      </w:r>
      <w:r>
        <w:rPr/>
        <w:t>元申请了银行贴</w:t>
      </w:r>
    </w:p>
    <w:p>
      <w:pPr>
        <w:pStyle w:val="BodyText"/>
        <w:spacing w:line="240" w:lineRule="auto" w:before="119"/>
        <w:ind w:left="222" w:right="0"/>
        <w:jc w:val="left"/>
      </w:pPr>
      <w:r>
        <w:rPr/>
        <w:t>现，该等银行承兑汇票在</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月到期。</w:t>
      </w:r>
    </w:p>
    <w:p>
      <w:pPr>
        <w:spacing w:after="0" w:line="240" w:lineRule="auto"/>
        <w:jc w:val="left"/>
        <w:sectPr>
          <w:type w:val="continuous"/>
          <w:pgSz w:w="11910" w:h="16840"/>
          <w:pgMar w:top="940" w:bottom="920" w:left="1580" w:right="1680"/>
        </w:sect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2"/>
          <w:pgSz w:w="11910" w:h="16840"/>
          <w:pgMar w:footer="1590" w:header="1058" w:top="1780" w:bottom="1780" w:left="1580" w:right="1680"/>
        </w:sectPr>
      </w:pPr>
    </w:p>
    <w:p>
      <w:pPr>
        <w:pStyle w:val="Heading4"/>
        <w:spacing w:line="333" w:lineRule="exact"/>
        <w:ind w:left="228" w:right="0"/>
        <w:jc w:val="left"/>
        <w:rPr>
          <w:b w:val="0"/>
          <w:bCs w:val="0"/>
        </w:rPr>
      </w:pPr>
      <w:bookmarkStart w:name="3、应收账款" w:id="51"/>
      <w:bookmarkEnd w:id="51"/>
      <w:r>
        <w:rPr>
          <w:b w:val="0"/>
          <w:bCs w:val="0"/>
        </w:rPr>
      </w:r>
      <w:r>
        <w:rPr>
          <w:rFonts w:ascii="Times New Roman" w:hAnsi="Times New Roman" w:cs="Times New Roman" w:eastAsia="Times New Roman" w:hint="default"/>
        </w:rPr>
        <w:t>3</w:t>
      </w:r>
      <w:r>
        <w:rPr/>
        <w:t>、应收账款</w:t>
      </w:r>
      <w:r>
        <w:rPr>
          <w:b w:val="0"/>
          <w:bCs w:val="0"/>
        </w:rPr>
      </w:r>
    </w:p>
    <w:p>
      <w:pPr>
        <w:pStyle w:val="BodyText"/>
        <w:spacing w:line="240" w:lineRule="auto" w:before="109"/>
        <w:ind w:left="222" w:right="0"/>
        <w:jc w:val="left"/>
      </w:pPr>
      <w:r>
        <w:rPr>
          <w:w w:val="95"/>
        </w:rPr>
        <w:t>（</w:t>
      </w:r>
      <w:r>
        <w:rPr>
          <w:rFonts w:ascii="Times New Roman" w:hAnsi="Times New Roman" w:cs="Times New Roman" w:eastAsia="Times New Roman" w:hint="default"/>
          <w:w w:val="95"/>
        </w:rPr>
        <w:t>1</w:t>
      </w:r>
      <w:r>
        <w:rPr>
          <w:w w:val="95"/>
        </w:rPr>
        <w:t>）应收账款按种类披露：</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222" w:right="0"/>
        <w:jc w:val="left"/>
      </w:pPr>
      <w:r>
        <w:rPr/>
        <w:t>单位：元</w:t>
      </w:r>
      <w:r>
        <w:rPr>
          <w:spacing w:val="-3"/>
        </w:rPr>
        <w:t> </w:t>
      </w:r>
      <w:r>
        <w:rPr/>
        <w:t>币种：人民币</w:t>
      </w:r>
    </w:p>
    <w:p>
      <w:pPr>
        <w:spacing w:after="0" w:line="240" w:lineRule="auto"/>
        <w:jc w:val="left"/>
        <w:sectPr>
          <w:type w:val="continuous"/>
          <w:pgSz w:w="11910" w:h="16840"/>
          <w:pgMar w:top="940" w:bottom="920" w:left="1580" w:right="1680"/>
          <w:cols w:num="2" w:equalWidth="0">
            <w:col w:w="2846" w:space="3039"/>
            <w:col w:w="2765"/>
          </w:cols>
        </w:sectPr>
      </w:pP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309"/>
        <w:gridCol w:w="1812"/>
        <w:gridCol w:w="1433"/>
        <w:gridCol w:w="1378"/>
        <w:gridCol w:w="1471"/>
      </w:tblGrid>
      <w:tr>
        <w:trPr>
          <w:trHeight w:val="365" w:hRule="exact"/>
        </w:trPr>
        <w:tc>
          <w:tcPr>
            <w:tcW w:w="2309"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094"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6" w:hRule="exact"/>
        </w:trPr>
        <w:tc>
          <w:tcPr>
            <w:tcW w:w="2309" w:type="dxa"/>
            <w:vMerge/>
            <w:tcBorders>
              <w:left w:val="nil" w:sz="6" w:space="0" w:color="auto"/>
              <w:right w:val="single" w:sz="6" w:space="0" w:color="000000"/>
            </w:tcBorders>
          </w:tcPr>
          <w:p>
            <w:pPr/>
          </w:p>
        </w:tc>
        <w:tc>
          <w:tcPr>
            <w:tcW w:w="32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49"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6" w:hRule="exact"/>
        </w:trPr>
        <w:tc>
          <w:tcPr>
            <w:tcW w:w="2309" w:type="dxa"/>
            <w:vMerge/>
            <w:tcBorders>
              <w:left w:val="nil" w:sz="6" w:space="0" w:color="auto"/>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34" w:hRule="exact"/>
        </w:trPr>
        <w:tc>
          <w:tcPr>
            <w:tcW w:w="230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121,838,599.29</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100.00%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5,723,550.77</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4.70%</w:t>
            </w:r>
          </w:p>
        </w:tc>
      </w:tr>
    </w:tbl>
    <w:p>
      <w:pPr>
        <w:spacing w:line="240" w:lineRule="auto" w:before="9"/>
        <w:rPr>
          <w:rFonts w:ascii="宋体" w:hAnsi="宋体" w:cs="宋体" w:eastAsia="宋体" w:hint="default"/>
          <w:sz w:val="22"/>
          <w:szCs w:val="22"/>
        </w:rPr>
      </w:pPr>
    </w:p>
    <w:p>
      <w:pPr>
        <w:pStyle w:val="BodyText"/>
        <w:spacing w:line="240" w:lineRule="auto" w:before="34"/>
        <w:ind w:left="0" w:right="33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294"/>
        <w:gridCol w:w="1826"/>
        <w:gridCol w:w="1445"/>
        <w:gridCol w:w="1366"/>
        <w:gridCol w:w="1459"/>
      </w:tblGrid>
      <w:tr>
        <w:trPr>
          <w:trHeight w:val="365" w:hRule="exact"/>
        </w:trPr>
        <w:tc>
          <w:tcPr>
            <w:tcW w:w="2294"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096"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7" w:hRule="exact"/>
        </w:trPr>
        <w:tc>
          <w:tcPr>
            <w:tcW w:w="2294" w:type="dxa"/>
            <w:vMerge/>
            <w:tcBorders>
              <w:left w:val="nil" w:sz="6" w:space="0" w:color="auto"/>
              <w:right w:val="single" w:sz="6" w:space="0" w:color="000000"/>
            </w:tcBorders>
          </w:tcPr>
          <w:p>
            <w:pPr/>
          </w:p>
        </w:tc>
        <w:tc>
          <w:tcPr>
            <w:tcW w:w="32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5"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294" w:type="dxa"/>
            <w:vMerge/>
            <w:tcBorders>
              <w:left w:val="nil" w:sz="6" w:space="0" w:color="auto"/>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5"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88" w:right="0"/>
              <w:jc w:val="left"/>
              <w:rPr>
                <w:rFonts w:ascii="Times New Roman" w:hAnsi="Times New Roman" w:cs="Times New Roman" w:eastAsia="Times New Roman" w:hint="default"/>
                <w:sz w:val="18"/>
                <w:szCs w:val="18"/>
              </w:rPr>
            </w:pPr>
            <w:r>
              <w:rPr>
                <w:rFonts w:ascii="Times New Roman"/>
                <w:sz w:val="18"/>
              </w:rPr>
              <w:t>108,722,470.44</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04" w:right="0"/>
              <w:jc w:val="left"/>
              <w:rPr>
                <w:rFonts w:ascii="Times New Roman" w:hAnsi="Times New Roman" w:cs="Times New Roman" w:eastAsia="Times New Roman" w:hint="default"/>
                <w:sz w:val="18"/>
                <w:szCs w:val="18"/>
              </w:rPr>
            </w:pPr>
            <w:r>
              <w:rPr>
                <w:rFonts w:ascii="Times New Roman"/>
                <w:sz w:val="18"/>
              </w:rPr>
              <w:t>3,679,820.24</w:t>
            </w:r>
          </w:p>
        </w:tc>
        <w:tc>
          <w:tcPr>
            <w:tcW w:w="14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left="880" w:right="0"/>
              <w:jc w:val="left"/>
              <w:rPr>
                <w:rFonts w:ascii="Times New Roman" w:hAnsi="Times New Roman" w:cs="Times New Roman" w:eastAsia="Times New Roman" w:hint="default"/>
                <w:sz w:val="18"/>
                <w:szCs w:val="18"/>
              </w:rPr>
            </w:pPr>
            <w:r>
              <w:rPr>
                <w:rFonts w:ascii="Times New Roman"/>
                <w:sz w:val="18"/>
              </w:rPr>
              <w:t>3.38%</w:t>
            </w:r>
          </w:p>
        </w:tc>
      </w:tr>
    </w:tbl>
    <w:p>
      <w:pPr>
        <w:spacing w:line="240" w:lineRule="auto" w:before="6"/>
        <w:rPr>
          <w:rFonts w:ascii="宋体" w:hAnsi="宋体" w:cs="宋体" w:eastAsia="宋体" w:hint="default"/>
          <w:sz w:val="22"/>
          <w:szCs w:val="22"/>
        </w:rPr>
      </w:pPr>
    </w:p>
    <w:p>
      <w:pPr>
        <w:pStyle w:val="BodyText"/>
        <w:spacing w:line="240" w:lineRule="auto" w:before="34"/>
        <w:ind w:left="222" w:right="0"/>
        <w:jc w:val="left"/>
      </w:pPr>
      <w:r>
        <w:rPr/>
        <w:t>应收账款种类的说明：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4"/>
        <w:ind w:left="222" w:right="0"/>
        <w:jc w:val="left"/>
      </w:pPr>
      <w:r>
        <w:rPr/>
        <w:t>组合中，按账龄分析法计提坏账准备的应收账款：</w:t>
      </w:r>
    </w:p>
    <w:p>
      <w:pPr>
        <w:pStyle w:val="BodyText"/>
        <w:spacing w:line="240" w:lineRule="auto" w:before="133"/>
        <w:ind w:left="0" w:right="33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984"/>
        <w:gridCol w:w="1433"/>
        <w:gridCol w:w="955"/>
        <w:gridCol w:w="1363"/>
        <w:gridCol w:w="1474"/>
        <w:gridCol w:w="900"/>
        <w:gridCol w:w="1282"/>
      </w:tblGrid>
      <w:tr>
        <w:trPr>
          <w:trHeight w:val="367" w:hRule="exact"/>
        </w:trPr>
        <w:tc>
          <w:tcPr>
            <w:tcW w:w="984"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7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55" w:type="dxa"/>
            <w:gridSpan w:val="3"/>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984" w:type="dxa"/>
            <w:vMerge/>
            <w:tcBorders>
              <w:left w:val="nil" w:sz="6" w:space="0" w:color="auto"/>
              <w:right w:val="single" w:sz="6" w:space="0" w:color="000000"/>
            </w:tcBorders>
          </w:tcPr>
          <w:p>
            <w:pP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3" w:type="dxa"/>
            <w:vMerge w:val="restart"/>
            <w:tcBorders>
              <w:top w:val="single" w:sz="6" w:space="0" w:color="000000"/>
              <w:left w:val="single" w:sz="6" w:space="0" w:color="000000"/>
              <w:right w:val="single" w:sz="6" w:space="0" w:color="000000"/>
            </w:tcBorders>
          </w:tcPr>
          <w:p>
            <w:pPr>
              <w:pStyle w:val="TableParagraph"/>
              <w:spacing w:line="240" w:lineRule="auto" w:before="152"/>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vMerge w:val="restart"/>
            <w:tcBorders>
              <w:top w:val="single" w:sz="6" w:space="0" w:color="000000"/>
              <w:left w:val="single" w:sz="6" w:space="0" w:color="000000"/>
              <w:right w:val="nil" w:sz="6" w:space="0" w:color="auto"/>
            </w:tcBorders>
          </w:tcPr>
          <w:p>
            <w:pPr>
              <w:pStyle w:val="TableParagraph"/>
              <w:spacing w:line="240" w:lineRule="auto" w:before="152"/>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984" w:type="dxa"/>
            <w:vMerge/>
            <w:tcBorders>
              <w:left w:val="nil" w:sz="6" w:space="0" w:color="auto"/>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3" w:type="dxa"/>
            <w:vMerge/>
            <w:tcBorders>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2" w:type="dxa"/>
            <w:vMerge/>
            <w:tcBorders>
              <w:left w:val="single" w:sz="6" w:space="0" w:color="000000"/>
              <w:bottom w:val="single" w:sz="6" w:space="0" w:color="000000"/>
              <w:right w:val="nil" w:sz="6" w:space="0" w:color="auto"/>
            </w:tcBorders>
          </w:tcPr>
          <w:p>
            <w:pPr/>
          </w:p>
        </w:tc>
      </w:tr>
      <w:tr>
        <w:trPr>
          <w:trHeight w:val="636" w:hRule="exact"/>
        </w:trPr>
        <w:tc>
          <w:tcPr>
            <w:tcW w:w="984"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115,675,730.44</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94.94%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3,470,271.91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105,666,805.46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97.19%</w:t>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3,170,004.15</w:t>
            </w:r>
          </w:p>
        </w:tc>
      </w:tr>
      <w:tr>
        <w:trPr>
          <w:trHeight w:val="636" w:hRule="exact"/>
        </w:trPr>
        <w:tc>
          <w:tcPr>
            <w:tcW w:w="984"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3,041,073.79</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2.50%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304,107.38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2,689,585.55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2.48%</w:t>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268,958.56</w:t>
            </w:r>
          </w:p>
        </w:tc>
      </w:tr>
      <w:tr>
        <w:trPr>
          <w:trHeight w:val="636" w:hRule="exact"/>
        </w:trPr>
        <w:tc>
          <w:tcPr>
            <w:tcW w:w="984"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1,465,779.47</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293,155.89</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156,527.38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0.14%</w:t>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31,305.48</w:t>
            </w:r>
          </w:p>
        </w:tc>
      </w:tr>
      <w:tr>
        <w:trPr>
          <w:trHeight w:val="635" w:hRule="exact"/>
        </w:trPr>
        <w:tc>
          <w:tcPr>
            <w:tcW w:w="984"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1,656,015.59</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1.36%</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1,656,015.59</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209,552.05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0.19%</w:t>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209,552.05</w:t>
            </w:r>
          </w:p>
        </w:tc>
      </w:tr>
      <w:tr>
        <w:trPr>
          <w:trHeight w:val="635" w:hRule="exact"/>
        </w:trPr>
        <w:tc>
          <w:tcPr>
            <w:tcW w:w="984" w:type="dxa"/>
            <w:tcBorders>
              <w:top w:val="single" w:sz="6" w:space="0" w:color="000000"/>
              <w:left w:val="nil" w:sz="6" w:space="0" w:color="auto"/>
              <w:bottom w:val="single" w:sz="6" w:space="0" w:color="000000"/>
              <w:right w:val="single" w:sz="6"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121,838,599.29</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5,723,550.77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108,722,470.44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3,679,820.24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36" w:lineRule="auto"/>
        <w:ind w:left="222" w:right="5989"/>
        <w:jc w:val="left"/>
      </w:pPr>
      <w:r>
        <w:rPr/>
        <w:t>（</w:t>
      </w:r>
      <w:r>
        <w:rPr>
          <w:rFonts w:ascii="Times New Roman" w:hAnsi="Times New Roman" w:cs="Times New Roman" w:eastAsia="Times New Roman" w:hint="default"/>
        </w:rPr>
        <w:t>2</w:t>
      </w:r>
      <w:r>
        <w:rPr/>
        <w:t>）本期转回或收回情况</w:t>
      </w:r>
      <w:r>
        <w:rPr>
          <w:w w:val="99"/>
        </w:rPr>
        <w:t> </w:t>
      </w:r>
      <w:r>
        <w:rPr/>
        <w:t>无。</w:t>
      </w:r>
    </w:p>
    <w:p>
      <w:pPr>
        <w:spacing w:after="0" w:line="336" w:lineRule="auto"/>
        <w:jc w:val="left"/>
        <w:sectPr>
          <w:type w:val="continuous"/>
          <w:pgSz w:w="11910" w:h="16840"/>
          <w:pgMar w:top="940" w:bottom="920" w:left="1580" w:right="1680"/>
        </w:sectPr>
      </w:pPr>
    </w:p>
    <w:p>
      <w:pPr>
        <w:pStyle w:val="BodyText"/>
        <w:spacing w:line="274" w:lineRule="exact"/>
        <w:ind w:left="842" w:right="0"/>
        <w:jc w:val="left"/>
      </w:pPr>
      <w:bookmarkStart w:name="4、预付款项" w:id="52"/>
      <w:bookmarkEnd w:id="52"/>
      <w:r>
        <w:rPr/>
      </w:r>
      <w:r>
        <w:rPr/>
        <w:t>（</w:t>
      </w:r>
      <w:r>
        <w:rPr>
          <w:rFonts w:ascii="Times New Roman" w:hAnsi="Times New Roman" w:cs="Times New Roman" w:eastAsia="Times New Roman" w:hint="default"/>
        </w:rPr>
        <w:t>3</w:t>
      </w:r>
      <w:r>
        <w:rPr/>
        <w:t>）本报告期应收账款中无持公司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以上表决权股份的股东单位欠款。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842" w:right="0"/>
        <w:jc w:val="left"/>
      </w:pPr>
      <w:r>
        <w:rPr/>
        <w:t>（</w:t>
      </w:r>
      <w:r>
        <w:rPr>
          <w:rFonts w:ascii="Times New Roman" w:hAnsi="Times New Roman" w:cs="Times New Roman" w:eastAsia="Times New Roman" w:hint="default"/>
        </w:rPr>
        <w:t>4</w:t>
      </w:r>
      <w:r>
        <w:rPr/>
        <w:t>）应收账款金额前五名单位情况</w:t>
      </w:r>
    </w:p>
    <w:p>
      <w:pPr>
        <w:pStyle w:val="BodyText"/>
        <w:tabs>
          <w:tab w:pos="1051" w:val="left" w:leader="none"/>
        </w:tabs>
        <w:spacing w:line="240" w:lineRule="auto" w:before="117"/>
        <w:ind w:left="0" w:right="921"/>
        <w:jc w:val="right"/>
      </w:pPr>
      <w:r>
        <w:rPr>
          <w:w w:val="95"/>
        </w:rPr>
        <w:t>单位：元</w:t>
        <w:tab/>
        <w:t>币种：人民币</w:t>
      </w:r>
      <w:r>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808"/>
        <w:gridCol w:w="1690"/>
        <w:gridCol w:w="1690"/>
        <w:gridCol w:w="1692"/>
        <w:gridCol w:w="1949"/>
      </w:tblGrid>
      <w:tr>
        <w:trPr>
          <w:trHeight w:val="828" w:hRule="exact"/>
        </w:trPr>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21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42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42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9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40" w:lineRule="auto" w:before="13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南京优路电缆有限责任公司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4,905,956.69</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4.03%</w:t>
            </w:r>
            <w:r>
              <w:rPr>
                <w:rFonts w:ascii="Times New Roman"/>
                <w:sz w:val="21"/>
              </w:rPr>
            </w:r>
          </w:p>
        </w:tc>
      </w:tr>
      <w:tr>
        <w:trPr>
          <w:trHeight w:val="42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东莞市华达电缆厂</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3,390,082.10</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2.78%</w:t>
            </w:r>
            <w:r>
              <w:rPr>
                <w:rFonts w:ascii="Times New Roman"/>
                <w:sz w:val="21"/>
              </w:rPr>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江苏迁宇电线电缆有限公司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w w:val="95"/>
                <w:sz w:val="21"/>
              </w:rPr>
              <w:t>3,271,813.46</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
              <w:jc w:val="right"/>
              <w:rPr>
                <w:rFonts w:ascii="Times New Roman" w:hAnsi="Times New Roman" w:cs="Times New Roman" w:eastAsia="Times New Roman" w:hint="default"/>
                <w:sz w:val="21"/>
                <w:szCs w:val="21"/>
              </w:rPr>
            </w:pPr>
            <w:r>
              <w:rPr>
                <w:rFonts w:ascii="Times New Roman"/>
                <w:w w:val="95"/>
                <w:sz w:val="21"/>
              </w:rPr>
              <w:t>2.69%</w:t>
            </w:r>
            <w:r>
              <w:rPr>
                <w:rFonts w:ascii="Times New Roman"/>
                <w:sz w:val="21"/>
              </w:rPr>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江苏银龙电力电缆有限公司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spacing w:val="-1"/>
                <w:w w:val="95"/>
                <w:sz w:val="21"/>
              </w:rPr>
              <w:t>3,117,375.63</w:t>
            </w:r>
            <w:r>
              <w:rPr>
                <w:rFonts w:ascii="Times New Roman"/>
                <w:spacing w:val="-1"/>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2.56%</w:t>
            </w:r>
            <w:r>
              <w:rPr>
                <w:rFonts w:ascii="Times New Roman"/>
                <w:sz w:val="21"/>
              </w:rPr>
            </w:r>
          </w:p>
        </w:tc>
      </w:tr>
      <w:tr>
        <w:trPr>
          <w:trHeight w:val="41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贵州电力线路器材厂</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3,069,204.24</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2.52%</w:t>
            </w:r>
            <w:r>
              <w:rPr>
                <w:rFonts w:ascii="Times New Roman"/>
                <w:sz w:val="21"/>
              </w:rPr>
            </w:r>
          </w:p>
        </w:tc>
      </w:tr>
      <w:tr>
        <w:trPr>
          <w:trHeight w:val="419" w:hRule="exact"/>
        </w:trPr>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17,754,432.12</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21"/>
                <w:szCs w:val="21"/>
              </w:rPr>
            </w:pPr>
            <w:r>
              <w:rPr>
                <w:rFonts w:ascii="Times New Roman"/>
                <w:w w:val="95"/>
                <w:sz w:val="21"/>
              </w:rPr>
              <w:t>14.57%</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842" w:right="0"/>
        <w:jc w:val="left"/>
      </w:pPr>
      <w:r>
        <w:rPr/>
        <w:t>（</w:t>
      </w:r>
      <w:r>
        <w:rPr>
          <w:spacing w:val="-89"/>
        </w:rPr>
        <w:t> </w:t>
      </w:r>
      <w:r>
        <w:rPr>
          <w:rFonts w:ascii="Times New Roman" w:hAnsi="Times New Roman" w:cs="Times New Roman" w:eastAsia="Times New Roman" w:hint="default"/>
          <w:spacing w:val="9"/>
        </w:rPr>
        <w:t>5</w:t>
      </w:r>
      <w:r>
        <w:rPr>
          <w:spacing w:val="9"/>
        </w:rPr>
        <w:t>）</w:t>
      </w:r>
      <w:r>
        <w:rPr>
          <w:spacing w:val="-89"/>
        </w:rPr>
        <w:t> </w:t>
      </w:r>
      <w:r>
        <w:rPr>
          <w:spacing w:val="15"/>
        </w:rPr>
        <w:t>本公司在报告期内，</w:t>
      </w:r>
      <w:r>
        <w:rPr>
          <w:spacing w:val="-89"/>
        </w:rPr>
        <w:t> </w:t>
      </w:r>
      <w:r>
        <w:rPr>
          <w:spacing w:val="15"/>
        </w:rPr>
        <w:t>根据应收账款的可回收性，</w:t>
      </w:r>
      <w:r>
        <w:rPr>
          <w:spacing w:val="-89"/>
        </w:rPr>
        <w:t> </w:t>
      </w:r>
      <w:r>
        <w:rPr>
          <w:spacing w:val="15"/>
        </w:rPr>
        <w:t>共核销了应收账款及坏账准</w:t>
      </w:r>
      <w:r>
        <w:rPr>
          <w:spacing w:val="-67"/>
        </w:rPr>
        <w:t> </w:t>
      </w:r>
      <w:r>
        <w:rPr/>
        <w:t>备</w:t>
      </w:r>
    </w:p>
    <w:p>
      <w:pPr>
        <w:pStyle w:val="BodyText"/>
        <w:spacing w:line="240" w:lineRule="auto" w:before="117"/>
        <w:ind w:left="842" w:right="0"/>
        <w:jc w:val="left"/>
      </w:pPr>
      <w:r>
        <w:rPr>
          <w:rFonts w:ascii="Times New Roman" w:hAnsi="Times New Roman" w:cs="Times New Roman" w:eastAsia="Times New Roman" w:hint="default"/>
        </w:rPr>
        <w:t>157,144.77</w:t>
      </w:r>
      <w:r>
        <w:rPr>
          <w:rFonts w:ascii="Times New Roman" w:hAnsi="Times New Roman" w:cs="Times New Roman" w:eastAsia="Times New Roman" w:hint="default"/>
          <w:spacing w:val="-6"/>
        </w:rPr>
        <w:t> </w:t>
      </w:r>
      <w:r>
        <w:rPr/>
        <w:t>元。</w:t>
      </w:r>
    </w:p>
    <w:p>
      <w:pPr>
        <w:spacing w:line="240" w:lineRule="auto" w:before="0"/>
        <w:rPr>
          <w:rFonts w:ascii="宋体" w:hAnsi="宋体" w:cs="宋体" w:eastAsia="宋体" w:hint="default"/>
          <w:sz w:val="22"/>
          <w:szCs w:val="22"/>
        </w:rPr>
      </w:pPr>
    </w:p>
    <w:p>
      <w:pPr>
        <w:pStyle w:val="BodyText"/>
        <w:spacing w:line="240" w:lineRule="auto" w:before="192"/>
        <w:ind w:left="842" w:right="0"/>
        <w:jc w:val="left"/>
      </w:pPr>
      <w:r>
        <w:rPr/>
        <w:t>（</w:t>
      </w:r>
      <w:r>
        <w:rPr>
          <w:rFonts w:ascii="Times New Roman" w:hAnsi="Times New Roman" w:cs="Times New Roman" w:eastAsia="Times New Roman" w:hint="default"/>
        </w:rPr>
        <w:t>6</w:t>
      </w:r>
      <w:r>
        <w:rPr/>
        <w:t>）本报告期无终止确认的应收款项情况。</w:t>
      </w:r>
    </w:p>
    <w:p>
      <w:pPr>
        <w:spacing w:line="240" w:lineRule="auto" w:before="0"/>
        <w:rPr>
          <w:rFonts w:ascii="宋体" w:hAnsi="宋体" w:cs="宋体" w:eastAsia="宋体" w:hint="default"/>
          <w:sz w:val="22"/>
          <w:szCs w:val="22"/>
        </w:rPr>
      </w:pPr>
    </w:p>
    <w:p>
      <w:pPr>
        <w:pStyle w:val="BodyText"/>
        <w:spacing w:line="240" w:lineRule="auto" w:before="194"/>
        <w:ind w:left="842" w:right="0"/>
        <w:jc w:val="left"/>
      </w:pPr>
      <w:r>
        <w:rPr/>
        <w:t>（</w:t>
      </w:r>
      <w:r>
        <w:rPr>
          <w:rFonts w:ascii="Times New Roman" w:hAnsi="Times New Roman" w:cs="Times New Roman" w:eastAsia="Times New Roman" w:hint="default"/>
        </w:rPr>
        <w:t>7</w:t>
      </w:r>
      <w:r>
        <w:rPr/>
        <w:t>）本报告期无以应收款项为标的进行证券化的。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3"/>
          <w:pgSz w:w="11910" w:h="16840"/>
          <w:pgMar w:footer="1590" w:header="1058" w:top="1780" w:bottom="1780" w:left="960" w:right="880"/>
          <w:pgNumType w:start="93"/>
        </w:sectPr>
      </w:pPr>
    </w:p>
    <w:p>
      <w:pPr>
        <w:pStyle w:val="Heading4"/>
        <w:spacing w:line="333" w:lineRule="exact"/>
        <w:ind w:left="848" w:right="0"/>
        <w:jc w:val="left"/>
        <w:rPr>
          <w:b w:val="0"/>
          <w:bCs w:val="0"/>
        </w:rPr>
      </w:pPr>
      <w:r>
        <w:rPr>
          <w:rFonts w:ascii="Times New Roman" w:hAnsi="Times New Roman" w:cs="Times New Roman" w:eastAsia="Times New Roman" w:hint="default"/>
        </w:rPr>
        <w:t>4</w:t>
      </w:r>
      <w:r>
        <w:rPr/>
        <w:t>、预付款项</w:t>
      </w:r>
      <w:r>
        <w:rPr>
          <w:b w:val="0"/>
          <w:bCs w:val="0"/>
        </w:rPr>
      </w:r>
    </w:p>
    <w:p>
      <w:pPr>
        <w:pStyle w:val="BodyText"/>
        <w:spacing w:line="240" w:lineRule="auto" w:before="109"/>
        <w:ind w:left="842" w:right="0"/>
        <w:jc w:val="left"/>
      </w:pPr>
      <w:r>
        <w:rPr>
          <w:w w:val="95"/>
        </w:rPr>
        <w:t>（</w:t>
      </w:r>
      <w:r>
        <w:rPr>
          <w:rFonts w:ascii="Times New Roman" w:hAnsi="Times New Roman" w:cs="Times New Roman" w:eastAsia="Times New Roman" w:hint="default"/>
          <w:w w:val="95"/>
        </w:rPr>
        <w:t>1</w:t>
      </w:r>
      <w:r>
        <w:rPr>
          <w:w w:val="95"/>
        </w:rPr>
        <w:t>）预付款项按账龄列示</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842" w:right="0"/>
        <w:jc w:val="left"/>
      </w:pPr>
      <w:r>
        <w:rPr/>
        <w:t>单位：元</w:t>
      </w:r>
      <w:r>
        <w:rPr>
          <w:spacing w:val="-3"/>
        </w:rPr>
        <w:t> </w:t>
      </w:r>
      <w:r>
        <w:rPr/>
        <w:t>币种：人民币</w:t>
      </w:r>
    </w:p>
    <w:p>
      <w:pPr>
        <w:spacing w:after="0" w:line="240" w:lineRule="auto"/>
        <w:jc w:val="left"/>
        <w:sectPr>
          <w:type w:val="continuous"/>
          <w:pgSz w:w="11910" w:h="16840"/>
          <w:pgMar w:top="940" w:bottom="920" w:left="960" w:right="880"/>
          <w:cols w:num="2" w:equalWidth="0">
            <w:col w:w="3257" w:space="2839"/>
            <w:col w:w="3974"/>
          </w:cols>
        </w:sectPr>
      </w:pPr>
    </w:p>
    <w:p>
      <w:pPr>
        <w:spacing w:line="240" w:lineRule="auto" w:before="13"/>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62"/>
        <w:gridCol w:w="1970"/>
        <w:gridCol w:w="1973"/>
        <w:gridCol w:w="1970"/>
        <w:gridCol w:w="1862"/>
      </w:tblGrid>
      <w:tr>
        <w:trPr>
          <w:trHeight w:val="418" w:hRule="exact"/>
        </w:trPr>
        <w:tc>
          <w:tcPr>
            <w:tcW w:w="1862" w:type="dxa"/>
            <w:vMerge w:val="restart"/>
            <w:tcBorders>
              <w:top w:val="single" w:sz="4" w:space="0" w:color="000000"/>
              <w:left w:val="nil" w:sz="6" w:space="0" w:color="auto"/>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862"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20"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81,043,376.93</w:t>
            </w:r>
            <w:r>
              <w:rPr>
                <w:rFonts w:ascii="Times New Roman"/>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99.22%</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30,409,780.47</w:t>
            </w:r>
            <w:r>
              <w:rPr>
                <w:rFonts w:ascii="Times New Roman"/>
                <w:sz w:val="21"/>
              </w:rPr>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99.48%</w:t>
            </w:r>
            <w:r>
              <w:rPr>
                <w:rFonts w:ascii="Times New Roman"/>
                <w:sz w:val="21"/>
              </w:rPr>
            </w:r>
          </w:p>
        </w:tc>
      </w:tr>
      <w:tr>
        <w:trPr>
          <w:trHeight w:val="418"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572,103.64</w:t>
            </w:r>
            <w:r>
              <w:rPr>
                <w:rFonts w:ascii="Times New Roman"/>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0.70%</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95,210.93</w:t>
            </w:r>
            <w:r>
              <w:rPr>
                <w:rFonts w:ascii="Times New Roman"/>
                <w:sz w:val="21"/>
              </w:rPr>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0.31%</w:t>
            </w:r>
            <w:r>
              <w:rPr>
                <w:rFonts w:ascii="Times New Roman"/>
                <w:sz w:val="21"/>
              </w:rPr>
            </w:r>
          </w:p>
        </w:tc>
      </w:tr>
      <w:tr>
        <w:trPr>
          <w:trHeight w:val="41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13,800.00</w:t>
            </w:r>
            <w:r>
              <w:rPr>
                <w:rFonts w:ascii="Times New Roman"/>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19,850.00</w:t>
            </w:r>
            <w:r>
              <w:rPr>
                <w:rFonts w:ascii="Times New Roman"/>
                <w:sz w:val="21"/>
              </w:rPr>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0.06%</w:t>
            </w:r>
            <w:r>
              <w:rPr>
                <w:rFonts w:ascii="Times New Roman"/>
                <w:sz w:val="21"/>
              </w:rPr>
            </w:r>
          </w:p>
        </w:tc>
      </w:tr>
      <w:tr>
        <w:trPr>
          <w:trHeight w:val="41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spacing w:val="-1"/>
                <w:w w:val="95"/>
                <w:sz w:val="21"/>
              </w:rPr>
              <w:t>55,116.68</w:t>
            </w:r>
            <w:r>
              <w:rPr>
                <w:rFonts w:ascii="Times New Roman"/>
                <w:spacing w:val="-1"/>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0.07%</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44,400.00</w:t>
            </w:r>
            <w:r>
              <w:rPr>
                <w:rFonts w:ascii="Times New Roman"/>
                <w:sz w:val="21"/>
              </w:rPr>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0.15%</w:t>
            </w:r>
            <w:r>
              <w:rPr>
                <w:rFonts w:ascii="Times New Roman"/>
                <w:sz w:val="21"/>
              </w:rPr>
            </w:r>
          </w:p>
        </w:tc>
      </w:tr>
      <w:tr>
        <w:trPr>
          <w:trHeight w:val="418"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81,684,397.25</w:t>
            </w:r>
            <w:r>
              <w:rPr>
                <w:rFonts w:ascii="Times New Roman"/>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30,569,241.40</w:t>
            </w:r>
            <w:r>
              <w:rPr>
                <w:rFonts w:ascii="Times New Roman"/>
                <w:sz w:val="21"/>
              </w:rPr>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842" w:right="0"/>
        <w:jc w:val="left"/>
      </w:pPr>
      <w:r>
        <w:rPr/>
        <w:t>（</w:t>
      </w:r>
      <w:r>
        <w:rPr>
          <w:rFonts w:ascii="Times New Roman" w:hAnsi="Times New Roman" w:cs="Times New Roman" w:eastAsia="Times New Roman" w:hint="default"/>
        </w:rPr>
        <w:t>2</w:t>
      </w:r>
      <w:r>
        <w:rPr/>
        <w:t>）预付款项金额前五名单位情况</w:t>
      </w:r>
    </w:p>
    <w:p>
      <w:pPr>
        <w:spacing w:after="0" w:line="240" w:lineRule="auto"/>
        <w:jc w:val="left"/>
        <w:sectPr>
          <w:type w:val="continuous"/>
          <w:pgSz w:w="11910" w:h="16840"/>
          <w:pgMar w:top="940" w:bottom="920" w:left="960" w:right="880"/>
        </w:sectPr>
      </w:pPr>
    </w:p>
    <w:p>
      <w:pPr>
        <w:pStyle w:val="BodyText"/>
        <w:spacing w:line="258" w:lineRule="exact"/>
        <w:ind w:left="0" w:right="801"/>
        <w:jc w:val="right"/>
      </w:pPr>
      <w:bookmarkStart w:name="5、其他应收款" w:id="53"/>
      <w:bookmarkEnd w:id="53"/>
      <w:r>
        <w:rPr/>
      </w: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401"/>
        <w:gridCol w:w="1846"/>
        <w:gridCol w:w="1702"/>
        <w:gridCol w:w="1274"/>
        <w:gridCol w:w="1418"/>
      </w:tblGrid>
      <w:tr>
        <w:trPr>
          <w:trHeight w:val="419"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61"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hAnsi="宋体" w:cs="宋体" w:eastAsia="宋体" w:hint="default"/>
                <w:sz w:val="18"/>
                <w:szCs w:val="18"/>
              </w:rPr>
              <w:t>武汉法华物资贸易有限公司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17,943,980.51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6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淮安金鑫传动机械有限公司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pacing w:val="-2"/>
                <w:sz w:val="18"/>
              </w:rPr>
              <w:t>11,600,937.11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36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重庆市武隆县第二建筑有限责任公司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建筑施工方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10,306,257.74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6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马鞍山钢铁股份有限公司销售公司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9,006,245.57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6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马鞍山太白建筑安装有限公司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建筑施工方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pacing w:val="-1"/>
                <w:sz w:val="18"/>
              </w:rPr>
              <w:t>3,550,000.00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6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52,407,420.93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2"/>
          <w:szCs w:val="22"/>
        </w:rPr>
      </w:pPr>
    </w:p>
    <w:p>
      <w:pPr>
        <w:pStyle w:val="BodyText"/>
        <w:spacing w:line="240" w:lineRule="auto" w:before="34"/>
        <w:ind w:left="782" w:right="0"/>
        <w:jc w:val="left"/>
      </w:pPr>
      <w:r>
        <w:rPr/>
        <w:t>（</w:t>
      </w:r>
      <w:r>
        <w:rPr>
          <w:rFonts w:ascii="Times New Roman" w:hAnsi="Times New Roman" w:cs="Times New Roman" w:eastAsia="Times New Roman" w:hint="default"/>
        </w:rPr>
        <w:t>3</w:t>
      </w:r>
      <w:r>
        <w:rPr/>
        <w:t>）本报告期未预付款项中无持有公司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58" w:footer="1590" w:top="1780" w:bottom="1780" w:left="1020" w:right="1000"/>
        </w:sectPr>
      </w:pPr>
    </w:p>
    <w:p>
      <w:pPr>
        <w:pStyle w:val="Heading4"/>
        <w:spacing w:line="333" w:lineRule="exact"/>
        <w:ind w:left="788" w:right="0"/>
        <w:jc w:val="left"/>
        <w:rPr>
          <w:b w:val="0"/>
          <w:bCs w:val="0"/>
        </w:rPr>
      </w:pPr>
      <w:r>
        <w:rPr>
          <w:rFonts w:ascii="Times New Roman" w:hAnsi="Times New Roman" w:cs="Times New Roman" w:eastAsia="Times New Roman" w:hint="default"/>
        </w:rPr>
        <w:t>5</w:t>
      </w:r>
      <w:r>
        <w:rPr/>
        <w:t>、其他应收款</w:t>
      </w:r>
      <w:r>
        <w:rPr>
          <w:b w:val="0"/>
          <w:bCs w:val="0"/>
        </w:rPr>
      </w:r>
    </w:p>
    <w:p>
      <w:pPr>
        <w:pStyle w:val="BodyText"/>
        <w:spacing w:line="240" w:lineRule="auto" w:before="109"/>
        <w:ind w:left="782" w:right="0"/>
        <w:jc w:val="left"/>
      </w:pPr>
      <w:r>
        <w:rPr>
          <w:w w:val="95"/>
        </w:rPr>
        <w:t>（</w:t>
      </w:r>
      <w:r>
        <w:rPr>
          <w:rFonts w:ascii="Times New Roman" w:hAnsi="Times New Roman" w:cs="Times New Roman" w:eastAsia="Times New Roman" w:hint="default"/>
          <w:w w:val="95"/>
        </w:rPr>
        <w:t>1</w:t>
      </w:r>
      <w:r>
        <w:rPr>
          <w:w w:val="95"/>
        </w:rPr>
        <w:t>）其他应收款按种类披露：</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tabs>
          <w:tab w:pos="1936" w:val="left" w:leader="none"/>
        </w:tabs>
        <w:spacing w:line="240" w:lineRule="auto"/>
        <w:ind w:left="782" w:right="0"/>
        <w:jc w:val="left"/>
      </w:pPr>
      <w:r>
        <w:rPr>
          <w:w w:val="95"/>
        </w:rPr>
        <w:t>单位：元</w:t>
        <w:tab/>
      </w:r>
      <w:r>
        <w:rPr/>
        <w:t>币种：人民币</w:t>
      </w:r>
    </w:p>
    <w:p>
      <w:pPr>
        <w:spacing w:after="0" w:line="240" w:lineRule="auto"/>
        <w:jc w:val="left"/>
        <w:sectPr>
          <w:type w:val="continuous"/>
          <w:pgSz w:w="11910" w:h="16840"/>
          <w:pgMar w:top="940" w:bottom="920" w:left="1020" w:right="1000"/>
          <w:cols w:num="2" w:equalWidth="0">
            <w:col w:w="3617" w:space="2059"/>
            <w:col w:w="4214"/>
          </w:cols>
        </w:sectPr>
      </w:pPr>
    </w:p>
    <w:p>
      <w:pPr>
        <w:spacing w:line="240" w:lineRule="auto" w:before="13"/>
        <w:rPr>
          <w:rFonts w:ascii="宋体" w:hAnsi="宋体" w:cs="宋体" w:eastAsia="宋体" w:hint="default"/>
          <w:sz w:val="12"/>
          <w:szCs w:val="12"/>
        </w:rPr>
      </w:pPr>
    </w:p>
    <w:tbl>
      <w:tblPr>
        <w:tblW w:w="0" w:type="auto"/>
        <w:jc w:val="left"/>
        <w:tblInd w:w="755" w:type="dxa"/>
        <w:tblLayout w:type="fixed"/>
        <w:tblCellMar>
          <w:top w:w="0" w:type="dxa"/>
          <w:left w:w="0" w:type="dxa"/>
          <w:bottom w:w="0" w:type="dxa"/>
          <w:right w:w="0" w:type="dxa"/>
        </w:tblCellMar>
        <w:tblLook w:val="01E0"/>
      </w:tblPr>
      <w:tblGrid>
        <w:gridCol w:w="2885"/>
        <w:gridCol w:w="1843"/>
        <w:gridCol w:w="1133"/>
        <w:gridCol w:w="1418"/>
        <w:gridCol w:w="991"/>
      </w:tblGrid>
      <w:tr>
        <w:trPr>
          <w:trHeight w:val="365" w:hRule="exact"/>
        </w:trPr>
        <w:tc>
          <w:tcPr>
            <w:tcW w:w="2885"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5" w:hRule="exact"/>
        </w:trPr>
        <w:tc>
          <w:tcPr>
            <w:tcW w:w="2885"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885"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5" w:hRule="exact"/>
        </w:trPr>
        <w:tc>
          <w:tcPr>
            <w:tcW w:w="288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3,070,048.76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430,774.65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14.03%</w:t>
            </w:r>
          </w:p>
        </w:tc>
      </w:tr>
    </w:tbl>
    <w:p>
      <w:pPr>
        <w:spacing w:line="240" w:lineRule="auto" w:before="9"/>
        <w:rPr>
          <w:rFonts w:ascii="宋体" w:hAnsi="宋体" w:cs="宋体" w:eastAsia="宋体" w:hint="default"/>
          <w:sz w:val="27"/>
          <w:szCs w:val="27"/>
        </w:rPr>
      </w:pPr>
    </w:p>
    <w:tbl>
      <w:tblPr>
        <w:tblW w:w="0" w:type="auto"/>
        <w:jc w:val="left"/>
        <w:tblInd w:w="755" w:type="dxa"/>
        <w:tblLayout w:type="fixed"/>
        <w:tblCellMar>
          <w:top w:w="0" w:type="dxa"/>
          <w:left w:w="0" w:type="dxa"/>
          <w:bottom w:w="0" w:type="dxa"/>
          <w:right w:w="0" w:type="dxa"/>
        </w:tblCellMar>
        <w:tblLook w:val="01E0"/>
      </w:tblPr>
      <w:tblGrid>
        <w:gridCol w:w="2926"/>
        <w:gridCol w:w="1843"/>
        <w:gridCol w:w="1133"/>
        <w:gridCol w:w="1418"/>
        <w:gridCol w:w="991"/>
      </w:tblGrid>
      <w:tr>
        <w:trPr>
          <w:trHeight w:val="367" w:hRule="exact"/>
        </w:trPr>
        <w:tc>
          <w:tcPr>
            <w:tcW w:w="2926"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2926"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926"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5"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3,785,401.36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150,930.90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3.99%</w:t>
            </w:r>
          </w:p>
        </w:tc>
      </w:tr>
    </w:tbl>
    <w:p>
      <w:pPr>
        <w:spacing w:line="240" w:lineRule="auto" w:before="6"/>
        <w:rPr>
          <w:rFonts w:ascii="宋体" w:hAnsi="宋体" w:cs="宋体" w:eastAsia="宋体" w:hint="default"/>
          <w:sz w:val="22"/>
          <w:szCs w:val="22"/>
        </w:rPr>
      </w:pPr>
    </w:p>
    <w:p>
      <w:pPr>
        <w:pStyle w:val="BodyText"/>
        <w:spacing w:line="240" w:lineRule="auto" w:before="34"/>
        <w:ind w:left="782" w:right="0"/>
        <w:jc w:val="left"/>
      </w:pPr>
      <w:r>
        <w:rPr/>
        <w:t>组合中，按账龄分析法计提坏账准备的其他应收款：</w:t>
      </w:r>
    </w:p>
    <w:p>
      <w:pPr>
        <w:pStyle w:val="BodyText"/>
        <w:tabs>
          <w:tab w:pos="7612" w:val="left" w:leader="none"/>
        </w:tabs>
        <w:spacing w:line="240" w:lineRule="auto" w:before="133"/>
        <w:ind w:left="6458" w:right="0"/>
        <w:jc w:val="left"/>
      </w:pPr>
      <w:r>
        <w:rPr>
          <w:w w:val="95"/>
        </w:rPr>
        <w:t>单位：元</w:t>
        <w:tab/>
      </w:r>
      <w:r>
        <w:rPr/>
        <w:t>币种：人民币</w:t>
      </w:r>
    </w:p>
    <w:p>
      <w:pPr>
        <w:spacing w:line="240" w:lineRule="auto" w:before="13"/>
        <w:rPr>
          <w:rFonts w:ascii="宋体" w:hAnsi="宋体" w:cs="宋体" w:eastAsia="宋体" w:hint="default"/>
          <w:sz w:val="12"/>
          <w:szCs w:val="12"/>
        </w:rPr>
      </w:pPr>
    </w:p>
    <w:tbl>
      <w:tblPr>
        <w:tblW w:w="0" w:type="auto"/>
        <w:jc w:val="left"/>
        <w:tblInd w:w="770" w:type="dxa"/>
        <w:tblLayout w:type="fixed"/>
        <w:tblCellMar>
          <w:top w:w="0" w:type="dxa"/>
          <w:left w:w="0" w:type="dxa"/>
          <w:bottom w:w="0" w:type="dxa"/>
          <w:right w:w="0" w:type="dxa"/>
        </w:tblCellMar>
        <w:tblLook w:val="01E0"/>
      </w:tblPr>
      <w:tblGrid>
        <w:gridCol w:w="1246"/>
        <w:gridCol w:w="1418"/>
        <w:gridCol w:w="910"/>
        <w:gridCol w:w="1217"/>
        <w:gridCol w:w="1418"/>
        <w:gridCol w:w="965"/>
        <w:gridCol w:w="1217"/>
      </w:tblGrid>
      <w:tr>
        <w:trPr>
          <w:trHeight w:val="365" w:hRule="exact"/>
        </w:trPr>
        <w:tc>
          <w:tcPr>
            <w:tcW w:w="1246"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1246" w:type="dxa"/>
            <w:vMerge/>
            <w:tcBorders>
              <w:left w:val="nil" w:sz="6" w:space="0" w:color="auto"/>
              <w:right w:val="single" w:sz="6" w:space="0" w:color="000000"/>
            </w:tcBorders>
          </w:tcPr>
          <w:p>
            <w:pPr/>
          </w:p>
        </w:tc>
        <w:tc>
          <w:tcPr>
            <w:tcW w:w="23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before="154"/>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154"/>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1246" w:type="dxa"/>
            <w:vMerge/>
            <w:tcBorders>
              <w:left w:val="nil" w:sz="6" w:space="0" w:color="auto"/>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nil" w:sz="6" w:space="0" w:color="auto"/>
            </w:tcBorders>
          </w:tcPr>
          <w:p>
            <w:pPr/>
          </w:p>
        </w:tc>
      </w:tr>
      <w:tr>
        <w:trPr>
          <w:trHeight w:val="365" w:hRule="exact"/>
        </w:trPr>
        <w:tc>
          <w:tcPr>
            <w:tcW w:w="1246"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1,874,947.91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61.07%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56,248.44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3,408,110.89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90.03%</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102,243.33</w:t>
            </w:r>
          </w:p>
        </w:tc>
      </w:tr>
      <w:tr>
        <w:trPr>
          <w:trHeight w:val="367" w:hRule="exact"/>
        </w:trPr>
        <w:tc>
          <w:tcPr>
            <w:tcW w:w="1246"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pacing w:val="-1"/>
                <w:sz w:val="18"/>
              </w:rPr>
              <w:t>668,667.62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pacing w:val="-1"/>
                <w:sz w:val="18"/>
              </w:rPr>
              <w:t>21.78%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pacing w:val="-1"/>
                <w:sz w:val="18"/>
              </w:rPr>
              <w:t>66,866.76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351,951.67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5"/>
              <w:jc w:val="right"/>
              <w:rPr>
                <w:rFonts w:ascii="Times New Roman" w:hAnsi="Times New Roman" w:cs="Times New Roman" w:eastAsia="Times New Roman" w:hint="default"/>
                <w:sz w:val="18"/>
                <w:szCs w:val="18"/>
              </w:rPr>
            </w:pPr>
            <w:r>
              <w:rPr>
                <w:rFonts w:ascii="Times New Roman"/>
                <w:sz w:val="18"/>
              </w:rPr>
              <w:t>9.30%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pacing w:val="-1"/>
                <w:sz w:val="18"/>
              </w:rPr>
              <w:t>35,195.17</w:t>
            </w:r>
          </w:p>
        </w:tc>
      </w:tr>
      <w:tr>
        <w:trPr>
          <w:trHeight w:val="365" w:hRule="exact"/>
        </w:trPr>
        <w:tc>
          <w:tcPr>
            <w:tcW w:w="1246"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273,467.22</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8.91%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54,693.44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14,808.00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0.39%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2,961.60</w:t>
            </w:r>
          </w:p>
        </w:tc>
      </w:tr>
      <w:tr>
        <w:trPr>
          <w:trHeight w:val="365" w:hRule="exact"/>
        </w:trPr>
        <w:tc>
          <w:tcPr>
            <w:tcW w:w="1246"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252,966.01</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8.24%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252,966.01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10,530.80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0.28%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10,530.80</w:t>
            </w:r>
          </w:p>
        </w:tc>
      </w:tr>
      <w:tr>
        <w:trPr>
          <w:trHeight w:val="365" w:hRule="exact"/>
        </w:trPr>
        <w:tc>
          <w:tcPr>
            <w:tcW w:w="1246"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3,070,048.76</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430,774.65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3,785,401.36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150,930.90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40" w:bottom="920" w:left="1020" w:right="1000"/>
        </w:sectPr>
      </w:pPr>
    </w:p>
    <w:p>
      <w:pPr>
        <w:pStyle w:val="BodyText"/>
        <w:spacing w:line="274" w:lineRule="exact"/>
        <w:ind w:left="742" w:right="0"/>
        <w:jc w:val="left"/>
      </w:pPr>
      <w:bookmarkStart w:name="6、存货" w:id="54"/>
      <w:bookmarkEnd w:id="54"/>
      <w:r>
        <w:rPr/>
      </w:r>
      <w:r>
        <w:rPr/>
        <w:t>（</w:t>
      </w:r>
      <w:r>
        <w:rPr>
          <w:rFonts w:ascii="Times New Roman" w:hAnsi="Times New Roman" w:cs="Times New Roman" w:eastAsia="Times New Roman" w:hint="default"/>
        </w:rPr>
        <w:t>3</w:t>
      </w:r>
      <w:r>
        <w:rPr/>
        <w:t>）本报告期无其他应收款中持有公司</w:t>
      </w:r>
      <w:r>
        <w:rPr>
          <w:spacing w:val="-60"/>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742" w:right="0"/>
        <w:jc w:val="left"/>
      </w:pPr>
      <w:r>
        <w:rPr/>
        <w:t>（</w:t>
      </w:r>
      <w:r>
        <w:rPr>
          <w:rFonts w:ascii="Times New Roman" w:hAnsi="Times New Roman" w:cs="Times New Roman" w:eastAsia="Times New Roman" w:hint="default"/>
        </w:rPr>
        <w:t>4</w:t>
      </w:r>
      <w:r>
        <w:rPr/>
        <w:t>）其他应收款金额前五名单位情况</w:t>
      </w:r>
    </w:p>
    <w:p>
      <w:pPr>
        <w:pStyle w:val="BodyText"/>
        <w:tabs>
          <w:tab w:pos="7783" w:val="left" w:leader="none"/>
        </w:tabs>
        <w:spacing w:line="240" w:lineRule="auto" w:before="117"/>
        <w:ind w:left="6627" w:right="0"/>
        <w:jc w:val="left"/>
      </w:pPr>
      <w:r>
        <w:rPr>
          <w:w w:val="95"/>
        </w:rPr>
        <w:t>单位：元</w:t>
        <w:tab/>
      </w:r>
      <w:r>
        <w:rPr/>
        <w:t>币种：人民币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424"/>
        <w:gridCol w:w="1574"/>
        <w:gridCol w:w="1171"/>
        <w:gridCol w:w="1939"/>
        <w:gridCol w:w="1454"/>
        <w:gridCol w:w="1291"/>
      </w:tblGrid>
      <w:tr>
        <w:trPr>
          <w:trHeight w:val="106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357" w:lineRule="auto" w:before="115"/>
              <w:ind w:left="189" w:right="194"/>
              <w:jc w:val="center"/>
              <w:rPr>
                <w:rFonts w:ascii="宋体" w:hAnsi="宋体" w:cs="宋体" w:eastAsia="宋体" w:hint="default"/>
                <w:sz w:val="18"/>
                <w:szCs w:val="18"/>
              </w:rPr>
            </w:pPr>
            <w:r>
              <w:rPr>
                <w:rFonts w:ascii="宋体" w:hAnsi="宋体" w:cs="宋体" w:eastAsia="宋体" w:hint="default"/>
                <w:sz w:val="18"/>
                <w:szCs w:val="18"/>
              </w:rPr>
              <w:t>款 总额的比例</w:t>
            </w:r>
          </w:p>
        </w:tc>
      </w:tr>
      <w:tr>
        <w:trPr>
          <w:trHeight w:val="71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江西省电力物资公司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240,500.00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59"/>
                <w:sz w:val="18"/>
                <w:szCs w:val="18"/>
              </w:rPr>
              <w:t> </w:t>
            </w:r>
            <w:r>
              <w:rPr>
                <w:rFonts w:ascii="宋体" w:hAnsi="宋体" w:cs="宋体" w:eastAsia="宋体" w:hint="default"/>
                <w:sz w:val="18"/>
                <w:szCs w:val="18"/>
              </w:rPr>
              <w:t>标</w:t>
            </w:r>
            <w:r>
              <w:rPr>
                <w:rFonts w:ascii="宋体" w:hAnsi="宋体" w:cs="宋体" w:eastAsia="宋体" w:hint="default"/>
                <w:spacing w:val="-59"/>
                <w:sz w:val="18"/>
                <w:szCs w:val="18"/>
              </w:rPr>
              <w:t> </w:t>
            </w:r>
            <w:r>
              <w:rPr>
                <w:rFonts w:ascii="宋体" w:hAnsi="宋体" w:cs="宋体" w:eastAsia="宋体" w:hint="default"/>
                <w:sz w:val="18"/>
                <w:szCs w:val="18"/>
              </w:rPr>
              <w:t>保</w:t>
            </w:r>
            <w:r>
              <w:rPr>
                <w:rFonts w:ascii="宋体" w:hAnsi="宋体" w:cs="宋体" w:eastAsia="宋体" w:hint="default"/>
                <w:spacing w:val="-59"/>
                <w:sz w:val="18"/>
                <w:szCs w:val="18"/>
              </w:rPr>
              <w:t> </w:t>
            </w:r>
            <w:r>
              <w:rPr>
                <w:rFonts w:ascii="宋体" w:hAnsi="宋体" w:cs="宋体" w:eastAsia="宋体" w:hint="default"/>
                <w:sz w:val="18"/>
                <w:szCs w:val="18"/>
              </w:rPr>
              <w:t>证</w:t>
            </w:r>
            <w:r>
              <w:rPr>
                <w:rFonts w:ascii="宋体" w:hAnsi="宋体" w:cs="宋体" w:eastAsia="宋体" w:hint="default"/>
                <w:spacing w:val="-59"/>
                <w:sz w:val="18"/>
                <w:szCs w:val="18"/>
              </w:rPr>
              <w:t> </w:t>
            </w: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宋体" w:hAnsi="宋体" w:cs="宋体" w:eastAsia="宋体" w:hint="default"/>
                <w:sz w:val="18"/>
                <w:szCs w:val="18"/>
              </w:rPr>
              <w:t>和</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7.83%</w:t>
            </w:r>
          </w:p>
        </w:tc>
      </w:tr>
      <w:tr>
        <w:trPr>
          <w:trHeight w:val="71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台山市安居工程领导小组办</w:t>
            </w: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公室</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237,885.21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7.75%</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重庆钢丝绳厂</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7" w:right="0"/>
              <w:jc w:val="left"/>
              <w:rPr>
                <w:rFonts w:ascii="Times New Roman" w:hAnsi="Times New Roman" w:cs="Times New Roman" w:eastAsia="Times New Roman" w:hint="default"/>
                <w:sz w:val="18"/>
                <w:szCs w:val="18"/>
              </w:rPr>
            </w:pPr>
            <w:r>
              <w:rPr>
                <w:rFonts w:ascii="Times New Roman"/>
                <w:sz w:val="18"/>
              </w:rPr>
              <w:t>150,000.00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租赁押金</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408" w:right="0"/>
              <w:jc w:val="left"/>
              <w:rPr>
                <w:rFonts w:ascii="Times New Roman" w:hAnsi="Times New Roman" w:cs="Times New Roman" w:eastAsia="Times New Roman" w:hint="default"/>
                <w:sz w:val="18"/>
                <w:szCs w:val="18"/>
              </w:rPr>
            </w:pPr>
            <w:r>
              <w:rPr>
                <w:rFonts w:ascii="Times New Roman"/>
                <w:sz w:val="18"/>
              </w:rPr>
              <w:t>4.89%</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重庆聚诚招标代理有限公司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投标服务商</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7" w:right="0"/>
              <w:jc w:val="left"/>
              <w:rPr>
                <w:rFonts w:ascii="Times New Roman" w:hAnsi="Times New Roman" w:cs="Times New Roman" w:eastAsia="Times New Roman" w:hint="default"/>
                <w:sz w:val="18"/>
                <w:szCs w:val="18"/>
              </w:rPr>
            </w:pPr>
            <w:r>
              <w:rPr>
                <w:rFonts w:ascii="Times New Roman"/>
                <w:sz w:val="18"/>
              </w:rPr>
              <w:t>150,000.00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408" w:right="0"/>
              <w:jc w:val="left"/>
              <w:rPr>
                <w:rFonts w:ascii="Times New Roman" w:hAnsi="Times New Roman" w:cs="Times New Roman" w:eastAsia="Times New Roman" w:hint="default"/>
                <w:sz w:val="18"/>
                <w:szCs w:val="18"/>
              </w:rPr>
            </w:pPr>
            <w:r>
              <w:rPr>
                <w:rFonts w:ascii="Times New Roman"/>
                <w:sz w:val="18"/>
              </w:rPr>
              <w:t>4.89%</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云南电力物资公司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Times New Roman" w:hAnsi="Times New Roman" w:cs="Times New Roman" w:eastAsia="Times New Roman" w:hint="default"/>
                <w:sz w:val="18"/>
                <w:szCs w:val="18"/>
              </w:rPr>
            </w:pPr>
            <w:r>
              <w:rPr>
                <w:rFonts w:ascii="Times New Roman"/>
                <w:sz w:val="18"/>
              </w:rPr>
              <w:t>100,000.00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408" w:right="0"/>
              <w:jc w:val="left"/>
              <w:rPr>
                <w:rFonts w:ascii="Times New Roman" w:hAnsi="Times New Roman" w:cs="Times New Roman" w:eastAsia="Times New Roman" w:hint="default"/>
                <w:sz w:val="18"/>
                <w:szCs w:val="18"/>
              </w:rPr>
            </w:pPr>
            <w:r>
              <w:rPr>
                <w:rFonts w:ascii="Times New Roman"/>
                <w:sz w:val="18"/>
              </w:rPr>
              <w:t>3.26%</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878,385.21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364" w:right="0"/>
              <w:jc w:val="left"/>
              <w:rPr>
                <w:rFonts w:ascii="Times New Roman" w:hAnsi="Times New Roman" w:cs="Times New Roman" w:eastAsia="Times New Roman" w:hint="default"/>
                <w:sz w:val="18"/>
                <w:szCs w:val="18"/>
              </w:rPr>
            </w:pPr>
            <w:r>
              <w:rPr>
                <w:rFonts w:ascii="Times New Roman"/>
                <w:sz w:val="18"/>
              </w:rPr>
              <w:t>28.62%</w:t>
            </w:r>
          </w:p>
        </w:tc>
      </w:tr>
    </w:tbl>
    <w:p>
      <w:pPr>
        <w:spacing w:line="240" w:lineRule="auto" w:before="6"/>
        <w:rPr>
          <w:rFonts w:ascii="宋体" w:hAnsi="宋体" w:cs="宋体" w:eastAsia="宋体" w:hint="default"/>
          <w:sz w:val="22"/>
          <w:szCs w:val="22"/>
        </w:rPr>
      </w:pPr>
    </w:p>
    <w:p>
      <w:pPr>
        <w:pStyle w:val="BodyText"/>
        <w:spacing w:line="336" w:lineRule="auto" w:before="34"/>
        <w:ind w:left="742" w:right="5859"/>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）应收关联方款项</w:t>
      </w:r>
      <w:r>
        <w:rPr>
          <w:w w:val="99"/>
        </w:rPr>
        <w:t> </w:t>
      </w:r>
      <w:r>
        <w:rPr/>
        <w:t>应收关联方款项详细情况见附注六、</w:t>
      </w:r>
      <w:r>
        <w:rPr>
          <w:rFonts w:ascii="Times New Roman" w:hAnsi="Times New Roman" w:cs="Times New Roman" w:eastAsia="Times New Roman" w:hint="default"/>
        </w:rPr>
        <w:t>6</w:t>
      </w:r>
    </w:p>
    <w:p>
      <w:pPr>
        <w:spacing w:line="240" w:lineRule="auto" w:before="0"/>
        <w:rPr>
          <w:rFonts w:ascii="Times New Roman" w:hAnsi="Times New Roman" w:cs="Times New Roman" w:eastAsia="Times New Roman" w:hint="default"/>
          <w:sz w:val="22"/>
          <w:szCs w:val="22"/>
        </w:rPr>
      </w:pPr>
    </w:p>
    <w:p>
      <w:pPr>
        <w:pStyle w:val="BodyText"/>
        <w:spacing w:line="240" w:lineRule="auto" w:before="136"/>
        <w:ind w:left="742" w:right="0"/>
        <w:jc w:val="left"/>
      </w:pPr>
      <w:r>
        <w:rPr/>
        <w:t>（</w:t>
      </w:r>
      <w:r>
        <w:rPr>
          <w:rFonts w:ascii="Times New Roman" w:hAnsi="Times New Roman" w:cs="Times New Roman" w:eastAsia="Times New Roman" w:hint="default"/>
        </w:rPr>
        <w:t>6</w:t>
      </w:r>
      <w:r>
        <w:rPr/>
        <w:t>）本报告期无以其他应收款项为标的进行证券化的。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58" w:footer="1590" w:top="1780" w:bottom="1780" w:left="1060" w:right="760"/>
        </w:sectPr>
      </w:pPr>
    </w:p>
    <w:p>
      <w:pPr>
        <w:pStyle w:val="Heading4"/>
        <w:spacing w:line="333" w:lineRule="exact"/>
        <w:ind w:left="748" w:right="0"/>
        <w:jc w:val="left"/>
        <w:rPr>
          <w:b w:val="0"/>
          <w:bCs w:val="0"/>
        </w:rPr>
      </w:pPr>
      <w:r>
        <w:rPr>
          <w:rFonts w:ascii="Times New Roman" w:hAnsi="Times New Roman" w:cs="Times New Roman" w:eastAsia="Times New Roman" w:hint="default"/>
        </w:rPr>
        <w:t>6</w:t>
      </w:r>
      <w:r>
        <w:rPr/>
        <w:t>、存货</w:t>
      </w:r>
      <w:r>
        <w:rPr>
          <w:b w:val="0"/>
          <w:bCs w:val="0"/>
        </w:rPr>
      </w:r>
    </w:p>
    <w:p>
      <w:pPr>
        <w:pStyle w:val="BodyText"/>
        <w:spacing w:line="240" w:lineRule="auto" w:before="109"/>
        <w:ind w:left="742" w:right="0"/>
        <w:jc w:val="left"/>
      </w:pPr>
      <w:r>
        <w:rPr>
          <w:w w:val="95"/>
        </w:rPr>
        <w:t>（</w:t>
      </w:r>
      <w:r>
        <w:rPr>
          <w:rFonts w:ascii="Times New Roman" w:hAnsi="Times New Roman" w:cs="Times New Roman" w:eastAsia="Times New Roman" w:hint="default"/>
          <w:w w:val="95"/>
        </w:rPr>
        <w:t>1</w:t>
      </w:r>
      <w:r>
        <w:rPr>
          <w:w w:val="95"/>
        </w:rPr>
        <w:t>）存货分类</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742" w:right="0"/>
        <w:jc w:val="left"/>
      </w:pPr>
      <w:r>
        <w:rPr/>
        <w:t>单位：元</w:t>
      </w:r>
      <w:r>
        <w:rPr>
          <w:spacing w:val="-3"/>
        </w:rPr>
        <w:t> </w:t>
      </w:r>
      <w:r>
        <w:rPr/>
        <w:t>币种：人民币</w:t>
      </w:r>
    </w:p>
    <w:p>
      <w:pPr>
        <w:spacing w:after="0" w:line="240" w:lineRule="auto"/>
        <w:jc w:val="left"/>
        <w:sectPr>
          <w:type w:val="continuous"/>
          <w:pgSz w:w="11910" w:h="16840"/>
          <w:pgMar w:top="940" w:bottom="920" w:left="1060" w:right="760"/>
          <w:cols w:num="2" w:equalWidth="0">
            <w:col w:w="2106" w:space="3990"/>
            <w:col w:w="3994"/>
          </w:cols>
        </w:sectPr>
      </w:pP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450"/>
        <w:gridCol w:w="1558"/>
        <w:gridCol w:w="1193"/>
        <w:gridCol w:w="1502"/>
        <w:gridCol w:w="1416"/>
        <w:gridCol w:w="1207"/>
        <w:gridCol w:w="1375"/>
      </w:tblGrid>
      <w:tr>
        <w:trPr>
          <w:trHeight w:val="418" w:hRule="exact"/>
        </w:trPr>
        <w:tc>
          <w:tcPr>
            <w:tcW w:w="1450" w:type="dxa"/>
            <w:vMerge w:val="restart"/>
            <w:tcBorders>
              <w:top w:val="single" w:sz="4" w:space="0" w:color="000000"/>
              <w:left w:val="nil" w:sz="6" w:space="0" w:color="auto"/>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98"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450"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spacing w:val="-1"/>
                <w:sz w:val="21"/>
              </w:rPr>
              <w:t>11,766,282.65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10,951,896.32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right"/>
              <w:rPr>
                <w:rFonts w:ascii="Times New Roman" w:hAnsi="Times New Roman" w:cs="Times New Roman" w:eastAsia="Times New Roman" w:hint="default"/>
                <w:sz w:val="21"/>
                <w:szCs w:val="21"/>
              </w:rPr>
            </w:pPr>
            <w:r>
              <w:rPr>
                <w:rFonts w:ascii="Times New Roman"/>
                <w:w w:val="95"/>
                <w:sz w:val="21"/>
              </w:rPr>
              <w:t>13,708,605.44</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6"/>
              <w:jc w:val="right"/>
              <w:rPr>
                <w:rFonts w:ascii="Times New Roman" w:hAnsi="Times New Roman" w:cs="Times New Roman" w:eastAsia="Times New Roman" w:hint="default"/>
                <w:sz w:val="21"/>
                <w:szCs w:val="21"/>
              </w:rPr>
            </w:pPr>
            <w:r>
              <w:rPr>
                <w:rFonts w:ascii="Times New Roman"/>
                <w:w w:val="95"/>
                <w:sz w:val="21"/>
              </w:rPr>
              <w:t>13,708,605.44</w:t>
            </w:r>
            <w:r>
              <w:rPr>
                <w:rFonts w:ascii="Times New Roman"/>
                <w:sz w:val="21"/>
              </w:rPr>
            </w:r>
          </w:p>
        </w:tc>
      </w:tr>
      <w:tr>
        <w:trPr>
          <w:trHeight w:val="41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w w:val="95"/>
                <w:sz w:val="21"/>
              </w:rPr>
              <w:t>45,787,304.13</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w w:val="95"/>
                <w:sz w:val="21"/>
              </w:rPr>
              <w:t>46,601,690.46</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1"/>
              <w:jc w:val="right"/>
              <w:rPr>
                <w:rFonts w:ascii="Times New Roman" w:hAnsi="Times New Roman" w:cs="Times New Roman" w:eastAsia="Times New Roman" w:hint="default"/>
                <w:sz w:val="21"/>
                <w:szCs w:val="21"/>
              </w:rPr>
            </w:pPr>
            <w:r>
              <w:rPr>
                <w:rFonts w:ascii="Times New Roman"/>
                <w:w w:val="95"/>
                <w:sz w:val="21"/>
              </w:rPr>
              <w:t>18,996,715.20</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66"/>
              <w:jc w:val="right"/>
              <w:rPr>
                <w:rFonts w:ascii="Times New Roman" w:hAnsi="Times New Roman" w:cs="Times New Roman" w:eastAsia="Times New Roman" w:hint="default"/>
                <w:sz w:val="21"/>
                <w:szCs w:val="21"/>
              </w:rPr>
            </w:pPr>
            <w:r>
              <w:rPr>
                <w:rFonts w:ascii="Times New Roman"/>
                <w:w w:val="95"/>
                <w:sz w:val="21"/>
              </w:rPr>
              <w:t>18,996,715.20</w:t>
            </w:r>
            <w:r>
              <w:rPr>
                <w:rFonts w:ascii="Times New Roman"/>
                <w:sz w:val="21"/>
              </w:rPr>
            </w:r>
          </w:p>
        </w:tc>
      </w:tr>
      <w:tr>
        <w:trPr>
          <w:trHeight w:val="41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right"/>
              <w:rPr>
                <w:rFonts w:ascii="Times New Roman" w:hAnsi="Times New Roman" w:cs="Times New Roman" w:eastAsia="Times New Roman" w:hint="default"/>
                <w:sz w:val="21"/>
                <w:szCs w:val="21"/>
              </w:rPr>
            </w:pPr>
            <w:r>
              <w:rPr>
                <w:rFonts w:ascii="Times New Roman"/>
                <w:w w:val="95"/>
                <w:sz w:val="21"/>
              </w:rPr>
              <w:t>21,066,483.46</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6"/>
              <w:jc w:val="right"/>
              <w:rPr>
                <w:rFonts w:ascii="Times New Roman" w:hAnsi="Times New Roman" w:cs="Times New Roman" w:eastAsia="Times New Roman" w:hint="default"/>
                <w:sz w:val="21"/>
                <w:szCs w:val="21"/>
              </w:rPr>
            </w:pPr>
            <w:r>
              <w:rPr>
                <w:rFonts w:ascii="Times New Roman"/>
                <w:w w:val="95"/>
                <w:sz w:val="21"/>
              </w:rPr>
              <w:t>21,066,483.46</w:t>
            </w:r>
            <w:r>
              <w:rPr>
                <w:rFonts w:ascii="Times New Roman"/>
                <w:sz w:val="21"/>
              </w:rPr>
            </w:r>
          </w:p>
        </w:tc>
      </w:tr>
      <w:tr>
        <w:trPr>
          <w:trHeight w:val="41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 w:right="0"/>
              <w:jc w:val="left"/>
              <w:rPr>
                <w:rFonts w:ascii="宋体" w:hAnsi="宋体" w:cs="宋体" w:eastAsia="宋体" w:hint="default"/>
                <w:sz w:val="21"/>
                <w:szCs w:val="21"/>
              </w:rPr>
            </w:pPr>
            <w:r>
              <w:rPr>
                <w:rFonts w:ascii="宋体" w:hAnsi="宋体" w:cs="宋体" w:eastAsia="宋体" w:hint="default"/>
                <w:sz w:val="21"/>
                <w:szCs w:val="21"/>
              </w:rPr>
              <w:t>低值易消耗品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267,826.26</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21"/>
                <w:szCs w:val="21"/>
              </w:rPr>
            </w:pPr>
            <w:r>
              <w:rPr>
                <w:rFonts w:ascii="Times New Roman"/>
                <w:w w:val="95"/>
                <w:sz w:val="21"/>
              </w:rPr>
              <w:t>267,826.26</w:t>
            </w:r>
            <w:r>
              <w:rPr>
                <w:rFonts w:ascii="Times New Roman"/>
                <w:sz w:val="21"/>
              </w:rPr>
            </w:r>
          </w:p>
        </w:tc>
      </w:tr>
      <w:tr>
        <w:trPr>
          <w:trHeight w:val="734"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61"/>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940" w:bottom="920" w:left="1060" w:right="760"/>
        </w:sectPr>
      </w:pPr>
    </w:p>
    <w:p>
      <w:pPr>
        <w:pStyle w:val="Heading4"/>
        <w:spacing w:line="282" w:lineRule="exact"/>
        <w:ind w:left="768" w:right="0"/>
        <w:jc w:val="left"/>
        <w:rPr>
          <w:b w:val="0"/>
          <w:bCs w:val="0"/>
        </w:rPr>
      </w:pPr>
      <w:bookmarkStart w:name="7、长期股权投资" w:id="55"/>
      <w:bookmarkEnd w:id="55"/>
      <w:r>
        <w:rPr>
          <w:b w:val="0"/>
          <w:bCs w:val="0"/>
        </w:rPr>
      </w:r>
      <w:bookmarkStart w:name="8、固定资产" w:id="56"/>
      <w:bookmarkEnd w:id="56"/>
      <w:r>
        <w:rPr>
          <w:b w:val="0"/>
          <w:bCs w:val="0"/>
        </w:rPr>
      </w:r>
      <w:r>
        <w:rPr>
          <w:rFonts w:ascii="Times New Roman" w:hAnsi="Times New Roman" w:cs="Times New Roman" w:eastAsia="Times New Roman" w:hint="default"/>
          <w:w w:val="95"/>
        </w:rPr>
        <w:t>7</w:t>
      </w:r>
      <w:r>
        <w:rPr>
          <w:w w:val="95"/>
        </w:rPr>
        <w:t>、长期股权投资</w:t>
      </w:r>
      <w:r>
        <w:rPr>
          <w:b w:val="0"/>
          <w:bCs w:val="0"/>
        </w:rPr>
      </w:r>
    </w:p>
    <w:p>
      <w:pPr>
        <w:spacing w:line="240" w:lineRule="auto" w:before="13"/>
        <w:rPr>
          <w:rFonts w:ascii="Microsoft JhengHei" w:hAnsi="Microsoft JhengHei" w:cs="Microsoft JhengHei" w:eastAsia="Microsoft JhengHei" w:hint="default"/>
          <w:b/>
          <w:bCs/>
          <w:sz w:val="29"/>
          <w:szCs w:val="29"/>
        </w:rPr>
      </w:pPr>
    </w:p>
    <w:p>
      <w:pPr>
        <w:pStyle w:val="BodyText"/>
        <w:spacing w:line="240" w:lineRule="auto"/>
        <w:ind w:left="762" w:right="0"/>
        <w:jc w:val="left"/>
      </w:pPr>
      <w:r>
        <w:rPr/>
        <w:t>人民币</w:t>
      </w:r>
    </w:p>
    <w:p>
      <w:pPr>
        <w:spacing w:line="240" w:lineRule="auto" w:before="12"/>
        <w:rPr>
          <w:rFonts w:ascii="宋体" w:hAnsi="宋体" w:cs="宋体" w:eastAsia="宋体" w:hint="default"/>
          <w:sz w:val="29"/>
          <w:szCs w:val="29"/>
        </w:rPr>
      </w:pPr>
      <w:r>
        <w:rPr/>
        <w:br w:type="column"/>
      </w:r>
      <w:r>
        <w:rPr>
          <w:rFonts w:ascii="宋体"/>
          <w:sz w:val="29"/>
        </w:rPr>
      </w:r>
    </w:p>
    <w:p>
      <w:pPr>
        <w:pStyle w:val="BodyText"/>
        <w:spacing w:line="240" w:lineRule="auto"/>
        <w:ind w:left="762" w:right="0"/>
        <w:jc w:val="left"/>
      </w:pPr>
      <w:r>
        <w:rPr>
          <w:spacing w:val="2"/>
          <w:w w:val="99"/>
        </w:rPr>
        <w:t>单</w:t>
      </w:r>
      <w:r>
        <w:rPr>
          <w:w w:val="99"/>
        </w:rPr>
        <w:t>位</w:t>
      </w:r>
      <w:r>
        <w:rPr>
          <w:spacing w:val="-99"/>
          <w:w w:val="99"/>
        </w:rPr>
        <w:t>：</w:t>
      </w:r>
      <w:r>
        <w:rPr>
          <w:w w:val="99"/>
        </w:rPr>
        <w:t>元</w:t>
      </w:r>
      <w:r>
        <w:rPr/>
        <w:t> </w:t>
      </w:r>
      <w:r>
        <w:rPr>
          <w:spacing w:val="2"/>
          <w:w w:val="99"/>
        </w:rPr>
        <w:t>币</w:t>
      </w:r>
      <w:r>
        <w:rPr>
          <w:w w:val="99"/>
        </w:rPr>
        <w:t>种</w:t>
      </w:r>
      <w:r>
        <w:rPr>
          <w:w w:val="49"/>
        </w:rPr>
        <w:t>：</w:t>
      </w:r>
      <w:r>
        <w:rPr/>
      </w:r>
    </w:p>
    <w:p>
      <w:pPr>
        <w:spacing w:after="0" w:line="240" w:lineRule="auto"/>
        <w:jc w:val="left"/>
        <w:sectPr>
          <w:headerReference w:type="default" r:id="rId34"/>
          <w:pgSz w:w="11910" w:h="16840"/>
          <w:pgMar w:header="1058" w:footer="1590" w:top="1780" w:bottom="1780" w:left="1040" w:right="840"/>
          <w:cols w:num="2" w:equalWidth="0">
            <w:col w:w="2337" w:space="4594"/>
            <w:col w:w="3099"/>
          </w:cols>
        </w:sectPr>
      </w:pP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850"/>
        <w:gridCol w:w="427"/>
        <w:gridCol w:w="1133"/>
        <w:gridCol w:w="403"/>
        <w:gridCol w:w="1157"/>
        <w:gridCol w:w="1274"/>
        <w:gridCol w:w="710"/>
        <w:gridCol w:w="991"/>
        <w:gridCol w:w="991"/>
        <w:gridCol w:w="456"/>
        <w:gridCol w:w="821"/>
        <w:gridCol w:w="566"/>
      </w:tblGrid>
      <w:tr>
        <w:trPr>
          <w:trHeight w:val="2232" w:hRule="exact"/>
        </w:trPr>
        <w:tc>
          <w:tcPr>
            <w:tcW w:w="8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57" w:lineRule="auto"/>
              <w:ind w:left="244" w:right="146"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120" w:right="115"/>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108" w:right="103"/>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11"/>
              <w:ind w:left="170" w:right="168"/>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p>
            <w:pPr>
              <w:pStyle w:val="TableParagraph"/>
              <w:spacing w:line="240" w:lineRule="auto" w:before="57"/>
              <w:ind w:left="218" w:right="0"/>
              <w:jc w:val="both"/>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67" w:lineRule="auto"/>
              <w:ind w:left="132" w:right="127"/>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132" w:right="127"/>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134" w:right="131"/>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5" w:lineRule="auto" w:before="146"/>
              <w:ind w:left="136" w:right="132"/>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92"/>
              <w:ind w:left="189" w:right="191"/>
              <w:jc w:val="both"/>
              <w:rPr>
                <w:rFonts w:ascii="宋体" w:hAnsi="宋体" w:cs="宋体" w:eastAsia="宋体" w:hint="default"/>
                <w:sz w:val="18"/>
                <w:szCs w:val="18"/>
              </w:rPr>
            </w:pPr>
            <w:r>
              <w:rPr>
                <w:rFonts w:ascii="宋体" w:hAnsi="宋体" w:cs="宋体" w:eastAsia="宋体" w:hint="default"/>
                <w:sz w:val="18"/>
                <w:szCs w:val="18"/>
              </w:rPr>
              <w:t>本 期 现 金 红 利</w:t>
            </w:r>
          </w:p>
        </w:tc>
      </w:tr>
      <w:tr>
        <w:trPr>
          <w:trHeight w:val="1880" w:hRule="exact"/>
        </w:trPr>
        <w:tc>
          <w:tcPr>
            <w:tcW w:w="85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92"/>
              <w:ind w:left="108" w:right="101"/>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42"/>
                <w:sz w:val="18"/>
                <w:szCs w:val="18"/>
              </w:rPr>
              <w:t> </w:t>
            </w:r>
            <w:r>
              <w:rPr>
                <w:rFonts w:ascii="宋体" w:hAnsi="宋体" w:cs="宋体" w:eastAsia="宋体" w:hint="default"/>
                <w:sz w:val="18"/>
                <w:szCs w:val="18"/>
              </w:rPr>
              <w:t>徽</w:t>
            </w:r>
            <w:r>
              <w:rPr>
                <w:rFonts w:ascii="宋体" w:hAnsi="宋体" w:cs="宋体" w:eastAsia="宋体" w:hint="default"/>
                <w:spacing w:val="-45"/>
                <w:sz w:val="18"/>
                <w:szCs w:val="18"/>
              </w:rPr>
              <w:t> </w:t>
            </w:r>
            <w:r>
              <w:rPr>
                <w:rFonts w:ascii="宋体" w:hAnsi="宋体" w:cs="宋体" w:eastAsia="宋体" w:hint="default"/>
                <w:sz w:val="18"/>
                <w:szCs w:val="18"/>
              </w:rPr>
              <w:t>华</w:t>
            </w:r>
            <w:r>
              <w:rPr>
                <w:rFonts w:ascii="宋体" w:hAnsi="宋体" w:cs="宋体" w:eastAsia="宋体" w:hint="default"/>
                <w:sz w:val="18"/>
                <w:szCs w:val="18"/>
              </w:rPr>
              <w:t> 菱</w:t>
            </w:r>
            <w:r>
              <w:rPr>
                <w:rFonts w:ascii="宋体" w:hAnsi="宋体" w:cs="宋体" w:eastAsia="宋体" w:hint="default"/>
                <w:spacing w:val="-42"/>
                <w:sz w:val="18"/>
                <w:szCs w:val="18"/>
              </w:rPr>
              <w:t> </w:t>
            </w:r>
            <w:r>
              <w:rPr>
                <w:rFonts w:ascii="宋体" w:hAnsi="宋体" w:cs="宋体" w:eastAsia="宋体" w:hint="default"/>
                <w:sz w:val="18"/>
                <w:szCs w:val="18"/>
              </w:rPr>
              <w:t>西</w:t>
            </w:r>
            <w:r>
              <w:rPr>
                <w:rFonts w:ascii="宋体" w:hAnsi="宋体" w:cs="宋体" w:eastAsia="宋体" w:hint="default"/>
                <w:spacing w:val="-45"/>
                <w:sz w:val="18"/>
                <w:szCs w:val="18"/>
              </w:rPr>
              <w:t> </w:t>
            </w:r>
            <w:r>
              <w:rPr>
                <w:rFonts w:ascii="宋体" w:hAnsi="宋体" w:cs="宋体" w:eastAsia="宋体" w:hint="default"/>
                <w:sz w:val="18"/>
                <w:szCs w:val="18"/>
              </w:rPr>
              <w:t>厨</w:t>
            </w:r>
            <w:r>
              <w:rPr>
                <w:rFonts w:ascii="宋体" w:hAnsi="宋体" w:cs="宋体" w:eastAsia="宋体" w:hint="default"/>
                <w:sz w:val="18"/>
                <w:szCs w:val="18"/>
              </w:rPr>
              <w:t> 设</w:t>
            </w:r>
            <w:r>
              <w:rPr>
                <w:rFonts w:ascii="宋体" w:hAnsi="宋体" w:cs="宋体" w:eastAsia="宋体" w:hint="default"/>
                <w:spacing w:val="-42"/>
                <w:sz w:val="18"/>
                <w:szCs w:val="18"/>
              </w:rPr>
              <w:t> </w:t>
            </w:r>
            <w:r>
              <w:rPr>
                <w:rFonts w:ascii="宋体" w:hAnsi="宋体" w:cs="宋体" w:eastAsia="宋体" w:hint="default"/>
                <w:sz w:val="18"/>
                <w:szCs w:val="18"/>
              </w:rPr>
              <w:t>备</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z w:val="18"/>
                <w:szCs w:val="18"/>
              </w:rPr>
              <w:t> 份</w:t>
            </w:r>
            <w:r>
              <w:rPr>
                <w:rFonts w:ascii="宋体" w:hAnsi="宋体" w:cs="宋体" w:eastAsia="宋体" w:hint="default"/>
                <w:spacing w:val="-42"/>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57" w:lineRule="auto"/>
              <w:ind w:left="120" w:right="115"/>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64" w:right="0"/>
              <w:jc w:val="left"/>
              <w:rPr>
                <w:rFonts w:ascii="Arial Narrow" w:hAnsi="Arial Narrow" w:cs="Arial Narrow" w:eastAsia="Arial Narrow" w:hint="default"/>
                <w:sz w:val="16"/>
                <w:szCs w:val="16"/>
              </w:rPr>
            </w:pPr>
            <w:r>
              <w:rPr>
                <w:rFonts w:ascii="Arial Narrow"/>
                <w:sz w:val="16"/>
              </w:rPr>
              <w:t>9,975,000.00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Arial Narrow" w:hAnsi="Arial Narrow" w:cs="Arial Narrow" w:eastAsia="Arial Narrow" w:hint="default"/>
                <w:sz w:val="16"/>
                <w:szCs w:val="16"/>
              </w:rPr>
            </w:pPr>
            <w:r>
              <w:rPr>
                <w:rFonts w:ascii="Arial Narrow"/>
                <w:spacing w:val="-1"/>
                <w:sz w:val="16"/>
              </w:rPr>
              <w:t>9,975,000.00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7"/>
              <w:jc w:val="right"/>
              <w:rPr>
                <w:rFonts w:ascii="Arial Narrow" w:hAnsi="Arial Narrow" w:cs="Arial Narrow" w:eastAsia="Arial Narrow" w:hint="default"/>
                <w:sz w:val="16"/>
                <w:szCs w:val="16"/>
              </w:rPr>
            </w:pPr>
            <w:r>
              <w:rPr>
                <w:rFonts w:ascii="Arial Narrow"/>
                <w:spacing w:val="-1"/>
                <w:sz w:val="16"/>
              </w:rPr>
              <w:t>9,975,000.00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 w:right="0"/>
              <w:jc w:val="center"/>
              <w:rPr>
                <w:rFonts w:ascii="Times New Roman" w:hAnsi="Times New Roman" w:cs="Times New Roman" w:eastAsia="Times New Roman" w:hint="default"/>
                <w:sz w:val="18"/>
                <w:szCs w:val="18"/>
              </w:rPr>
            </w:pPr>
            <w:r>
              <w:rPr>
                <w:rFonts w:ascii="Times New Roman"/>
                <w:sz w:val="18"/>
              </w:rPr>
              <w:t>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 w:right="0"/>
              <w:jc w:val="center"/>
              <w:rPr>
                <w:rFonts w:ascii="Times New Roman" w:hAnsi="Times New Roman" w:cs="Times New Roman" w:eastAsia="Times New Roman" w:hint="default"/>
                <w:sz w:val="18"/>
                <w:szCs w:val="18"/>
              </w:rPr>
            </w:pPr>
            <w:r>
              <w:rPr>
                <w:rFonts w:ascii="Times New Roman"/>
                <w:sz w:val="18"/>
              </w:rPr>
              <w:t>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31" w:hRule="exact"/>
        </w:trPr>
        <w:tc>
          <w:tcPr>
            <w:tcW w:w="85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93"/>
              <w:ind w:left="108" w:right="101"/>
              <w:jc w:val="both"/>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pacing w:val="-42"/>
                <w:sz w:val="18"/>
                <w:szCs w:val="18"/>
              </w:rPr>
              <w:t> </w:t>
            </w:r>
            <w:r>
              <w:rPr>
                <w:rFonts w:ascii="宋体" w:hAnsi="宋体" w:cs="宋体" w:eastAsia="宋体" w:hint="default"/>
                <w:sz w:val="18"/>
                <w:szCs w:val="18"/>
              </w:rPr>
              <w:t>山</w:t>
            </w:r>
            <w:r>
              <w:rPr>
                <w:rFonts w:ascii="宋体" w:hAnsi="宋体" w:cs="宋体" w:eastAsia="宋体" w:hint="default"/>
                <w:spacing w:val="-45"/>
                <w:sz w:val="18"/>
                <w:szCs w:val="18"/>
              </w:rPr>
              <w:t> </w:t>
            </w:r>
            <w:r>
              <w:rPr>
                <w:rFonts w:ascii="宋体" w:hAnsi="宋体" w:cs="宋体" w:eastAsia="宋体" w:hint="default"/>
                <w:sz w:val="18"/>
                <w:szCs w:val="18"/>
              </w:rPr>
              <w:t>市</w:t>
            </w:r>
            <w:r>
              <w:rPr>
                <w:rFonts w:ascii="宋体" w:hAnsi="宋体" w:cs="宋体" w:eastAsia="宋体" w:hint="default"/>
                <w:sz w:val="18"/>
                <w:szCs w:val="18"/>
              </w:rPr>
              <w:t> 农</w:t>
            </w:r>
            <w:r>
              <w:rPr>
                <w:rFonts w:ascii="宋体" w:hAnsi="宋体" w:cs="宋体" w:eastAsia="宋体" w:hint="default"/>
                <w:spacing w:val="-42"/>
                <w:sz w:val="18"/>
                <w:szCs w:val="18"/>
              </w:rPr>
              <w:t> </w:t>
            </w:r>
            <w:r>
              <w:rPr>
                <w:rFonts w:ascii="宋体" w:hAnsi="宋体" w:cs="宋体" w:eastAsia="宋体" w:hint="default"/>
                <w:sz w:val="18"/>
                <w:szCs w:val="18"/>
              </w:rPr>
              <w:t>村</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z w:val="18"/>
                <w:szCs w:val="18"/>
              </w:rPr>
              <w:t> 用</w:t>
            </w:r>
            <w:r>
              <w:rPr>
                <w:rFonts w:ascii="宋体" w:hAnsi="宋体" w:cs="宋体" w:eastAsia="宋体" w:hint="default"/>
                <w:spacing w:val="-42"/>
                <w:sz w:val="18"/>
                <w:szCs w:val="18"/>
              </w:rPr>
              <w:t> </w:t>
            </w:r>
            <w:r>
              <w:rPr>
                <w:rFonts w:ascii="宋体" w:hAnsi="宋体" w:cs="宋体" w:eastAsia="宋体" w:hint="default"/>
                <w:sz w:val="18"/>
                <w:szCs w:val="18"/>
              </w:rPr>
              <w:t>合</w:t>
            </w:r>
            <w:r>
              <w:rPr>
                <w:rFonts w:ascii="宋体" w:hAnsi="宋体" w:cs="宋体" w:eastAsia="宋体" w:hint="default"/>
                <w:spacing w:val="-45"/>
                <w:sz w:val="18"/>
                <w:szCs w:val="18"/>
              </w:rPr>
              <w:t> </w:t>
            </w:r>
            <w:r>
              <w:rPr>
                <w:rFonts w:ascii="宋体" w:hAnsi="宋体" w:cs="宋体" w:eastAsia="宋体" w:hint="default"/>
                <w:sz w:val="18"/>
                <w:szCs w:val="18"/>
              </w:rPr>
              <w:t>作</w:t>
            </w:r>
            <w:r>
              <w:rPr>
                <w:rFonts w:ascii="宋体" w:hAnsi="宋体" w:cs="宋体" w:eastAsia="宋体" w:hint="default"/>
                <w:sz w:val="18"/>
                <w:szCs w:val="18"/>
              </w:rPr>
              <w:t> 联社</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357" w:lineRule="auto"/>
              <w:ind w:left="120" w:right="115"/>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4" w:right="0"/>
              <w:jc w:val="left"/>
              <w:rPr>
                <w:rFonts w:ascii="Arial Narrow" w:hAnsi="Arial Narrow" w:cs="Arial Narrow" w:eastAsia="Arial Narrow" w:hint="default"/>
                <w:sz w:val="16"/>
                <w:szCs w:val="16"/>
              </w:rPr>
            </w:pPr>
            <w:r>
              <w:rPr>
                <w:rFonts w:ascii="Arial Narrow"/>
                <w:sz w:val="16"/>
              </w:rPr>
              <w:t>50,000.00</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2"/>
              <w:jc w:val="right"/>
              <w:rPr>
                <w:rFonts w:ascii="Arial Narrow" w:hAnsi="Arial Narrow" w:cs="Arial Narrow" w:eastAsia="Arial Narrow" w:hint="default"/>
                <w:sz w:val="16"/>
                <w:szCs w:val="16"/>
              </w:rPr>
            </w:pPr>
            <w:r>
              <w:rPr>
                <w:rFonts w:ascii="Arial Narrow"/>
                <w:spacing w:val="-1"/>
                <w:sz w:val="16"/>
              </w:rPr>
              <w:t>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0"/>
              <w:jc w:val="right"/>
              <w:rPr>
                <w:rFonts w:ascii="Arial Narrow" w:hAnsi="Arial Narrow" w:cs="Arial Narrow" w:eastAsia="Arial Narrow" w:hint="default"/>
                <w:sz w:val="16"/>
                <w:szCs w:val="16"/>
              </w:rPr>
            </w:pPr>
            <w:r>
              <w:rPr>
                <w:rFonts w:ascii="Arial Narrow"/>
                <w:spacing w:val="-1"/>
                <w:sz w:val="16"/>
              </w:rPr>
              <w:t>50,000.00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0" w:hRule="exact"/>
        </w:trPr>
        <w:tc>
          <w:tcPr>
            <w:tcW w:w="850" w:type="dxa"/>
            <w:tcBorders>
              <w:top w:val="single" w:sz="4" w:space="0" w:color="000000"/>
              <w:left w:val="nil" w:sz="6" w:space="0" w:color="auto"/>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2" w:right="0"/>
              <w:jc w:val="left"/>
              <w:rPr>
                <w:rFonts w:ascii="Arial Narrow" w:hAnsi="Arial Narrow" w:cs="Arial Narrow" w:eastAsia="Arial Narrow" w:hint="default"/>
                <w:sz w:val="16"/>
                <w:szCs w:val="16"/>
              </w:rPr>
            </w:pPr>
            <w:r>
              <w:rPr>
                <w:rFonts w:ascii="Arial Narrow"/>
                <w:sz w:val="16"/>
              </w:rPr>
              <w:t>10,025,000.00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0"/>
              <w:jc w:val="right"/>
              <w:rPr>
                <w:rFonts w:ascii="Arial Narrow" w:hAnsi="Arial Narrow" w:cs="Arial Narrow" w:eastAsia="Arial Narrow" w:hint="default"/>
                <w:sz w:val="16"/>
                <w:szCs w:val="16"/>
              </w:rPr>
            </w:pPr>
            <w:r>
              <w:rPr>
                <w:rFonts w:ascii="Arial Narrow"/>
                <w:spacing w:val="-1"/>
                <w:sz w:val="16"/>
              </w:rPr>
              <w:t>10,025,000.00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7"/>
              <w:jc w:val="right"/>
              <w:rPr>
                <w:rFonts w:ascii="Arial Narrow" w:hAnsi="Arial Narrow" w:cs="Arial Narrow" w:eastAsia="Arial Narrow" w:hint="default"/>
                <w:sz w:val="16"/>
                <w:szCs w:val="16"/>
              </w:rPr>
            </w:pPr>
            <w:r>
              <w:rPr>
                <w:rFonts w:ascii="Arial Narrow"/>
                <w:spacing w:val="-1"/>
                <w:sz w:val="16"/>
              </w:rPr>
              <w:t>10,025,000.00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2"/>
          <w:szCs w:val="22"/>
        </w:rPr>
      </w:pPr>
    </w:p>
    <w:p>
      <w:pPr>
        <w:pStyle w:val="BodyText"/>
        <w:spacing w:line="355" w:lineRule="auto" w:before="34"/>
        <w:ind w:left="1182" w:right="943" w:hanging="420"/>
        <w:jc w:val="left"/>
      </w:pPr>
      <w:r>
        <w:rPr/>
        <w:t>长期股权投资的说明：</w:t>
      </w:r>
      <w:r>
        <w:rPr>
          <w:w w:val="99"/>
        </w:rPr>
        <w:t> </w:t>
      </w:r>
      <w:r>
        <w:rPr>
          <w:spacing w:val="3"/>
        </w:rPr>
        <w:t>对台山市农村信用合作联社长期投资系通过产权交易收购中水广海钢丝绳厂整体资产</w:t>
      </w:r>
    </w:p>
    <w:p>
      <w:pPr>
        <w:pStyle w:val="BodyText"/>
        <w:spacing w:line="338" w:lineRule="auto" w:before="32"/>
        <w:ind w:left="762" w:right="957"/>
        <w:jc w:val="left"/>
      </w:pPr>
      <w:r>
        <w:rPr/>
        <w:t>接收的信用社股金，入股时间为</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日，股金账号：</w:t>
      </w:r>
      <w:r>
        <w:rPr>
          <w:rFonts w:ascii="Times New Roman" w:hAnsi="Times New Roman" w:cs="Times New Roman" w:eastAsia="Times New Roman" w:hint="default"/>
        </w:rPr>
        <w:t>886014058</w:t>
      </w:r>
      <w:r>
        <w:rPr/>
        <w:t>，产权过户手续</w:t>
      </w:r>
      <w:r>
        <w:rPr>
          <w:w w:val="99"/>
        </w:rPr>
        <w:t> </w:t>
      </w:r>
      <w:r>
        <w:rPr/>
        <w:t>正在办理之中。</w:t>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940" w:bottom="920" w:left="1040" w:right="840"/>
        </w:sectPr>
      </w:pPr>
    </w:p>
    <w:p>
      <w:pPr>
        <w:pStyle w:val="Heading4"/>
        <w:spacing w:line="333" w:lineRule="exact"/>
        <w:ind w:left="768" w:right="0"/>
        <w:jc w:val="left"/>
        <w:rPr>
          <w:b w:val="0"/>
          <w:bCs w:val="0"/>
        </w:rPr>
      </w:pPr>
      <w:r>
        <w:rPr>
          <w:rFonts w:ascii="Times New Roman" w:hAnsi="Times New Roman" w:cs="Times New Roman" w:eastAsia="Times New Roman" w:hint="default"/>
        </w:rPr>
        <w:t>8</w:t>
      </w:r>
      <w:r>
        <w:rPr/>
        <w:t>、固定资产</w:t>
      </w:r>
      <w:r>
        <w:rPr>
          <w:b w:val="0"/>
          <w:bCs w:val="0"/>
        </w:rPr>
      </w:r>
    </w:p>
    <w:p>
      <w:pPr>
        <w:pStyle w:val="BodyText"/>
        <w:spacing w:line="240" w:lineRule="auto" w:before="109"/>
        <w:ind w:left="762" w:right="0"/>
        <w:jc w:val="left"/>
      </w:pPr>
      <w:r>
        <w:rPr>
          <w:w w:val="95"/>
        </w:rPr>
        <w:t>（</w:t>
      </w:r>
      <w:r>
        <w:rPr>
          <w:rFonts w:ascii="Times New Roman" w:hAnsi="Times New Roman" w:cs="Times New Roman" w:eastAsia="Times New Roman" w:hint="default"/>
          <w:w w:val="95"/>
        </w:rPr>
        <w:t>1</w:t>
      </w:r>
      <w:r>
        <w:rPr>
          <w:w w:val="95"/>
        </w:rPr>
        <w:t>）固定资产情况</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762" w:right="0"/>
        <w:jc w:val="left"/>
      </w:pPr>
      <w:r>
        <w:rPr/>
        <w:t>单位：元</w:t>
      </w:r>
      <w:r>
        <w:rPr>
          <w:spacing w:val="-3"/>
        </w:rPr>
        <w:t> </w:t>
      </w:r>
      <w:r>
        <w:rPr/>
        <w:t>币种：人民币</w:t>
      </w:r>
    </w:p>
    <w:p>
      <w:pPr>
        <w:spacing w:after="0" w:line="240" w:lineRule="auto"/>
        <w:jc w:val="left"/>
        <w:sectPr>
          <w:type w:val="continuous"/>
          <w:pgSz w:w="11910" w:h="16840"/>
          <w:pgMar w:top="940" w:bottom="920" w:left="1040" w:right="840"/>
          <w:cols w:num="2" w:equalWidth="0">
            <w:col w:w="2546" w:space="3339"/>
            <w:col w:w="4145"/>
          </w:cols>
        </w:sect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866"/>
        <w:gridCol w:w="1514"/>
        <w:gridCol w:w="2453"/>
        <w:gridCol w:w="1162"/>
        <w:gridCol w:w="1673"/>
      </w:tblGrid>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3" w:lineRule="exact"/>
              <w:ind w:left="19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91,846,859.84</w:t>
            </w:r>
            <w:r>
              <w:rPr>
                <w:rFonts w:ascii="Times New Roman"/>
                <w:sz w:val="21"/>
              </w:rPr>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42,390,796.53</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95,450.00</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134,142,206.37</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46,070,281.96</w:t>
            </w:r>
            <w:r>
              <w:rPr>
                <w:rFonts w:ascii="Times New Roman"/>
                <w:sz w:val="21"/>
              </w:rPr>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22,307,279.45</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68,377,561.41</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42,379,109.53</w:t>
            </w:r>
            <w:r>
              <w:rPr>
                <w:rFonts w:ascii="Times New Roman"/>
                <w:sz w:val="21"/>
              </w:rPr>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17,593,158.65</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59,972,268.18</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2,954,162.84</w:t>
            </w:r>
            <w:r>
              <w:rPr>
                <w:rFonts w:ascii="Times New Roman"/>
                <w:sz w:val="21"/>
              </w:rPr>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1,884,885.79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95,450.00</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4,743,598.63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940" w:bottom="920" w:left="1040" w:right="840"/>
        </w:sectPr>
      </w:pPr>
    </w:p>
    <w:tbl>
      <w:tblPr>
        <w:tblW w:w="0" w:type="auto"/>
        <w:jc w:val="left"/>
        <w:tblInd w:w="119" w:type="dxa"/>
        <w:tblLayout w:type="fixed"/>
        <w:tblCellMar>
          <w:top w:w="0" w:type="dxa"/>
          <w:left w:w="0" w:type="dxa"/>
          <w:bottom w:w="0" w:type="dxa"/>
          <w:right w:w="0" w:type="dxa"/>
        </w:tblCellMar>
        <w:tblLook w:val="01E0"/>
      </w:tblPr>
      <w:tblGrid>
        <w:gridCol w:w="2866"/>
        <w:gridCol w:w="1514"/>
        <w:gridCol w:w="1178"/>
        <w:gridCol w:w="1274"/>
        <w:gridCol w:w="1162"/>
        <w:gridCol w:w="1673"/>
      </w:tblGrid>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443,305.51</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73" w:right="0"/>
              <w:jc w:val="left"/>
              <w:rPr>
                <w:rFonts w:ascii="Times New Roman" w:hAnsi="Times New Roman" w:cs="Times New Roman" w:eastAsia="Times New Roman" w:hint="default"/>
                <w:sz w:val="21"/>
                <w:szCs w:val="21"/>
              </w:rPr>
            </w:pPr>
            <w:r>
              <w:rPr>
                <w:rFonts w:ascii="Times New Roman"/>
                <w:sz w:val="21"/>
              </w:rPr>
              <w:t>605,472.64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1,048,778.15</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6"/>
              <w:jc w:val="right"/>
              <w:rPr>
                <w:rFonts w:ascii="Times New Roman" w:hAnsi="Times New Roman" w:cs="Times New Roman" w:eastAsia="Times New Roman" w:hint="default"/>
                <w:sz w:val="21"/>
                <w:szCs w:val="21"/>
              </w:rPr>
            </w:pPr>
            <w:r>
              <w:rPr>
                <w:rFonts w:ascii="Times New Roman"/>
                <w:w w:val="95"/>
                <w:sz w:val="21"/>
              </w:rPr>
              <w:t>17,541,699.49</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8"/>
              <w:jc w:val="right"/>
              <w:rPr>
                <w:rFonts w:ascii="Times New Roman" w:hAnsi="Times New Roman" w:cs="Times New Roman" w:eastAsia="Times New Roman" w:hint="default"/>
                <w:sz w:val="21"/>
                <w:szCs w:val="21"/>
              </w:rPr>
            </w:pPr>
            <w:r>
              <w:rPr>
                <w:rFonts w:ascii="Times New Roman"/>
                <w:spacing w:val="-1"/>
                <w:sz w:val="21"/>
              </w:rPr>
              <w:t>7,235,930.65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5"/>
              <w:jc w:val="right"/>
              <w:rPr>
                <w:rFonts w:ascii="Times New Roman" w:hAnsi="Times New Roman" w:cs="Times New Roman" w:eastAsia="Times New Roman" w:hint="default"/>
                <w:sz w:val="21"/>
                <w:szCs w:val="21"/>
              </w:rPr>
            </w:pPr>
            <w:r>
              <w:rPr>
                <w:rFonts w:ascii="Times New Roman"/>
                <w:w w:val="95"/>
                <w:sz w:val="21"/>
              </w:rPr>
              <w:t>24,757,983.35</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2,291,473.99</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1,844,194.58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4,135,668.57</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6"/>
              <w:jc w:val="right"/>
              <w:rPr>
                <w:rFonts w:ascii="Times New Roman" w:hAnsi="Times New Roman" w:cs="Times New Roman" w:eastAsia="Times New Roman" w:hint="default"/>
                <w:sz w:val="21"/>
                <w:szCs w:val="21"/>
              </w:rPr>
            </w:pPr>
            <w:r>
              <w:rPr>
                <w:rFonts w:ascii="Times New Roman"/>
                <w:w w:val="95"/>
                <w:sz w:val="21"/>
              </w:rPr>
              <w:t>13,636,221.59</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8"/>
              <w:jc w:val="right"/>
              <w:rPr>
                <w:rFonts w:ascii="Times New Roman" w:hAnsi="Times New Roman" w:cs="Times New Roman" w:eastAsia="Times New Roman" w:hint="default"/>
                <w:sz w:val="21"/>
                <w:szCs w:val="21"/>
              </w:rPr>
            </w:pPr>
            <w:r>
              <w:rPr>
                <w:rFonts w:ascii="Times New Roman"/>
                <w:spacing w:val="-1"/>
                <w:sz w:val="21"/>
              </w:rPr>
              <w:t>4,641,315.32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5"/>
              <w:jc w:val="right"/>
              <w:rPr>
                <w:rFonts w:ascii="Times New Roman" w:hAnsi="Times New Roman" w:cs="Times New Roman" w:eastAsia="Times New Roman" w:hint="default"/>
                <w:sz w:val="21"/>
                <w:szCs w:val="21"/>
              </w:rPr>
            </w:pPr>
            <w:r>
              <w:rPr>
                <w:rFonts w:ascii="Times New Roman"/>
                <w:w w:val="95"/>
                <w:sz w:val="21"/>
              </w:rPr>
              <w:t>18,277,536.91</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1,447,032.90</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610,993.72</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19,646.79</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2,038,379.83</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right="307"/>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95"/>
                <w:sz w:val="21"/>
              </w:rPr>
              <w:t>166,971.01</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95"/>
                <w:sz w:val="21"/>
              </w:rPr>
              <w:t>139,427.03</w:t>
            </w:r>
            <w:r>
              <w:rPr>
                <w:rFonts w:ascii="Times New Roman"/>
                <w:sz w:val="21"/>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8"/>
              <w:jc w:val="right"/>
              <w:rPr>
                <w:rFonts w:ascii="Times New Roman" w:hAnsi="Times New Roman" w:cs="Times New Roman" w:eastAsia="Times New Roman" w:hint="default"/>
                <w:sz w:val="21"/>
                <w:szCs w:val="21"/>
              </w:rPr>
            </w:pPr>
            <w:r>
              <w:rPr>
                <w:rFonts w:ascii="Times New Roman"/>
                <w:w w:val="95"/>
                <w:sz w:val="21"/>
              </w:rPr>
              <w:t>306,398.04</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74,305,160.35</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109,384,223.02</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Times New Roman" w:hAnsi="Times New Roman" w:cs="Times New Roman" w:eastAsia="Times New Roman" w:hint="default"/>
                <w:sz w:val="21"/>
                <w:szCs w:val="21"/>
              </w:rPr>
            </w:pPr>
            <w:r>
              <w:rPr>
                <w:rFonts w:ascii="Times New Roman"/>
                <w:w w:val="95"/>
                <w:sz w:val="21"/>
              </w:rPr>
              <w:t>43,778,807.97</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w w:val="95"/>
                <w:sz w:val="21"/>
              </w:rPr>
              <w:t>64,241,892.84</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28,742,887.94</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41,694,731.27</w:t>
            </w:r>
            <w:r>
              <w:rPr>
                <w:rFonts w:ascii="Times New Roman"/>
                <w:sz w:val="21"/>
              </w:rPr>
            </w:r>
          </w:p>
        </w:tc>
      </w:tr>
      <w:tr>
        <w:trPr>
          <w:trHeight w:val="424"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95"/>
                <w:sz w:val="21"/>
              </w:rPr>
              <w:t>1,507,129.94</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w w:val="95"/>
                <w:sz w:val="21"/>
              </w:rPr>
              <w:t>2,705,218.80</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276,334.50</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742,380.11</w:t>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31"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2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
              <w:jc w:val="right"/>
              <w:rPr>
                <w:rFonts w:ascii="Times New Roman" w:hAnsi="Times New Roman" w:cs="Times New Roman" w:eastAsia="Times New Roman" w:hint="default"/>
                <w:sz w:val="21"/>
                <w:szCs w:val="21"/>
              </w:rPr>
            </w:pPr>
            <w:r>
              <w:rPr>
                <w:rFonts w:ascii="Times New Roman"/>
                <w:w w:val="95"/>
                <w:sz w:val="21"/>
              </w:rPr>
              <w:t>74,257,749.83</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29"/>
              <w:jc w:val="right"/>
              <w:rPr>
                <w:rFonts w:ascii="Times New Roman" w:hAnsi="Times New Roman" w:cs="Times New Roman" w:eastAsia="Times New Roman" w:hint="default"/>
                <w:sz w:val="21"/>
                <w:szCs w:val="21"/>
              </w:rPr>
            </w:pPr>
            <w:r>
              <w:rPr>
                <w:rFonts w:ascii="Times New Roman"/>
                <w:w w:val="95"/>
                <w:sz w:val="21"/>
              </w:rPr>
              <w:t>109,336,812.50</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43,778,807.97</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64,241,892.84</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56"/>
              <w:jc w:val="right"/>
              <w:rPr>
                <w:rFonts w:ascii="Times New Roman" w:hAnsi="Times New Roman" w:cs="Times New Roman" w:eastAsia="Times New Roman" w:hint="default"/>
                <w:sz w:val="21"/>
                <w:szCs w:val="21"/>
              </w:rPr>
            </w:pPr>
            <w:r>
              <w:rPr>
                <w:rFonts w:ascii="Times New Roman"/>
                <w:w w:val="95"/>
                <w:sz w:val="21"/>
              </w:rPr>
              <w:t>28,742,887.94</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41,694,731.27</w:t>
            </w:r>
            <w:r>
              <w:rPr>
                <w:rFonts w:ascii="Times New Roman"/>
                <w:sz w:val="21"/>
              </w:rPr>
            </w:r>
          </w:p>
        </w:tc>
      </w:tr>
      <w:tr>
        <w:trPr>
          <w:trHeight w:val="422"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1,459,719.42</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2,657,808.28</w:t>
            </w:r>
            <w:r>
              <w:rPr>
                <w:rFonts w:ascii="Times New Roman"/>
                <w:sz w:val="21"/>
              </w:rPr>
            </w:r>
          </w:p>
        </w:tc>
      </w:tr>
      <w:tr>
        <w:trPr>
          <w:trHeight w:val="425" w:hRule="exact"/>
        </w:trPr>
        <w:tc>
          <w:tcPr>
            <w:tcW w:w="28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276,334.50</w:t>
            </w:r>
            <w:r>
              <w:rPr>
                <w:rFonts w:ascii="Times New Roman"/>
                <w:sz w:val="21"/>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742,380.11</w:t>
            </w:r>
          </w:p>
        </w:tc>
      </w:tr>
    </w:tbl>
    <w:p>
      <w:pPr>
        <w:pStyle w:val="BodyText"/>
        <w:spacing w:line="257" w:lineRule="exact"/>
        <w:ind w:left="762" w:right="0"/>
        <w:jc w:val="left"/>
      </w:pPr>
      <w:r>
        <w:rPr/>
        <w:t>本期折旧额</w:t>
      </w:r>
      <w:r>
        <w:rPr>
          <w:rFonts w:ascii="Times New Roman" w:hAnsi="Times New Roman" w:cs="Times New Roman" w:eastAsia="Times New Roman" w:hint="default"/>
        </w:rPr>
        <w:t>_</w:t>
      </w:r>
      <w:r>
        <w:rPr>
          <w:rFonts w:ascii="Times New Roman" w:hAnsi="Times New Roman" w:cs="Times New Roman" w:eastAsia="Times New Roman" w:hint="default"/>
          <w:u w:val="single" w:color="000000"/>
        </w:rPr>
        <w:t>7,235,930.65</w:t>
      </w:r>
      <w:r>
        <w:rPr>
          <w:rFonts w:ascii="Times New Roman" w:hAnsi="Times New Roman" w:cs="Times New Roman" w:eastAsia="Times New Roman" w:hint="default"/>
        </w:rPr>
        <w:t>_</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762" w:right="0"/>
        <w:jc w:val="left"/>
      </w:pPr>
      <w:r>
        <w:rPr/>
        <w:t>（</w:t>
      </w:r>
      <w:r>
        <w:rPr>
          <w:rFonts w:ascii="Times New Roman" w:hAnsi="Times New Roman" w:cs="Times New Roman" w:eastAsia="Times New Roman" w:hint="default"/>
        </w:rPr>
        <w:t>2</w:t>
      </w:r>
      <w:r>
        <w:rPr/>
        <w:t>）暂时闲置的固定资产情况</w:t>
      </w:r>
    </w:p>
    <w:p>
      <w:pPr>
        <w:pStyle w:val="BodyText"/>
        <w:tabs>
          <w:tab w:pos="839" w:val="left" w:leader="none"/>
        </w:tabs>
        <w:spacing w:line="240" w:lineRule="auto" w:before="117"/>
        <w:ind w:left="0" w:right="862"/>
        <w:jc w:val="right"/>
      </w:pPr>
      <w:r>
        <w:rPr>
          <w:w w:val="95"/>
        </w:rPr>
        <w:t>单位：</w:t>
        <w:tab/>
        <w:t>币种：</w:t>
      </w:r>
      <w:r>
        <w:rPr/>
      </w:r>
    </w:p>
    <w:p>
      <w:pPr>
        <w:spacing w:line="240" w:lineRule="auto" w:before="13"/>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985"/>
        <w:gridCol w:w="1524"/>
        <w:gridCol w:w="1526"/>
        <w:gridCol w:w="1524"/>
        <w:gridCol w:w="1526"/>
        <w:gridCol w:w="1553"/>
      </w:tblGrid>
      <w:tr>
        <w:trPr>
          <w:trHeight w:val="41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68" w:right="0"/>
              <w:jc w:val="left"/>
              <w:rPr>
                <w:rFonts w:ascii="Times New Roman" w:hAnsi="Times New Roman" w:cs="Times New Roman" w:eastAsia="Times New Roman" w:hint="default"/>
                <w:sz w:val="21"/>
                <w:szCs w:val="21"/>
              </w:rPr>
            </w:pPr>
            <w:r>
              <w:rPr>
                <w:rFonts w:ascii="Times New Roman"/>
                <w:sz w:val="21"/>
              </w:rPr>
              <w:t>948,210.40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70" w:right="0"/>
              <w:jc w:val="left"/>
              <w:rPr>
                <w:rFonts w:ascii="Times New Roman" w:hAnsi="Times New Roman" w:cs="Times New Roman" w:eastAsia="Times New Roman" w:hint="default"/>
                <w:sz w:val="21"/>
                <w:szCs w:val="21"/>
              </w:rPr>
            </w:pPr>
            <w:r>
              <w:rPr>
                <w:rFonts w:ascii="Times New Roman"/>
                <w:sz w:val="21"/>
              </w:rPr>
              <w:t>900,799.88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47,410.52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3" w:type="dxa"/>
            <w:tcBorders>
              <w:top w:val="single" w:sz="4" w:space="0" w:color="000000"/>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22"/>
          <w:szCs w:val="22"/>
        </w:rPr>
      </w:pPr>
    </w:p>
    <w:p>
      <w:pPr>
        <w:pStyle w:val="BodyText"/>
        <w:spacing w:line="240" w:lineRule="auto" w:before="34"/>
        <w:ind w:left="762" w:right="0"/>
        <w:jc w:val="left"/>
      </w:pPr>
      <w:r>
        <w:rPr/>
        <w:t>（</w:t>
      </w:r>
      <w:r>
        <w:rPr>
          <w:rFonts w:ascii="Times New Roman" w:hAnsi="Times New Roman" w:cs="Times New Roman" w:eastAsia="Times New Roman" w:hint="default"/>
        </w:rPr>
        <w:t>3</w:t>
      </w:r>
      <w:r>
        <w:rPr/>
        <w:t>）本报告期末无通过融资租赁租入的固定资产。</w:t>
      </w:r>
    </w:p>
    <w:p>
      <w:pPr>
        <w:pStyle w:val="BodyText"/>
        <w:spacing w:line="240" w:lineRule="auto" w:before="117"/>
        <w:ind w:left="762" w:right="0"/>
        <w:jc w:val="left"/>
      </w:pPr>
      <w:r>
        <w:rPr/>
        <w:t>（</w:t>
      </w:r>
      <w:r>
        <w:rPr>
          <w:rFonts w:ascii="Times New Roman" w:hAnsi="Times New Roman" w:cs="Times New Roman" w:eastAsia="Times New Roman" w:hint="default"/>
        </w:rPr>
        <w:t>4</w:t>
      </w:r>
      <w:r>
        <w:rPr/>
        <w:t>）本报告期末无通过通过经营租赁租出的固定资产。</w:t>
      </w:r>
    </w:p>
    <w:p>
      <w:pPr>
        <w:spacing w:after="0" w:line="240" w:lineRule="auto"/>
        <w:jc w:val="left"/>
        <w:sectPr>
          <w:pgSz w:w="11910" w:h="16840"/>
          <w:pgMar w:header="1058" w:footer="1590" w:top="1800" w:bottom="1780" w:left="1040" w:right="940"/>
        </w:sectPr>
      </w:pPr>
    </w:p>
    <w:p>
      <w:pPr>
        <w:pStyle w:val="BodyText"/>
        <w:spacing w:line="274" w:lineRule="exact"/>
        <w:ind w:left="722" w:right="930"/>
        <w:jc w:val="left"/>
      </w:pPr>
      <w:bookmarkStart w:name="9、在建工程" w:id="57"/>
      <w:bookmarkEnd w:id="57"/>
      <w:r>
        <w:rPr/>
      </w:r>
      <w:r>
        <w:rPr/>
        <w:t>（</w:t>
      </w:r>
      <w:r>
        <w:rPr>
          <w:rFonts w:ascii="Times New Roman" w:hAnsi="Times New Roman" w:cs="Times New Roman" w:eastAsia="Times New Roman" w:hint="default"/>
        </w:rPr>
        <w:t>5</w:t>
      </w:r>
      <w:r>
        <w:rPr/>
        <w:t>）本报告期无期末持有待售的固定资产。</w:t>
      </w:r>
    </w:p>
    <w:p>
      <w:pPr>
        <w:pStyle w:val="BodyText"/>
        <w:spacing w:line="240" w:lineRule="auto" w:before="117"/>
        <w:ind w:left="722" w:right="930"/>
        <w:jc w:val="left"/>
      </w:pPr>
      <w:r>
        <w:rPr/>
        <w:t>（</w:t>
      </w:r>
      <w:r>
        <w:rPr>
          <w:rFonts w:ascii="Times New Roman" w:hAnsi="Times New Roman" w:cs="Times New Roman" w:eastAsia="Times New Roman" w:hint="default"/>
        </w:rPr>
        <w:t>6</w:t>
      </w:r>
      <w:r>
        <w:rPr/>
        <w:t>）未办妥产权证书的固定资产情况</w:t>
      </w: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14"/>
        <w:gridCol w:w="3214"/>
        <w:gridCol w:w="3211"/>
      </w:tblGrid>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三期厂房</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月才投入使用</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综合楼</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月才投入使用</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仓库</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月才投入使用</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酸洗磷化车间休息室</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月才投入使用</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bl>
    <w:p>
      <w:pPr>
        <w:spacing w:line="240" w:lineRule="auto" w:before="6"/>
        <w:rPr>
          <w:rFonts w:ascii="宋体" w:hAnsi="宋体" w:cs="宋体" w:eastAsia="宋体" w:hint="default"/>
          <w:sz w:val="22"/>
          <w:szCs w:val="22"/>
        </w:rPr>
      </w:pPr>
    </w:p>
    <w:p>
      <w:pPr>
        <w:pStyle w:val="BodyText"/>
        <w:spacing w:line="240" w:lineRule="auto" w:before="34"/>
        <w:ind w:left="827" w:right="0"/>
        <w:jc w:val="both"/>
      </w:pPr>
      <w:r>
        <w:rPr/>
        <w:t>（</w:t>
      </w:r>
      <w:r>
        <w:rPr>
          <w:rFonts w:ascii="Times New Roman" w:hAnsi="Times New Roman" w:cs="Times New Roman" w:eastAsia="Times New Roman" w:hint="default"/>
        </w:rPr>
        <w:t>7</w:t>
      </w:r>
      <w:r>
        <w:rPr/>
        <w:t>）未转移房产证情况</w:t>
      </w:r>
    </w:p>
    <w:p>
      <w:pPr>
        <w:pStyle w:val="BodyText"/>
        <w:spacing w:line="336" w:lineRule="auto" w:before="117"/>
        <w:ind w:left="722" w:right="930" w:firstLine="420"/>
        <w:jc w:val="left"/>
      </w:pPr>
      <w:r>
        <w:rPr>
          <w:spacing w:val="-3"/>
          <w:w w:val="99"/>
        </w:rPr>
        <w:t>公司受让的中水广海钢丝绳厂中的房产中，正办理房产更名共</w:t>
      </w:r>
      <w:r>
        <w:rPr>
          <w:spacing w:val="-65"/>
          <w:w w:val="99"/>
        </w:rPr>
        <w:t> </w:t>
      </w:r>
      <w:r>
        <w:rPr>
          <w:rFonts w:ascii="Times New Roman" w:hAnsi="Times New Roman" w:cs="Times New Roman" w:eastAsia="Times New Roman" w:hint="default"/>
          <w:w w:val="99"/>
        </w:rPr>
        <w:t>22</w:t>
      </w:r>
      <w:r>
        <w:rPr>
          <w:rFonts w:ascii="Times New Roman" w:hAnsi="Times New Roman" w:cs="Times New Roman" w:eastAsia="Times New Roman" w:hint="default"/>
          <w:spacing w:val="-13"/>
          <w:w w:val="99"/>
        </w:rPr>
        <w:t> </w:t>
      </w:r>
      <w:r>
        <w:rPr>
          <w:spacing w:val="-25"/>
          <w:w w:val="99"/>
        </w:rPr>
        <w:t>处，原值</w:t>
      </w:r>
      <w:r>
        <w:rPr>
          <w:spacing w:val="-65"/>
          <w:w w:val="99"/>
        </w:rPr>
        <w:t> </w:t>
      </w:r>
      <w:r>
        <w:rPr>
          <w:rFonts w:ascii="Times New Roman" w:hAnsi="Times New Roman" w:cs="Times New Roman" w:eastAsia="Times New Roman" w:hint="default"/>
          <w:w w:val="95"/>
        </w:rPr>
        <w:t>5,378,648.18</w:t>
      </w:r>
      <w:r>
        <w:rPr>
          <w:w w:val="95"/>
        </w:rPr>
        <w:t>、</w:t>
      </w:r>
      <w:r>
        <w:rPr>
          <w:w w:val="49"/>
        </w:rPr>
        <w:t> </w:t>
      </w:r>
      <w:r>
        <w:rPr/>
        <w:t>累计折旧</w:t>
      </w:r>
      <w:r>
        <w:rPr>
          <w:spacing w:val="-57"/>
        </w:rPr>
        <w:t> </w:t>
      </w:r>
      <w:r>
        <w:rPr>
          <w:rFonts w:ascii="Times New Roman" w:hAnsi="Times New Roman" w:cs="Times New Roman" w:eastAsia="Times New Roman" w:hint="default"/>
        </w:rPr>
        <w:t>127,742.89</w:t>
      </w:r>
      <w:r>
        <w:rPr/>
        <w:t>、净值</w:t>
      </w:r>
      <w:r>
        <w:rPr>
          <w:spacing w:val="-57"/>
        </w:rPr>
        <w:t> </w:t>
      </w:r>
      <w:r>
        <w:rPr>
          <w:rFonts w:ascii="Times New Roman" w:hAnsi="Times New Roman" w:cs="Times New Roman" w:eastAsia="Times New Roman" w:hint="default"/>
        </w:rPr>
        <w:t>5,250,905.28</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9"/>
          <w:szCs w:val="29"/>
        </w:rPr>
      </w:pPr>
    </w:p>
    <w:p>
      <w:pPr>
        <w:pStyle w:val="BodyText"/>
        <w:spacing w:line="240" w:lineRule="auto"/>
        <w:ind w:left="722" w:right="930"/>
        <w:jc w:val="left"/>
      </w:pPr>
      <w:r>
        <w:rPr/>
        <w:t>（</w:t>
      </w:r>
      <w:r>
        <w:rPr>
          <w:rFonts w:ascii="Times New Roman" w:hAnsi="Times New Roman" w:cs="Times New Roman" w:eastAsia="Times New Roman" w:hint="default"/>
        </w:rPr>
        <w:t>8</w:t>
      </w:r>
      <w:r>
        <w:rPr/>
        <w:t>）公司固定资产抵押情况：</w:t>
      </w:r>
    </w:p>
    <w:p>
      <w:pPr>
        <w:pStyle w:val="BodyText"/>
        <w:spacing w:line="240" w:lineRule="auto" w:before="117"/>
        <w:ind w:left="1250" w:right="930"/>
        <w:jc w:val="left"/>
      </w:pPr>
      <w:r>
        <w:rPr>
          <w:rFonts w:ascii="Times New Roman" w:hAnsi="Times New Roman" w:cs="Times New Roman" w:eastAsia="Times New Roman" w:hint="default"/>
        </w:rPr>
        <w:t>A</w:t>
      </w:r>
      <w:r>
        <w:rPr/>
        <w:t>、本公司</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日与徽商银行马鞍山新银支行签订工业流动资金借款，借</w:t>
      </w:r>
    </w:p>
    <w:p>
      <w:pPr>
        <w:pStyle w:val="BodyText"/>
        <w:spacing w:line="336" w:lineRule="auto" w:before="117"/>
        <w:ind w:left="830" w:right="1046"/>
        <w:jc w:val="both"/>
      </w:pPr>
      <w:r>
        <w:rPr>
          <w:spacing w:val="1"/>
          <w:w w:val="99"/>
        </w:rPr>
        <w:t>款合同号</w:t>
      </w:r>
      <w:r>
        <w:rPr>
          <w:spacing w:val="-67"/>
          <w:w w:val="99"/>
        </w:rPr>
        <w:t> </w:t>
      </w:r>
      <w:r>
        <w:rPr>
          <w:rFonts w:ascii="Times New Roman" w:hAnsi="Times New Roman" w:cs="Times New Roman" w:eastAsia="Times New Roman" w:hint="default"/>
          <w:w w:val="99"/>
        </w:rPr>
        <w:t>2009</w:t>
      </w:r>
      <w:r>
        <w:rPr>
          <w:rFonts w:ascii="Times New Roman" w:hAnsi="Times New Roman" w:cs="Times New Roman" w:eastAsia="Times New Roman" w:hint="default"/>
          <w:spacing w:val="-14"/>
          <w:w w:val="99"/>
        </w:rPr>
        <w:t> </w:t>
      </w:r>
      <w:r>
        <w:rPr>
          <w:w w:val="99"/>
        </w:rPr>
        <w:t>年借字第</w:t>
      </w:r>
      <w:r>
        <w:rPr>
          <w:spacing w:val="-65"/>
          <w:w w:val="99"/>
        </w:rPr>
        <w:t> </w:t>
      </w:r>
      <w:r>
        <w:rPr>
          <w:rFonts w:ascii="Times New Roman" w:hAnsi="Times New Roman" w:cs="Times New Roman" w:eastAsia="Times New Roman" w:hint="default"/>
          <w:spacing w:val="-1"/>
          <w:w w:val="99"/>
        </w:rPr>
        <w:t>023</w:t>
      </w:r>
      <w:r>
        <w:rPr>
          <w:rFonts w:ascii="Times New Roman" w:hAnsi="Times New Roman" w:cs="Times New Roman" w:eastAsia="Times New Roman" w:hint="default"/>
          <w:spacing w:val="-14"/>
          <w:w w:val="99"/>
        </w:rPr>
        <w:t> </w:t>
      </w:r>
      <w:r>
        <w:rPr>
          <w:spacing w:val="-10"/>
          <w:w w:val="99"/>
        </w:rPr>
        <w:t>号，借款金额为人民币</w:t>
      </w:r>
      <w:r>
        <w:rPr>
          <w:spacing w:val="-67"/>
          <w:w w:val="99"/>
        </w:rPr>
        <w:t> </w:t>
      </w:r>
      <w:r>
        <w:rPr>
          <w:rFonts w:ascii="Times New Roman" w:hAnsi="Times New Roman" w:cs="Times New Roman" w:eastAsia="Times New Roman" w:hint="default"/>
          <w:spacing w:val="-1"/>
          <w:w w:val="99"/>
        </w:rPr>
        <w:t>500</w:t>
      </w:r>
      <w:r>
        <w:rPr>
          <w:rFonts w:ascii="Times New Roman" w:hAnsi="Times New Roman" w:cs="Times New Roman" w:eastAsia="Times New Roman" w:hint="default"/>
          <w:spacing w:val="-14"/>
          <w:w w:val="99"/>
        </w:rPr>
        <w:t> </w:t>
      </w:r>
      <w:r>
        <w:rPr>
          <w:spacing w:val="-8"/>
          <w:w w:val="97"/>
        </w:rPr>
        <w:t>万元，借款期限：</w:t>
      </w:r>
      <w:r>
        <w:rPr>
          <w:rFonts w:ascii="Times New Roman" w:hAnsi="Times New Roman" w:cs="Times New Roman" w:eastAsia="Times New Roman" w:hint="default"/>
          <w:spacing w:val="-8"/>
          <w:w w:val="97"/>
        </w:rPr>
        <w:t>2009.6.9-2010.6.9</w:t>
      </w:r>
      <w:r>
        <w:rPr>
          <w:spacing w:val="-8"/>
          <w:w w:val="97"/>
        </w:rPr>
        <w:t>。</w:t>
      </w:r>
      <w:r>
        <w:rPr>
          <w:w w:val="49"/>
        </w:rPr>
        <w:t> </w:t>
      </w:r>
      <w:r>
        <w:rPr/>
        <w:t>此借款担保方式为抵押，抵押合同号为：</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年新银抵</w:t>
      </w:r>
      <w:r>
        <w:rPr>
          <w:spacing w:val="-43"/>
        </w:rPr>
        <w:t> </w:t>
      </w:r>
      <w:r>
        <w:rPr>
          <w:rFonts w:ascii="Times New Roman" w:hAnsi="Times New Roman" w:cs="Times New Roman" w:eastAsia="Times New Roman" w:hint="default"/>
        </w:rPr>
        <w:t>023</w:t>
      </w:r>
      <w:r>
        <w:rPr>
          <w:rFonts w:ascii="Times New Roman" w:hAnsi="Times New Roman" w:cs="Times New Roman" w:eastAsia="Times New Roman" w:hint="default"/>
          <w:spacing w:val="8"/>
        </w:rPr>
        <w:t> </w:t>
      </w:r>
      <w:r>
        <w:rPr/>
        <w:t>号，由本公司当涂工业园房</w:t>
      </w:r>
      <w:r>
        <w:rPr>
          <w:spacing w:val="-101"/>
        </w:rPr>
        <w:t> </w:t>
      </w:r>
      <w:r>
        <w:rPr>
          <w:spacing w:val="-101"/>
        </w:rPr>
      </w:r>
      <w:r>
        <w:rPr>
          <w:w w:val="99"/>
        </w:rPr>
        <w:t>产（当房（</w:t>
      </w:r>
      <w:r>
        <w:rPr>
          <w:rFonts w:ascii="Times New Roman" w:hAnsi="Times New Roman" w:cs="Times New Roman" w:eastAsia="Times New Roman" w:hint="default"/>
          <w:w w:val="99"/>
        </w:rPr>
        <w:t>2008</w:t>
      </w:r>
      <w:r>
        <w:rPr>
          <w:w w:val="99"/>
        </w:rPr>
        <w:t>）字第</w:t>
      </w:r>
      <w:r>
        <w:rPr>
          <w:spacing w:val="-45"/>
          <w:w w:val="99"/>
        </w:rPr>
        <w:t> </w:t>
      </w:r>
      <w:r>
        <w:rPr>
          <w:rFonts w:ascii="Times New Roman" w:hAnsi="Times New Roman" w:cs="Times New Roman" w:eastAsia="Times New Roman" w:hint="default"/>
          <w:w w:val="99"/>
        </w:rPr>
        <w:t>000763</w:t>
      </w:r>
      <w:r>
        <w:rPr>
          <w:rFonts w:ascii="Times New Roman" w:hAnsi="Times New Roman" w:cs="Times New Roman" w:eastAsia="Times New Roman" w:hint="default"/>
          <w:spacing w:val="8"/>
          <w:w w:val="99"/>
        </w:rPr>
        <w:t> </w:t>
      </w:r>
      <w:r>
        <w:rPr>
          <w:w w:val="99"/>
        </w:rPr>
        <w:t>号、当房（</w:t>
      </w:r>
      <w:r>
        <w:rPr>
          <w:rFonts w:ascii="Times New Roman" w:hAnsi="Times New Roman" w:cs="Times New Roman" w:eastAsia="Times New Roman" w:hint="default"/>
          <w:w w:val="99"/>
        </w:rPr>
        <w:t>2008</w:t>
      </w:r>
      <w:r>
        <w:rPr>
          <w:w w:val="99"/>
        </w:rPr>
        <w:t>）字第</w:t>
      </w:r>
      <w:r>
        <w:rPr>
          <w:spacing w:val="-45"/>
          <w:w w:val="99"/>
        </w:rPr>
        <w:t> </w:t>
      </w:r>
      <w:r>
        <w:rPr>
          <w:rFonts w:ascii="Times New Roman" w:hAnsi="Times New Roman" w:cs="Times New Roman" w:eastAsia="Times New Roman" w:hint="default"/>
          <w:w w:val="99"/>
        </w:rPr>
        <w:t>000762</w:t>
      </w:r>
      <w:r>
        <w:rPr>
          <w:rFonts w:ascii="Times New Roman" w:hAnsi="Times New Roman" w:cs="Times New Roman" w:eastAsia="Times New Roman" w:hint="default"/>
          <w:spacing w:val="8"/>
          <w:w w:val="99"/>
        </w:rPr>
        <w:t> </w:t>
      </w:r>
      <w:r>
        <w:rPr>
          <w:spacing w:val="-9"/>
          <w:w w:val="99"/>
        </w:rPr>
        <w:t>号）、土地使用权（当国用</w:t>
      </w:r>
      <w:r>
        <w:rPr>
          <w:spacing w:val="-9"/>
        </w:rPr>
      </w:r>
    </w:p>
    <w:p>
      <w:pPr>
        <w:pStyle w:val="BodyText"/>
        <w:spacing w:line="240" w:lineRule="auto" w:before="26"/>
        <w:ind w:left="830" w:right="0"/>
        <w:jc w:val="both"/>
      </w:pPr>
      <w:r>
        <w:rPr/>
        <w:t>（</w:t>
      </w:r>
      <w:r>
        <w:rPr>
          <w:rFonts w:ascii="Times New Roman" w:hAnsi="Times New Roman" w:cs="Times New Roman" w:eastAsia="Times New Roman" w:hint="default"/>
        </w:rPr>
        <w:t>2008</w:t>
      </w:r>
      <w:r>
        <w:rPr/>
        <w:t>）字第</w:t>
      </w:r>
      <w:r>
        <w:rPr>
          <w:spacing w:val="-55"/>
        </w:rPr>
        <w:t> </w:t>
      </w:r>
      <w:r>
        <w:rPr>
          <w:rFonts w:ascii="Times New Roman" w:hAnsi="Times New Roman" w:cs="Times New Roman" w:eastAsia="Times New Roman" w:hint="default"/>
        </w:rPr>
        <w:t>0329</w:t>
      </w:r>
      <w:r>
        <w:rPr>
          <w:rFonts w:ascii="Times New Roman" w:hAnsi="Times New Roman" w:cs="Times New Roman" w:eastAsia="Times New Roman" w:hint="default"/>
          <w:spacing w:val="-3"/>
        </w:rPr>
        <w:t> </w:t>
      </w:r>
      <w:r>
        <w:rPr/>
        <w:t>号）抵押，抵押金额为人民币</w:t>
      </w:r>
      <w:r>
        <w:rPr>
          <w:spacing w:val="-55"/>
        </w:rPr>
        <w:t> </w:t>
      </w:r>
      <w:r>
        <w:rPr>
          <w:rFonts w:ascii="Times New Roman" w:hAnsi="Times New Roman" w:cs="Times New Roman" w:eastAsia="Times New Roman" w:hint="default"/>
        </w:rPr>
        <w:t>3,607</w:t>
      </w:r>
      <w:r>
        <w:rPr>
          <w:rFonts w:ascii="Times New Roman" w:hAnsi="Times New Roman" w:cs="Times New Roman" w:eastAsia="Times New Roman" w:hint="default"/>
          <w:spacing w:val="-3"/>
        </w:rPr>
        <w:t> </w:t>
      </w:r>
      <w:r>
        <w:rPr/>
        <w:t>万元；</w:t>
      </w:r>
    </w:p>
    <w:p>
      <w:pPr>
        <w:pStyle w:val="BodyText"/>
        <w:spacing w:line="240" w:lineRule="auto" w:before="117"/>
        <w:ind w:left="1250" w:right="930"/>
        <w:jc w:val="left"/>
      </w:pPr>
      <w:r>
        <w:rPr>
          <w:rFonts w:ascii="Times New Roman" w:hAnsi="Times New Roman" w:cs="Times New Roman" w:eastAsia="Times New Roman" w:hint="default"/>
          <w:spacing w:val="-8"/>
        </w:rPr>
        <w:t>B</w:t>
      </w:r>
      <w:r>
        <w:rPr>
          <w:spacing w:val="-8"/>
        </w:rPr>
        <w:t>、本公司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日与中国建设银行股份有限公司马鞍山市分行签订工业流</w:t>
      </w:r>
    </w:p>
    <w:p>
      <w:pPr>
        <w:pStyle w:val="BodyText"/>
        <w:spacing w:line="336" w:lineRule="auto" w:before="117"/>
        <w:ind w:left="830" w:right="1051"/>
        <w:jc w:val="both"/>
      </w:pPr>
      <w:r>
        <w:rPr>
          <w:w w:val="95"/>
        </w:rPr>
        <w:t>动资金借款，借款合同号建马工流 </w:t>
      </w:r>
      <w:r>
        <w:rPr>
          <w:rFonts w:ascii="Times New Roman" w:hAnsi="Times New Roman" w:cs="Times New Roman" w:eastAsia="Times New Roman" w:hint="default"/>
          <w:w w:val="95"/>
        </w:rPr>
        <w:t>090845 </w:t>
      </w:r>
      <w:r>
        <w:rPr>
          <w:w w:val="95"/>
        </w:rPr>
        <w:t>号，借款金额为人民币 </w:t>
      </w:r>
      <w:r>
        <w:rPr>
          <w:rFonts w:ascii="Times New Roman" w:hAnsi="Times New Roman" w:cs="Times New Roman" w:eastAsia="Times New Roman" w:hint="default"/>
          <w:w w:val="95"/>
        </w:rPr>
        <w:t>1,800 </w:t>
      </w:r>
      <w:r>
        <w:rPr>
          <w:w w:val="95"/>
        </w:rPr>
        <w:t>万元，借款期限：</w:t>
      </w:r>
      <w:r>
        <w:rPr>
          <w:spacing w:val="-60"/>
          <w:w w:val="95"/>
        </w:rPr>
        <w:t> </w:t>
      </w:r>
      <w:r>
        <w:rPr>
          <w:spacing w:val="-60"/>
          <w:w w:val="95"/>
        </w:rPr>
      </w:r>
      <w:r>
        <w:rPr>
          <w:rFonts w:ascii="Times New Roman" w:hAnsi="Times New Roman" w:cs="Times New Roman" w:eastAsia="Times New Roman" w:hint="default"/>
        </w:rPr>
        <w:t>2009.8.20-2011.8.19</w:t>
      </w:r>
      <w:r>
        <w:rPr/>
        <w:t>。此借款担保方式为保证、抵押，由本公司与建行签订最高额抵押合</w:t>
      </w:r>
      <w:r>
        <w:rPr>
          <w:spacing w:val="-96"/>
        </w:rPr>
        <w:t> </w:t>
      </w:r>
      <w:r>
        <w:rPr>
          <w:spacing w:val="-96"/>
        </w:rPr>
      </w:r>
      <w:r>
        <w:rPr>
          <w:spacing w:val="-10"/>
          <w:w w:val="99"/>
        </w:rPr>
        <w:t>同，由本公司当涂工业园房产（当房（</w:t>
      </w:r>
      <w:r>
        <w:rPr>
          <w:rFonts w:ascii="Times New Roman" w:hAnsi="Times New Roman" w:cs="Times New Roman" w:eastAsia="Times New Roman" w:hint="default"/>
          <w:spacing w:val="-10"/>
          <w:w w:val="99"/>
        </w:rPr>
        <w:t>2008</w:t>
      </w:r>
      <w:r>
        <w:rPr>
          <w:spacing w:val="-10"/>
          <w:w w:val="99"/>
        </w:rPr>
        <w:t>）字第</w:t>
      </w:r>
      <w:r>
        <w:rPr>
          <w:w w:val="99"/>
        </w:rPr>
        <w:t> </w:t>
      </w:r>
      <w:r>
        <w:rPr>
          <w:rFonts w:ascii="Times New Roman" w:hAnsi="Times New Roman" w:cs="Times New Roman" w:eastAsia="Times New Roman" w:hint="default"/>
          <w:w w:val="99"/>
        </w:rPr>
        <w:t>000763</w:t>
      </w:r>
      <w:r>
        <w:rPr>
          <w:rFonts w:ascii="Times New Roman" w:hAnsi="Times New Roman" w:cs="Times New Roman" w:eastAsia="Times New Roman" w:hint="default"/>
          <w:spacing w:val="-30"/>
          <w:w w:val="99"/>
        </w:rPr>
        <w:t> </w:t>
      </w:r>
      <w:r>
        <w:rPr>
          <w:spacing w:val="-16"/>
          <w:w w:val="96"/>
        </w:rPr>
        <w:t>号）、土地使用权（当国用（</w:t>
      </w:r>
      <w:r>
        <w:rPr>
          <w:rFonts w:ascii="Times New Roman" w:hAnsi="Times New Roman" w:cs="Times New Roman" w:eastAsia="Times New Roman" w:hint="default"/>
          <w:spacing w:val="-16"/>
          <w:w w:val="96"/>
        </w:rPr>
        <w:t>2008</w:t>
      </w:r>
      <w:r>
        <w:rPr>
          <w:spacing w:val="-16"/>
          <w:w w:val="96"/>
        </w:rPr>
        <w:t>）</w:t>
      </w:r>
      <w:r>
        <w:rPr>
          <w:spacing w:val="-16"/>
        </w:rPr>
      </w:r>
    </w:p>
    <w:p>
      <w:pPr>
        <w:pStyle w:val="BodyText"/>
        <w:spacing w:line="240" w:lineRule="auto" w:before="26"/>
        <w:ind w:left="830" w:right="0"/>
        <w:jc w:val="both"/>
      </w:pPr>
      <w:r>
        <w:rPr/>
        <w:t>字第</w:t>
      </w:r>
      <w:r>
        <w:rPr>
          <w:spacing w:val="-55"/>
        </w:rPr>
        <w:t> </w:t>
      </w:r>
      <w:r>
        <w:rPr>
          <w:rFonts w:ascii="Times New Roman" w:hAnsi="Times New Roman" w:cs="Times New Roman" w:eastAsia="Times New Roman" w:hint="default"/>
        </w:rPr>
        <w:t>0330</w:t>
      </w:r>
      <w:r>
        <w:rPr>
          <w:rFonts w:ascii="Times New Roman" w:hAnsi="Times New Roman" w:cs="Times New Roman" w:eastAsia="Times New Roman" w:hint="default"/>
          <w:spacing w:val="-3"/>
        </w:rPr>
        <w:t> </w:t>
      </w:r>
      <w:r>
        <w:rPr/>
        <w:t>号）抵押，抵押金额为人民币</w:t>
      </w:r>
      <w:r>
        <w:rPr>
          <w:spacing w:val="-55"/>
        </w:rPr>
        <w:t> </w:t>
      </w:r>
      <w:r>
        <w:rPr>
          <w:rFonts w:ascii="Times New Roman" w:hAnsi="Times New Roman" w:cs="Times New Roman" w:eastAsia="Times New Roman" w:hint="default"/>
        </w:rPr>
        <w:t>1,961</w:t>
      </w:r>
      <w:r>
        <w:rPr>
          <w:rFonts w:ascii="Times New Roman" w:hAnsi="Times New Roman" w:cs="Times New Roman" w:eastAsia="Times New Roman" w:hint="default"/>
          <w:spacing w:val="-3"/>
        </w:rPr>
        <w:t> </w:t>
      </w:r>
      <w:r>
        <w:rPr/>
        <w:t>万元；</w:t>
      </w:r>
    </w:p>
    <w:p>
      <w:pPr>
        <w:spacing w:line="240" w:lineRule="auto" w:before="7"/>
        <w:rPr>
          <w:rFonts w:ascii="宋体" w:hAnsi="宋体" w:cs="宋体" w:eastAsia="宋体" w:hint="default"/>
          <w:sz w:val="31"/>
          <w:szCs w:val="31"/>
        </w:rPr>
      </w:pPr>
    </w:p>
    <w:p>
      <w:pPr>
        <w:pStyle w:val="Heading4"/>
        <w:spacing w:line="240" w:lineRule="auto"/>
        <w:ind w:left="728" w:right="93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3"/>
        <w:rPr>
          <w:rFonts w:ascii="Microsoft JhengHei" w:hAnsi="Microsoft JhengHei" w:cs="Microsoft JhengHei" w:eastAsia="Microsoft JhengHei" w:hint="default"/>
          <w:b/>
          <w:bCs/>
          <w:sz w:val="28"/>
          <w:szCs w:val="28"/>
        </w:rPr>
      </w:pPr>
    </w:p>
    <w:p>
      <w:pPr>
        <w:pStyle w:val="BodyText"/>
        <w:spacing w:line="240" w:lineRule="auto" w:before="34"/>
        <w:ind w:left="722" w:right="930"/>
        <w:jc w:val="left"/>
      </w:pPr>
      <w:r>
        <w:rPr/>
        <w:t>（</w:t>
      </w:r>
      <w:r>
        <w:rPr>
          <w:rFonts w:ascii="Times New Roman" w:hAnsi="Times New Roman" w:cs="Times New Roman" w:eastAsia="Times New Roman" w:hint="default"/>
        </w:rPr>
        <w:t>1</w:t>
      </w:r>
      <w:r>
        <w:rPr/>
        <w:t>）</w:t>
      </w:r>
    </w:p>
    <w:p>
      <w:pPr>
        <w:pStyle w:val="BodyText"/>
        <w:spacing w:line="240" w:lineRule="auto" w:before="117"/>
        <w:ind w:left="0" w:right="94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385"/>
        <w:gridCol w:w="1385"/>
        <w:gridCol w:w="1385"/>
        <w:gridCol w:w="1390"/>
        <w:gridCol w:w="1385"/>
        <w:gridCol w:w="1385"/>
        <w:gridCol w:w="1387"/>
      </w:tblGrid>
      <w:tr>
        <w:trPr>
          <w:trHeight w:val="420" w:hRule="exact"/>
        </w:trPr>
        <w:tc>
          <w:tcPr>
            <w:tcW w:w="1385" w:type="dxa"/>
            <w:vMerge w:val="restart"/>
            <w:tcBorders>
              <w:top w:val="single" w:sz="4" w:space="0" w:color="000000"/>
              <w:left w:val="nil" w:sz="6" w:space="0" w:color="auto"/>
              <w:right w:val="single" w:sz="4" w:space="0" w:color="000000"/>
            </w:tcBorders>
          </w:tcPr>
          <w:p>
            <w:pPr>
              <w:pStyle w:val="TableParagraph"/>
              <w:spacing w:line="240" w:lineRule="auto" w:before="174"/>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57"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385"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18"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8,114,916.34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8,114,916.34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452,253.12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08" w:right="0"/>
              <w:jc w:val="left"/>
              <w:rPr>
                <w:rFonts w:ascii="Times New Roman" w:hAnsi="Times New Roman" w:cs="Times New Roman" w:eastAsia="Times New Roman" w:hint="default"/>
                <w:sz w:val="21"/>
                <w:szCs w:val="21"/>
              </w:rPr>
            </w:pPr>
            <w:r>
              <w:rPr>
                <w:rFonts w:ascii="Times New Roman"/>
                <w:sz w:val="21"/>
              </w:rPr>
              <w:t>452,253.12</w:t>
            </w:r>
          </w:p>
        </w:tc>
      </w:tr>
    </w:tbl>
    <w:p>
      <w:pPr>
        <w:pStyle w:val="BodyText"/>
        <w:spacing w:line="257" w:lineRule="exact"/>
        <w:ind w:left="722" w:right="930"/>
        <w:jc w:val="left"/>
      </w:pPr>
      <w:r>
        <w:rPr/>
        <w:t>（</w:t>
      </w:r>
      <w:r>
        <w:rPr>
          <w:rFonts w:ascii="Times New Roman" w:hAnsi="Times New Roman" w:cs="Times New Roman" w:eastAsia="Times New Roman" w:hint="default"/>
        </w:rPr>
        <w:t>2</w:t>
      </w:r>
      <w:r>
        <w:rPr/>
        <w:t>）重大在建工程项目变动情况</w:t>
      </w:r>
    </w:p>
    <w:p>
      <w:pPr>
        <w:spacing w:after="0" w:line="257" w:lineRule="exact"/>
        <w:jc w:val="left"/>
        <w:sectPr>
          <w:footerReference w:type="default" r:id="rId35"/>
          <w:pgSz w:w="11910" w:h="16840"/>
          <w:pgMar w:footer="1590" w:header="1058" w:top="1780" w:bottom="1780" w:left="1080" w:right="860"/>
          <w:pgNumType w:start="98"/>
        </w:sectPr>
      </w:pPr>
    </w:p>
    <w:p>
      <w:pPr>
        <w:pStyle w:val="BodyText"/>
        <w:spacing w:line="258" w:lineRule="exact"/>
        <w:ind w:left="0" w:right="126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46"/>
        <w:gridCol w:w="797"/>
        <w:gridCol w:w="578"/>
        <w:gridCol w:w="1008"/>
        <w:gridCol w:w="667"/>
        <w:gridCol w:w="430"/>
        <w:gridCol w:w="950"/>
        <w:gridCol w:w="530"/>
        <w:gridCol w:w="792"/>
        <w:gridCol w:w="854"/>
        <w:gridCol w:w="708"/>
        <w:gridCol w:w="994"/>
        <w:gridCol w:w="1135"/>
      </w:tblGrid>
      <w:tr>
        <w:trPr>
          <w:trHeight w:val="1181"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96" w:right="101" w:hanging="92"/>
              <w:jc w:val="left"/>
              <w:rPr>
                <w:rFonts w:ascii="宋体" w:hAnsi="宋体" w:cs="宋体" w:eastAsia="宋体" w:hint="default"/>
                <w:sz w:val="18"/>
                <w:szCs w:val="18"/>
              </w:rPr>
            </w:pPr>
            <w:r>
              <w:rPr>
                <w:rFonts w:ascii="宋体" w:hAnsi="宋体" w:cs="宋体" w:eastAsia="宋体" w:hint="default"/>
                <w:sz w:val="18"/>
                <w:szCs w:val="18"/>
              </w:rPr>
              <w:t>期初 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60" w:right="55"/>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28" w:right="29"/>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110"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81" w:right="77"/>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33" w:right="26"/>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62" w:right="60"/>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2"/>
              <w:ind w:left="36" w:right="3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447"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38" w:lineRule="auto"/>
              <w:ind w:left="31" w:right="24"/>
              <w:jc w:val="both"/>
              <w:rPr>
                <w:rFonts w:ascii="宋体" w:hAnsi="宋体" w:cs="宋体" w:eastAsia="宋体" w:hint="default"/>
                <w:sz w:val="18"/>
                <w:szCs w:val="18"/>
              </w:rPr>
            </w:pPr>
            <w:r>
              <w:rPr>
                <w:rFonts w:ascii="宋体" w:hAnsi="宋体" w:cs="宋体" w:eastAsia="宋体" w:hint="default"/>
                <w:spacing w:val="10"/>
                <w:sz w:val="18"/>
                <w:szCs w:val="18"/>
              </w:rPr>
              <w:t>年产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万吨</w:t>
            </w:r>
            <w:r>
              <w:rPr>
                <w:rFonts w:ascii="宋体" w:hAnsi="宋体" w:cs="宋体" w:eastAsia="宋体" w:hint="default"/>
                <w:sz w:val="18"/>
                <w:szCs w:val="18"/>
              </w:rPr>
              <w:t> 高 铁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w:t>
            </w:r>
            <w:r>
              <w:rPr>
                <w:rFonts w:ascii="宋体" w:hAnsi="宋体" w:cs="宋体" w:eastAsia="宋体" w:hint="default"/>
                <w:w w:val="100"/>
                <w:sz w:val="18"/>
                <w:szCs w:val="18"/>
              </w:rPr>
              <w:t> </w:t>
            </w:r>
            <w:r>
              <w:rPr>
                <w:rFonts w:ascii="宋体" w:hAnsi="宋体" w:cs="宋体" w:eastAsia="宋体" w:hint="default"/>
                <w:sz w:val="18"/>
                <w:szCs w:val="18"/>
              </w:rPr>
              <w:t>品项目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8122.5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3" w:right="0"/>
              <w:jc w:val="center"/>
              <w:rPr>
                <w:rFonts w:ascii="Times New Roman" w:hAnsi="Times New Roman" w:cs="Times New Roman" w:eastAsia="Times New Roman" w:hint="default"/>
                <w:sz w:val="18"/>
                <w:szCs w:val="18"/>
              </w:rPr>
            </w:pPr>
            <w:r>
              <w:rPr>
                <w:rFonts w:ascii="Times New Roman"/>
                <w:sz w:val="18"/>
              </w:rPr>
              <w:t>3,108,790.62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pacing w:val="-1"/>
                <w:sz w:val="18"/>
              </w:rPr>
              <w:t>3.81%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7" w:lineRule="auto"/>
              <w:ind w:left="28" w:right="53"/>
              <w:jc w:val="left"/>
              <w:rPr>
                <w:rFonts w:ascii="宋体" w:hAnsi="宋体" w:cs="宋体" w:eastAsia="宋体" w:hint="default"/>
                <w:sz w:val="18"/>
                <w:szCs w:val="18"/>
              </w:rPr>
            </w:pPr>
            <w:r>
              <w:rPr>
                <w:rFonts w:ascii="宋体" w:hAnsi="宋体" w:cs="宋体" w:eastAsia="宋体" w:hint="default"/>
                <w:sz w:val="18"/>
                <w:szCs w:val="18"/>
              </w:rPr>
              <w:t>超募资金、 自筹</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53" w:right="0"/>
              <w:jc w:val="left"/>
              <w:rPr>
                <w:rFonts w:ascii="Times New Roman" w:hAnsi="Times New Roman" w:cs="Times New Roman" w:eastAsia="Times New Roman" w:hint="default"/>
                <w:sz w:val="18"/>
                <w:szCs w:val="18"/>
              </w:rPr>
            </w:pPr>
            <w:r>
              <w:rPr>
                <w:rFonts w:ascii="Times New Roman"/>
                <w:sz w:val="18"/>
              </w:rPr>
              <w:t>3,108,790.62</w:t>
            </w:r>
          </w:p>
        </w:tc>
      </w:tr>
      <w:tr>
        <w:trPr>
          <w:trHeight w:val="2131"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89"/>
              <w:ind w:left="31" w:right="23"/>
              <w:jc w:val="both"/>
              <w:rPr>
                <w:rFonts w:ascii="宋体" w:hAnsi="宋体" w:cs="宋体" w:eastAsia="宋体" w:hint="default"/>
                <w:sz w:val="18"/>
                <w:szCs w:val="18"/>
              </w:rPr>
            </w:pPr>
            <w:r>
              <w:rPr>
                <w:rFonts w:ascii="宋体" w:hAnsi="宋体" w:cs="宋体" w:eastAsia="宋体" w:hint="default"/>
                <w:sz w:val="18"/>
                <w:szCs w:val="18"/>
              </w:rPr>
              <w:t>年 产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6"/>
                <w:sz w:val="18"/>
                <w:szCs w:val="18"/>
              </w:rPr>
              <w:t>吨稀土多元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合金渡层钢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丝、</w:t>
            </w:r>
            <w:r>
              <w:rPr>
                <w:rFonts w:ascii="宋体" w:hAnsi="宋体" w:cs="宋体" w:eastAsia="宋体" w:hint="default"/>
                <w:spacing w:val="-69"/>
                <w:sz w:val="18"/>
                <w:szCs w:val="18"/>
              </w:rPr>
              <w:t> </w:t>
            </w:r>
            <w:r>
              <w:rPr>
                <w:rFonts w:ascii="宋体" w:hAnsi="宋体" w:cs="宋体" w:eastAsia="宋体" w:hint="default"/>
                <w:spacing w:val="14"/>
                <w:sz w:val="18"/>
                <w:szCs w:val="18"/>
              </w:rPr>
              <w:t>钢绞线</w:t>
            </w:r>
            <w:r>
              <w:rPr>
                <w:rFonts w:ascii="宋体" w:hAnsi="宋体" w:cs="宋体" w:eastAsia="宋体" w:hint="default"/>
                <w:sz w:val="18"/>
                <w:szCs w:val="18"/>
              </w:rPr>
              <w:t>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1461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3,563,077.48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24.37%</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3,563,077.48</w:t>
            </w:r>
          </w:p>
        </w:tc>
      </w:tr>
      <w:tr>
        <w:trPr>
          <w:trHeight w:val="1411"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31" w:right="0"/>
              <w:jc w:val="left"/>
              <w:rPr>
                <w:rFonts w:ascii="宋体" w:hAnsi="宋体" w:cs="宋体" w:eastAsia="宋体" w:hint="default"/>
                <w:sz w:val="18"/>
                <w:szCs w:val="18"/>
              </w:rPr>
            </w:pPr>
            <w:r>
              <w:rPr>
                <w:rFonts w:ascii="宋体" w:hAnsi="宋体" w:cs="宋体" w:eastAsia="宋体" w:hint="default"/>
                <w:spacing w:val="16"/>
                <w:sz w:val="18"/>
                <w:szCs w:val="18"/>
              </w:rPr>
              <w:t>厂区环境工</w:t>
            </w:r>
          </w:p>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655,000.00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13.10%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自筹资金</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655,000.00</w:t>
            </w:r>
          </w:p>
        </w:tc>
      </w:tr>
      <w:tr>
        <w:trPr>
          <w:trHeight w:val="70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2"/>
          <w:szCs w:val="22"/>
        </w:rPr>
      </w:pPr>
    </w:p>
    <w:p>
      <w:pPr>
        <w:pStyle w:val="BodyText"/>
        <w:spacing w:line="240" w:lineRule="auto" w:before="34"/>
        <w:ind w:left="1162" w:right="0"/>
        <w:jc w:val="left"/>
      </w:pPr>
      <w:r>
        <w:rPr/>
        <w:t>（</w:t>
      </w:r>
      <w:r>
        <w:rPr>
          <w:rFonts w:ascii="Times New Roman" w:hAnsi="Times New Roman" w:cs="Times New Roman" w:eastAsia="Times New Roman" w:hint="default"/>
        </w:rPr>
        <w:t>3</w:t>
      </w:r>
      <w:r>
        <w:rPr/>
        <w:t>）本期在建工程无减值准备</w:t>
      </w:r>
    </w:p>
    <w:p>
      <w:pPr>
        <w:pStyle w:val="BodyText"/>
        <w:spacing w:line="240" w:lineRule="auto" w:before="117"/>
        <w:ind w:left="1162" w:right="0"/>
        <w:jc w:val="left"/>
      </w:pPr>
      <w:r>
        <w:rPr/>
        <w:t>（</w:t>
      </w:r>
      <w:r>
        <w:rPr>
          <w:rFonts w:ascii="Times New Roman" w:hAnsi="Times New Roman" w:cs="Times New Roman" w:eastAsia="Times New Roman" w:hint="default"/>
        </w:rPr>
        <w:t>4</w:t>
      </w:r>
      <w:r>
        <w:rPr/>
        <w:t>）重大在建工程的工程进度情况</w:t>
      </w:r>
    </w:p>
    <w:p>
      <w:pPr>
        <w:spacing w:line="240" w:lineRule="auto" w:before="7"/>
        <w:rPr>
          <w:rFonts w:ascii="宋体" w:hAnsi="宋体" w:cs="宋体" w:eastAsia="宋体" w:hint="default"/>
          <w:sz w:val="11"/>
          <w:szCs w:val="11"/>
        </w:rPr>
      </w:pPr>
    </w:p>
    <w:tbl>
      <w:tblPr>
        <w:tblW w:w="0" w:type="auto"/>
        <w:jc w:val="left"/>
        <w:tblInd w:w="1152" w:type="dxa"/>
        <w:tblLayout w:type="fixed"/>
        <w:tblCellMar>
          <w:top w:w="0" w:type="dxa"/>
          <w:left w:w="0" w:type="dxa"/>
          <w:bottom w:w="0" w:type="dxa"/>
          <w:right w:w="0" w:type="dxa"/>
        </w:tblCellMar>
        <w:tblLook w:val="01E0"/>
      </w:tblPr>
      <w:tblGrid>
        <w:gridCol w:w="4531"/>
        <w:gridCol w:w="2222"/>
        <w:gridCol w:w="1572"/>
      </w:tblGrid>
      <w:tr>
        <w:trPr>
          <w:trHeight w:val="418" w:hRule="exact"/>
        </w:trPr>
        <w:tc>
          <w:tcPr>
            <w:tcW w:w="45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3" w:hRule="exact"/>
        </w:trPr>
        <w:tc>
          <w:tcPr>
            <w:tcW w:w="453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10"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 </w:t>
            </w:r>
            <w:r>
              <w:rPr>
                <w:rFonts w:ascii="宋体" w:hAnsi="宋体" w:cs="宋体" w:eastAsia="宋体" w:hint="default"/>
                <w:sz w:val="18"/>
                <w:szCs w:val="18"/>
              </w:rPr>
              <w:t>制品项目</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3.81%</w:t>
            </w: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73" w:hRule="exact"/>
        </w:trPr>
        <w:tc>
          <w:tcPr>
            <w:tcW w:w="453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10"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万吨稀土多元合金渡层钢丝、钢绞线项目</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 w:right="0"/>
              <w:jc w:val="center"/>
              <w:rPr>
                <w:rFonts w:ascii="Times New Roman" w:hAnsi="Times New Roman" w:cs="Times New Roman" w:eastAsia="Times New Roman" w:hint="default"/>
                <w:sz w:val="18"/>
                <w:szCs w:val="18"/>
              </w:rPr>
            </w:pPr>
            <w:r>
              <w:rPr>
                <w:rFonts w:ascii="Times New Roman"/>
                <w:sz w:val="18"/>
              </w:rPr>
              <w:t>24.37%</w:t>
            </w: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453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厂区环境工程</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13.10%</w:t>
            </w:r>
          </w:p>
        </w:tc>
        <w:tc>
          <w:tcPr>
            <w:tcW w:w="15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2"/>
          <w:szCs w:val="22"/>
        </w:rPr>
      </w:pPr>
    </w:p>
    <w:p>
      <w:pPr>
        <w:pStyle w:val="BodyText"/>
        <w:spacing w:line="240" w:lineRule="auto" w:before="34"/>
        <w:ind w:left="1162" w:right="0"/>
        <w:jc w:val="both"/>
      </w:pPr>
      <w:r>
        <w:rPr/>
        <w:t>在建工程的说明：</w:t>
      </w:r>
    </w:p>
    <w:p>
      <w:pPr>
        <w:pStyle w:val="BodyText"/>
        <w:spacing w:line="240" w:lineRule="auto" w:before="133"/>
        <w:ind w:left="1596" w:right="0"/>
        <w:jc w:val="left"/>
      </w:pPr>
      <w:r>
        <w:rPr>
          <w:spacing w:val="-4"/>
        </w:rPr>
        <w:t>（</w:t>
      </w:r>
      <w:r>
        <w:rPr>
          <w:rFonts w:ascii="Times New Roman" w:hAnsi="Times New Roman" w:cs="Times New Roman" w:eastAsia="Times New Roman" w:hint="default"/>
          <w:spacing w:val="-4"/>
        </w:rPr>
        <w:t>1</w:t>
      </w:r>
      <w:r>
        <w:rPr>
          <w:spacing w:val="-4"/>
        </w:rPr>
        <w:t>）年产</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万吨高铁</w:t>
      </w:r>
      <w:r>
        <w:rPr>
          <w:spacing w:val="-53"/>
        </w:rPr>
        <w:t> </w:t>
      </w:r>
      <w:r>
        <w:rPr>
          <w:rFonts w:ascii="Times New Roman" w:hAnsi="Times New Roman" w:cs="Times New Roman" w:eastAsia="Times New Roman" w:hint="default"/>
        </w:rPr>
        <w:t>PC</w:t>
      </w:r>
      <w:r>
        <w:rPr>
          <w:rFonts w:ascii="Times New Roman" w:hAnsi="Times New Roman" w:cs="Times New Roman" w:eastAsia="Times New Roman" w:hint="default"/>
          <w:spacing w:val="-1"/>
        </w:rPr>
        <w:t> </w:t>
      </w:r>
      <w:r>
        <w:rPr>
          <w:spacing w:val="-3"/>
        </w:rPr>
        <w:t>制品项目：经</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日召开的</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年度第一次临时</w:t>
      </w:r>
    </w:p>
    <w:p>
      <w:pPr>
        <w:pStyle w:val="BodyText"/>
        <w:spacing w:line="336" w:lineRule="auto" w:before="117"/>
        <w:ind w:left="1162" w:right="1255"/>
        <w:jc w:val="both"/>
      </w:pPr>
      <w:r>
        <w:rPr/>
        <w:t>股东大会审议通过，对全资子公司重庆市隆泰稀土新材料有限责任公司增资人民币</w:t>
      </w:r>
      <w:r>
        <w:rPr>
          <w:spacing w:val="-5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w:t>
      </w:r>
      <w:r>
        <w:rPr>
          <w:w w:val="99"/>
        </w:rPr>
        <w:t> </w:t>
      </w:r>
      <w:r>
        <w:rPr>
          <w:spacing w:val="-1"/>
          <w:w w:val="99"/>
        </w:rPr>
        <w:t>元，用于隆泰新材实施建设“年产</w:t>
      </w:r>
      <w:r>
        <w:rPr>
          <w:spacing w:val="-44"/>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5"/>
          <w:w w:val="99"/>
        </w:rPr>
        <w:t> </w:t>
      </w:r>
      <w:r>
        <w:rPr>
          <w:spacing w:val="1"/>
          <w:w w:val="99"/>
        </w:rPr>
        <w:t>万吨高铁</w:t>
      </w:r>
      <w:r>
        <w:rPr>
          <w:spacing w:val="-47"/>
          <w:w w:val="99"/>
        </w:rPr>
        <w:t> </w:t>
      </w:r>
      <w:r>
        <w:rPr>
          <w:rFonts w:ascii="Times New Roman" w:hAnsi="Times New Roman" w:cs="Times New Roman" w:eastAsia="Times New Roman" w:hint="default"/>
          <w:spacing w:val="-1"/>
          <w:w w:val="99"/>
        </w:rPr>
        <w:t>PC</w:t>
      </w:r>
      <w:r>
        <w:rPr>
          <w:rFonts w:ascii="Times New Roman" w:hAnsi="Times New Roman" w:cs="Times New Roman" w:eastAsia="Times New Roman" w:hint="default"/>
          <w:spacing w:val="8"/>
          <w:w w:val="99"/>
        </w:rPr>
        <w:t> </w:t>
      </w:r>
      <w:r>
        <w:rPr>
          <w:spacing w:val="-12"/>
          <w:w w:val="99"/>
        </w:rPr>
        <w:t>制品项目（钢丝、钢棒和钢绞线）”。项目</w:t>
      </w:r>
      <w:r>
        <w:rPr>
          <w:spacing w:val="-103"/>
          <w:w w:val="99"/>
        </w:rPr>
        <w:t> </w:t>
      </w:r>
      <w:r>
        <w:rPr>
          <w:spacing w:val="-103"/>
          <w:w w:val="99"/>
        </w:rPr>
      </w:r>
      <w:r>
        <w:rPr/>
        <w:t>建设地点：重庆市武隆（白马）工业园区。</w:t>
      </w:r>
    </w:p>
    <w:p>
      <w:pPr>
        <w:pStyle w:val="BodyText"/>
        <w:spacing w:line="240" w:lineRule="auto" w:before="51"/>
        <w:ind w:left="1596" w:right="0"/>
        <w:jc w:val="left"/>
      </w:pPr>
      <w:r>
        <w:rPr>
          <w:spacing w:val="2"/>
        </w:rPr>
        <w:t>（</w:t>
      </w:r>
      <w:r>
        <w:rPr>
          <w:rFonts w:ascii="Times New Roman" w:hAnsi="Times New Roman" w:cs="Times New Roman" w:eastAsia="Times New Roman" w:hint="default"/>
          <w:spacing w:val="2"/>
        </w:rPr>
        <w:t>2</w:t>
      </w:r>
      <w:r>
        <w:rPr>
          <w:spacing w:val="2"/>
        </w:rPr>
        <w:t>）年产</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万吨稀土多元合金镀层钢丝、钢绞线项目</w:t>
      </w:r>
      <w:r>
        <w:rPr>
          <w:spacing w:val="-77"/>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经</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2"/>
        </w:rPr>
        <w:t>日召开的</w:t>
      </w:r>
    </w:p>
    <w:p>
      <w:pPr>
        <w:pStyle w:val="BodyText"/>
        <w:spacing w:line="240" w:lineRule="auto" w:before="117"/>
        <w:ind w:left="1162"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年第二次股东大会审议通过，项目总投入资金为</w:t>
      </w:r>
      <w:r>
        <w:rPr>
          <w:spacing w:val="-54"/>
        </w:rPr>
        <w:t> </w:t>
      </w:r>
      <w:r>
        <w:rPr>
          <w:rFonts w:ascii="Times New Roman" w:hAnsi="Times New Roman" w:cs="Times New Roman" w:eastAsia="Times New Roman" w:hint="default"/>
        </w:rPr>
        <w:t>5400</w:t>
      </w:r>
      <w:r>
        <w:rPr>
          <w:rFonts w:ascii="Times New Roman" w:hAnsi="Times New Roman" w:cs="Times New Roman" w:eastAsia="Times New Roman" w:hint="default"/>
          <w:spacing w:val="-4"/>
        </w:rPr>
        <w:t> </w:t>
      </w:r>
      <w:r>
        <w:rPr/>
        <w:t>万元。</w:t>
      </w:r>
    </w:p>
    <w:p>
      <w:pPr>
        <w:spacing w:after="0" w:line="240" w:lineRule="auto"/>
        <w:jc w:val="both"/>
        <w:sectPr>
          <w:pgSz w:w="11910" w:h="16840"/>
          <w:pgMar w:header="1058" w:footer="1590" w:top="1780" w:bottom="1780" w:left="640" w:right="540"/>
        </w:sect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6"/>
          <w:pgSz w:w="11910" w:h="16840"/>
          <w:pgMar w:footer="1590" w:header="1058" w:top="1780" w:bottom="1780" w:left="1040" w:right="1000"/>
          <w:pgNumType w:start="100"/>
        </w:sectPr>
      </w:pPr>
    </w:p>
    <w:p>
      <w:pPr>
        <w:pStyle w:val="Heading4"/>
        <w:spacing w:line="333" w:lineRule="exact"/>
        <w:ind w:left="768" w:right="0"/>
        <w:jc w:val="left"/>
        <w:rPr>
          <w:b w:val="0"/>
          <w:bCs w:val="0"/>
        </w:rPr>
      </w:pPr>
      <w:bookmarkStart w:name="10、无形资产" w:id="58"/>
      <w:bookmarkEnd w:id="58"/>
      <w:r>
        <w:rPr>
          <w:b w:val="0"/>
          <w:bCs w:val="0"/>
        </w:rPr>
      </w:r>
      <w:r>
        <w:rPr>
          <w:rFonts w:ascii="Times New Roman" w:hAnsi="Times New Roman" w:cs="Times New Roman" w:eastAsia="Times New Roman" w:hint="default"/>
        </w:rPr>
        <w:t>10</w:t>
      </w:r>
      <w:r>
        <w:rPr/>
        <w:t>、无形资产</w:t>
      </w:r>
      <w:r>
        <w:rPr>
          <w:b w:val="0"/>
          <w:bCs w:val="0"/>
        </w:rPr>
      </w:r>
    </w:p>
    <w:p>
      <w:pPr>
        <w:pStyle w:val="BodyText"/>
        <w:spacing w:line="240" w:lineRule="auto" w:before="109"/>
        <w:ind w:left="762" w:right="0"/>
        <w:jc w:val="left"/>
      </w:pPr>
      <w:r>
        <w:rPr>
          <w:w w:val="95"/>
        </w:rPr>
        <w:t>（</w:t>
      </w:r>
      <w:r>
        <w:rPr>
          <w:rFonts w:ascii="Times New Roman" w:hAnsi="Times New Roman" w:cs="Times New Roman" w:eastAsia="Times New Roman" w:hint="default"/>
          <w:w w:val="95"/>
        </w:rPr>
        <w:t>1</w:t>
      </w:r>
      <w:r>
        <w:rPr>
          <w:w w:val="95"/>
        </w:rPr>
        <w:t>）无形资产情况</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0" w:right="802"/>
        <w:jc w:val="right"/>
      </w:pPr>
      <w:r>
        <w:rPr/>
        <w:t>单位：元</w:t>
      </w:r>
      <w:r>
        <w:rPr>
          <w:spacing w:val="-3"/>
        </w:rPr>
        <w:t> </w:t>
      </w:r>
      <w:r>
        <w:rPr/>
        <w:t>币种：人民</w:t>
      </w:r>
    </w:p>
    <w:p>
      <w:pPr>
        <w:pStyle w:val="BodyText"/>
        <w:spacing w:line="240" w:lineRule="auto" w:before="133"/>
        <w:ind w:left="0" w:right="802"/>
        <w:jc w:val="right"/>
      </w:pPr>
      <w:r>
        <w:rPr>
          <w:w w:val="99"/>
        </w:rPr>
        <w:t>币</w:t>
      </w:r>
      <w:r>
        <w:rPr/>
      </w:r>
    </w:p>
    <w:p>
      <w:pPr>
        <w:spacing w:after="0" w:line="240" w:lineRule="auto"/>
        <w:jc w:val="right"/>
        <w:sectPr>
          <w:type w:val="continuous"/>
          <w:pgSz w:w="11910" w:h="16840"/>
          <w:pgMar w:top="940" w:bottom="920" w:left="1040" w:right="1000"/>
          <w:cols w:num="2" w:equalWidth="0">
            <w:col w:w="2546" w:space="3759"/>
            <w:col w:w="3565"/>
          </w:cols>
        </w:sectPr>
      </w:pP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311"/>
        <w:gridCol w:w="1834"/>
        <w:gridCol w:w="1834"/>
        <w:gridCol w:w="1834"/>
        <w:gridCol w:w="1826"/>
      </w:tblGrid>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9,105,600.00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47,606,377.64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56,711,977.64</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8,955,600.00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47,606,377.64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56,561,977.64</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822,273.33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531,737.38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1,354,010.71</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795,190.00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506,737.38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1,301,927.38</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27,083.33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52,083.33</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三、无形资产账面净值合计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8,283,326.67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55,357,966.93</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8,160,410.00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55,260,050.26</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122,916.67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97,916.67</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8,283,326.67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55,357,966.93</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8,160,410.00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55,260,050.26</w:t>
            </w:r>
          </w:p>
        </w:tc>
      </w:tr>
      <w:tr>
        <w:trPr>
          <w:trHeight w:val="36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122,916.67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97,916.67</w:t>
            </w:r>
          </w:p>
        </w:tc>
      </w:tr>
    </w:tbl>
    <w:p>
      <w:pPr>
        <w:pStyle w:val="BodyText"/>
        <w:spacing w:line="257" w:lineRule="exact"/>
        <w:ind w:left="762" w:right="0"/>
        <w:jc w:val="both"/>
      </w:pPr>
      <w:r>
        <w:rPr/>
        <w:t>本期摊销额</w:t>
      </w:r>
      <w:r>
        <w:rPr>
          <w:spacing w:val="-57"/>
        </w:rPr>
        <w:t> </w:t>
      </w:r>
      <w:r>
        <w:rPr>
          <w:rFonts w:ascii="Times New Roman" w:hAnsi="Times New Roman" w:cs="Times New Roman" w:eastAsia="Times New Roman" w:hint="default"/>
          <w:spacing w:val="-57"/>
        </w:rPr>
      </w:r>
      <w:r>
        <w:rPr>
          <w:rFonts w:ascii="Times New Roman" w:hAnsi="Times New Roman" w:cs="Times New Roman" w:eastAsia="Times New Roman" w:hint="default"/>
          <w:u w:val="single" w:color="000000"/>
        </w:rPr>
        <w:t>531,737.38</w:t>
      </w:r>
      <w:r>
        <w:rPr>
          <w:rFonts w:ascii="Times New Roman" w:hAnsi="Times New Roman" w:cs="Times New Roman" w:eastAsia="Times New Roman" w:hint="default"/>
          <w:spacing w:val="-3"/>
          <w:u w:val="single" w:color="000000"/>
        </w:rPr>
        <w:t> </w:t>
      </w:r>
      <w:r>
        <w:rPr>
          <w:rFonts w:ascii="Times New Roman" w:hAnsi="Times New Roman" w:cs="Times New Roman" w:eastAsia="Times New Roman" w:hint="default"/>
          <w:spacing w:val="-3"/>
        </w:rPr>
      </w:r>
      <w:r>
        <w:rPr/>
        <w:t>元。</w:t>
      </w:r>
    </w:p>
    <w:p>
      <w:pPr>
        <w:pStyle w:val="BodyText"/>
        <w:spacing w:line="240" w:lineRule="auto" w:before="119"/>
        <w:ind w:left="762" w:right="0"/>
        <w:jc w:val="both"/>
      </w:pPr>
      <w:r>
        <w:rPr/>
        <w:t>无形资产的说明：</w:t>
      </w:r>
    </w:p>
    <w:p>
      <w:pPr>
        <w:pStyle w:val="BodyText"/>
        <w:spacing w:line="240" w:lineRule="auto" w:before="133"/>
        <w:ind w:left="310" w:right="160"/>
        <w:jc w:val="cente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日，公司与当涂工业园管委会签定了入园协议，公司购买了当涂工业</w:t>
      </w:r>
    </w:p>
    <w:p>
      <w:pPr>
        <w:pStyle w:val="BodyText"/>
        <w:spacing w:line="240" w:lineRule="auto" w:before="117"/>
        <w:ind w:left="762" w:right="0"/>
        <w:jc w:val="both"/>
      </w:pPr>
      <w:r>
        <w:rPr/>
        <w:t>园</w:t>
      </w:r>
      <w:r>
        <w:rPr>
          <w:spacing w:val="-58"/>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亩的土地，每亩价格人民币</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6"/>
        </w:rPr>
        <w:t> </w:t>
      </w:r>
      <w:r>
        <w:rPr/>
        <w:t>年公司付了</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6"/>
        </w:rPr>
        <w:t> </w:t>
      </w:r>
      <w:r>
        <w:rPr/>
        <w:t>万土地款</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年公司付了</w:t>
      </w:r>
    </w:p>
    <w:p>
      <w:pPr>
        <w:pStyle w:val="BodyText"/>
        <w:spacing w:line="240" w:lineRule="auto" w:before="119"/>
        <w:ind w:left="762" w:right="0"/>
        <w:jc w:val="both"/>
      </w:pPr>
      <w:r>
        <w:rPr/>
        <w:t>剩余土地款</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spacing w:val="-3"/>
        </w:rPr>
        <w:t>万。</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5"/>
        </w:rPr>
        <w:t> </w:t>
      </w:r>
      <w:r>
        <w:rPr>
          <w:spacing w:val="-3"/>
        </w:rPr>
        <w:t>年取得当国用（</w:t>
      </w:r>
      <w:r>
        <w:rPr>
          <w:rFonts w:ascii="Times New Roman" w:hAnsi="Times New Roman" w:cs="Times New Roman" w:eastAsia="Times New Roman" w:hint="default"/>
          <w:spacing w:val="-3"/>
        </w:rPr>
        <w:t>2008</w:t>
      </w:r>
      <w:r>
        <w:rPr>
          <w:spacing w:val="-3"/>
        </w:rPr>
        <w:t>）第</w:t>
      </w:r>
      <w:r>
        <w:rPr>
          <w:spacing w:val="-55"/>
        </w:rPr>
        <w:t> </w:t>
      </w:r>
      <w:r>
        <w:rPr>
          <w:rFonts w:ascii="Times New Roman" w:hAnsi="Times New Roman" w:cs="Times New Roman" w:eastAsia="Times New Roman" w:hint="default"/>
        </w:rPr>
        <w:t>0329</w:t>
      </w:r>
      <w:r>
        <w:rPr>
          <w:rFonts w:ascii="Times New Roman" w:hAnsi="Times New Roman" w:cs="Times New Roman" w:eastAsia="Times New Roman" w:hint="default"/>
          <w:spacing w:val="-4"/>
        </w:rPr>
        <w:t> </w:t>
      </w:r>
      <w:r>
        <w:rPr>
          <w:spacing w:val="-5"/>
        </w:rPr>
        <w:t>号、当国用（</w:t>
      </w:r>
      <w:r>
        <w:rPr>
          <w:rFonts w:ascii="Times New Roman" w:hAnsi="Times New Roman" w:cs="Times New Roman" w:eastAsia="Times New Roman" w:hint="default"/>
          <w:spacing w:val="-5"/>
        </w:rPr>
        <w:t>2008</w:t>
      </w:r>
      <w:r>
        <w:rPr>
          <w:spacing w:val="-5"/>
        </w:rPr>
        <w:t>）第</w:t>
      </w:r>
      <w:r>
        <w:rPr>
          <w:spacing w:val="-57"/>
        </w:rPr>
        <w:t> </w:t>
      </w:r>
      <w:r>
        <w:rPr>
          <w:rFonts w:ascii="Times New Roman" w:hAnsi="Times New Roman" w:cs="Times New Roman" w:eastAsia="Times New Roman" w:hint="default"/>
        </w:rPr>
        <w:t>0330</w:t>
      </w:r>
      <w:r>
        <w:rPr>
          <w:rFonts w:ascii="Times New Roman" w:hAnsi="Times New Roman" w:cs="Times New Roman" w:eastAsia="Times New Roman" w:hint="default"/>
          <w:spacing w:val="-5"/>
        </w:rPr>
        <w:t> </w:t>
      </w:r>
      <w:r>
        <w:rPr>
          <w:spacing w:val="-7"/>
        </w:rPr>
        <w:t>号《国</w:t>
      </w:r>
    </w:p>
    <w:p>
      <w:pPr>
        <w:pStyle w:val="BodyText"/>
        <w:spacing w:line="240" w:lineRule="auto" w:before="117"/>
        <w:ind w:left="762" w:right="0"/>
        <w:jc w:val="both"/>
        <w:rPr>
          <w:rFonts w:ascii="Times New Roman" w:hAnsi="Times New Roman" w:cs="Times New Roman" w:eastAsia="Times New Roman" w:hint="default"/>
        </w:rPr>
      </w:pPr>
      <w:r>
        <w:rPr>
          <w:spacing w:val="2"/>
          <w:w w:val="99"/>
        </w:rPr>
        <w:t>有</w:t>
      </w:r>
      <w:r>
        <w:rPr>
          <w:w w:val="99"/>
        </w:rPr>
        <w:t>土</w:t>
      </w:r>
      <w:r>
        <w:rPr>
          <w:spacing w:val="2"/>
          <w:w w:val="99"/>
        </w:rPr>
        <w:t>地</w:t>
      </w:r>
      <w:r>
        <w:rPr>
          <w:w w:val="99"/>
        </w:rPr>
        <w:t>使</w:t>
      </w:r>
      <w:r>
        <w:rPr>
          <w:spacing w:val="2"/>
          <w:w w:val="99"/>
        </w:rPr>
        <w:t>用证</w:t>
      </w:r>
      <w:r>
        <w:rPr>
          <w:spacing w:val="-106"/>
          <w:w w:val="99"/>
        </w:rPr>
        <w:t>》</w:t>
      </w:r>
      <w:r>
        <w:rPr>
          <w:spacing w:val="2"/>
          <w:w w:val="99"/>
        </w:rPr>
        <w:t>，</w:t>
      </w:r>
      <w:r>
        <w:rPr>
          <w:w w:val="99"/>
        </w:rPr>
        <w:t>土</w:t>
      </w:r>
      <w:r>
        <w:rPr>
          <w:spacing w:val="2"/>
          <w:w w:val="99"/>
        </w:rPr>
        <w:t>地</w:t>
      </w:r>
      <w:r>
        <w:rPr>
          <w:w w:val="99"/>
        </w:rPr>
        <w:t>使</w:t>
      </w:r>
      <w:r>
        <w:rPr>
          <w:spacing w:val="2"/>
          <w:w w:val="99"/>
        </w:rPr>
        <w:t>用</w:t>
      </w:r>
      <w:r>
        <w:rPr>
          <w:w w:val="99"/>
        </w:rPr>
        <w:t>权</w:t>
      </w:r>
      <w:r>
        <w:rPr>
          <w:spacing w:val="2"/>
          <w:w w:val="99"/>
        </w:rPr>
        <w:t>面</w:t>
      </w:r>
      <w:r>
        <w:rPr>
          <w:w w:val="99"/>
        </w:rPr>
        <w:t>积</w:t>
      </w:r>
      <w:r>
        <w:rPr>
          <w:spacing w:val="2"/>
          <w:w w:val="99"/>
        </w:rPr>
        <w:t>分</w:t>
      </w:r>
      <w:r>
        <w:rPr>
          <w:w w:val="99"/>
        </w:rPr>
        <w:t>别为</w:t>
      </w:r>
      <w:r>
        <w:rPr>
          <w:spacing w:val="-50"/>
        </w:rPr>
        <w:t> </w:t>
      </w:r>
      <w:r>
        <w:rPr>
          <w:rFonts w:ascii="Times New Roman" w:hAnsi="Times New Roman" w:cs="Times New Roman" w:eastAsia="Times New Roman" w:hint="default"/>
          <w:spacing w:val="1"/>
          <w:w w:val="99"/>
        </w:rPr>
        <w:t>62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spacing w:val="2"/>
          <w:w w:val="99"/>
        </w:rPr>
        <w:t>平</w:t>
      </w:r>
      <w:r>
        <w:rPr>
          <w:w w:val="99"/>
        </w:rPr>
        <w:t>方</w:t>
      </w:r>
      <w:r>
        <w:rPr>
          <w:spacing w:val="2"/>
          <w:w w:val="99"/>
        </w:rPr>
        <w:t>米</w:t>
      </w:r>
      <w:r>
        <w:rPr>
          <w:w w:val="99"/>
        </w:rPr>
        <w:t>和</w:t>
      </w:r>
      <w:r>
        <w:rPr>
          <w:spacing w:val="-53"/>
        </w:rPr>
        <w:t> </w:t>
      </w:r>
      <w:r>
        <w:rPr>
          <w:rFonts w:ascii="Times New Roman" w:hAnsi="Times New Roman" w:cs="Times New Roman" w:eastAsia="Times New Roman" w:hint="default"/>
          <w:spacing w:val="1"/>
          <w:w w:val="99"/>
        </w:rPr>
        <w:t>69</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659</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平</w:t>
      </w:r>
      <w:r>
        <w:rPr>
          <w:w w:val="99"/>
        </w:rPr>
        <w:t>方</w:t>
      </w:r>
      <w:r>
        <w:rPr>
          <w:spacing w:val="2"/>
          <w:w w:val="99"/>
        </w:rPr>
        <w:t>米</w:t>
      </w:r>
      <w:r>
        <w:rPr>
          <w:w w:val="99"/>
        </w:rPr>
        <w:t>，</w:t>
      </w:r>
      <w:r>
        <w:rPr>
          <w:spacing w:val="2"/>
          <w:w w:val="99"/>
        </w:rPr>
        <w:t>共</w:t>
      </w:r>
      <w:r>
        <w:rPr>
          <w:w w:val="99"/>
        </w:rPr>
        <w:t>合</w:t>
      </w:r>
      <w:r>
        <w:rPr>
          <w:spacing w:val="-50"/>
        </w:rPr>
        <w:t> </w:t>
      </w:r>
      <w:r>
        <w:rPr>
          <w:rFonts w:ascii="Times New Roman" w:hAnsi="Times New Roman" w:cs="Times New Roman" w:eastAsia="Times New Roman" w:hint="default"/>
          <w:spacing w:val="1"/>
          <w:w w:val="99"/>
        </w:rPr>
        <w:t>19</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2</w:t>
      </w:r>
      <w:r>
        <w:rPr>
          <w:rFonts w:ascii="Times New Roman" w:hAnsi="Times New Roman" w:cs="Times New Roman" w:eastAsia="Times New Roman" w:hint="default"/>
        </w:rPr>
      </w:r>
    </w:p>
    <w:p>
      <w:pPr>
        <w:pStyle w:val="BodyText"/>
        <w:spacing w:line="240" w:lineRule="auto" w:before="117"/>
        <w:ind w:left="762" w:right="0"/>
        <w:jc w:val="both"/>
      </w:pPr>
      <w:r>
        <w:rPr/>
        <w:t>亩，使用终止日期至</w:t>
      </w:r>
      <w:r>
        <w:rPr>
          <w:spacing w:val="-44"/>
        </w:rPr>
        <w:t> </w:t>
      </w:r>
      <w:r>
        <w:rPr>
          <w:rFonts w:ascii="Times New Roman" w:hAnsi="Times New Roman" w:cs="Times New Roman" w:eastAsia="Times New Roman" w:hint="default"/>
        </w:rPr>
        <w:t>2054 </w:t>
      </w:r>
      <w:r>
        <w:rPr/>
        <w:t>年</w:t>
      </w:r>
      <w:r>
        <w:rPr>
          <w:spacing w:val="-51"/>
        </w:rPr>
        <w:t> </w:t>
      </w:r>
      <w:r>
        <w:rPr>
          <w:rFonts w:ascii="Times New Roman" w:hAnsi="Times New Roman" w:cs="Times New Roman" w:eastAsia="Times New Roman" w:hint="default"/>
        </w:rPr>
        <w:t>7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年取得当国用</w:t>
      </w:r>
      <w:r>
        <w:rPr>
          <w:rFonts w:ascii="Times New Roman" w:hAnsi="Times New Roman" w:cs="Times New Roman" w:eastAsia="Times New Roman" w:hint="default"/>
        </w:rPr>
        <w:t>(2008)</w:t>
      </w:r>
      <w:r>
        <w:rPr/>
        <w:t>第</w:t>
      </w:r>
      <w:r>
        <w:rPr>
          <w:spacing w:val="-51"/>
        </w:rPr>
        <w:t> </w:t>
      </w:r>
      <w:r>
        <w:rPr>
          <w:rFonts w:ascii="Times New Roman" w:hAnsi="Times New Roman" w:cs="Times New Roman" w:eastAsia="Times New Roman" w:hint="default"/>
        </w:rPr>
        <w:t>0175</w:t>
      </w:r>
      <w:r>
        <w:rPr>
          <w:rFonts w:ascii="Times New Roman" w:hAnsi="Times New Roman" w:cs="Times New Roman" w:eastAsia="Times New Roman" w:hint="default"/>
          <w:spacing w:val="-2"/>
        </w:rPr>
        <w:t> </w:t>
      </w:r>
      <w:r>
        <w:rPr/>
        <w:t>号《国有土地使</w:t>
      </w:r>
    </w:p>
    <w:p>
      <w:pPr>
        <w:pStyle w:val="BodyText"/>
        <w:spacing w:line="240" w:lineRule="auto" w:before="117"/>
        <w:ind w:left="762" w:right="0"/>
        <w:jc w:val="both"/>
      </w:pPr>
      <w:r>
        <w:rPr>
          <w:spacing w:val="2"/>
          <w:w w:val="99"/>
        </w:rPr>
        <w:t>用</w:t>
      </w:r>
      <w:r>
        <w:rPr>
          <w:w w:val="99"/>
        </w:rPr>
        <w:t>证</w:t>
      </w:r>
      <w:r>
        <w:rPr>
          <w:spacing w:val="-104"/>
          <w:w w:val="99"/>
        </w:rPr>
        <w:t>》</w:t>
      </w:r>
      <w:r>
        <w:rPr>
          <w:spacing w:val="2"/>
          <w:w w:val="99"/>
        </w:rPr>
        <w:t>，</w:t>
      </w:r>
      <w:r>
        <w:rPr>
          <w:w w:val="99"/>
        </w:rPr>
        <w:t>土</w:t>
      </w:r>
      <w:r>
        <w:rPr>
          <w:spacing w:val="2"/>
          <w:w w:val="99"/>
        </w:rPr>
        <w:t>地</w:t>
      </w:r>
      <w:r>
        <w:rPr>
          <w:w w:val="99"/>
        </w:rPr>
        <w:t>面积</w:t>
      </w:r>
      <w:r>
        <w:rPr>
          <w:spacing w:val="-53"/>
        </w:rPr>
        <w:t> </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平</w:t>
      </w:r>
      <w:r>
        <w:rPr>
          <w:w w:val="99"/>
        </w:rPr>
        <w:t>方</w:t>
      </w:r>
      <w:r>
        <w:rPr>
          <w:spacing w:val="2"/>
          <w:w w:val="99"/>
        </w:rPr>
        <w:t>米</w:t>
      </w:r>
      <w:r>
        <w:rPr>
          <w:w w:val="99"/>
        </w:rPr>
        <w:t>，合</w:t>
      </w:r>
      <w:r>
        <w:rPr>
          <w:spacing w:val="-53"/>
        </w:rPr>
        <w:t> </w:t>
      </w:r>
      <w:r>
        <w:rPr>
          <w:rFonts w:ascii="Times New Roman" w:hAnsi="Times New Roman" w:cs="Times New Roman" w:eastAsia="Times New Roman" w:hint="default"/>
          <w:spacing w:val="1"/>
          <w:w w:val="99"/>
        </w:rPr>
        <w:t>10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亩</w:t>
      </w:r>
      <w:r>
        <w:rPr>
          <w:w w:val="99"/>
        </w:rPr>
        <w:t>，</w:t>
      </w:r>
      <w:r>
        <w:rPr>
          <w:spacing w:val="2"/>
          <w:w w:val="99"/>
        </w:rPr>
        <w:t>使</w:t>
      </w:r>
      <w:r>
        <w:rPr>
          <w:w w:val="99"/>
        </w:rPr>
        <w:t>用</w:t>
      </w:r>
      <w:r>
        <w:rPr>
          <w:spacing w:val="2"/>
          <w:w w:val="99"/>
        </w:rPr>
        <w:t>终</w:t>
      </w:r>
      <w:r>
        <w:rPr>
          <w:w w:val="99"/>
        </w:rPr>
        <w:t>止</w:t>
      </w:r>
      <w:r>
        <w:rPr>
          <w:spacing w:val="2"/>
          <w:w w:val="99"/>
        </w:rPr>
        <w:t>日</w:t>
      </w:r>
      <w:r>
        <w:rPr>
          <w:w w:val="99"/>
        </w:rPr>
        <w:t>期至</w:t>
      </w:r>
      <w:r>
        <w:rPr>
          <w:spacing w:val="-53"/>
        </w:rPr>
        <w:t> </w:t>
      </w:r>
      <w:r>
        <w:rPr>
          <w:rFonts w:ascii="Times New Roman" w:hAnsi="Times New Roman" w:cs="Times New Roman" w:eastAsia="Times New Roman" w:hint="default"/>
          <w:spacing w:val="1"/>
          <w:w w:val="99"/>
        </w:rPr>
        <w:t>205</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日</w:t>
      </w:r>
      <w:r>
        <w:rPr>
          <w:w w:val="99"/>
        </w:rPr>
        <w:t>。</w:t>
      </w:r>
      <w:r>
        <w:rPr/>
      </w:r>
    </w:p>
    <w:p>
      <w:pPr>
        <w:pStyle w:val="BodyText"/>
        <w:spacing w:line="240" w:lineRule="auto" w:before="119"/>
        <w:ind w:left="973" w:right="0"/>
        <w:jc w:val="left"/>
      </w:pPr>
      <w:r>
        <w:rPr>
          <w:rFonts w:ascii="Times New Roman" w:hAnsi="Times New Roman" w:cs="Times New Roman" w:eastAsia="Times New Roman" w:hint="default"/>
          <w:spacing w:val="-2"/>
          <w:w w:val="99"/>
        </w:rPr>
        <w:t>2</w:t>
      </w:r>
      <w:r>
        <w:rPr>
          <w:spacing w:val="-10"/>
          <w:w w:val="99"/>
        </w:rPr>
        <w:t>）</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w w:val="99"/>
        </w:rPr>
        <w:t>日</w:t>
      </w:r>
      <w:r>
        <w:rPr>
          <w:spacing w:val="-10"/>
          <w:w w:val="99"/>
        </w:rPr>
        <w:t>，</w:t>
      </w:r>
      <w:r>
        <w:rPr>
          <w:spacing w:val="2"/>
          <w:w w:val="99"/>
        </w:rPr>
        <w:t>公</w:t>
      </w:r>
      <w:r>
        <w:rPr>
          <w:w w:val="99"/>
        </w:rPr>
        <w:t>司</w:t>
      </w:r>
      <w:r>
        <w:rPr>
          <w:spacing w:val="2"/>
          <w:w w:val="99"/>
        </w:rPr>
        <w:t>与</w:t>
      </w:r>
      <w:r>
        <w:rPr>
          <w:w w:val="99"/>
        </w:rPr>
        <w:t>中</w:t>
      </w:r>
      <w:r>
        <w:rPr>
          <w:spacing w:val="2"/>
          <w:w w:val="99"/>
        </w:rPr>
        <w:t>国</w:t>
      </w:r>
      <w:r>
        <w:rPr>
          <w:w w:val="99"/>
        </w:rPr>
        <w:t>华</w:t>
      </w:r>
      <w:r>
        <w:rPr>
          <w:spacing w:val="2"/>
          <w:w w:val="99"/>
        </w:rPr>
        <w:t>农</w:t>
      </w:r>
      <w:r>
        <w:rPr>
          <w:w w:val="99"/>
        </w:rPr>
        <w:t>资</w:t>
      </w:r>
      <w:r>
        <w:rPr>
          <w:spacing w:val="2"/>
          <w:w w:val="99"/>
        </w:rPr>
        <w:t>产</w:t>
      </w:r>
      <w:r>
        <w:rPr>
          <w:w w:val="99"/>
        </w:rPr>
        <w:t>经</w:t>
      </w:r>
      <w:r>
        <w:rPr>
          <w:spacing w:val="2"/>
          <w:w w:val="99"/>
        </w:rPr>
        <w:t>营</w:t>
      </w:r>
      <w:r>
        <w:rPr>
          <w:w w:val="99"/>
        </w:rPr>
        <w:t>公</w:t>
      </w:r>
      <w:r>
        <w:rPr>
          <w:spacing w:val="2"/>
          <w:w w:val="99"/>
        </w:rPr>
        <w:t>司</w:t>
      </w:r>
      <w:r>
        <w:rPr>
          <w:w w:val="99"/>
        </w:rPr>
        <w:t>签</w:t>
      </w:r>
      <w:r>
        <w:rPr>
          <w:spacing w:val="2"/>
          <w:w w:val="99"/>
        </w:rPr>
        <w:t>订</w:t>
      </w:r>
      <w:r>
        <w:rPr>
          <w:spacing w:val="-10"/>
          <w:w w:val="99"/>
        </w:rPr>
        <w:t>了</w:t>
      </w:r>
      <w:r>
        <w:rPr>
          <w:w w:val="99"/>
        </w:rPr>
        <w:t>《</w:t>
      </w:r>
      <w:r>
        <w:rPr>
          <w:spacing w:val="2"/>
          <w:w w:val="99"/>
        </w:rPr>
        <w:t>产</w:t>
      </w:r>
      <w:r>
        <w:rPr>
          <w:w w:val="99"/>
        </w:rPr>
        <w:t>权</w:t>
      </w:r>
      <w:r>
        <w:rPr>
          <w:spacing w:val="2"/>
          <w:w w:val="99"/>
        </w:rPr>
        <w:t>交</w:t>
      </w:r>
      <w:r>
        <w:rPr>
          <w:w w:val="99"/>
        </w:rPr>
        <w:t>易</w:t>
      </w:r>
      <w:r>
        <w:rPr>
          <w:spacing w:val="2"/>
          <w:w w:val="99"/>
        </w:rPr>
        <w:t>合</w:t>
      </w:r>
      <w:r>
        <w:rPr>
          <w:w w:val="99"/>
        </w:rPr>
        <w:t>同</w:t>
      </w:r>
      <w:r>
        <w:rPr>
          <w:spacing w:val="-104"/>
          <w:w w:val="99"/>
        </w:rPr>
        <w:t>》</w:t>
      </w:r>
      <w:r>
        <w:rPr>
          <w:spacing w:val="-12"/>
          <w:w w:val="99"/>
        </w:rPr>
        <w:t>，</w:t>
      </w:r>
      <w:r>
        <w:rPr>
          <w:spacing w:val="2"/>
          <w:w w:val="99"/>
        </w:rPr>
        <w:t>合</w:t>
      </w:r>
      <w:r>
        <w:rPr>
          <w:w w:val="99"/>
        </w:rPr>
        <w:t>同</w:t>
      </w:r>
      <w:r>
        <w:rPr>
          <w:spacing w:val="2"/>
          <w:w w:val="99"/>
        </w:rPr>
        <w:t>中</w:t>
      </w:r>
      <w:r>
        <w:rPr>
          <w:w w:val="99"/>
        </w:rPr>
        <w:t>规</w:t>
      </w:r>
      <w:r>
        <w:rPr/>
      </w:r>
    </w:p>
    <w:p>
      <w:pPr>
        <w:pStyle w:val="BodyText"/>
        <w:spacing w:line="336" w:lineRule="auto" w:before="117"/>
        <w:ind w:left="762" w:right="801"/>
        <w:jc w:val="both"/>
      </w:pPr>
      <w:r>
        <w:rPr>
          <w:spacing w:val="-2"/>
          <w:w w:val="99"/>
        </w:rPr>
        <w:t>定中国华农资产经营公司将所属全资企业中水广海钢丝绳厂整体产权转让给公司。</w:t>
      </w:r>
      <w:r>
        <w:rPr>
          <w:rFonts w:ascii="Times New Roman" w:hAnsi="Times New Roman" w:cs="Times New Roman" w:eastAsia="Times New Roman" w:hint="default"/>
          <w:spacing w:val="-2"/>
          <w:w w:val="99"/>
        </w:rPr>
        <w:t>2010</w:t>
      </w:r>
      <w:r>
        <w:rPr>
          <w:rFonts w:ascii="Times New Roman" w:hAnsi="Times New Roman" w:cs="Times New Roman" w:eastAsia="Times New Roman" w:hint="default"/>
          <w:spacing w:val="8"/>
          <w:w w:val="99"/>
        </w:rPr>
        <w:t> </w:t>
      </w:r>
      <w:r>
        <w:rPr>
          <w:w w:val="99"/>
        </w:rPr>
        <w:t>年</w:t>
      </w:r>
      <w:r>
        <w:rPr>
          <w:spacing w:val="-46"/>
          <w:w w:val="99"/>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50"/>
          <w:w w:val="99"/>
        </w:rPr>
        <w:t> </w:t>
      </w:r>
      <w:r>
        <w:rPr>
          <w:spacing w:val="-2"/>
          <w:w w:val="99"/>
        </w:rPr>
        <w:t>月双方根据北京亚超资产评估有限公司出具的《资产评估报告书》（亚超评报字［</w:t>
      </w:r>
      <w:r>
        <w:rPr>
          <w:rFonts w:ascii="Times New Roman" w:hAnsi="Times New Roman" w:cs="Times New Roman" w:eastAsia="Times New Roman" w:hint="default"/>
          <w:spacing w:val="-2"/>
          <w:w w:val="99"/>
        </w:rPr>
        <w:t>2009</w:t>
      </w:r>
      <w:r>
        <w:rPr>
          <w:spacing w:val="-2"/>
          <w:w w:val="99"/>
        </w:rPr>
        <w:t>］第</w:t>
      </w:r>
      <w:r>
        <w:rPr>
          <w:spacing w:val="-88"/>
          <w:w w:val="99"/>
        </w:rPr>
        <w:t> </w:t>
      </w:r>
      <w:r>
        <w:rPr>
          <w:spacing w:val="-88"/>
          <w:w w:val="99"/>
        </w:rPr>
      </w:r>
      <w:r>
        <w:rPr>
          <w:rFonts w:ascii="Times New Roman" w:hAnsi="Times New Roman" w:cs="Times New Roman" w:eastAsia="Times New Roman" w:hint="default"/>
        </w:rPr>
        <w:t>9059</w:t>
      </w:r>
      <w:r>
        <w:rPr>
          <w:rFonts w:ascii="Times New Roman" w:hAnsi="Times New Roman" w:cs="Times New Roman" w:eastAsia="Times New Roman" w:hint="default"/>
          <w:spacing w:val="28"/>
        </w:rPr>
        <w:t> </w:t>
      </w:r>
      <w:r>
        <w:rPr/>
        <w:t>号）编制的《资产移交清册》完成了标的企业整体资产移交。在这次资产移交中，公</w:t>
      </w:r>
    </w:p>
    <w:p>
      <w:pPr>
        <w:pStyle w:val="BodyText"/>
        <w:spacing w:line="240" w:lineRule="auto" w:before="24"/>
        <w:ind w:left="762" w:right="0"/>
        <w:jc w:val="both"/>
        <w:rPr>
          <w:rFonts w:ascii="Times New Roman" w:hAnsi="Times New Roman" w:cs="Times New Roman" w:eastAsia="Times New Roman" w:hint="default"/>
        </w:rPr>
      </w:pPr>
      <w:r>
        <w:rPr>
          <w:spacing w:val="2"/>
          <w:w w:val="99"/>
        </w:rPr>
        <w:t>司</w:t>
      </w:r>
      <w:r>
        <w:rPr>
          <w:w w:val="99"/>
        </w:rPr>
        <w:t>获</w:t>
      </w:r>
      <w:r>
        <w:rPr>
          <w:spacing w:val="2"/>
          <w:w w:val="99"/>
        </w:rPr>
        <w:t>得</w:t>
      </w:r>
      <w:r>
        <w:rPr>
          <w:w w:val="99"/>
        </w:rPr>
        <w:t>位</w:t>
      </w:r>
      <w:r>
        <w:rPr>
          <w:spacing w:val="2"/>
          <w:w w:val="99"/>
        </w:rPr>
        <w:t>于</w:t>
      </w:r>
      <w:r>
        <w:rPr>
          <w:w w:val="99"/>
        </w:rPr>
        <w:t>台</w:t>
      </w:r>
      <w:r>
        <w:rPr>
          <w:spacing w:val="2"/>
          <w:w w:val="99"/>
        </w:rPr>
        <w:t>山</w:t>
      </w:r>
      <w:r>
        <w:rPr>
          <w:w w:val="99"/>
        </w:rPr>
        <w:t>市</w:t>
      </w:r>
      <w:r>
        <w:rPr>
          <w:spacing w:val="2"/>
          <w:w w:val="99"/>
        </w:rPr>
        <w:t>广</w:t>
      </w:r>
      <w:r>
        <w:rPr>
          <w:w w:val="99"/>
        </w:rPr>
        <w:t>海</w:t>
      </w:r>
      <w:r>
        <w:rPr>
          <w:spacing w:val="2"/>
          <w:w w:val="99"/>
        </w:rPr>
        <w:t>镇</w:t>
      </w:r>
      <w:r>
        <w:rPr>
          <w:w w:val="99"/>
        </w:rPr>
        <w:t>海</w:t>
      </w:r>
      <w:r>
        <w:rPr>
          <w:spacing w:val="2"/>
          <w:w w:val="99"/>
        </w:rPr>
        <w:t>波</w:t>
      </w:r>
      <w:r>
        <w:rPr>
          <w:w w:val="99"/>
        </w:rPr>
        <w:t>路</w:t>
      </w:r>
      <w:r>
        <w:rPr>
          <w:spacing w:val="-67"/>
        </w:rPr>
        <w:t> </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3</w:t>
      </w:r>
      <w:r>
        <w:rPr>
          <w:rFonts w:ascii="Times New Roman" w:hAnsi="Times New Roman" w:cs="Times New Roman" w:eastAsia="Times New Roman" w:hint="default"/>
          <w:spacing w:val="-13"/>
        </w:rPr>
        <w:t> </w:t>
      </w:r>
      <w:r>
        <w:rPr>
          <w:spacing w:val="2"/>
          <w:w w:val="99"/>
        </w:rPr>
        <w:t>号</w:t>
      </w:r>
      <w:r>
        <w:rPr>
          <w:w w:val="99"/>
        </w:rPr>
        <w:t>的</w:t>
      </w:r>
      <w:r>
        <w:rPr>
          <w:spacing w:val="2"/>
          <w:w w:val="99"/>
        </w:rPr>
        <w:t>土</w:t>
      </w:r>
      <w:r>
        <w:rPr>
          <w:w w:val="99"/>
        </w:rPr>
        <w:t>地</w:t>
      </w:r>
      <w:r>
        <w:rPr>
          <w:spacing w:val="2"/>
          <w:w w:val="99"/>
        </w:rPr>
        <w:t>使</w:t>
      </w:r>
      <w:r>
        <w:rPr>
          <w:w w:val="99"/>
        </w:rPr>
        <w:t>用权</w:t>
      </w:r>
      <w:r>
        <w:rPr>
          <w:spacing w:val="-104"/>
          <w:w w:val="99"/>
        </w:rPr>
        <w:t>，</w:t>
      </w:r>
      <w:r>
        <w:rPr>
          <w:spacing w:val="2"/>
          <w:w w:val="99"/>
        </w:rPr>
        <w:t>土</w:t>
      </w:r>
      <w:r>
        <w:rPr>
          <w:w w:val="99"/>
        </w:rPr>
        <w:t>地</w:t>
      </w:r>
      <w:r>
        <w:rPr>
          <w:spacing w:val="2"/>
          <w:w w:val="99"/>
        </w:rPr>
        <w:t>权</w:t>
      </w:r>
      <w:r>
        <w:rPr>
          <w:w w:val="99"/>
        </w:rPr>
        <w:t>证</w:t>
      </w:r>
      <w:r>
        <w:rPr>
          <w:spacing w:val="2"/>
          <w:w w:val="99"/>
        </w:rPr>
        <w:t>编</w:t>
      </w:r>
      <w:r>
        <w:rPr>
          <w:w w:val="99"/>
        </w:rPr>
        <w:t>号</w:t>
      </w:r>
      <w:r>
        <w:rPr>
          <w:spacing w:val="2"/>
          <w:w w:val="99"/>
        </w:rPr>
        <w:t>为</w:t>
      </w:r>
      <w:r>
        <w:rPr>
          <w:w w:val="99"/>
        </w:rPr>
        <w:t>台</w:t>
      </w:r>
      <w:r>
        <w:rPr>
          <w:spacing w:val="2"/>
          <w:w w:val="99"/>
        </w:rPr>
        <w:t>国</w:t>
      </w:r>
      <w:r>
        <w:rPr>
          <w:spacing w:val="-104"/>
          <w:w w:val="99"/>
        </w:rPr>
        <w:t>用</w:t>
      </w:r>
      <w:r>
        <w:rPr>
          <w:w w:val="99"/>
        </w:rPr>
        <w:t>（</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spacing w:val="-2"/>
          <w:w w:val="99"/>
        </w:rPr>
        <w:t>4</w:t>
      </w:r>
      <w:r>
        <w:rPr>
          <w:spacing w:val="-104"/>
          <w:w w:val="99"/>
        </w:rPr>
        <w:t>）</w:t>
      </w:r>
      <w:r>
        <w:rPr>
          <w:w w:val="99"/>
        </w:rPr>
        <w:t>第</w:t>
      </w:r>
      <w:r>
        <w:rPr>
          <w:spacing w:val="-67"/>
        </w:rPr>
        <w:t> </w:t>
      </w:r>
      <w:r>
        <w:rPr>
          <w:rFonts w:ascii="Times New Roman" w:hAnsi="Times New Roman" w:cs="Times New Roman" w:eastAsia="Times New Roman" w:hint="default"/>
          <w:spacing w:val="1"/>
          <w:w w:val="99"/>
        </w:rPr>
        <w:t>01</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4</w:t>
      </w:r>
      <w:r>
        <w:rPr>
          <w:rFonts w:ascii="Times New Roman" w:hAnsi="Times New Roman" w:cs="Times New Roman" w:eastAsia="Times New Roman" w:hint="default"/>
          <w:w w:val="99"/>
        </w:rPr>
        <w:t>3</w:t>
      </w:r>
      <w:r>
        <w:rPr>
          <w:rFonts w:ascii="Times New Roman" w:hAnsi="Times New Roman" w:cs="Times New Roman" w:eastAsia="Times New Roman" w:hint="default"/>
        </w:rPr>
      </w:r>
    </w:p>
    <w:p>
      <w:pPr>
        <w:spacing w:after="0" w:line="240" w:lineRule="auto"/>
        <w:jc w:val="both"/>
        <w:rPr>
          <w:rFonts w:ascii="Times New Roman" w:hAnsi="Times New Roman" w:cs="Times New Roman" w:eastAsia="Times New Roman" w:hint="default"/>
        </w:rPr>
        <w:sectPr>
          <w:type w:val="continuous"/>
          <w:pgSz w:w="11910" w:h="16840"/>
          <w:pgMar w:top="940" w:bottom="920" w:left="1040" w:right="1000"/>
        </w:sectPr>
      </w:pPr>
    </w:p>
    <w:p>
      <w:pPr>
        <w:pStyle w:val="BodyText"/>
        <w:spacing w:line="274" w:lineRule="exact"/>
        <w:ind w:right="0"/>
        <w:jc w:val="both"/>
        <w:rPr>
          <w:rFonts w:ascii="Times New Roman" w:hAnsi="Times New Roman" w:cs="Times New Roman" w:eastAsia="Times New Roman" w:hint="default"/>
        </w:rPr>
      </w:pPr>
      <w:bookmarkStart w:name="11、递延所得税资产" w:id="59"/>
      <w:bookmarkEnd w:id="59"/>
      <w:r>
        <w:rPr/>
      </w:r>
      <w:r>
        <w:rPr>
          <w:spacing w:val="4"/>
        </w:rPr>
        <w:t>号、台国用（</w:t>
      </w:r>
      <w:r>
        <w:rPr>
          <w:rFonts w:ascii="Times New Roman" w:hAnsi="Times New Roman" w:cs="Times New Roman" w:eastAsia="Times New Roman" w:hint="default"/>
          <w:spacing w:val="4"/>
        </w:rPr>
        <w:t>2004</w:t>
      </w:r>
      <w:r>
        <w:rPr>
          <w:spacing w:val="4"/>
        </w:rPr>
        <w:t>）第</w:t>
      </w:r>
      <w:r>
        <w:rPr>
          <w:spacing w:val="-53"/>
        </w:rPr>
        <w:t> </w:t>
      </w:r>
      <w:r>
        <w:rPr>
          <w:rFonts w:ascii="Times New Roman" w:hAnsi="Times New Roman" w:cs="Times New Roman" w:eastAsia="Times New Roman" w:hint="default"/>
        </w:rPr>
        <w:t>01045</w:t>
      </w:r>
      <w:r>
        <w:rPr>
          <w:rFonts w:ascii="Times New Roman" w:hAnsi="Times New Roman" w:cs="Times New Roman" w:eastAsia="Times New Roman" w:hint="default"/>
          <w:spacing w:val="1"/>
        </w:rPr>
        <w:t> </w:t>
      </w:r>
      <w:r>
        <w:rPr>
          <w:spacing w:val="4"/>
        </w:rPr>
        <w:t>号、台国用（</w:t>
      </w:r>
      <w:r>
        <w:rPr>
          <w:rFonts w:ascii="Times New Roman" w:hAnsi="Times New Roman" w:cs="Times New Roman" w:eastAsia="Times New Roman" w:hint="default"/>
          <w:spacing w:val="4"/>
        </w:rPr>
        <w:t>2004</w:t>
      </w:r>
      <w:r>
        <w:rPr>
          <w:spacing w:val="4"/>
        </w:rPr>
        <w:t>）第</w:t>
      </w:r>
      <w:r>
        <w:rPr>
          <w:spacing w:val="-53"/>
        </w:rPr>
        <w:t> </w:t>
      </w:r>
      <w:r>
        <w:rPr>
          <w:rFonts w:ascii="Times New Roman" w:hAnsi="Times New Roman" w:cs="Times New Roman" w:eastAsia="Times New Roman" w:hint="default"/>
        </w:rPr>
        <w:t>01046</w:t>
      </w:r>
      <w:r>
        <w:rPr>
          <w:rFonts w:ascii="Times New Roman" w:hAnsi="Times New Roman" w:cs="Times New Roman" w:eastAsia="Times New Roman" w:hint="default"/>
          <w:spacing w:val="1"/>
        </w:rPr>
        <w:t> </w:t>
      </w:r>
      <w:r>
        <w:rPr>
          <w:spacing w:val="4"/>
        </w:rPr>
        <w:t>号、台国用（</w:t>
      </w:r>
      <w:r>
        <w:rPr>
          <w:rFonts w:ascii="Times New Roman" w:hAnsi="Times New Roman" w:cs="Times New Roman" w:eastAsia="Times New Roman" w:hint="default"/>
          <w:spacing w:val="4"/>
        </w:rPr>
        <w:t>2004</w:t>
      </w:r>
      <w:r>
        <w:rPr>
          <w:spacing w:val="4"/>
        </w:rPr>
        <w:t>）第</w:t>
      </w:r>
      <w:r>
        <w:rPr>
          <w:spacing w:val="-50"/>
        </w:rPr>
        <w:t> </w:t>
      </w:r>
      <w:r>
        <w:rPr>
          <w:rFonts w:ascii="Times New Roman" w:hAnsi="Times New Roman" w:cs="Times New Roman" w:eastAsia="Times New Roman" w:hint="default"/>
        </w:rPr>
        <w:t>01047</w:t>
      </w:r>
    </w:p>
    <w:p>
      <w:pPr>
        <w:pStyle w:val="BodyText"/>
        <w:spacing w:line="338" w:lineRule="auto" w:before="117"/>
        <w:ind w:right="111"/>
        <w:jc w:val="both"/>
      </w:pPr>
      <w:r>
        <w:rPr>
          <w:spacing w:val="-17"/>
        </w:rPr>
        <w:t>号、台国用（</w:t>
      </w:r>
      <w:r>
        <w:rPr>
          <w:rFonts w:ascii="Times New Roman" w:hAnsi="Times New Roman" w:cs="Times New Roman" w:eastAsia="Times New Roman" w:hint="default"/>
          <w:spacing w:val="-17"/>
        </w:rPr>
        <w:t>2004</w:t>
      </w:r>
      <w:r>
        <w:rPr>
          <w:spacing w:val="-17"/>
        </w:rPr>
        <w:t>）第</w:t>
      </w:r>
      <w:r>
        <w:rPr>
          <w:spacing w:val="-53"/>
        </w:rPr>
        <w:t> </w:t>
      </w:r>
      <w:r>
        <w:rPr>
          <w:rFonts w:ascii="Times New Roman" w:hAnsi="Times New Roman" w:cs="Times New Roman" w:eastAsia="Times New Roman" w:hint="default"/>
        </w:rPr>
        <w:t>01048</w:t>
      </w:r>
      <w:r>
        <w:rPr>
          <w:rFonts w:ascii="Times New Roman" w:hAnsi="Times New Roman" w:cs="Times New Roman" w:eastAsia="Times New Roman" w:hint="default"/>
          <w:spacing w:val="-2"/>
        </w:rPr>
        <w:t> </w:t>
      </w:r>
      <w:r>
        <w:rPr>
          <w:spacing w:val="-17"/>
        </w:rPr>
        <w:t>号、台国用（</w:t>
      </w:r>
      <w:r>
        <w:rPr>
          <w:rFonts w:ascii="Times New Roman" w:hAnsi="Times New Roman" w:cs="Times New Roman" w:eastAsia="Times New Roman" w:hint="default"/>
          <w:spacing w:val="-17"/>
        </w:rPr>
        <w:t>2004</w:t>
      </w:r>
      <w:r>
        <w:rPr>
          <w:spacing w:val="-17"/>
        </w:rPr>
        <w:t>）第</w:t>
      </w:r>
      <w:r>
        <w:rPr>
          <w:spacing w:val="-53"/>
        </w:rPr>
        <w:t> </w:t>
      </w:r>
      <w:r>
        <w:rPr>
          <w:rFonts w:ascii="Times New Roman" w:hAnsi="Times New Roman" w:cs="Times New Roman" w:eastAsia="Times New Roman" w:hint="default"/>
        </w:rPr>
        <w:t>01049</w:t>
      </w:r>
      <w:r>
        <w:rPr>
          <w:rFonts w:ascii="Times New Roman" w:hAnsi="Times New Roman" w:cs="Times New Roman" w:eastAsia="Times New Roman" w:hint="default"/>
          <w:spacing w:val="-4"/>
        </w:rPr>
        <w:t> </w:t>
      </w:r>
      <w:r>
        <w:rPr>
          <w:spacing w:val="-5"/>
        </w:rPr>
        <w:t>号，土地使用权面积分别为</w:t>
      </w:r>
      <w:r>
        <w:rPr>
          <w:spacing w:val="-56"/>
        </w:rPr>
        <w:t> </w:t>
      </w:r>
      <w:r>
        <w:rPr>
          <w:rFonts w:ascii="Times New Roman" w:hAnsi="Times New Roman" w:cs="Times New Roman" w:eastAsia="Times New Roman" w:hint="default"/>
        </w:rPr>
        <w:t>6,358.85</w:t>
      </w:r>
      <w:r>
        <w:rPr>
          <w:rFonts w:ascii="Times New Roman" w:hAnsi="Times New Roman" w:cs="Times New Roman" w:eastAsia="Times New Roman" w:hint="default"/>
          <w:w w:val="99"/>
        </w:rPr>
        <w:t> </w:t>
      </w:r>
      <w:r>
        <w:rPr>
          <w:spacing w:val="-7"/>
          <w:w w:val="99"/>
        </w:rPr>
        <w:t>平方米、</w:t>
      </w:r>
      <w:r>
        <w:rPr>
          <w:rFonts w:ascii="Times New Roman" w:hAnsi="Times New Roman" w:cs="Times New Roman" w:eastAsia="Times New Roman" w:hint="default"/>
          <w:spacing w:val="-7"/>
          <w:w w:val="99"/>
        </w:rPr>
        <w:t>18,486.45</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29,953.71</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17,155.10</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20,465.93</w:t>
      </w:r>
      <w:r>
        <w:rPr>
          <w:rFonts w:ascii="Times New Roman" w:hAnsi="Times New Roman" w:cs="Times New Roman" w:eastAsia="Times New Roman" w:hint="default"/>
          <w:spacing w:val="6"/>
          <w:w w:val="99"/>
        </w:rPr>
        <w:t> </w:t>
      </w:r>
      <w:r>
        <w:rPr>
          <w:spacing w:val="1"/>
          <w:w w:val="99"/>
        </w:rPr>
        <w:t>平方米和</w:t>
      </w:r>
      <w:r>
        <w:rPr>
          <w:spacing w:val="-48"/>
          <w:w w:val="99"/>
        </w:rPr>
        <w:t> </w:t>
      </w:r>
      <w:r>
        <w:rPr>
          <w:rFonts w:ascii="Times New Roman" w:hAnsi="Times New Roman" w:cs="Times New Roman" w:eastAsia="Times New Roman" w:hint="default"/>
          <w:w w:val="99"/>
        </w:rPr>
        <w:t>10,372.00</w:t>
      </w:r>
      <w:r>
        <w:rPr>
          <w:rFonts w:ascii="Times New Roman" w:hAnsi="Times New Roman" w:cs="Times New Roman" w:eastAsia="Times New Roman" w:hint="default"/>
          <w:spacing w:val="-50"/>
          <w:w w:val="99"/>
        </w:rPr>
        <w:t> </w:t>
      </w:r>
      <w:r>
        <w:rPr>
          <w:rFonts w:ascii="Times New Roman" w:hAnsi="Times New Roman" w:cs="Times New Roman" w:eastAsia="Times New Roman" w:hint="default"/>
          <w:spacing w:val="-50"/>
          <w:w w:val="99"/>
        </w:rPr>
      </w:r>
      <w:r>
        <w:rPr/>
        <w:t>平方米。共合</w:t>
      </w:r>
      <w:r>
        <w:rPr>
          <w:spacing w:val="-52"/>
        </w:rPr>
        <w:t> </w:t>
      </w:r>
      <w:r>
        <w:rPr>
          <w:rFonts w:ascii="Times New Roman" w:hAnsi="Times New Roman" w:cs="Times New Roman" w:eastAsia="Times New Roman" w:hint="default"/>
        </w:rPr>
        <w:t>154.19</w:t>
      </w:r>
      <w:r>
        <w:rPr>
          <w:rFonts w:ascii="Times New Roman" w:hAnsi="Times New Roman" w:cs="Times New Roman" w:eastAsia="Times New Roman" w:hint="default"/>
          <w:spacing w:val="-3"/>
        </w:rPr>
        <w:t> </w:t>
      </w:r>
      <w:r>
        <w:rPr/>
        <w:t>亩，使用终止日期至</w:t>
      </w:r>
      <w:r>
        <w:rPr>
          <w:spacing w:val="-50"/>
        </w:rPr>
        <w:t> </w:t>
      </w:r>
      <w:r>
        <w:rPr>
          <w:rFonts w:ascii="Times New Roman" w:hAnsi="Times New Roman" w:cs="Times New Roman" w:eastAsia="Times New Roman" w:hint="default"/>
        </w:rPr>
        <w:t>2054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6"/>
        </w:rPr>
        <w:t>日，上</w:t>
      </w:r>
      <w:r>
        <w:rPr>
          <w:w w:val="99"/>
        </w:rPr>
        <w:t> </w:t>
      </w:r>
      <w:r>
        <w:rPr/>
        <w:t>述土地使用权过户手续正在办理之中。</w:t>
      </w:r>
    </w:p>
    <w:p>
      <w:pPr>
        <w:pStyle w:val="BodyText"/>
        <w:spacing w:line="240" w:lineRule="auto" w:before="47"/>
        <w:ind w:left="321" w:right="124"/>
        <w:jc w:val="cente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日，公司与武隆县国土资源和房屋管理局签定了国有建设用地使用权</w:t>
      </w:r>
    </w:p>
    <w:p>
      <w:pPr>
        <w:pStyle w:val="BodyText"/>
        <w:spacing w:line="240" w:lineRule="auto" w:before="117"/>
        <w:ind w:right="0"/>
        <w:jc w:val="both"/>
      </w:pPr>
      <w:r>
        <w:rPr/>
        <w:t>出让合同，公司分别受让了武隆白马工业园区</w:t>
      </w:r>
      <w:r>
        <w:rPr>
          <w:spacing w:val="-69"/>
        </w:rPr>
        <w:t> </w:t>
      </w:r>
      <w:r>
        <w:rPr>
          <w:rFonts w:ascii="Times New Roman" w:hAnsi="Times New Roman" w:cs="Times New Roman" w:eastAsia="Times New Roman" w:hint="default"/>
        </w:rPr>
        <w:t>268</w:t>
      </w:r>
      <w:r>
        <w:rPr>
          <w:rFonts w:ascii="Times New Roman" w:hAnsi="Times New Roman" w:cs="Times New Roman" w:eastAsia="Times New Roman" w:hint="default"/>
          <w:spacing w:val="-18"/>
        </w:rPr>
        <w:t> </w:t>
      </w:r>
      <w:r>
        <w:rPr/>
        <w:t>亩和</w:t>
      </w:r>
      <w:r>
        <w:rPr>
          <w:spacing w:val="-71"/>
        </w:rPr>
        <w:t> </w:t>
      </w:r>
      <w:r>
        <w:rPr>
          <w:rFonts w:ascii="Times New Roman" w:hAnsi="Times New Roman" w:cs="Times New Roman" w:eastAsia="Times New Roman" w:hint="default"/>
        </w:rPr>
        <w:t>105</w:t>
      </w:r>
      <w:r>
        <w:rPr>
          <w:rFonts w:ascii="Times New Roman" w:hAnsi="Times New Roman" w:cs="Times New Roman" w:eastAsia="Times New Roman" w:hint="default"/>
          <w:spacing w:val="-18"/>
        </w:rPr>
        <w:t> </w:t>
      </w:r>
      <w:r>
        <w:rPr>
          <w:spacing w:val="-3"/>
        </w:rPr>
        <w:t>亩的土地，每亩价格人民币分别</w:t>
      </w:r>
    </w:p>
    <w:p>
      <w:pPr>
        <w:pStyle w:val="BodyText"/>
        <w:spacing w:line="336" w:lineRule="auto" w:before="117"/>
        <w:ind w:right="115"/>
        <w:jc w:val="both"/>
      </w:pPr>
      <w:r>
        <w:rPr/>
        <w:t>为</w:t>
      </w:r>
      <w:r>
        <w:rPr>
          <w:spacing w:val="-50"/>
        </w:rPr>
        <w:t> </w:t>
      </w:r>
      <w:r>
        <w:rPr>
          <w:rFonts w:ascii="Times New Roman" w:hAnsi="Times New Roman" w:cs="Times New Roman" w:eastAsia="Times New Roman" w:hint="default"/>
        </w:rPr>
        <w:t>88,771.27</w:t>
      </w:r>
      <w:r>
        <w:rPr>
          <w:rFonts w:ascii="Times New Roman" w:hAnsi="Times New Roman" w:cs="Times New Roman" w:eastAsia="Times New Roman" w:hint="default"/>
          <w:spacing w:val="-2"/>
        </w:rPr>
        <w:t> </w:t>
      </w:r>
      <w:r>
        <w:rPr>
          <w:spacing w:val="3"/>
        </w:rPr>
        <w:t>元和</w:t>
      </w:r>
      <w:r>
        <w:rPr>
          <w:spacing w:val="-53"/>
        </w:rPr>
        <w:t> </w:t>
      </w:r>
      <w:r>
        <w:rPr>
          <w:rFonts w:ascii="Times New Roman" w:hAnsi="Times New Roman" w:cs="Times New Roman" w:eastAsia="Times New Roman" w:hint="default"/>
        </w:rPr>
        <w:t>88,780.44</w:t>
      </w:r>
      <w:r>
        <w:rPr>
          <w:rFonts w:ascii="Times New Roman" w:hAnsi="Times New Roman" w:cs="Times New Roman" w:eastAsia="Times New Roman" w:hint="default"/>
          <w:spacing w:val="-2"/>
        </w:rPr>
        <w:t> </w:t>
      </w:r>
      <w:r>
        <w:rPr>
          <w:spacing w:val="2"/>
        </w:rPr>
        <w:t>元。</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
        </w:rPr>
        <w:t> </w:t>
      </w:r>
      <w:r>
        <w:rPr>
          <w:spacing w:val="5"/>
        </w:rPr>
        <w:t>年公司支付了全部的土地款</w:t>
      </w:r>
      <w:r>
        <w:rPr>
          <w:spacing w:val="-44"/>
        </w:rPr>
        <w:t> </w:t>
      </w:r>
      <w:r>
        <w:rPr>
          <w:rFonts w:ascii="Times New Roman" w:hAnsi="Times New Roman" w:cs="Times New Roman" w:eastAsia="Times New Roman" w:hint="default"/>
        </w:rPr>
        <w:t>33,112,700.00</w:t>
      </w:r>
      <w:r>
        <w:rPr>
          <w:rFonts w:ascii="Times New Roman" w:hAnsi="Times New Roman" w:cs="Times New Roman" w:eastAsia="Times New Roman" w:hint="default"/>
          <w:spacing w:val="1"/>
        </w:rPr>
        <w:t> </w:t>
      </w:r>
      <w:r>
        <w:rPr>
          <w:spacing w:val="3"/>
        </w:rPr>
        <w:t>元。</w:t>
      </w:r>
      <w:r>
        <w:rPr>
          <w:spacing w:val="2"/>
        </w:rPr>
        <w:t> </w:t>
      </w:r>
      <w:r>
        <w:rPr>
          <w:rFonts w:ascii="Times New Roman" w:hAnsi="Times New Roman" w:cs="Times New Roman" w:eastAsia="Times New Roman" w:hint="default"/>
        </w:rPr>
        <w:t>2011</w:t>
      </w:r>
      <w:r>
        <w:rPr>
          <w:rFonts w:ascii="Times New Roman" w:hAnsi="Times New Roman" w:cs="Times New Roman" w:eastAsia="Times New Roman" w:hint="default"/>
          <w:w w:val="99"/>
        </w:rPr>
        <w:t> </w:t>
      </w:r>
      <w:r>
        <w:rPr>
          <w:spacing w:val="3"/>
          <w:w w:val="99"/>
        </w:rPr>
        <w:t>年取得房地证</w:t>
      </w:r>
      <w:r>
        <w:rPr>
          <w:spacing w:val="-49"/>
          <w:w w:val="99"/>
        </w:rPr>
        <w:t> </w:t>
      </w:r>
      <w:r>
        <w:rPr>
          <w:rFonts w:ascii="Times New Roman" w:hAnsi="Times New Roman" w:cs="Times New Roman" w:eastAsia="Times New Roman" w:hint="default"/>
          <w:spacing w:val="-1"/>
          <w:w w:val="99"/>
        </w:rPr>
        <w:t>TD2011</w:t>
      </w:r>
      <w:r>
        <w:rPr>
          <w:rFonts w:ascii="Times New Roman" w:hAnsi="Times New Roman" w:cs="Times New Roman" w:eastAsia="Times New Roman" w:hint="default"/>
          <w:spacing w:val="2"/>
          <w:w w:val="99"/>
        </w:rPr>
        <w:t> </w:t>
      </w:r>
      <w:r>
        <w:rPr>
          <w:w w:val="99"/>
        </w:rPr>
        <w:t>第</w:t>
      </w:r>
      <w:r>
        <w:rPr>
          <w:spacing w:val="-49"/>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2"/>
          <w:w w:val="99"/>
        </w:rPr>
        <w:t> </w:t>
      </w:r>
      <w:r>
        <w:rPr>
          <w:spacing w:val="3"/>
          <w:w w:val="99"/>
        </w:rPr>
        <w:t>号、房地证</w:t>
      </w:r>
      <w:r>
        <w:rPr>
          <w:spacing w:val="-49"/>
          <w:w w:val="99"/>
        </w:rPr>
        <w:t> </w:t>
      </w:r>
      <w:r>
        <w:rPr>
          <w:rFonts w:ascii="Times New Roman" w:hAnsi="Times New Roman" w:cs="Times New Roman" w:eastAsia="Times New Roman" w:hint="default"/>
          <w:spacing w:val="-1"/>
          <w:w w:val="99"/>
        </w:rPr>
        <w:t>TD2011</w:t>
      </w:r>
      <w:r>
        <w:rPr>
          <w:rFonts w:ascii="Times New Roman" w:hAnsi="Times New Roman" w:cs="Times New Roman" w:eastAsia="Times New Roman" w:hint="default"/>
          <w:spacing w:val="2"/>
          <w:w w:val="99"/>
        </w:rPr>
        <w:t> </w:t>
      </w:r>
      <w:r>
        <w:rPr>
          <w:w w:val="99"/>
        </w:rPr>
        <w:t>第</w:t>
      </w:r>
      <w:r>
        <w:rPr>
          <w:spacing w:val="-47"/>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
          <w:w w:val="99"/>
        </w:rPr>
        <w:t> </w:t>
      </w:r>
      <w:r>
        <w:rPr>
          <w:spacing w:val="-3"/>
          <w:w w:val="99"/>
        </w:rPr>
        <w:t>号《国有土地使用证》，土地使用权</w:t>
      </w:r>
      <w:r>
        <w:rPr>
          <w:w w:val="99"/>
        </w:rPr>
        <w:t> </w:t>
      </w:r>
      <w:r>
        <w:rPr>
          <w:spacing w:val="3"/>
        </w:rPr>
        <w:t>面积分别为</w:t>
      </w:r>
      <w:r>
        <w:rPr>
          <w:spacing w:val="-49"/>
        </w:rPr>
        <w:t> </w:t>
      </w:r>
      <w:r>
        <w:rPr>
          <w:rFonts w:ascii="Times New Roman" w:hAnsi="Times New Roman" w:cs="Times New Roman" w:eastAsia="Times New Roman" w:hint="default"/>
        </w:rPr>
        <w:t>178,667.00</w:t>
      </w:r>
      <w:r>
        <w:rPr>
          <w:rFonts w:ascii="Times New Roman" w:hAnsi="Times New Roman" w:cs="Times New Roman" w:eastAsia="Times New Roman" w:hint="default"/>
          <w:spacing w:val="-1"/>
        </w:rPr>
        <w:t> </w:t>
      </w:r>
      <w:r>
        <w:rPr>
          <w:spacing w:val="3"/>
        </w:rPr>
        <w:t>平方米和</w:t>
      </w:r>
      <w:r>
        <w:rPr>
          <w:spacing w:val="-49"/>
        </w:rPr>
        <w:t> </w:t>
      </w:r>
      <w:r>
        <w:rPr>
          <w:rFonts w:ascii="Times New Roman" w:hAnsi="Times New Roman" w:cs="Times New Roman" w:eastAsia="Times New Roman" w:hint="default"/>
        </w:rPr>
        <w:t>70,000.00</w:t>
      </w:r>
      <w:r>
        <w:rPr>
          <w:rFonts w:ascii="Times New Roman" w:hAnsi="Times New Roman" w:cs="Times New Roman" w:eastAsia="Times New Roman" w:hint="default"/>
          <w:spacing w:val="-1"/>
        </w:rPr>
        <w:t> </w:t>
      </w:r>
      <w:r>
        <w:rPr>
          <w:spacing w:val="3"/>
        </w:rPr>
        <w:t>平方米，共合</w:t>
      </w:r>
      <w:r>
        <w:rPr>
          <w:spacing w:val="-49"/>
        </w:rPr>
        <w:t> </w:t>
      </w:r>
      <w:r>
        <w:rPr>
          <w:rFonts w:ascii="Times New Roman" w:hAnsi="Times New Roman" w:cs="Times New Roman" w:eastAsia="Times New Roman" w:hint="default"/>
        </w:rPr>
        <w:t>373</w:t>
      </w:r>
      <w:r>
        <w:rPr>
          <w:rFonts w:ascii="Times New Roman" w:hAnsi="Times New Roman" w:cs="Times New Roman" w:eastAsia="Times New Roman" w:hint="default"/>
          <w:spacing w:val="-1"/>
        </w:rPr>
        <w:t> </w:t>
      </w:r>
      <w:r>
        <w:rPr>
          <w:spacing w:val="3"/>
        </w:rPr>
        <w:t>亩，使用终止日期至</w:t>
      </w:r>
      <w:r>
        <w:rPr>
          <w:spacing w:val="-47"/>
        </w:rPr>
        <w:t> </w:t>
      </w:r>
      <w:r>
        <w:rPr>
          <w:rFonts w:ascii="Times New Roman" w:hAnsi="Times New Roman" w:cs="Times New Roman" w:eastAsia="Times New Roman" w:hint="default"/>
        </w:rPr>
        <w:t>2060</w:t>
      </w:r>
      <w:r>
        <w:rPr>
          <w:rFonts w:ascii="Times New Roman" w:hAnsi="Times New Roman" w:cs="Times New Roman" w:eastAsia="Times New Roman" w:hint="default"/>
          <w:spacing w:val="-1"/>
        </w:rPr>
        <w:t> </w:t>
      </w:r>
      <w:r>
        <w:rPr/>
        <w:t>年</w:t>
      </w:r>
    </w:p>
    <w:p>
      <w:pPr>
        <w:pStyle w:val="BodyText"/>
        <w:spacing w:line="240" w:lineRule="auto" w:before="26"/>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22"/>
          <w:szCs w:val="22"/>
        </w:rPr>
      </w:pPr>
    </w:p>
    <w:p>
      <w:pPr>
        <w:pStyle w:val="BodyText"/>
        <w:spacing w:line="240" w:lineRule="auto" w:before="192"/>
        <w:ind w:right="0"/>
        <w:jc w:val="both"/>
      </w:pPr>
      <w:r>
        <w:rPr/>
        <w:t>（</w:t>
      </w:r>
      <w:r>
        <w:rPr>
          <w:rFonts w:ascii="Times New Roman" w:hAnsi="Times New Roman" w:cs="Times New Roman" w:eastAsia="Times New Roman" w:hint="default"/>
        </w:rPr>
        <w:t>2</w:t>
      </w:r>
      <w:r>
        <w:rPr/>
        <w:t>）报告期内公司对无形资产进行减值测试，未发现有无形资产减值的情况。</w:t>
      </w:r>
    </w:p>
    <w:p>
      <w:pPr>
        <w:spacing w:line="240" w:lineRule="auto" w:before="7"/>
        <w:rPr>
          <w:rFonts w:ascii="宋体" w:hAnsi="宋体" w:cs="宋体" w:eastAsia="宋体" w:hint="default"/>
          <w:sz w:val="31"/>
          <w:szCs w:val="31"/>
        </w:rPr>
      </w:pPr>
    </w:p>
    <w:p>
      <w:pPr>
        <w:pStyle w:val="Heading4"/>
        <w:spacing w:line="240" w:lineRule="auto"/>
        <w:ind w:right="0"/>
        <w:jc w:val="both"/>
        <w:rPr>
          <w:b w:val="0"/>
          <w:bCs w:val="0"/>
        </w:rPr>
      </w:pPr>
      <w:r>
        <w:rPr>
          <w:rFonts w:ascii="Times New Roman" w:hAnsi="Times New Roman" w:cs="Times New Roman" w:eastAsia="Times New Roman" w:hint="default"/>
        </w:rPr>
        <w:t>11</w:t>
      </w:r>
      <w:r>
        <w:rPr/>
        <w:t>、递延所得税资产</w:t>
      </w:r>
      <w:r>
        <w:rPr>
          <w:b w:val="0"/>
          <w:bCs w:val="0"/>
        </w:rPr>
      </w:r>
    </w:p>
    <w:p>
      <w:pPr>
        <w:spacing w:line="240" w:lineRule="auto" w:before="3"/>
        <w:rPr>
          <w:rFonts w:ascii="Microsoft JhengHei" w:hAnsi="Microsoft JhengHei" w:cs="Microsoft JhengHei" w:eastAsia="Microsoft JhengHei" w:hint="default"/>
          <w:b/>
          <w:bCs/>
          <w:sz w:val="28"/>
          <w:szCs w:val="28"/>
        </w:rPr>
      </w:pPr>
    </w:p>
    <w:p>
      <w:pPr>
        <w:pStyle w:val="BodyText"/>
        <w:spacing w:line="240" w:lineRule="auto" w:before="34"/>
        <w:ind w:right="109"/>
        <w:jc w:val="left"/>
      </w:pPr>
      <w:r>
        <w:rPr/>
        <w:t>（</w:t>
      </w:r>
      <w:r>
        <w:rPr>
          <w:rFonts w:ascii="Times New Roman" w:hAnsi="Times New Roman" w:cs="Times New Roman" w:eastAsia="Times New Roman" w:hint="default"/>
        </w:rPr>
        <w:t>1</w:t>
      </w:r>
      <w:r>
        <w:rPr/>
        <w:t>）已确认的递延所得税资产</w:t>
      </w:r>
    </w:p>
    <w:p>
      <w:pPr>
        <w:pStyle w:val="BodyText"/>
        <w:spacing w:line="240" w:lineRule="auto" w:before="117"/>
        <w:ind w:left="0" w:right="1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214"/>
        <w:gridCol w:w="2191"/>
        <w:gridCol w:w="2878"/>
      </w:tblGrid>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2191"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932,944.52</w:t>
            </w:r>
            <w:r>
              <w:rPr>
                <w:rFonts w:ascii="Times New Roman"/>
                <w:sz w:val="21"/>
              </w:rPr>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537,287.49</w:t>
            </w:r>
            <w:r>
              <w:rPr>
                <w:rFonts w:ascii="Times New Roman"/>
                <w:sz w:val="21"/>
              </w:rPr>
            </w:r>
          </w:p>
        </w:tc>
      </w:tr>
      <w:tr>
        <w:trPr>
          <w:trHeight w:val="42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44,497.57</w:t>
            </w:r>
            <w:r>
              <w:rPr>
                <w:rFonts w:ascii="Times New Roman"/>
                <w:sz w:val="21"/>
              </w:rPr>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977,442.09</w:t>
            </w:r>
            <w:r>
              <w:rPr>
                <w:rFonts w:ascii="Times New Roman"/>
                <w:sz w:val="21"/>
              </w:rPr>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537,287.49</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right="109"/>
        <w:jc w:val="left"/>
      </w:pPr>
      <w:r>
        <w:rPr/>
        <w:t>（</w:t>
      </w:r>
      <w:r>
        <w:rPr>
          <w:rFonts w:ascii="Times New Roman" w:hAnsi="Times New Roman" w:cs="Times New Roman" w:eastAsia="Times New Roman" w:hint="default"/>
        </w:rPr>
        <w:t>2</w:t>
      </w:r>
      <w:r>
        <w:rPr/>
        <w:t>）应纳税差异和可抵扣差异项目明细</w:t>
      </w:r>
    </w:p>
    <w:p>
      <w:pPr>
        <w:pStyle w:val="BodyText"/>
        <w:tabs>
          <w:tab w:pos="1154" w:val="left" w:leader="none"/>
        </w:tabs>
        <w:spacing w:line="240" w:lineRule="auto" w:before="117"/>
        <w:ind w:left="0" w:right="331"/>
        <w:jc w:val="right"/>
      </w:pPr>
      <w:r>
        <w:rPr>
          <w:w w:val="95"/>
        </w:rPr>
        <w:t>单位：元</w:t>
        <w:tab/>
        <w:t>币种：人民币</w:t>
      </w:r>
      <w:r>
        <w:rPr/>
      </w:r>
    </w:p>
    <w:p>
      <w:pPr>
        <w:spacing w:line="240" w:lineRule="auto" w:before="1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401"/>
        <w:gridCol w:w="4894"/>
      </w:tblGrid>
      <w:tr>
        <w:trPr>
          <w:trHeight w:val="422"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2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6,154,325.42</w:t>
            </w:r>
            <w:r>
              <w:rPr>
                <w:rFonts w:ascii="Times New Roman"/>
                <w:sz w:val="21"/>
              </w:rPr>
            </w:r>
          </w:p>
        </w:tc>
      </w:tr>
      <w:tr>
        <w:trPr>
          <w:trHeight w:val="42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240"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4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r>
      <w:tr>
        <w:trPr>
          <w:trHeight w:val="42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应纳税差异合计</w:t>
            </w:r>
          </w:p>
        </w:tc>
        <w:tc>
          <w:tcPr>
            <w:tcW w:w="4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6,201,735.94</w:t>
            </w:r>
            <w:r>
              <w:rPr>
                <w:rFonts w:ascii="Times New Roman"/>
                <w:sz w:val="21"/>
              </w:rPr>
            </w:r>
          </w:p>
        </w:tc>
      </w:tr>
      <w:tr>
        <w:trPr>
          <w:trHeight w:val="424"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240" w:right="0"/>
              <w:jc w:val="left"/>
              <w:rPr>
                <w:rFonts w:ascii="宋体" w:hAnsi="宋体" w:cs="宋体" w:eastAsia="宋体" w:hint="default"/>
                <w:sz w:val="21"/>
                <w:szCs w:val="21"/>
              </w:rPr>
            </w:pPr>
            <w:r>
              <w:rPr>
                <w:rFonts w:ascii="宋体" w:hAnsi="宋体" w:cs="宋体" w:eastAsia="宋体" w:hint="default"/>
                <w:sz w:val="21"/>
                <w:szCs w:val="21"/>
              </w:rPr>
              <w:t>子公司亏损额</w:t>
            </w:r>
          </w:p>
        </w:tc>
        <w:tc>
          <w:tcPr>
            <w:tcW w:w="4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-177,990.29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058" w:footer="1590" w:top="1780" w:bottom="1780" w:left="1680" w:right="1680"/>
        </w:sectPr>
      </w:pPr>
    </w:p>
    <w:p>
      <w:pPr>
        <w:pStyle w:val="Heading4"/>
        <w:spacing w:line="282" w:lineRule="exact"/>
        <w:ind w:left="828" w:right="969"/>
        <w:jc w:val="left"/>
        <w:rPr>
          <w:b w:val="0"/>
          <w:bCs w:val="0"/>
        </w:rPr>
      </w:pPr>
      <w:bookmarkStart w:name="12、资产减值准备明细" w:id="60"/>
      <w:bookmarkEnd w:id="60"/>
      <w:r>
        <w:rPr>
          <w:b w:val="0"/>
          <w:bCs w:val="0"/>
        </w:rPr>
      </w:r>
      <w:bookmarkStart w:name="14、短期借款" w:id="61"/>
      <w:bookmarkEnd w:id="61"/>
      <w:r>
        <w:rPr>
          <w:b w:val="0"/>
          <w:bCs w:val="0"/>
        </w:rPr>
      </w:r>
      <w:r>
        <w:rPr>
          <w:rFonts w:ascii="Times New Roman" w:hAnsi="Times New Roman" w:cs="Times New Roman" w:eastAsia="Times New Roman" w:hint="default"/>
        </w:rPr>
        <w:t>12</w:t>
      </w:r>
      <w:r>
        <w:rPr/>
        <w:t>、资产减值准备明细</w:t>
      </w:r>
      <w:r>
        <w:rPr>
          <w:b w:val="0"/>
          <w:bCs w:val="0"/>
        </w:rPr>
      </w:r>
    </w:p>
    <w:p>
      <w:pPr>
        <w:pStyle w:val="BodyText"/>
        <w:spacing w:line="240" w:lineRule="auto" w:before="109"/>
        <w:ind w:left="0" w:right="98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462"/>
        <w:gridCol w:w="1577"/>
        <w:gridCol w:w="1577"/>
        <w:gridCol w:w="1318"/>
        <w:gridCol w:w="1162"/>
        <w:gridCol w:w="1598"/>
      </w:tblGrid>
      <w:tr>
        <w:trPr>
          <w:trHeight w:val="418" w:hRule="exact"/>
        </w:trPr>
        <w:tc>
          <w:tcPr>
            <w:tcW w:w="2462" w:type="dxa"/>
            <w:vMerge w:val="restart"/>
            <w:tcBorders>
              <w:top w:val="single" w:sz="4" w:space="0" w:color="000000"/>
              <w:left w:val="nil" w:sz="6" w:space="0" w:color="auto"/>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74"/>
              <w:ind w:left="1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74"/>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8" w:type="dxa"/>
            <w:vMerge w:val="restart"/>
            <w:tcBorders>
              <w:top w:val="single" w:sz="4" w:space="0" w:color="000000"/>
              <w:left w:val="single" w:sz="4" w:space="0" w:color="000000"/>
              <w:right w:val="nil" w:sz="6" w:space="0" w:color="auto"/>
            </w:tcBorders>
          </w:tcPr>
          <w:p>
            <w:pPr>
              <w:pStyle w:val="TableParagraph"/>
              <w:spacing w:line="240" w:lineRule="auto" w:before="174"/>
              <w:ind w:left="16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20" w:hRule="exact"/>
        </w:trPr>
        <w:tc>
          <w:tcPr>
            <w:tcW w:w="2462" w:type="dxa"/>
            <w:vMerge/>
            <w:tcBorders>
              <w:left w:val="nil" w:sz="6" w:space="0" w:color="auto"/>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98" w:type="dxa"/>
            <w:vMerge/>
            <w:tcBorders>
              <w:left w:val="single" w:sz="4" w:space="0" w:color="000000"/>
              <w:bottom w:val="single" w:sz="4" w:space="0" w:color="000000"/>
              <w:right w:val="nil" w:sz="6" w:space="0" w:color="auto"/>
            </w:tcBorders>
          </w:tcPr>
          <w:p>
            <w:pPr/>
          </w:p>
        </w:tc>
      </w:tr>
      <w:tr>
        <w:trPr>
          <w:trHeight w:val="73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3,974,614.99</w:t>
            </w:r>
            <w:r>
              <w:rPr>
                <w:rFonts w:ascii="Times New Roman"/>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2,314,797.03</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135,086.60</w:t>
            </w:r>
            <w:r>
              <w:rPr>
                <w:rFonts w:ascii="Times New Roman"/>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6,154,325.42</w:t>
            </w:r>
            <w:r>
              <w:rPr>
                <w:rFonts w:ascii="Times New Roman"/>
                <w:sz w:val="21"/>
              </w:rPr>
            </w:r>
          </w:p>
        </w:tc>
      </w:tr>
      <w:tr>
        <w:trPr>
          <w:trHeight w:val="73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二、固定资产减值准备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r>
      <w:tr>
        <w:trPr>
          <w:trHeight w:val="73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4,022,025.51</w:t>
            </w:r>
            <w:r>
              <w:rPr>
                <w:rFonts w:ascii="Times New Roman"/>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2,314,797.03</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135,086.60</w:t>
            </w:r>
            <w:r>
              <w:rPr>
                <w:rFonts w:ascii="Times New Roman"/>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6,201,735.94</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822" w:right="969"/>
        <w:jc w:val="left"/>
      </w:pPr>
      <w:r>
        <w:rPr>
          <w:rFonts w:ascii="Times New Roman" w:hAnsi="Times New Roman" w:cs="Times New Roman" w:eastAsia="Times New Roman" w:hint="default"/>
        </w:rPr>
        <w:t>13</w:t>
      </w:r>
      <w:r>
        <w:rPr/>
        <w:t>、受限资产情况</w:t>
      </w:r>
    </w:p>
    <w:p>
      <w:pPr>
        <w:pStyle w:val="BodyText"/>
        <w:spacing w:line="240" w:lineRule="auto" w:before="117"/>
        <w:ind w:left="6707" w:right="969"/>
        <w:jc w:val="lef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2782"/>
        <w:gridCol w:w="1966"/>
        <w:gridCol w:w="1639"/>
        <w:gridCol w:w="1805"/>
        <w:gridCol w:w="1644"/>
      </w:tblGrid>
      <w:tr>
        <w:trPr>
          <w:trHeight w:val="420"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w w:val="95"/>
                <w:sz w:val="21"/>
                <w:szCs w:val="21"/>
              </w:rPr>
              <w:t>所有权受到限制的资产</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其中：土地使用权</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7,981,298.00</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7,981,298.00</w:t>
            </w:r>
            <w:r>
              <w:rPr>
                <w:rFonts w:ascii="Times New Roman"/>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w w:val="95"/>
                <w:sz w:val="21"/>
                <w:szCs w:val="21"/>
              </w:rPr>
              <w:t>房屋及建筑物</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12,540,168.42</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12,540,168.42</w:t>
            </w:r>
            <w:r>
              <w:rPr>
                <w:rFonts w:ascii="Times New Roman"/>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right="35"/>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10,928,798.32</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4,844,643.92</w:t>
            </w:r>
            <w:r>
              <w:rPr>
                <w:rFonts w:ascii="Times New Roman"/>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326" w:right="0"/>
              <w:jc w:val="left"/>
              <w:rPr>
                <w:rFonts w:ascii="Times New Roman" w:hAnsi="Times New Roman" w:cs="Times New Roman" w:eastAsia="Times New Roman" w:hint="default"/>
                <w:sz w:val="21"/>
                <w:szCs w:val="21"/>
              </w:rPr>
            </w:pPr>
            <w:r>
              <w:rPr>
                <w:rFonts w:ascii="Times New Roman"/>
                <w:sz w:val="21"/>
              </w:rPr>
              <w:t>6,084,154.40</w:t>
            </w:r>
          </w:p>
        </w:tc>
      </w:tr>
    </w:tbl>
    <w:p>
      <w:pPr>
        <w:spacing w:line="240" w:lineRule="auto" w:before="6"/>
        <w:rPr>
          <w:rFonts w:ascii="宋体" w:hAnsi="宋体" w:cs="宋体" w:eastAsia="宋体" w:hint="default"/>
          <w:sz w:val="22"/>
          <w:szCs w:val="22"/>
        </w:rPr>
      </w:pPr>
    </w:p>
    <w:p>
      <w:pPr>
        <w:pStyle w:val="BodyText"/>
        <w:spacing w:line="336" w:lineRule="auto" w:before="34"/>
        <w:ind w:left="822" w:right="969"/>
        <w:jc w:val="left"/>
      </w:pPr>
      <w:r>
        <w:rPr/>
        <w:t>（</w:t>
      </w:r>
      <w:r>
        <w:rPr>
          <w:rFonts w:ascii="Times New Roman" w:hAnsi="Times New Roman" w:cs="Times New Roman" w:eastAsia="Times New Roman" w:hint="default"/>
        </w:rPr>
        <w:t>1</w:t>
      </w:r>
      <w:r>
        <w:rPr/>
        <w:t>）土地使用权及房屋及建筑物系公司将该部分资产用于向银行抵押，以取得银行借款，</w:t>
      </w:r>
      <w:r>
        <w:rPr>
          <w:w w:val="99"/>
        </w:rPr>
        <w:t> </w:t>
      </w:r>
      <w:r>
        <w:rPr/>
        <w:t>现借款已偿还，抵押担保亦解除。</w:t>
      </w:r>
    </w:p>
    <w:p>
      <w:pPr>
        <w:pStyle w:val="BodyText"/>
        <w:spacing w:line="240" w:lineRule="auto" w:before="51"/>
        <w:ind w:left="822" w:right="0"/>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2</w:t>
      </w:r>
      <w:r>
        <w:rPr>
          <w:spacing w:val="5"/>
        </w:rPr>
        <w:t>）期未受限银行存款包括保函保证金 </w:t>
      </w:r>
      <w:r>
        <w:rPr>
          <w:rFonts w:ascii="Times New Roman" w:hAnsi="Times New Roman" w:cs="Times New Roman" w:eastAsia="Times New Roman" w:hint="default"/>
        </w:rPr>
        <w:t>34,154.40 </w:t>
      </w:r>
      <w:r>
        <w:rPr>
          <w:spacing w:val="5"/>
        </w:rPr>
        <w:t>元，银行承兑汇票保证金</w:t>
      </w:r>
      <w:r>
        <w:rPr>
          <w:spacing w:val="-60"/>
        </w:rPr>
        <w:t> </w:t>
      </w:r>
      <w:r>
        <w:rPr>
          <w:rFonts w:ascii="Times New Roman" w:hAnsi="Times New Roman" w:cs="Times New Roman" w:eastAsia="Times New Roman" w:hint="default"/>
        </w:rPr>
        <w:t>5,100,000.00</w:t>
      </w:r>
    </w:p>
    <w:p>
      <w:pPr>
        <w:pStyle w:val="BodyText"/>
        <w:spacing w:line="240" w:lineRule="auto" w:before="117"/>
        <w:ind w:left="822" w:right="969"/>
        <w:jc w:val="left"/>
        <w:rPr>
          <w:rFonts w:ascii="Times New Roman" w:hAnsi="Times New Roman" w:cs="Times New Roman" w:eastAsia="Times New Roman" w:hint="default"/>
        </w:rPr>
      </w:pPr>
      <w:r>
        <w:rPr/>
        <w:t>元，远期结汇</w:t>
      </w:r>
      <w:r>
        <w:rPr>
          <w:rFonts w:ascii="Times New Roman" w:hAnsi="Times New Roman" w:cs="Times New Roman" w:eastAsia="Times New Roman" w:hint="default"/>
        </w:rPr>
        <w:t>/</w:t>
      </w:r>
      <w:r>
        <w:rPr/>
        <w:t>售汇保证金</w:t>
      </w:r>
      <w:r>
        <w:rPr>
          <w:spacing w:val="-56"/>
        </w:rPr>
        <w:t> </w:t>
      </w:r>
      <w:r>
        <w:rPr>
          <w:rFonts w:ascii="Times New Roman" w:hAnsi="Times New Roman" w:cs="Times New Roman" w:eastAsia="Times New Roman" w:hint="default"/>
        </w:rPr>
        <w:t>950,000.00</w:t>
      </w:r>
      <w:r>
        <w:rPr>
          <w:rFonts w:ascii="Times New Roman" w:hAnsi="Times New Roman" w:cs="Times New Roman" w:eastAsia="Times New Roman" w:hint="default"/>
          <w:spacing w:val="-7"/>
        </w:rPr>
        <w:t> </w:t>
      </w:r>
      <w:r>
        <w:rPr/>
        <w:t>元。具体情况见附注五、</w:t>
      </w:r>
      <w:r>
        <w:rPr>
          <w:rFonts w:ascii="Times New Roman" w:hAnsi="Times New Roman" w:cs="Times New Roman" w:eastAsia="Times New Roman" w:hint="default"/>
        </w:rPr>
        <w:t>1</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37"/>
          <w:pgSz w:w="11910" w:h="16840"/>
          <w:pgMar w:header="1058" w:footer="1590" w:top="1780" w:bottom="1780" w:left="980" w:right="820"/>
        </w:sectPr>
      </w:pPr>
    </w:p>
    <w:p>
      <w:pPr>
        <w:pStyle w:val="Heading4"/>
        <w:spacing w:line="333" w:lineRule="exact"/>
        <w:ind w:left="828" w:right="0"/>
        <w:jc w:val="left"/>
        <w:rPr>
          <w:b w:val="0"/>
          <w:bCs w:val="0"/>
        </w:rPr>
      </w:pPr>
      <w:r>
        <w:rPr>
          <w:rFonts w:ascii="Times New Roman" w:hAnsi="Times New Roman" w:cs="Times New Roman" w:eastAsia="Times New Roman" w:hint="default"/>
        </w:rPr>
        <w:t>14</w:t>
      </w:r>
      <w:r>
        <w:rPr/>
        <w:t>、短期借款</w:t>
      </w:r>
      <w:r>
        <w:rPr>
          <w:b w:val="0"/>
          <w:bCs w:val="0"/>
        </w:rPr>
      </w:r>
    </w:p>
    <w:p>
      <w:pPr>
        <w:pStyle w:val="BodyText"/>
        <w:spacing w:line="240" w:lineRule="auto" w:before="109"/>
        <w:ind w:left="822" w:right="0"/>
        <w:jc w:val="left"/>
      </w:pPr>
      <w:r>
        <w:rPr>
          <w:w w:val="95"/>
        </w:rPr>
        <w:t>短期借款分类：</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822" w:right="0"/>
        <w:jc w:val="left"/>
      </w:pPr>
      <w:r>
        <w:rPr/>
        <w:t>单位：元</w:t>
      </w:r>
      <w:r>
        <w:rPr>
          <w:spacing w:val="-3"/>
        </w:rPr>
        <w:t> </w:t>
      </w:r>
      <w:r>
        <w:rPr/>
        <w:t>币种：人民币</w:t>
      </w:r>
    </w:p>
    <w:p>
      <w:pPr>
        <w:spacing w:after="0" w:line="240" w:lineRule="auto"/>
        <w:jc w:val="left"/>
        <w:sectPr>
          <w:type w:val="continuous"/>
          <w:pgSz w:w="11910" w:h="16840"/>
          <w:pgMar w:top="940" w:bottom="920" w:left="980" w:right="820"/>
          <w:cols w:num="2" w:equalWidth="0">
            <w:col w:w="2292" w:space="3804"/>
            <w:col w:w="4014"/>
          </w:cols>
        </w:sectPr>
      </w:pPr>
    </w:p>
    <w:p>
      <w:pPr>
        <w:spacing w:line="240" w:lineRule="auto" w:before="10"/>
        <w:rPr>
          <w:rFonts w:ascii="宋体" w:hAnsi="宋体" w:cs="宋体" w:eastAsia="宋体" w:hint="default"/>
          <w:sz w:val="12"/>
          <w:szCs w:val="12"/>
        </w:rPr>
      </w:pPr>
    </w:p>
    <w:tbl>
      <w:tblPr>
        <w:tblW w:w="0" w:type="auto"/>
        <w:jc w:val="left"/>
        <w:tblInd w:w="786" w:type="dxa"/>
        <w:tblLayout w:type="fixed"/>
        <w:tblCellMar>
          <w:top w:w="0" w:type="dxa"/>
          <w:left w:w="0" w:type="dxa"/>
          <w:bottom w:w="0" w:type="dxa"/>
          <w:right w:w="0" w:type="dxa"/>
        </w:tblCellMar>
        <w:tblLook w:val="01E0"/>
      </w:tblPr>
      <w:tblGrid>
        <w:gridCol w:w="3233"/>
        <w:gridCol w:w="2544"/>
        <w:gridCol w:w="2549"/>
      </w:tblGrid>
      <w:tr>
        <w:trPr>
          <w:trHeight w:val="42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25,000,000.00</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17,000,000.00</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25"/>
              <w:jc w:val="right"/>
              <w:rPr>
                <w:rFonts w:ascii="Times New Roman" w:hAnsi="Times New Roman" w:cs="Times New Roman" w:eastAsia="Times New Roman" w:hint="default"/>
                <w:sz w:val="21"/>
                <w:szCs w:val="21"/>
              </w:rPr>
            </w:pPr>
            <w:r>
              <w:rPr>
                <w:rFonts w:ascii="Times New Roman"/>
                <w:w w:val="95"/>
                <w:sz w:val="21"/>
              </w:rPr>
              <w:t>50,000,000.00</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33,000,000.00</w:t>
            </w:r>
            <w:r>
              <w:rPr>
                <w:rFonts w:ascii="Times New Roman"/>
                <w:sz w:val="21"/>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w w:val="95"/>
                <w:sz w:val="21"/>
              </w:rPr>
              <w:t>18,378,137.86</w:t>
            </w:r>
            <w:r>
              <w:rPr>
                <w:rFonts w:ascii="Times New Roman"/>
                <w:sz w:val="21"/>
              </w:rPr>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w w:val="95"/>
                <w:sz w:val="21"/>
              </w:rPr>
              <w:t>8,080,000.00</w:t>
            </w:r>
            <w:r>
              <w:rPr>
                <w:rFonts w:ascii="Times New Roman"/>
                <w:sz w:val="21"/>
              </w:rPr>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940" w:bottom="920" w:left="980" w:right="820"/>
        </w:sectPr>
      </w:pPr>
    </w:p>
    <w:p>
      <w:pPr>
        <w:spacing w:line="432" w:lineRule="exact"/>
        <w:ind w:left="18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6.8pt;height:21.6pt;mso-position-horizontal-relative:char;mso-position-vertical-relative:line" coordorigin="0,0" coordsize="8336,432">
            <v:group style="position:absolute;left:5;top:10;width:8326;height:2" coordorigin="5,10" coordsize="8326,2">
              <v:shape style="position:absolute;left:5;top:10;width:8326;height:2" coordorigin="5,10" coordsize="8326,0" path="m5,10l8330,10e" filled="false" stroked="true" strokeweight=".48pt" strokecolor="#000000">
                <v:path arrowok="t"/>
              </v:shape>
            </v:group>
            <v:group style="position:absolute;left:5;top:427;width:8326;height:2" coordorigin="5,427" coordsize="8326,2">
              <v:shape style="position:absolute;left:5;top:427;width:8326;height:2" coordorigin="5,427" coordsize="8326,0" path="m5,427l8330,427e" filled="false" stroked="true" strokeweight=".48pt" strokecolor="#000000">
                <v:path arrowok="t"/>
              </v:shape>
            </v:group>
            <v:group style="position:absolute;left:3238;top:5;width:2;height:418" coordorigin="3238,5" coordsize="2,418">
              <v:shape style="position:absolute;left:3238;top:5;width:2;height:418" coordorigin="3238,5" coordsize="0,418" path="m3238,5l3238,422e" filled="false" stroked="true" strokeweight=".48pt" strokecolor="#000000">
                <v:path arrowok="t"/>
              </v:shape>
            </v:group>
            <v:group style="position:absolute;left:5782;top:5;width:2;height:418" coordorigin="5782,5" coordsize="2,418">
              <v:shape style="position:absolute;left:5782;top:5;width:2;height:418" coordorigin="5782,5" coordsize="0,418" path="m5782,5l5782,422e" filled="false" stroked="true" strokeweight=".48pt" strokecolor="#000000">
                <v:path arrowok="t"/>
              </v:shape>
              <v:shape style="position:absolute;left:3238;top:10;width:2544;height:418" type="#_x0000_t202" filled="false" stroked="false">
                <v:textbox inset="0,0,0,0">
                  <w:txbxContent>
                    <w:p>
                      <w:pPr>
                        <w:spacing w:before="48"/>
                        <w:ind w:left="1308" w:right="0" w:firstLine="0"/>
                        <w:jc w:val="left"/>
                        <w:rPr>
                          <w:rFonts w:ascii="Times New Roman" w:hAnsi="Times New Roman" w:cs="Times New Roman" w:eastAsia="Times New Roman" w:hint="default"/>
                          <w:sz w:val="21"/>
                          <w:szCs w:val="21"/>
                        </w:rPr>
                      </w:pPr>
                      <w:bookmarkStart w:name="15、应付票据" w:id="62"/>
                      <w:bookmarkEnd w:id="62"/>
                      <w:r>
                        <w:rPr/>
                      </w:r>
                      <w:bookmarkStart w:name="16、应付账款" w:id="63"/>
                      <w:bookmarkEnd w:id="63"/>
                      <w:r>
                        <w:rPr/>
                      </w:r>
                      <w:r>
                        <w:rPr>
                          <w:rFonts w:ascii="Times New Roman"/>
                          <w:sz w:val="21"/>
                        </w:rPr>
                        <w:t>51,378,137.86</w:t>
                      </w:r>
                    </w:p>
                  </w:txbxContent>
                </v:textbox>
                <w10:wrap type="none"/>
              </v:shape>
              <v:shape style="position:absolute;left:1414;top:46;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xbxContent>
                </v:textbox>
                <w10:wrap type="none"/>
              </v:shape>
              <v:shape style="position:absolute;left:6998;top:43;width:1305;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110,080,000.00</w:t>
                      </w:r>
                    </w:p>
                  </w:txbxContent>
                </v:textbox>
                <w10:wrap type="none"/>
              </v:shape>
            </v:group>
          </v:group>
        </w:pict>
      </w:r>
      <w:r>
        <w:rPr>
          <w:rFonts w:ascii="宋体" w:hAnsi="宋体" w:cs="宋体" w:eastAsia="宋体" w:hint="default"/>
          <w:position w:val="-8"/>
          <w:sz w:val="20"/>
          <w:szCs w:val="20"/>
        </w:rPr>
      </w:r>
    </w:p>
    <w:p>
      <w:pPr>
        <w:pStyle w:val="BodyText"/>
        <w:spacing w:line="254" w:lineRule="exact"/>
        <w:ind w:left="222" w:right="0"/>
        <w:jc w:val="left"/>
      </w:pPr>
      <w:r>
        <w:rPr/>
        <w:t>短期借款分类的说明：</w:t>
      </w:r>
    </w:p>
    <w:p>
      <w:pPr>
        <w:pStyle w:val="BodyText"/>
        <w:spacing w:line="336" w:lineRule="auto" w:before="135"/>
        <w:ind w:left="222" w:right="136" w:firstLine="525"/>
        <w:jc w:val="both"/>
      </w:pPr>
      <w:r>
        <w:rPr/>
        <w:t>本公司短期借款的期末余额由三笔短期借款和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笔已贴现但未到期的汇票贴现形成</w:t>
      </w:r>
      <w:r>
        <w:rPr>
          <w:w w:val="99"/>
        </w:rPr>
        <w:t> </w:t>
      </w:r>
      <w:r>
        <w:rPr/>
        <w:t>的借款组成。这三笔短期借款分别为：与交通银行的借款，期限为</w:t>
      </w:r>
      <w:r>
        <w:rPr>
          <w:spacing w:val="-83"/>
        </w:rPr>
        <w:t> </w:t>
      </w:r>
      <w:r>
        <w:rPr>
          <w:rFonts w:ascii="Times New Roman" w:hAnsi="Times New Roman" w:cs="Times New Roman" w:eastAsia="Times New Roman" w:hint="default"/>
        </w:rPr>
        <w:t>2010.6.28-2011.6.27</w:t>
      </w:r>
      <w:r>
        <w:rPr/>
        <w:t>，金</w:t>
      </w:r>
      <w:r>
        <w:rPr>
          <w:w w:val="99"/>
        </w:rPr>
        <w:t> </w:t>
      </w:r>
      <w:r>
        <w:rPr/>
        <w:t>额</w:t>
      </w:r>
      <w:r>
        <w:rPr>
          <w:spacing w:val="-64"/>
        </w:rPr>
        <w:t> </w:t>
      </w:r>
      <w:r>
        <w:rPr/>
        <w:t>为</w:t>
      </w:r>
      <w:r>
        <w:rPr>
          <w:spacing w:val="-1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6"/>
        </w:rPr>
        <w:t> </w:t>
      </w:r>
      <w:r>
        <w:rPr/>
        <w:t>万</w:t>
      </w:r>
      <w:r>
        <w:rPr>
          <w:spacing w:val="-64"/>
        </w:rPr>
        <w:t> </w:t>
      </w:r>
      <w:r>
        <w:rPr/>
        <w:t>元</w:t>
      </w:r>
      <w:r>
        <w:rPr>
          <w:spacing w:val="-67"/>
        </w:rPr>
        <w:t> </w:t>
      </w:r>
      <w:r>
        <w:rPr/>
        <w:t>整</w:t>
      </w:r>
      <w:r>
        <w:rPr>
          <w:spacing w:val="-67"/>
        </w:rPr>
        <w:t> </w:t>
      </w:r>
      <w:r>
        <w:rPr/>
        <w:t>，</w:t>
      </w:r>
      <w:r>
        <w:rPr>
          <w:spacing w:val="-67"/>
        </w:rPr>
        <w:t> </w:t>
      </w:r>
      <w:r>
        <w:rPr/>
        <w:t>合</w:t>
      </w:r>
      <w:r>
        <w:rPr>
          <w:spacing w:val="-67"/>
        </w:rPr>
        <w:t> </w:t>
      </w:r>
      <w:r>
        <w:rPr/>
        <w:t>同</w:t>
      </w:r>
      <w:r>
        <w:rPr>
          <w:spacing w:val="-67"/>
        </w:rPr>
        <w:t> </w:t>
      </w:r>
      <w:r>
        <w:rPr/>
        <w:t>号</w:t>
      </w:r>
      <w:r>
        <w:rPr>
          <w:spacing w:val="-67"/>
        </w:rPr>
        <w:t> </w:t>
      </w:r>
      <w:r>
        <w:rPr/>
        <w:t>为</w:t>
      </w:r>
      <w:r>
        <w:rPr>
          <w:spacing w:val="-5"/>
        </w:rPr>
        <w:t> </w:t>
      </w:r>
      <w:r>
        <w:rPr>
          <w:rFonts w:ascii="Times New Roman" w:hAnsi="Times New Roman" w:cs="Times New Roman" w:eastAsia="Times New Roman" w:hint="default"/>
        </w:rPr>
        <w:t>345000101000000412</w:t>
      </w:r>
      <w:r>
        <w:rPr>
          <w:rFonts w:ascii="Times New Roman" w:hAnsi="Times New Roman" w:cs="Times New Roman" w:eastAsia="Times New Roman" w:hint="default"/>
          <w:spacing w:val="-15"/>
        </w:rPr>
        <w:t> </w:t>
      </w:r>
      <w:r>
        <w:rPr/>
        <w:t>；</w:t>
      </w:r>
      <w:r>
        <w:rPr>
          <w:spacing w:val="-64"/>
        </w:rPr>
        <w:t> </w:t>
      </w:r>
      <w:r>
        <w:rPr/>
        <w:t>与</w:t>
      </w:r>
      <w:r>
        <w:rPr>
          <w:spacing w:val="-67"/>
        </w:rPr>
        <w:t> </w:t>
      </w:r>
      <w:r>
        <w:rPr/>
        <w:t>工</w:t>
      </w:r>
      <w:r>
        <w:rPr>
          <w:spacing w:val="-67"/>
        </w:rPr>
        <w:t> </w:t>
      </w:r>
      <w:r>
        <w:rPr/>
        <w:t>商</w:t>
      </w:r>
      <w:r>
        <w:rPr>
          <w:spacing w:val="-67"/>
        </w:rPr>
        <w:t> </w:t>
      </w:r>
      <w:r>
        <w:rPr/>
        <w:t>银</w:t>
      </w:r>
      <w:r>
        <w:rPr>
          <w:spacing w:val="-67"/>
        </w:rPr>
        <w:t> </w:t>
      </w:r>
      <w:r>
        <w:rPr/>
        <w:t>行</w:t>
      </w:r>
      <w:r>
        <w:rPr>
          <w:spacing w:val="-67"/>
        </w:rPr>
        <w:t> </w:t>
      </w:r>
      <w:r>
        <w:rPr/>
        <w:t>的</w:t>
      </w:r>
      <w:r>
        <w:rPr>
          <w:spacing w:val="-67"/>
        </w:rPr>
        <w:t> </w:t>
      </w:r>
      <w:r>
        <w:rPr/>
        <w:t>借</w:t>
      </w:r>
      <w:r>
        <w:rPr>
          <w:spacing w:val="-67"/>
        </w:rPr>
        <w:t> </w:t>
      </w:r>
      <w:r>
        <w:rPr/>
        <w:t>款</w:t>
      </w:r>
      <w:r>
        <w:rPr>
          <w:spacing w:val="-67"/>
        </w:rPr>
        <w:t> </w:t>
      </w:r>
      <w:r>
        <w:rPr/>
        <w:t>，</w:t>
      </w:r>
      <w:r>
        <w:rPr>
          <w:spacing w:val="-67"/>
        </w:rPr>
        <w:t> </w:t>
      </w:r>
      <w:r>
        <w:rPr/>
        <w:t>期</w:t>
      </w:r>
      <w:r>
        <w:rPr>
          <w:spacing w:val="-67"/>
        </w:rPr>
        <w:t> </w:t>
      </w:r>
      <w:r>
        <w:rPr/>
        <w:t>限</w:t>
      </w:r>
      <w:r>
        <w:rPr>
          <w:spacing w:val="-52"/>
        </w:rPr>
        <w:t> </w:t>
      </w:r>
      <w:r>
        <w:rPr/>
        <w:t>为</w:t>
      </w:r>
      <w:r>
        <w:rPr>
          <w:w w:val="99"/>
        </w:rPr>
        <w:t> </w:t>
      </w:r>
      <w:r>
        <w:rPr>
          <w:rFonts w:ascii="Times New Roman" w:hAnsi="Times New Roman" w:cs="Times New Roman" w:eastAsia="Times New Roman" w:hint="default"/>
        </w:rPr>
        <w:t>2010.9.21-2011.9.21</w:t>
      </w:r>
      <w:r>
        <w:rPr/>
        <w:t>，金额为</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万元整，合同号为</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年（广场）字</w:t>
      </w:r>
      <w:r>
        <w:rPr>
          <w:spacing w:val="-50"/>
        </w:rPr>
        <w:t> </w:t>
      </w:r>
      <w:r>
        <w:rPr>
          <w:rFonts w:ascii="Times New Roman" w:hAnsi="Times New Roman" w:cs="Times New Roman" w:eastAsia="Times New Roman" w:hint="default"/>
        </w:rPr>
        <w:t>0086</w:t>
      </w:r>
      <w:r>
        <w:rPr>
          <w:rFonts w:ascii="Times New Roman" w:hAnsi="Times New Roman" w:cs="Times New Roman" w:eastAsia="Times New Roman" w:hint="default"/>
          <w:spacing w:val="1"/>
        </w:rPr>
        <w:t> </w:t>
      </w:r>
      <w:r>
        <w:rPr/>
        <w:t>号；与上海浦</w:t>
      </w:r>
      <w:r>
        <w:rPr>
          <w:w w:val="99"/>
        </w:rPr>
        <w:t> </w:t>
      </w:r>
      <w:r>
        <w:rPr>
          <w:spacing w:val="3"/>
        </w:rPr>
        <w:t>东发展银行的借款，期限为</w:t>
      </w:r>
      <w:r>
        <w:rPr>
          <w:spacing w:val="-57"/>
        </w:rPr>
        <w:t> </w:t>
      </w:r>
      <w:r>
        <w:rPr>
          <w:rFonts w:ascii="Times New Roman" w:hAnsi="Times New Roman" w:cs="Times New Roman" w:eastAsia="Times New Roman" w:hint="default"/>
        </w:rPr>
        <w:t>2010.12.27-2011.12.27</w:t>
      </w:r>
      <w:r>
        <w:rPr/>
        <w:t>，金额为</w:t>
      </w:r>
      <w:r>
        <w:rPr>
          <w:spacing w:val="-5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spacing w:val="3"/>
        </w:rPr>
        <w:t>万元整，合同号为（马）</w:t>
      </w:r>
      <w:r>
        <w:rPr>
          <w:w w:val="87"/>
        </w:rPr>
        <w:t> </w:t>
      </w:r>
      <w:r>
        <w:rPr>
          <w:rFonts w:ascii="Times New Roman" w:hAnsi="Times New Roman" w:cs="Times New Roman" w:eastAsia="Times New Roman" w:hint="default"/>
        </w:rPr>
        <w:t>223-10-47</w:t>
      </w:r>
      <w:r>
        <w:rPr/>
        <w:t>。</w:t>
      </w:r>
    </w:p>
    <w:p>
      <w:pPr>
        <w:spacing w:line="240" w:lineRule="auto" w:before="8"/>
        <w:rPr>
          <w:rFonts w:ascii="宋体" w:hAnsi="宋体" w:cs="宋体" w:eastAsia="宋体" w:hint="default"/>
          <w:sz w:val="24"/>
          <w:szCs w:val="24"/>
        </w:rPr>
      </w:pPr>
    </w:p>
    <w:p>
      <w:pPr>
        <w:pStyle w:val="Heading4"/>
        <w:spacing w:line="240" w:lineRule="auto"/>
        <w:ind w:left="228" w:right="0"/>
        <w:jc w:val="left"/>
        <w:rPr>
          <w:b w:val="0"/>
          <w:bCs w:val="0"/>
        </w:rPr>
      </w:pPr>
      <w:r>
        <w:rPr>
          <w:rFonts w:ascii="Times New Roman" w:hAnsi="Times New Roman" w:cs="Times New Roman" w:eastAsia="Times New Roman" w:hint="default"/>
        </w:rPr>
        <w:t>15</w:t>
      </w:r>
      <w:r>
        <w:rPr/>
        <w:t>、应付票据</w:t>
      </w:r>
      <w:r>
        <w:rPr>
          <w:b w:val="0"/>
          <w:bCs w:val="0"/>
        </w:rPr>
      </w:r>
    </w:p>
    <w:p>
      <w:pPr>
        <w:pStyle w:val="BodyText"/>
        <w:spacing w:line="240" w:lineRule="auto" w:before="109"/>
        <w:ind w:left="222" w:right="0"/>
        <w:jc w:val="left"/>
      </w:pPr>
      <w:r>
        <w:rPr/>
        <w:t>（</w:t>
      </w:r>
      <w:r>
        <w:rPr>
          <w:rFonts w:ascii="Times New Roman" w:hAnsi="Times New Roman" w:cs="Times New Roman" w:eastAsia="Times New Roman" w:hint="default"/>
        </w:rPr>
        <w:t>1</w:t>
      </w:r>
      <w:r>
        <w:rPr/>
        <w:t>）应付票据情况</w:t>
      </w:r>
    </w:p>
    <w:p>
      <w:pPr>
        <w:spacing w:line="240" w:lineRule="auto" w:before="0"/>
        <w:rPr>
          <w:rFonts w:ascii="宋体" w:hAnsi="宋体" w:cs="宋体" w:eastAsia="宋体" w:hint="default"/>
          <w:sz w:val="22"/>
          <w:szCs w:val="22"/>
        </w:rPr>
      </w:pPr>
    </w:p>
    <w:p>
      <w:pPr>
        <w:pStyle w:val="BodyText"/>
        <w:spacing w:line="240" w:lineRule="auto" w:before="192"/>
        <w:ind w:left="0" w:right="1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3233"/>
        <w:gridCol w:w="2148"/>
        <w:gridCol w:w="2892"/>
      </w:tblGrid>
      <w:tr>
        <w:trPr>
          <w:trHeight w:val="42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07" w:right="0"/>
              <w:jc w:val="left"/>
              <w:rPr>
                <w:rFonts w:ascii="Times New Roman" w:hAnsi="Times New Roman" w:cs="Times New Roman" w:eastAsia="Times New Roman" w:hint="default"/>
                <w:sz w:val="21"/>
                <w:szCs w:val="21"/>
              </w:rPr>
            </w:pPr>
            <w:r>
              <w:rPr>
                <w:rFonts w:ascii="Times New Roman"/>
                <w:sz w:val="21"/>
              </w:rPr>
              <w:t>17,000,000.00</w:t>
            </w:r>
          </w:p>
        </w:tc>
        <w:tc>
          <w:tcPr>
            <w:tcW w:w="2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1651" w:right="0"/>
              <w:jc w:val="left"/>
              <w:rPr>
                <w:rFonts w:ascii="Times New Roman" w:hAnsi="Times New Roman" w:cs="Times New Roman" w:eastAsia="Times New Roman" w:hint="default"/>
                <w:sz w:val="21"/>
                <w:szCs w:val="21"/>
              </w:rPr>
            </w:pPr>
            <w:r>
              <w:rPr>
                <w:rFonts w:ascii="Times New Roman"/>
                <w:sz w:val="21"/>
              </w:rPr>
              <w:t>18,522,000.00</w:t>
            </w:r>
          </w:p>
        </w:tc>
      </w:tr>
    </w:tbl>
    <w:p>
      <w:pPr>
        <w:pStyle w:val="BodyText"/>
        <w:tabs>
          <w:tab w:pos="3162" w:val="left" w:leader="none"/>
        </w:tabs>
        <w:spacing w:line="257" w:lineRule="exact"/>
        <w:ind w:left="222" w:right="0"/>
        <w:jc w:val="left"/>
      </w:pPr>
      <w:r>
        <w:rPr>
          <w:w w:val="95"/>
        </w:rPr>
        <w:t>下一会计期间将到期的金额</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u w:val="single" w:color="000000"/>
        </w:rPr>
        <w:t>17,000,000.00_</w:t>
      </w:r>
      <w:r>
        <w:rPr>
          <w:u w:val="single" w:color="000000"/>
        </w:rPr>
        <w:t>元</w:t>
      </w:r>
      <w:r>
        <w:rPr/>
        <w:t>。</w:t>
      </w:r>
    </w:p>
    <w:p>
      <w:pPr>
        <w:spacing w:line="240" w:lineRule="auto" w:before="0"/>
        <w:rPr>
          <w:rFonts w:ascii="宋体" w:hAnsi="宋体" w:cs="宋体" w:eastAsia="宋体" w:hint="default"/>
          <w:sz w:val="22"/>
          <w:szCs w:val="22"/>
        </w:rPr>
      </w:pPr>
    </w:p>
    <w:p>
      <w:pPr>
        <w:pStyle w:val="BodyText"/>
        <w:spacing w:line="336" w:lineRule="auto" w:before="192"/>
        <w:ind w:left="222" w:right="0"/>
        <w:jc w:val="left"/>
      </w:pPr>
      <w:r>
        <w:rPr/>
        <w:t>（</w:t>
      </w:r>
      <w:r>
        <w:rPr>
          <w:rFonts w:ascii="Times New Roman" w:hAnsi="Times New Roman" w:cs="Times New Roman" w:eastAsia="Times New Roman" w:hint="default"/>
        </w:rPr>
        <w:t>2</w:t>
      </w:r>
      <w:r>
        <w:rPr/>
        <w:t>）本报告期应付票据中无应付持有本公司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以上股份的股东单位或关联方的款</w:t>
      </w:r>
      <w:r>
        <w:rPr>
          <w:spacing w:val="-101"/>
        </w:rPr>
        <w:t> </w:t>
      </w:r>
      <w:r>
        <w:rPr>
          <w:spacing w:val="-101"/>
        </w:rPr>
      </w:r>
      <w:r>
        <w:rPr/>
        <w:t>项。</w:t>
      </w:r>
    </w:p>
    <w:p>
      <w:pPr>
        <w:spacing w:line="240" w:lineRule="auto" w:before="7"/>
        <w:rPr>
          <w:rFonts w:ascii="宋体" w:hAnsi="宋体" w:cs="宋体" w:eastAsia="宋体" w:hint="default"/>
          <w:sz w:val="26"/>
          <w:szCs w:val="26"/>
        </w:rPr>
      </w:pPr>
    </w:p>
    <w:p>
      <w:pPr>
        <w:pStyle w:val="Heading4"/>
        <w:spacing w:line="240" w:lineRule="auto"/>
        <w:ind w:left="228" w:right="0"/>
        <w:jc w:val="left"/>
        <w:rPr>
          <w:b w:val="0"/>
          <w:bCs w:val="0"/>
        </w:rPr>
      </w:pPr>
      <w:r>
        <w:rPr>
          <w:rFonts w:ascii="Times New Roman" w:hAnsi="Times New Roman" w:cs="Times New Roman" w:eastAsia="Times New Roman" w:hint="default"/>
        </w:rPr>
        <w:t>16</w:t>
      </w:r>
      <w:r>
        <w:rPr/>
        <w:t>、应付账款</w:t>
      </w:r>
      <w:r>
        <w:rPr>
          <w:b w:val="0"/>
          <w:bCs w:val="0"/>
        </w:rPr>
      </w:r>
    </w:p>
    <w:p>
      <w:pPr>
        <w:pStyle w:val="BodyText"/>
        <w:tabs>
          <w:tab w:pos="7681" w:val="left" w:leader="none"/>
        </w:tabs>
        <w:spacing w:line="240" w:lineRule="auto" w:before="109"/>
        <w:ind w:left="222" w:right="0"/>
        <w:jc w:val="left"/>
      </w:pPr>
      <w:r>
        <w:rPr>
          <w:w w:val="95"/>
        </w:rPr>
        <w:t>（</w:t>
      </w:r>
      <w:r>
        <w:rPr>
          <w:rFonts w:ascii="Times New Roman" w:hAnsi="Times New Roman" w:cs="Times New Roman" w:eastAsia="Times New Roman" w:hint="default"/>
          <w:w w:val="95"/>
        </w:rPr>
        <w:t>1</w:t>
      </w:r>
      <w:r>
        <w:rPr>
          <w:w w:val="95"/>
        </w:rPr>
        <w:t>）</w:t>
        <w:tab/>
      </w:r>
      <w:r>
        <w:rPr/>
        <w:t>单位：元</w:t>
      </w:r>
    </w:p>
    <w:p>
      <w:pPr>
        <w:pStyle w:val="BodyText"/>
        <w:spacing w:line="240" w:lineRule="auto" w:before="117"/>
        <w:ind w:left="222" w:right="0"/>
        <w:jc w:val="left"/>
      </w:pPr>
      <w:r>
        <w:rPr/>
        <w:t>币种：人民币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50"/>
        <w:gridCol w:w="2371"/>
        <w:gridCol w:w="2755"/>
      </w:tblGrid>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7"/>
              <w:jc w:val="right"/>
              <w:rPr>
                <w:rFonts w:ascii="Times New Roman" w:hAnsi="Times New Roman" w:cs="Times New Roman" w:eastAsia="Times New Roman" w:hint="default"/>
                <w:sz w:val="21"/>
                <w:szCs w:val="21"/>
              </w:rPr>
            </w:pPr>
            <w:r>
              <w:rPr>
                <w:rFonts w:ascii="Times New Roman"/>
                <w:w w:val="95"/>
                <w:sz w:val="21"/>
              </w:rPr>
              <w:t>6,216,391.14</w:t>
            </w:r>
            <w:r>
              <w:rPr>
                <w:rFonts w:ascii="Times New Roman"/>
                <w:sz w:val="21"/>
              </w:rPr>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15,675,072.82</w:t>
            </w:r>
            <w:r>
              <w:rPr>
                <w:rFonts w:ascii="Times New Roman"/>
                <w:sz w:val="21"/>
              </w:rPr>
            </w:r>
          </w:p>
        </w:tc>
      </w:tr>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88,601.72</w:t>
            </w:r>
            <w:r>
              <w:rPr>
                <w:rFonts w:ascii="Times New Roman"/>
                <w:sz w:val="21"/>
              </w:rPr>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425,775.20</w:t>
            </w:r>
            <w:r>
              <w:rPr>
                <w:rFonts w:ascii="Times New Roman"/>
                <w:sz w:val="21"/>
              </w:rPr>
            </w:r>
          </w:p>
        </w:tc>
      </w:tr>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w w:val="95"/>
                <w:sz w:val="21"/>
              </w:rPr>
              <w:t>98,026.1</w:t>
            </w:r>
            <w:r>
              <w:rPr>
                <w:rFonts w:ascii="Times New Roman"/>
                <w:sz w:val="21"/>
              </w:rPr>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61,004.98</w:t>
            </w:r>
            <w:r>
              <w:rPr>
                <w:rFonts w:ascii="Times New Roman"/>
                <w:sz w:val="21"/>
              </w:rPr>
            </w:r>
          </w:p>
        </w:tc>
      </w:tr>
      <w:tr>
        <w:trPr>
          <w:trHeight w:val="418"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252,236.52</w:t>
            </w:r>
            <w:r>
              <w:rPr>
                <w:rFonts w:ascii="Times New Roman"/>
                <w:sz w:val="21"/>
              </w:rPr>
            </w:r>
          </w:p>
        </w:tc>
      </w:tr>
      <w:tr>
        <w:trPr>
          <w:trHeight w:val="420"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6,403,018.96</w:t>
            </w:r>
            <w:r>
              <w:rPr>
                <w:rFonts w:ascii="Times New Roman"/>
                <w:sz w:val="21"/>
              </w:rPr>
            </w:r>
          </w:p>
        </w:tc>
        <w:tc>
          <w:tcPr>
            <w:tcW w:w="2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16,414,089.52</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336" w:lineRule="auto" w:before="34"/>
        <w:ind w:left="222" w:right="0"/>
        <w:jc w:val="left"/>
      </w:pPr>
      <w:r>
        <w:rPr/>
        <w:t>（</w:t>
      </w:r>
      <w:r>
        <w:rPr>
          <w:rFonts w:ascii="Times New Roman" w:hAnsi="Times New Roman" w:cs="Times New Roman" w:eastAsia="Times New Roman" w:hint="default"/>
        </w:rPr>
        <w:t>2</w:t>
      </w:r>
      <w:r>
        <w:rPr/>
        <w:t>）本报告期未应付账款中无应付持有公司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以上表决权股份的股东单位或关联</w:t>
      </w:r>
      <w:r>
        <w:rPr>
          <w:spacing w:val="-101"/>
        </w:rPr>
        <w:t> </w:t>
      </w:r>
      <w:r>
        <w:rPr>
          <w:spacing w:val="-101"/>
        </w:rPr>
      </w:r>
      <w:r>
        <w:rPr/>
        <w:t>方的款项。</w:t>
      </w:r>
    </w:p>
    <w:p>
      <w:pPr>
        <w:spacing w:after="0" w:line="336" w:lineRule="auto"/>
        <w:jc w:val="left"/>
        <w:sectPr>
          <w:pgSz w:w="11910" w:h="16840"/>
          <w:pgMar w:header="1058" w:footer="1590" w:top="1780" w:bottom="1780" w:left="1580" w:right="1680"/>
        </w:sectPr>
      </w:pPr>
    </w:p>
    <w:p>
      <w:pPr>
        <w:pStyle w:val="Heading4"/>
        <w:spacing w:line="282" w:lineRule="exact"/>
        <w:ind w:left="228" w:right="0"/>
        <w:jc w:val="left"/>
        <w:rPr>
          <w:b w:val="0"/>
          <w:bCs w:val="0"/>
        </w:rPr>
      </w:pPr>
      <w:bookmarkStart w:name="17、预收款项" w:id="64"/>
      <w:bookmarkEnd w:id="64"/>
      <w:r>
        <w:rPr>
          <w:b w:val="0"/>
          <w:bCs w:val="0"/>
        </w:rPr>
      </w:r>
      <w:bookmarkStart w:name="18、应付职工薪酬" w:id="65"/>
      <w:bookmarkEnd w:id="65"/>
      <w:r>
        <w:rPr>
          <w:b w:val="0"/>
          <w:bCs w:val="0"/>
        </w:rPr>
      </w:r>
      <w:r>
        <w:rPr>
          <w:rFonts w:ascii="Times New Roman" w:hAnsi="Times New Roman" w:cs="Times New Roman" w:eastAsia="Times New Roman" w:hint="default"/>
        </w:rPr>
        <w:t>17</w:t>
      </w:r>
      <w:r>
        <w:rPr/>
        <w:t>、预收款项</w:t>
      </w:r>
      <w:r>
        <w:rPr>
          <w:b w:val="0"/>
          <w:bCs w:val="0"/>
        </w:rPr>
      </w:r>
    </w:p>
    <w:p>
      <w:pPr>
        <w:pStyle w:val="BodyText"/>
        <w:tabs>
          <w:tab w:pos="7681" w:val="left" w:leader="none"/>
        </w:tabs>
        <w:spacing w:line="240" w:lineRule="auto" w:before="109"/>
        <w:ind w:left="222" w:right="0"/>
        <w:jc w:val="left"/>
      </w:pPr>
      <w:r>
        <w:rPr>
          <w:w w:val="95"/>
        </w:rPr>
        <w:t>（</w:t>
      </w:r>
      <w:r>
        <w:rPr>
          <w:rFonts w:ascii="Times New Roman" w:hAnsi="Times New Roman" w:cs="Times New Roman" w:eastAsia="Times New Roman" w:hint="default"/>
          <w:w w:val="95"/>
        </w:rPr>
        <w:t>1</w:t>
      </w:r>
      <w:r>
        <w:rPr>
          <w:w w:val="95"/>
        </w:rPr>
        <w:t>）</w:t>
        <w:tab/>
      </w:r>
      <w:r>
        <w:rPr/>
        <w:t>单位：元</w:t>
      </w:r>
    </w:p>
    <w:p>
      <w:pPr>
        <w:pStyle w:val="BodyText"/>
        <w:spacing w:line="240" w:lineRule="auto" w:before="117"/>
        <w:ind w:left="222" w:right="0"/>
        <w:jc w:val="left"/>
      </w:pPr>
      <w:r>
        <w:rPr/>
        <w:t>币种：人民币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83"/>
        <w:gridCol w:w="2366"/>
        <w:gridCol w:w="2630"/>
      </w:tblGrid>
      <w:tr>
        <w:trPr>
          <w:trHeight w:val="420"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23"/>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3,275,278.74</w:t>
            </w:r>
            <w:r>
              <w:rPr>
                <w:rFonts w:ascii="Times New Roman"/>
                <w:sz w:val="21"/>
              </w:rPr>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1,849,017.51</w:t>
            </w:r>
            <w:r>
              <w:rPr>
                <w:rFonts w:ascii="Times New Roman"/>
                <w:sz w:val="21"/>
              </w:rPr>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590,556.71</w:t>
            </w:r>
            <w:r>
              <w:rPr>
                <w:rFonts w:ascii="Times New Roman"/>
                <w:sz w:val="21"/>
              </w:rPr>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269,250.66</w:t>
            </w:r>
            <w:r>
              <w:rPr>
                <w:rFonts w:ascii="Times New Roman"/>
                <w:sz w:val="21"/>
              </w:rPr>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78,914.27</w:t>
            </w:r>
            <w:r>
              <w:rPr>
                <w:rFonts w:ascii="Times New Roman"/>
                <w:sz w:val="21"/>
              </w:rPr>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20,683.81</w:t>
            </w:r>
            <w:r>
              <w:rPr>
                <w:rFonts w:ascii="Times New Roman"/>
                <w:sz w:val="21"/>
              </w:rPr>
            </w:r>
          </w:p>
        </w:tc>
      </w:tr>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2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3,944,749.72</w:t>
            </w:r>
            <w:r>
              <w:rPr>
                <w:rFonts w:ascii="Times New Roman"/>
                <w:sz w:val="21"/>
              </w:rPr>
            </w:r>
          </w:p>
        </w:tc>
        <w:tc>
          <w:tcPr>
            <w:tcW w:w="2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2,138,951.98</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336" w:lineRule="auto" w:before="34"/>
        <w:ind w:left="222" w:right="0"/>
        <w:jc w:val="left"/>
      </w:pPr>
      <w:r>
        <w:rPr/>
        <w:t>（</w:t>
      </w:r>
      <w:r>
        <w:rPr>
          <w:rFonts w:ascii="Times New Roman" w:hAnsi="Times New Roman" w:cs="Times New Roman" w:eastAsia="Times New Roman" w:hint="default"/>
        </w:rPr>
        <w:t>2</w:t>
      </w:r>
      <w:r>
        <w:rPr/>
        <w:t>）本报告期预收款项中无预收持有公司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以上表决权股份的股东单位或关联方</w:t>
      </w:r>
      <w:r>
        <w:rPr>
          <w:spacing w:val="-101"/>
        </w:rPr>
        <w:t> </w:t>
      </w:r>
      <w:r>
        <w:rPr>
          <w:spacing w:val="-101"/>
        </w:rPr>
      </w:r>
      <w:r>
        <w:rPr/>
        <w:t>的款项。</w:t>
      </w:r>
    </w:p>
    <w:p>
      <w:pPr>
        <w:spacing w:line="240" w:lineRule="auto" w:before="0"/>
        <w:rPr>
          <w:rFonts w:ascii="宋体" w:hAnsi="宋体" w:cs="宋体" w:eastAsia="宋体" w:hint="default"/>
          <w:sz w:val="29"/>
          <w:szCs w:val="29"/>
        </w:rPr>
      </w:pPr>
    </w:p>
    <w:p>
      <w:pPr>
        <w:pStyle w:val="Heading4"/>
        <w:spacing w:line="333" w:lineRule="exact"/>
        <w:ind w:left="228" w:right="0"/>
        <w:jc w:val="left"/>
        <w:rPr>
          <w:b w:val="0"/>
          <w:bCs w:val="0"/>
        </w:rPr>
      </w:pPr>
      <w:r>
        <w:rPr>
          <w:rFonts w:ascii="Times New Roman" w:hAnsi="Times New Roman" w:cs="Times New Roman" w:eastAsia="Times New Roman" w:hint="default"/>
        </w:rPr>
        <w:t>18</w:t>
      </w:r>
      <w:r>
        <w:rPr/>
        <w:t>、应付职工薪酬</w:t>
      </w:r>
      <w:r>
        <w:rPr>
          <w:b w:val="0"/>
          <w:bCs w:val="0"/>
        </w:rPr>
      </w:r>
    </w:p>
    <w:p>
      <w:pPr>
        <w:pStyle w:val="BodyText"/>
        <w:spacing w:line="240" w:lineRule="auto" w:before="109"/>
        <w:ind w:left="0" w:right="1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1838"/>
        <w:gridCol w:w="1358"/>
        <w:gridCol w:w="1812"/>
        <w:gridCol w:w="1800"/>
        <w:gridCol w:w="1488"/>
      </w:tblGrid>
      <w:tr>
        <w:trPr>
          <w:trHeight w:val="838"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一、工资、奖金、</w:t>
            </w:r>
          </w:p>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1,094,035.32</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94"/>
              <w:jc w:val="right"/>
              <w:rPr>
                <w:rFonts w:ascii="Times New Roman" w:hAnsi="Times New Roman" w:cs="Times New Roman" w:eastAsia="Times New Roman" w:hint="default"/>
                <w:sz w:val="22"/>
                <w:szCs w:val="22"/>
              </w:rPr>
            </w:pPr>
            <w:r>
              <w:rPr>
                <w:rFonts w:ascii="Times New Roman"/>
                <w:spacing w:val="-1"/>
                <w:sz w:val="22"/>
              </w:rPr>
              <w:t>17,328,596.69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94"/>
              <w:jc w:val="right"/>
              <w:rPr>
                <w:rFonts w:ascii="Times New Roman" w:hAnsi="Times New Roman" w:cs="Times New Roman" w:eastAsia="Times New Roman" w:hint="default"/>
                <w:sz w:val="22"/>
                <w:szCs w:val="22"/>
              </w:rPr>
            </w:pPr>
            <w:r>
              <w:rPr>
                <w:rFonts w:ascii="Times New Roman"/>
                <w:spacing w:val="-1"/>
                <w:sz w:val="22"/>
              </w:rPr>
              <w:t>16,987,645.39</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3"/>
              <w:jc w:val="right"/>
              <w:rPr>
                <w:rFonts w:ascii="Times New Roman" w:hAnsi="Times New Roman" w:cs="Times New Roman" w:eastAsia="Times New Roman" w:hint="default"/>
                <w:sz w:val="22"/>
                <w:szCs w:val="22"/>
              </w:rPr>
            </w:pPr>
            <w:r>
              <w:rPr>
                <w:rFonts w:ascii="Times New Roman"/>
                <w:spacing w:val="-1"/>
                <w:sz w:val="22"/>
              </w:rPr>
              <w:t>1,434,986.62</w:t>
            </w:r>
          </w:p>
        </w:tc>
      </w:tr>
      <w:tr>
        <w:trPr>
          <w:trHeight w:val="427"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765,043.08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765,043.08</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0"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3,191,671.34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3,191,671.34</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38"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pacing w:val="2"/>
                <w:w w:val="99"/>
                <w:sz w:val="21"/>
                <w:szCs w:val="21"/>
              </w:rPr>
              <w:t>其</w:t>
            </w:r>
            <w:r>
              <w:rPr>
                <w:rFonts w:ascii="宋体" w:hAnsi="宋体" w:cs="宋体" w:eastAsia="宋体" w:hint="default"/>
                <w:w w:val="99"/>
                <w:sz w:val="21"/>
                <w:szCs w:val="21"/>
              </w:rPr>
              <w:t>中</w:t>
            </w:r>
            <w:r>
              <w:rPr>
                <w:rFonts w:ascii="宋体" w:hAnsi="宋体" w:cs="宋体" w:eastAsia="宋体" w:hint="default"/>
                <w:spacing w:val="-89"/>
                <w:w w:val="99"/>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w:t>
            </w:r>
            <w:r>
              <w:rPr>
                <w:rFonts w:ascii="宋体" w:hAnsi="宋体" w:cs="宋体" w:eastAsia="宋体" w:hint="default"/>
                <w:spacing w:val="2"/>
                <w:w w:val="99"/>
                <w:sz w:val="21"/>
                <w:szCs w:val="21"/>
              </w:rPr>
              <w:t>医</w:t>
            </w:r>
            <w:r>
              <w:rPr>
                <w:rFonts w:ascii="宋体" w:hAnsi="宋体" w:cs="宋体" w:eastAsia="宋体" w:hint="default"/>
                <w:w w:val="99"/>
                <w:sz w:val="21"/>
                <w:szCs w:val="21"/>
              </w:rPr>
              <w:t>疗</w:t>
            </w:r>
            <w:r>
              <w:rPr>
                <w:rFonts w:ascii="宋体" w:hAnsi="宋体" w:cs="宋体" w:eastAsia="宋体" w:hint="default"/>
                <w:spacing w:val="2"/>
                <w:w w:val="99"/>
                <w:sz w:val="21"/>
                <w:szCs w:val="21"/>
              </w:rPr>
              <w:t>保</w:t>
            </w:r>
            <w:r>
              <w:rPr>
                <w:rFonts w:ascii="宋体" w:hAnsi="宋体" w:cs="宋体" w:eastAsia="宋体" w:hint="default"/>
                <w:w w:val="99"/>
                <w:sz w:val="21"/>
                <w:szCs w:val="21"/>
              </w:rPr>
              <w:t>险</w:t>
            </w:r>
            <w:r>
              <w:rPr>
                <w:rFonts w:ascii="宋体" w:hAnsi="宋体" w:cs="宋体" w:eastAsia="宋体" w:hint="default"/>
                <w:sz w:val="21"/>
                <w:szCs w:val="21"/>
              </w:rPr>
            </w:r>
          </w:p>
          <w:p>
            <w:pPr>
              <w:pStyle w:val="TableParagraph"/>
              <w:spacing w:line="240" w:lineRule="auto" w:before="117"/>
              <w:ind w:left="108" w:right="0"/>
              <w:jc w:val="left"/>
              <w:rPr>
                <w:rFonts w:ascii="宋体" w:hAnsi="宋体" w:cs="宋体" w:eastAsia="宋体" w:hint="default"/>
                <w:sz w:val="21"/>
                <w:szCs w:val="21"/>
              </w:rPr>
            </w:pPr>
            <w:r>
              <w:rPr>
                <w:rFonts w:ascii="宋体" w:hAnsi="宋体" w:cs="宋体" w:eastAsia="宋体" w:hint="default"/>
                <w:w w:val="99"/>
                <w:sz w:val="21"/>
                <w:szCs w:val="21"/>
              </w:rPr>
              <w:t>费</w:t>
            </w:r>
            <w:r>
              <w:rPr>
                <w:rFonts w:ascii="宋体" w:hAnsi="宋体" w:cs="宋体" w:eastAsia="宋体" w:hint="default"/>
                <w:sz w:val="21"/>
                <w:szCs w:val="21"/>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94"/>
              <w:jc w:val="right"/>
              <w:rPr>
                <w:rFonts w:ascii="Times New Roman" w:hAnsi="Times New Roman" w:cs="Times New Roman" w:eastAsia="Times New Roman" w:hint="default"/>
                <w:sz w:val="22"/>
                <w:szCs w:val="22"/>
              </w:rPr>
            </w:pPr>
            <w:r>
              <w:rPr>
                <w:rFonts w:ascii="Times New Roman"/>
                <w:spacing w:val="-1"/>
                <w:sz w:val="22"/>
              </w:rPr>
              <w:t>701,997.82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94"/>
              <w:jc w:val="right"/>
              <w:rPr>
                <w:rFonts w:ascii="Times New Roman" w:hAnsi="Times New Roman" w:cs="Times New Roman" w:eastAsia="Times New Roman" w:hint="default"/>
                <w:sz w:val="22"/>
                <w:szCs w:val="22"/>
              </w:rPr>
            </w:pPr>
            <w:r>
              <w:rPr>
                <w:rFonts w:ascii="Times New Roman"/>
                <w:spacing w:val="-1"/>
                <w:sz w:val="22"/>
              </w:rPr>
              <w:t>701,997.82</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2,184,653.20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2,184,653.20</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0"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失业保险</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153,397.19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153,397.19</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工伤保险</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93,531.12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93,531.12</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0"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生育保险</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58,092.01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58,092.01</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35,120.00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35,120.00</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0"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0"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2"/>
              <w:jc w:val="right"/>
              <w:rPr>
                <w:rFonts w:ascii="Times New Roman" w:hAnsi="Times New Roman" w:cs="Times New Roman" w:eastAsia="Times New Roman" w:hint="default"/>
                <w:sz w:val="21"/>
                <w:szCs w:val="21"/>
              </w:rPr>
            </w:pPr>
            <w:r>
              <w:rPr>
                <w:rFonts w:ascii="Times New Roman"/>
                <w:w w:val="95"/>
                <w:sz w:val="21"/>
              </w:rPr>
              <w:t>35,706.76</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2"/>
              <w:jc w:val="right"/>
              <w:rPr>
                <w:rFonts w:ascii="Times New Roman" w:hAnsi="Times New Roman" w:cs="Times New Roman" w:eastAsia="Times New Roman" w:hint="default"/>
                <w:sz w:val="21"/>
                <w:szCs w:val="21"/>
              </w:rPr>
            </w:pPr>
            <w:r>
              <w:rPr>
                <w:rFonts w:ascii="Times New Roman"/>
                <w:w w:val="95"/>
                <w:sz w:val="21"/>
              </w:rPr>
              <w:t>35,706.76</w:t>
            </w:r>
            <w:r>
              <w:rPr>
                <w:rFonts w:ascii="Times New Roman"/>
                <w:sz w:val="21"/>
              </w:rPr>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1838"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1,094,035.32</w:t>
            </w:r>
            <w:r>
              <w:rPr>
                <w:rFonts w:ascii="Times New Roman"/>
                <w:sz w:val="21"/>
              </w:rPr>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21,356,137.87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21,015,186.57</w:t>
            </w:r>
          </w:p>
        </w:tc>
        <w:tc>
          <w:tcPr>
            <w:tcW w:w="14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1,434,986.62</w:t>
            </w:r>
          </w:p>
        </w:tc>
      </w:tr>
    </w:tbl>
    <w:p>
      <w:pPr>
        <w:pStyle w:val="BodyText"/>
        <w:spacing w:line="243" w:lineRule="exact"/>
        <w:ind w:left="222" w:right="0"/>
        <w:jc w:val="left"/>
      </w:pPr>
      <w:r>
        <w:rPr/>
        <w:t>应付职工薪酬中无属于拖欠性质的金额。</w:t>
      </w:r>
    </w:p>
    <w:p>
      <w:pPr>
        <w:pStyle w:val="BodyText"/>
        <w:spacing w:line="240" w:lineRule="auto" w:before="133"/>
        <w:ind w:left="222" w:right="0"/>
        <w:jc w:val="left"/>
      </w:pPr>
      <w:r>
        <w:rPr/>
        <w:t>工应付职工薪酬预计发放时间、金额等安排：</w:t>
      </w:r>
    </w:p>
    <w:p>
      <w:pPr>
        <w:pStyle w:val="BodyText"/>
        <w:spacing w:line="240" w:lineRule="auto" w:before="133"/>
        <w:ind w:left="642" w:right="0"/>
        <w:jc w:val="left"/>
      </w:pPr>
      <w:r>
        <w:rPr/>
        <w:t>每个月</w:t>
      </w:r>
      <w:r>
        <w:rPr>
          <w:spacing w:val="-72"/>
        </w:rPr>
        <w:t> </w:t>
      </w:r>
      <w:r>
        <w:rPr>
          <w:rFonts w:ascii="Times New Roman" w:hAnsi="Times New Roman" w:cs="Times New Roman" w:eastAsia="Times New Roman" w:hint="default"/>
        </w:rPr>
        <w:t>28</w:t>
      </w:r>
      <w:r>
        <w:rPr>
          <w:rFonts w:ascii="Times New Roman" w:hAnsi="Times New Roman" w:cs="Times New Roman" w:eastAsia="Times New Roman" w:hint="default"/>
          <w:spacing w:val="-19"/>
        </w:rPr>
        <w:t> </w:t>
      </w:r>
      <w:r>
        <w:rPr/>
        <w:t>日为发放工资时间，由人力资源部根据考勤等核算好工资交财务部们通过银</w:t>
      </w:r>
    </w:p>
    <w:p>
      <w:pPr>
        <w:spacing w:after="0" w:line="240" w:lineRule="auto"/>
        <w:jc w:val="left"/>
        <w:sectPr>
          <w:pgSz w:w="11910" w:h="16840"/>
          <w:pgMar w:header="1058" w:footer="1590" w:top="1780" w:bottom="1780" w:left="1580" w:right="1680"/>
        </w:sectPr>
      </w:pPr>
    </w:p>
    <w:p>
      <w:pPr>
        <w:pStyle w:val="BodyText"/>
        <w:spacing w:line="258" w:lineRule="exact"/>
        <w:ind w:left="222" w:right="0"/>
        <w:jc w:val="left"/>
      </w:pPr>
      <w:bookmarkStart w:name="19、应交税费" w:id="66"/>
      <w:bookmarkEnd w:id="66"/>
      <w:r>
        <w:rPr/>
      </w:r>
      <w:bookmarkStart w:name="20、应付利息" w:id="67"/>
      <w:bookmarkEnd w:id="67"/>
      <w:r>
        <w:rPr/>
      </w:r>
      <w:bookmarkStart w:name="21、其他应付款" w:id="68"/>
      <w:bookmarkEnd w:id="68"/>
      <w:r>
        <w:rPr/>
      </w:r>
      <w:r>
        <w:rPr/>
        <w:t>行转账发放。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333" w:lineRule="exact"/>
        <w:ind w:left="228" w:right="0"/>
        <w:jc w:val="left"/>
        <w:rPr>
          <w:b w:val="0"/>
          <w:bCs w:val="0"/>
        </w:rPr>
      </w:pPr>
      <w:r>
        <w:rPr>
          <w:rFonts w:ascii="Times New Roman" w:hAnsi="Times New Roman" w:cs="Times New Roman" w:eastAsia="Times New Roman" w:hint="default"/>
        </w:rPr>
        <w:t>19</w:t>
      </w:r>
      <w:r>
        <w:rPr/>
        <w:t>、应交税费</w:t>
      </w:r>
      <w:r>
        <w:rPr>
          <w:b w:val="0"/>
          <w:bCs w:val="0"/>
        </w:rPr>
      </w:r>
    </w:p>
    <w:p>
      <w:pPr>
        <w:pStyle w:val="BodyText"/>
        <w:spacing w:line="240" w:lineRule="auto" w:before="109"/>
        <w:ind w:left="0" w:right="33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3233"/>
        <w:gridCol w:w="2093"/>
        <w:gridCol w:w="3000"/>
      </w:tblGrid>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39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21"/>
                <w:szCs w:val="21"/>
              </w:rPr>
            </w:pPr>
            <w:r>
              <w:rPr>
                <w:rFonts w:ascii="Times New Roman"/>
                <w:w w:val="95"/>
                <w:sz w:val="21"/>
              </w:rPr>
              <w:t>583,525.08</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4,022,915.54</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1,381,618.10</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4,201,488.59</w:t>
            </w:r>
            <w:r>
              <w:rPr>
                <w:rFonts w:ascii="Times New Roman"/>
                <w:sz w:val="21"/>
              </w:rPr>
            </w:r>
          </w:p>
        </w:tc>
      </w:tr>
      <w:tr>
        <w:trPr>
          <w:trHeight w:val="41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w w:val="95"/>
                <w:sz w:val="21"/>
              </w:rPr>
              <w:t>1,540,838.71</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
              <w:jc w:val="right"/>
              <w:rPr>
                <w:rFonts w:ascii="Times New Roman" w:hAnsi="Times New Roman" w:cs="Times New Roman" w:eastAsia="Times New Roman" w:hint="default"/>
                <w:sz w:val="21"/>
                <w:szCs w:val="21"/>
              </w:rPr>
            </w:pPr>
            <w:r>
              <w:rPr>
                <w:rFonts w:ascii="Times New Roman"/>
                <w:w w:val="95"/>
                <w:sz w:val="21"/>
              </w:rPr>
              <w:t>7,375.63</w:t>
            </w:r>
            <w:r>
              <w:rPr>
                <w:rFonts w:ascii="Times New Roman"/>
                <w:sz w:val="21"/>
              </w:rPr>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45,898.41</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8"/>
              <w:jc w:val="right"/>
              <w:rPr>
                <w:rFonts w:ascii="Times New Roman" w:hAnsi="Times New Roman" w:cs="Times New Roman" w:eastAsia="Times New Roman" w:hint="default"/>
                <w:sz w:val="21"/>
                <w:szCs w:val="21"/>
              </w:rPr>
            </w:pPr>
            <w:r>
              <w:rPr>
                <w:rFonts w:ascii="Times New Roman"/>
                <w:w w:val="95"/>
                <w:sz w:val="21"/>
              </w:rPr>
              <w:t>195,603.92</w:t>
            </w:r>
            <w:r>
              <w:rPr>
                <w:rFonts w:ascii="Times New Roman"/>
                <w:sz w:val="21"/>
              </w:rPr>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15,348.87</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105,928.56</w:t>
            </w:r>
            <w:r>
              <w:rPr>
                <w:rFonts w:ascii="Times New Roman"/>
                <w:sz w:val="21"/>
              </w:rPr>
            </w:r>
          </w:p>
        </w:tc>
      </w:tr>
      <w:tr>
        <w:trPr>
          <w:trHeight w:val="42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2,825.14</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24,132.13</w:t>
            </w:r>
            <w:r>
              <w:rPr>
                <w:rFonts w:ascii="Times New Roman"/>
                <w:sz w:val="21"/>
              </w:rPr>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21"/>
                <w:szCs w:val="21"/>
              </w:rPr>
            </w:pPr>
            <w:r>
              <w:rPr>
                <w:rFonts w:ascii="Times New Roman"/>
                <w:w w:val="95"/>
                <w:sz w:val="21"/>
              </w:rPr>
              <w:t>109,588.84</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78,288.29</w:t>
            </w:r>
            <w:r>
              <w:rPr>
                <w:rFonts w:ascii="Times New Roman"/>
                <w:sz w:val="21"/>
              </w:rPr>
            </w:r>
          </w:p>
        </w:tc>
      </w:tr>
      <w:tr>
        <w:trPr>
          <w:trHeight w:val="41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39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3,679,643.15</w:t>
            </w:r>
            <w:r>
              <w:rPr>
                <w:rFonts w:ascii="Times New Roman"/>
                <w:sz w:val="21"/>
              </w:rPr>
            </w:r>
          </w:p>
        </w:tc>
        <w:tc>
          <w:tcPr>
            <w:tcW w:w="3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5"/>
              <w:jc w:val="right"/>
              <w:rPr>
                <w:rFonts w:ascii="Times New Roman" w:hAnsi="Times New Roman" w:cs="Times New Roman" w:eastAsia="Times New Roman" w:hint="default"/>
                <w:sz w:val="21"/>
                <w:szCs w:val="21"/>
              </w:rPr>
            </w:pPr>
            <w:r>
              <w:rPr>
                <w:rFonts w:ascii="Times New Roman"/>
                <w:w w:val="95"/>
                <w:sz w:val="21"/>
              </w:rPr>
              <w:t>8,635,732.66</w:t>
            </w:r>
            <w:r>
              <w:rPr>
                <w:rFonts w:ascii="Times New Roman"/>
                <w:sz w:val="21"/>
              </w:rPr>
            </w:r>
          </w:p>
        </w:tc>
      </w:tr>
    </w:tbl>
    <w:p>
      <w:pPr>
        <w:spacing w:line="240" w:lineRule="auto" w:before="9"/>
        <w:rPr>
          <w:rFonts w:ascii="宋体" w:hAnsi="宋体" w:cs="宋体" w:eastAsia="宋体" w:hint="default"/>
          <w:sz w:val="22"/>
          <w:szCs w:val="22"/>
        </w:rPr>
      </w:pPr>
    </w:p>
    <w:p>
      <w:pPr>
        <w:pStyle w:val="Heading4"/>
        <w:spacing w:line="333" w:lineRule="exact"/>
        <w:ind w:left="228" w:right="0"/>
        <w:jc w:val="left"/>
        <w:rPr>
          <w:b w:val="0"/>
          <w:bCs w:val="0"/>
        </w:rPr>
      </w:pPr>
      <w:r>
        <w:rPr>
          <w:rFonts w:ascii="Times New Roman" w:hAnsi="Times New Roman" w:cs="Times New Roman" w:eastAsia="Times New Roman" w:hint="default"/>
        </w:rPr>
        <w:t>20</w:t>
      </w:r>
      <w:r>
        <w:rPr/>
        <w:t>、应付利息</w:t>
      </w:r>
      <w:r>
        <w:rPr>
          <w:b w:val="0"/>
          <w:bCs w:val="0"/>
        </w:rPr>
      </w:r>
    </w:p>
    <w:p>
      <w:pPr>
        <w:pStyle w:val="BodyText"/>
        <w:spacing w:line="240" w:lineRule="auto" w:before="109"/>
        <w:ind w:left="0" w:right="1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3828"/>
        <w:gridCol w:w="1766"/>
        <w:gridCol w:w="2714"/>
      </w:tblGrid>
      <w:tr>
        <w:trPr>
          <w:trHeight w:val="41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tabs>
                <w:tab w:pos="417" w:val="left" w:leader="none"/>
              </w:tabs>
              <w:spacing w:line="241" w:lineRule="exact"/>
              <w:ind w:right="17"/>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Times New Roman" w:hAnsi="Times New Roman" w:cs="Times New Roman" w:eastAsia="Times New Roman" w:hint="default"/>
                <w:sz w:val="21"/>
                <w:szCs w:val="21"/>
              </w:rPr>
            </w:pPr>
            <w:r>
              <w:rPr>
                <w:rFonts w:ascii="Times New Roman"/>
                <w:sz w:val="21"/>
              </w:rPr>
              <w:t>1,580,785.96</w:t>
            </w:r>
          </w:p>
        </w:tc>
        <w:tc>
          <w:tcPr>
            <w:tcW w:w="27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02" w:right="0"/>
              <w:jc w:val="left"/>
              <w:rPr>
                <w:rFonts w:ascii="Times New Roman" w:hAnsi="Times New Roman" w:cs="Times New Roman" w:eastAsia="Times New Roman" w:hint="default"/>
                <w:sz w:val="21"/>
                <w:szCs w:val="21"/>
              </w:rPr>
            </w:pPr>
            <w:r>
              <w:rPr>
                <w:rFonts w:ascii="Times New Roman"/>
                <w:sz w:val="21"/>
              </w:rPr>
              <w:t>1,426,948.99</w:t>
            </w:r>
          </w:p>
        </w:tc>
      </w:tr>
    </w:tbl>
    <w:p>
      <w:pPr>
        <w:pStyle w:val="BodyText"/>
        <w:spacing w:line="241" w:lineRule="exact"/>
        <w:ind w:left="222" w:right="0"/>
        <w:jc w:val="left"/>
      </w:pPr>
      <w:r>
        <w:rPr/>
        <w:t>应付利息说明：</w:t>
      </w:r>
    </w:p>
    <w:p>
      <w:pPr>
        <w:pStyle w:val="BodyText"/>
        <w:spacing w:line="240" w:lineRule="auto" w:before="133"/>
        <w:ind w:left="642" w:right="0"/>
        <w:jc w:val="left"/>
      </w:pPr>
      <w:r>
        <w:rPr>
          <w:spacing w:val="2"/>
          <w:w w:val="99"/>
        </w:rPr>
        <w:t>本</w:t>
      </w:r>
      <w:r>
        <w:rPr>
          <w:w w:val="99"/>
        </w:rPr>
        <w:t>公</w:t>
      </w:r>
      <w:r>
        <w:rPr>
          <w:spacing w:val="2"/>
          <w:w w:val="99"/>
        </w:rPr>
        <w:t>司</w:t>
      </w:r>
      <w:r>
        <w:rPr>
          <w:w w:val="99"/>
        </w:rPr>
        <w:t>承</w:t>
      </w:r>
      <w:r>
        <w:rPr>
          <w:spacing w:val="2"/>
          <w:w w:val="99"/>
        </w:rPr>
        <w:t>担</w:t>
      </w:r>
      <w:r>
        <w:rPr>
          <w:w w:val="99"/>
        </w:rPr>
        <w:t>了</w:t>
      </w:r>
      <w:r>
        <w:rPr>
          <w:spacing w:val="2"/>
          <w:w w:val="99"/>
        </w:rPr>
        <w:t>国</w:t>
      </w:r>
      <w:r>
        <w:rPr>
          <w:w w:val="99"/>
        </w:rPr>
        <w:t>家</w:t>
      </w:r>
      <w:r>
        <w:rPr>
          <w:spacing w:val="2"/>
          <w:w w:val="99"/>
        </w:rPr>
        <w:t>发</w:t>
      </w:r>
      <w:r>
        <w:rPr>
          <w:w w:val="99"/>
        </w:rPr>
        <w:t>展</w:t>
      </w:r>
      <w:r>
        <w:rPr>
          <w:spacing w:val="2"/>
          <w:w w:val="99"/>
        </w:rPr>
        <w:t>和</w:t>
      </w:r>
      <w:r>
        <w:rPr>
          <w:w w:val="99"/>
        </w:rPr>
        <w:t>改</w:t>
      </w:r>
      <w:r>
        <w:rPr>
          <w:spacing w:val="2"/>
          <w:w w:val="99"/>
        </w:rPr>
        <w:t>革</w:t>
      </w:r>
      <w:r>
        <w:rPr>
          <w:w w:val="99"/>
        </w:rPr>
        <w:t>委</w:t>
      </w:r>
      <w:r>
        <w:rPr>
          <w:spacing w:val="2"/>
          <w:w w:val="99"/>
        </w:rPr>
        <w:t>员</w:t>
      </w:r>
      <w:r>
        <w:rPr>
          <w:w w:val="99"/>
        </w:rPr>
        <w:t>会</w:t>
      </w:r>
      <w:r>
        <w:rPr>
          <w:spacing w:val="-53"/>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年</w:t>
      </w:r>
      <w:r>
        <w:rPr>
          <w:w w:val="99"/>
        </w:rPr>
        <w:t>重</w:t>
      </w:r>
      <w:r>
        <w:rPr>
          <w:spacing w:val="2"/>
          <w:w w:val="99"/>
        </w:rPr>
        <w:t>点</w:t>
      </w:r>
      <w:r>
        <w:rPr>
          <w:w w:val="99"/>
        </w:rPr>
        <w:t>行</w:t>
      </w:r>
      <w:r>
        <w:rPr>
          <w:spacing w:val="2"/>
          <w:w w:val="99"/>
        </w:rPr>
        <w:t>业</w:t>
      </w:r>
      <w:r>
        <w:rPr>
          <w:w w:val="99"/>
        </w:rPr>
        <w:t>机</w:t>
      </w:r>
      <w:r>
        <w:rPr>
          <w:spacing w:val="2"/>
          <w:w w:val="99"/>
        </w:rPr>
        <w:t>构</w:t>
      </w:r>
      <w:r>
        <w:rPr>
          <w:w w:val="99"/>
        </w:rPr>
        <w:t>调</w:t>
      </w:r>
      <w:r>
        <w:rPr>
          <w:spacing w:val="-94"/>
          <w:w w:val="99"/>
        </w:rPr>
        <w:t>整</w:t>
      </w:r>
      <w:r>
        <w:rPr>
          <w:spacing w:val="2"/>
          <w:w w:val="99"/>
        </w:rPr>
        <w:t>《年</w:t>
      </w:r>
      <w:r>
        <w:rPr>
          <w:w w:val="99"/>
        </w:rPr>
        <w:t>产</w:t>
      </w:r>
      <w:r>
        <w:rPr>
          <w:spacing w:val="-53"/>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万</w:t>
      </w:r>
      <w:r>
        <w:rPr>
          <w:w w:val="99"/>
        </w:rPr>
        <w:t>吨</w:t>
      </w:r>
      <w:r>
        <w:rPr>
          <w:spacing w:val="2"/>
          <w:w w:val="99"/>
        </w:rPr>
        <w:t>稀</w:t>
      </w:r>
      <w:r>
        <w:rPr>
          <w:w w:val="99"/>
        </w:rPr>
        <w:t>土</w:t>
      </w:r>
      <w:r>
        <w:rPr>
          <w:spacing w:val="2"/>
          <w:w w:val="99"/>
        </w:rPr>
        <w:t>多</w:t>
      </w:r>
      <w:r>
        <w:rPr>
          <w:w w:val="99"/>
        </w:rPr>
        <w:t>元</w:t>
      </w:r>
      <w:r>
        <w:rPr/>
      </w:r>
    </w:p>
    <w:p>
      <w:pPr>
        <w:pStyle w:val="BodyText"/>
        <w:spacing w:line="240" w:lineRule="auto" w:before="117"/>
        <w:ind w:left="222" w:right="0"/>
        <w:jc w:val="left"/>
      </w:pPr>
      <w:r>
        <w:rPr>
          <w:spacing w:val="2"/>
          <w:w w:val="99"/>
        </w:rPr>
        <w:t>合</w:t>
      </w:r>
      <w:r>
        <w:rPr>
          <w:w w:val="99"/>
        </w:rPr>
        <w:t>金</w:t>
      </w:r>
      <w:r>
        <w:rPr>
          <w:spacing w:val="2"/>
          <w:w w:val="99"/>
        </w:rPr>
        <w:t>镀</w:t>
      </w:r>
      <w:r>
        <w:rPr>
          <w:w w:val="99"/>
        </w:rPr>
        <w:t>层</w:t>
      </w:r>
      <w:r>
        <w:rPr>
          <w:spacing w:val="2"/>
          <w:w w:val="99"/>
        </w:rPr>
        <w:t>装</w:t>
      </w:r>
      <w:r>
        <w:rPr>
          <w:w w:val="99"/>
        </w:rPr>
        <w:t>备</w:t>
      </w:r>
      <w:r>
        <w:rPr>
          <w:spacing w:val="2"/>
          <w:w w:val="99"/>
        </w:rPr>
        <w:t>系</w:t>
      </w:r>
      <w:r>
        <w:rPr>
          <w:w w:val="99"/>
        </w:rPr>
        <w:t>列</w:t>
      </w:r>
      <w:r>
        <w:rPr>
          <w:spacing w:val="2"/>
          <w:w w:val="99"/>
        </w:rPr>
        <w:t>产品</w:t>
      </w:r>
      <w:r>
        <w:rPr>
          <w:spacing w:val="-104"/>
          <w:w w:val="99"/>
        </w:rPr>
        <w:t>》</w:t>
      </w:r>
      <w:r>
        <w:rPr>
          <w:spacing w:val="2"/>
          <w:w w:val="99"/>
        </w:rPr>
        <w:t>，</w:t>
      </w:r>
      <w:r>
        <w:rPr>
          <w:w w:val="99"/>
        </w:rPr>
        <w:t>此</w:t>
      </w:r>
      <w:r>
        <w:rPr>
          <w:spacing w:val="2"/>
          <w:w w:val="99"/>
        </w:rPr>
        <w:t>项</w:t>
      </w:r>
      <w:r>
        <w:rPr>
          <w:w w:val="99"/>
        </w:rPr>
        <w:t>目</w:t>
      </w:r>
      <w:r>
        <w:rPr>
          <w:spacing w:val="2"/>
          <w:w w:val="99"/>
        </w:rPr>
        <w:t>中</w:t>
      </w:r>
      <w:r>
        <w:rPr>
          <w:w w:val="99"/>
        </w:rPr>
        <w:t>央</w:t>
      </w:r>
      <w:r>
        <w:rPr>
          <w:spacing w:val="2"/>
          <w:w w:val="99"/>
        </w:rPr>
        <w:t>预</w:t>
      </w:r>
      <w:r>
        <w:rPr>
          <w:w w:val="99"/>
        </w:rPr>
        <w:t>算</w:t>
      </w:r>
      <w:r>
        <w:rPr>
          <w:spacing w:val="2"/>
          <w:w w:val="99"/>
        </w:rPr>
        <w:t>内</w:t>
      </w:r>
      <w:r>
        <w:rPr>
          <w:w w:val="99"/>
        </w:rPr>
        <w:t>专</w:t>
      </w:r>
      <w:r>
        <w:rPr>
          <w:spacing w:val="2"/>
          <w:w w:val="99"/>
        </w:rPr>
        <w:t>项</w:t>
      </w:r>
      <w:r>
        <w:rPr>
          <w:w w:val="99"/>
        </w:rPr>
        <w:t>补</w:t>
      </w:r>
      <w:r>
        <w:rPr>
          <w:spacing w:val="2"/>
          <w:w w:val="99"/>
        </w:rPr>
        <w:t>助</w:t>
      </w:r>
      <w:r>
        <w:rPr>
          <w:w w:val="99"/>
        </w:rPr>
        <w:t>资金</w:t>
      </w:r>
      <w:r>
        <w:rPr>
          <w:spacing w:val="-45"/>
        </w:rPr>
        <w:t> </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万</w:t>
      </w:r>
      <w:r>
        <w:rPr>
          <w:w w:val="99"/>
        </w:rPr>
        <w:t>（</w:t>
      </w:r>
      <w:r>
        <w:rPr>
          <w:spacing w:val="2"/>
          <w:w w:val="99"/>
        </w:rPr>
        <w:t>国</w:t>
      </w:r>
      <w:r>
        <w:rPr>
          <w:w w:val="99"/>
        </w:rPr>
        <w:t>债</w:t>
      </w:r>
      <w:r>
        <w:rPr>
          <w:spacing w:val="2"/>
          <w:w w:val="99"/>
        </w:rPr>
        <w:t>贴息</w:t>
      </w:r>
      <w:r>
        <w:rPr>
          <w:spacing w:val="-104"/>
          <w:w w:val="99"/>
        </w:rPr>
        <w:t>）</w:t>
      </w:r>
      <w:r>
        <w:rPr>
          <w:spacing w:val="2"/>
          <w:w w:val="99"/>
        </w:rPr>
        <w:t>，</w:t>
      </w:r>
      <w:r>
        <w:rPr>
          <w:w w:val="99"/>
        </w:rPr>
        <w:t>地</w:t>
      </w:r>
      <w:r>
        <w:rPr>
          <w:spacing w:val="2"/>
          <w:w w:val="99"/>
        </w:rPr>
        <w:t>方</w:t>
      </w:r>
      <w:r>
        <w:rPr>
          <w:w w:val="99"/>
        </w:rPr>
        <w:t>预算</w:t>
      </w:r>
      <w:r>
        <w:rPr/>
      </w:r>
    </w:p>
    <w:p>
      <w:pPr>
        <w:pStyle w:val="BodyText"/>
        <w:spacing w:line="240" w:lineRule="auto" w:before="119"/>
        <w:ind w:left="222" w:right="0"/>
        <w:jc w:val="left"/>
      </w:pPr>
      <w:r>
        <w:rPr>
          <w:w w:val="95"/>
        </w:rPr>
        <w:t>内专项资金人民币  </w:t>
      </w:r>
      <w:r>
        <w:rPr>
          <w:rFonts w:ascii="Times New Roman" w:hAnsi="Times New Roman" w:cs="Times New Roman" w:eastAsia="Times New Roman" w:hint="default"/>
          <w:w w:val="95"/>
        </w:rPr>
        <w:t>664   </w:t>
      </w:r>
      <w:r>
        <w:rPr>
          <w:rFonts w:ascii="Times New Roman" w:hAnsi="Times New Roman" w:cs="Times New Roman" w:eastAsia="Times New Roman" w:hint="default"/>
          <w:spacing w:val="22"/>
          <w:w w:val="95"/>
        </w:rPr>
        <w:t> </w:t>
      </w:r>
      <w:r>
        <w:rPr>
          <w:w w:val="95"/>
        </w:rPr>
        <w:t>万。根据安徽当涂经济开发区管理委员会（原名</w:t>
      </w:r>
      <w:r>
        <w:rPr>
          <w:rFonts w:ascii="Times New Roman" w:hAnsi="Times New Roman" w:cs="Times New Roman" w:eastAsia="Times New Roman" w:hint="default"/>
          <w:w w:val="95"/>
        </w:rPr>
        <w:t>“</w:t>
      </w:r>
      <w:r>
        <w:rPr>
          <w:w w:val="95"/>
        </w:rPr>
        <w:t>当涂工业园区管委</w:t>
      </w:r>
      <w:r>
        <w:rPr/>
      </w:r>
    </w:p>
    <w:p>
      <w:pPr>
        <w:pStyle w:val="BodyText"/>
        <w:spacing w:line="240" w:lineRule="auto" w:before="117"/>
        <w:ind w:left="222" w:right="0"/>
        <w:jc w:val="left"/>
      </w:pPr>
      <w:r>
        <w:rPr>
          <w:spacing w:val="2"/>
          <w:w w:val="99"/>
        </w:rPr>
        <w:t>会</w:t>
      </w:r>
      <w:r>
        <w:rPr>
          <w:rFonts w:ascii="Times New Roman" w:hAnsi="Times New Roman" w:cs="Times New Roman" w:eastAsia="Times New Roman" w:hint="default"/>
          <w:spacing w:val="-2"/>
          <w:w w:val="99"/>
        </w:rPr>
        <w:t>”</w:t>
      </w:r>
      <w:r>
        <w:rPr>
          <w:spacing w:val="-82"/>
          <w:w w:val="99"/>
        </w:rPr>
        <w:t>）</w:t>
      </w:r>
      <w:r>
        <w:rPr>
          <w:spacing w:val="2"/>
          <w:w w:val="99"/>
        </w:rPr>
        <w:t>与</w:t>
      </w:r>
      <w:r>
        <w:rPr>
          <w:w w:val="99"/>
        </w:rPr>
        <w:t>本</w:t>
      </w:r>
      <w:r>
        <w:rPr>
          <w:spacing w:val="2"/>
          <w:w w:val="99"/>
        </w:rPr>
        <w:t>公</w:t>
      </w:r>
      <w:r>
        <w:rPr>
          <w:w w:val="99"/>
        </w:rPr>
        <w:t>司</w:t>
      </w:r>
      <w:r>
        <w:rPr>
          <w:spacing w:val="-50"/>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rPr>
        <w:t> </w:t>
      </w:r>
      <w:r>
        <w:rPr>
          <w:w w:val="99"/>
        </w:rPr>
        <w:t>年</w:t>
      </w:r>
      <w:r>
        <w:rPr>
          <w:spacing w:val="-53"/>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2"/>
          <w:w w:val="99"/>
        </w:rPr>
        <w:t>日</w:t>
      </w:r>
      <w:r>
        <w:rPr>
          <w:w w:val="99"/>
        </w:rPr>
        <w:t>签</w:t>
      </w:r>
      <w:r>
        <w:rPr>
          <w:spacing w:val="2"/>
          <w:w w:val="99"/>
        </w:rPr>
        <w:t>订</w:t>
      </w:r>
      <w:r>
        <w:rPr>
          <w:w w:val="99"/>
        </w:rPr>
        <w:t>转</w:t>
      </w:r>
      <w:r>
        <w:rPr>
          <w:spacing w:val="2"/>
          <w:w w:val="99"/>
        </w:rPr>
        <w:t>贷</w:t>
      </w:r>
      <w:r>
        <w:rPr>
          <w:w w:val="99"/>
        </w:rPr>
        <w:t>国</w:t>
      </w:r>
      <w:r>
        <w:rPr>
          <w:spacing w:val="2"/>
          <w:w w:val="99"/>
        </w:rPr>
        <w:t>债</w:t>
      </w:r>
      <w:r>
        <w:rPr>
          <w:w w:val="99"/>
        </w:rPr>
        <w:t>资</w:t>
      </w:r>
      <w:r>
        <w:rPr>
          <w:spacing w:val="2"/>
          <w:w w:val="99"/>
        </w:rPr>
        <w:t>金</w:t>
      </w:r>
      <w:r>
        <w:rPr>
          <w:w w:val="99"/>
        </w:rPr>
        <w:t>的</w:t>
      </w:r>
      <w:r>
        <w:rPr>
          <w:spacing w:val="2"/>
          <w:w w:val="99"/>
        </w:rPr>
        <w:t>协</w:t>
      </w:r>
      <w:r>
        <w:rPr>
          <w:w w:val="99"/>
        </w:rPr>
        <w:t>议及</w:t>
      </w:r>
      <w:r>
        <w:rPr>
          <w:spacing w:val="-50"/>
        </w:rPr>
        <w:t> </w:t>
      </w:r>
      <w:r>
        <w:rPr>
          <w:rFonts w:ascii="Times New Roman" w:hAnsi="Times New Roman" w:cs="Times New Roman" w:eastAsia="Times New Roman" w:hint="default"/>
          <w:spacing w:val="1"/>
          <w:w w:val="99"/>
        </w:rPr>
        <w:t>200</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0"/>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日</w:t>
      </w:r>
      <w:r>
        <w:rPr>
          <w:w w:val="99"/>
        </w:rPr>
        <w:t>签</w:t>
      </w:r>
      <w:r>
        <w:rPr>
          <w:spacing w:val="2"/>
          <w:w w:val="99"/>
        </w:rPr>
        <w:t>订</w:t>
      </w:r>
      <w:r>
        <w:rPr>
          <w:w w:val="99"/>
        </w:rPr>
        <w:t>的</w:t>
      </w:r>
      <w:r>
        <w:rPr>
          <w:spacing w:val="2"/>
          <w:w w:val="99"/>
        </w:rPr>
        <w:t>补</w:t>
      </w:r>
      <w:r>
        <w:rPr>
          <w:w w:val="99"/>
        </w:rPr>
        <w:t>充</w:t>
      </w:r>
      <w:r>
        <w:rPr/>
      </w:r>
    </w:p>
    <w:p>
      <w:pPr>
        <w:pStyle w:val="BodyText"/>
        <w:spacing w:line="336" w:lineRule="auto" w:before="117"/>
        <w:ind w:left="222" w:right="212"/>
        <w:jc w:val="left"/>
      </w:pPr>
      <w:r>
        <w:rPr/>
        <w:t>协议，由安徽当涂经济开发区管理委员会提供地方专项转贷国债资金人民币</w:t>
      </w:r>
      <w:r>
        <w:rPr>
          <w:spacing w:val="-46"/>
        </w:rPr>
        <w:t> </w:t>
      </w:r>
      <w:r>
        <w:rPr>
          <w:rFonts w:ascii="Times New Roman" w:hAnsi="Times New Roman" w:cs="Times New Roman" w:eastAsia="Times New Roman" w:hint="default"/>
        </w:rPr>
        <w:t>664</w:t>
      </w:r>
      <w:r>
        <w:rPr>
          <w:rFonts w:ascii="Times New Roman" w:hAnsi="Times New Roman" w:cs="Times New Roman" w:eastAsia="Times New Roman" w:hint="default"/>
          <w:spacing w:val="-5"/>
        </w:rPr>
        <w:t> </w:t>
      </w:r>
      <w:r>
        <w:rPr/>
        <w:t>万元，国</w:t>
      </w:r>
      <w:r>
        <w:rPr>
          <w:w w:val="99"/>
        </w:rPr>
        <w:t> </w:t>
      </w:r>
      <w:r>
        <w:rPr/>
        <w:t>债转贷资金的年利率按起息日中国人民银行公布的一年期存款利率加</w:t>
      </w:r>
      <w:r>
        <w:rPr>
          <w:spacing w:val="-64"/>
        </w:rPr>
        <w:t> </w:t>
      </w:r>
      <w:r>
        <w:rPr>
          <w:rFonts w:ascii="Times New Roman" w:hAnsi="Times New Roman" w:cs="Times New Roman" w:eastAsia="Times New Roman" w:hint="default"/>
        </w:rPr>
        <w:t>0.3%</w:t>
      </w:r>
      <w:r>
        <w:rPr/>
        <w:t>确定。</w:t>
      </w:r>
    </w:p>
    <w:p>
      <w:pPr>
        <w:spacing w:line="240" w:lineRule="auto" w:before="6"/>
        <w:rPr>
          <w:rFonts w:ascii="宋体" w:hAnsi="宋体" w:cs="宋体" w:eastAsia="宋体" w:hint="default"/>
          <w:sz w:val="24"/>
          <w:szCs w:val="24"/>
        </w:rPr>
      </w:pPr>
    </w:p>
    <w:p>
      <w:pPr>
        <w:pStyle w:val="Heading4"/>
        <w:spacing w:line="240" w:lineRule="auto"/>
        <w:ind w:left="228" w:right="0"/>
        <w:jc w:val="left"/>
        <w:rPr>
          <w:b w:val="0"/>
          <w:bCs w:val="0"/>
        </w:rPr>
      </w:pPr>
      <w:r>
        <w:rPr>
          <w:rFonts w:ascii="Times New Roman" w:hAnsi="Times New Roman" w:cs="Times New Roman" w:eastAsia="Times New Roman" w:hint="default"/>
        </w:rPr>
        <w:t>21</w:t>
      </w:r>
      <w:r>
        <w:rPr/>
        <w:t>、其他应付款</w:t>
      </w:r>
      <w:r>
        <w:rPr>
          <w:b w:val="0"/>
          <w:bCs w:val="0"/>
        </w:rPr>
      </w:r>
    </w:p>
    <w:p>
      <w:pPr>
        <w:pStyle w:val="BodyText"/>
        <w:tabs>
          <w:tab w:pos="7681" w:val="left" w:leader="none"/>
        </w:tabs>
        <w:spacing w:line="240" w:lineRule="auto" w:before="111"/>
        <w:ind w:left="222" w:right="0"/>
        <w:jc w:val="left"/>
      </w:pPr>
      <w:r>
        <w:rPr>
          <w:w w:val="95"/>
        </w:rPr>
        <w:t>（</w:t>
      </w:r>
      <w:r>
        <w:rPr>
          <w:rFonts w:ascii="Times New Roman" w:hAnsi="Times New Roman" w:cs="Times New Roman" w:eastAsia="Times New Roman" w:hint="default"/>
          <w:w w:val="95"/>
        </w:rPr>
        <w:t>1</w:t>
      </w:r>
      <w:r>
        <w:rPr>
          <w:w w:val="95"/>
        </w:rPr>
        <w:t>）</w:t>
        <w:tab/>
      </w:r>
      <w:r>
        <w:rPr/>
        <w:t>单位：元</w:t>
      </w:r>
    </w:p>
    <w:p>
      <w:pPr>
        <w:pStyle w:val="BodyText"/>
        <w:spacing w:line="240" w:lineRule="auto" w:before="117"/>
        <w:ind w:left="222" w:right="0"/>
        <w:jc w:val="left"/>
      </w:pPr>
      <w:r>
        <w:rPr/>
        <w:t>币种：人民币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50"/>
        <w:gridCol w:w="1786"/>
        <w:gridCol w:w="3355"/>
      </w:tblGrid>
      <w:tr>
        <w:trPr>
          <w:trHeight w:val="420"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2,731,066.79</w:t>
            </w:r>
            <w:r>
              <w:rPr>
                <w:rFonts w:ascii="Times New Roman"/>
                <w:sz w:val="21"/>
              </w:rPr>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604,997.13</w:t>
            </w:r>
            <w:r>
              <w:rPr>
                <w:rFonts w:ascii="Times New Roman"/>
                <w:sz w:val="21"/>
              </w:rPr>
            </w:r>
          </w:p>
        </w:tc>
      </w:tr>
      <w:tr>
        <w:trPr>
          <w:trHeight w:val="418"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5,250.00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38"/>
          <w:pgSz w:w="11910" w:h="16840"/>
          <w:pgMar w:header="1058" w:footer="1590" w:top="1780" w:bottom="1780" w:left="1580" w:right="1680"/>
        </w:sectPr>
      </w:pPr>
    </w:p>
    <w:p>
      <w:pPr>
        <w:spacing w:line="432" w:lineRule="exact"/>
        <w:ind w:left="74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0pt;height:21.6pt;mso-position-horizontal-relative:char;mso-position-vertical-relative:line" coordorigin="0,0" coordsize="8400,432">
            <v:group style="position:absolute;left:5;top:10;width:8391;height:2" coordorigin="5,10" coordsize="8391,2">
              <v:shape style="position:absolute;left:5;top:10;width:8391;height:2" coordorigin="5,10" coordsize="8391,0" path="m5,10l8395,10e" filled="false" stroked="true" strokeweight=".48pt" strokecolor="#000000">
                <v:path arrowok="t"/>
              </v:shape>
            </v:group>
            <v:group style="position:absolute;left:5;top:427;width:8391;height:2" coordorigin="5,427" coordsize="8391,2">
              <v:shape style="position:absolute;left:5;top:427;width:8391;height:2" coordorigin="5,427" coordsize="8391,0" path="m5,427l8395,427e" filled="false" stroked="true" strokeweight=".48pt" strokecolor="#000000">
                <v:path arrowok="t"/>
              </v:shape>
            </v:group>
            <v:group style="position:absolute;left:3254;top:5;width:2;height:418" coordorigin="3254,5" coordsize="2,418">
              <v:shape style="position:absolute;left:3254;top:5;width:2;height:418" coordorigin="3254,5" coordsize="0,418" path="m3254,5l3254,422e" filled="false" stroked="true" strokeweight=".48pt" strokecolor="#000000">
                <v:path arrowok="t"/>
              </v:shape>
            </v:group>
            <v:group style="position:absolute;left:5040;top:5;width:2;height:418" coordorigin="5040,5" coordsize="2,418">
              <v:shape style="position:absolute;left:5040;top:5;width:2;height:418" coordorigin="5040,5" coordsize="0,418" path="m5040,5l5040,422e" filled="false" stroked="true" strokeweight=".48pt" strokecolor="#000000">
                <v:path arrowok="t"/>
              </v:shape>
              <v:shape style="position:absolute;left:3254;top:10;width:1786;height:418" type="#_x0000_t202" filled="false" stroked="false">
                <v:textbox inset="0,0,0,0">
                  <w:txbxContent>
                    <w:p>
                      <w:pPr>
                        <w:spacing w:before="5"/>
                        <w:ind w:left="576" w:right="0" w:firstLine="0"/>
                        <w:jc w:val="left"/>
                        <w:rPr>
                          <w:rFonts w:ascii="Times New Roman" w:hAnsi="Times New Roman" w:cs="Times New Roman" w:eastAsia="Times New Roman" w:hint="default"/>
                          <w:sz w:val="21"/>
                          <w:szCs w:val="21"/>
                        </w:rPr>
                      </w:pPr>
                      <w:bookmarkStart w:name="22、长期借款" w:id="69"/>
                      <w:bookmarkEnd w:id="69"/>
                      <w:r>
                        <w:rPr/>
                      </w:r>
                      <w:r>
                        <w:rPr>
                          <w:rFonts w:ascii="Times New Roman"/>
                          <w:sz w:val="21"/>
                        </w:rPr>
                        <w:t>2,731,066.79</w:t>
                      </w:r>
                    </w:p>
                  </w:txbxContent>
                </v:textbox>
                <w10:wrap type="none"/>
              </v:shape>
              <v:shape style="position:absolute;left:1315;top:46;width:629;height:209" type="#_x0000_t202" filled="false" stroked="false">
                <v:textbox inset="0,0,0,0">
                  <w:txbxContent>
                    <w:p>
                      <w:pPr>
                        <w:tabs>
                          <w:tab w:pos="419" w:val="left" w:leader="none"/>
                        </w:tabs>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合</w:t>
                        <w:tab/>
                        <w:t>计</w:t>
                      </w:r>
                      <w:r>
                        <w:rPr>
                          <w:rFonts w:ascii="宋体" w:hAnsi="宋体" w:cs="宋体" w:eastAsia="宋体" w:hint="default"/>
                          <w:sz w:val="21"/>
                          <w:szCs w:val="21"/>
                        </w:rPr>
                      </w:r>
                    </w:p>
                  </w:txbxContent>
                </v:textbox>
                <w10:wrap type="none"/>
              </v:shape>
              <v:shape style="position:absolute;left:7344;top:86;width:945;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610,247.13</w:t>
                      </w:r>
                      <w:r>
                        <w:rPr>
                          <w:rFonts w:ascii="Times New Roman"/>
                          <w:sz w:val="21"/>
                        </w:rPr>
                      </w:r>
                    </w:p>
                  </w:txbxContent>
                </v:textbox>
                <w10:wrap type="none"/>
              </v:shape>
            </v:group>
          </v:group>
        </w:pict>
      </w:r>
      <w:r>
        <w:rPr>
          <w:rFonts w:ascii="宋体" w:hAnsi="宋体" w:cs="宋体" w:eastAsia="宋体" w:hint="default"/>
          <w:position w:val="-8"/>
          <w:sz w:val="20"/>
          <w:szCs w:val="20"/>
        </w:rPr>
      </w:r>
    </w:p>
    <w:p>
      <w:pPr>
        <w:pStyle w:val="BodyText"/>
        <w:spacing w:line="269" w:lineRule="exact"/>
        <w:ind w:left="862" w:right="0" w:firstLine="314"/>
        <w:jc w:val="left"/>
      </w:pPr>
      <w:r>
        <w:rPr>
          <w:spacing w:val="14"/>
        </w:rPr>
        <w:t>其他应付款说明：</w:t>
      </w:r>
      <w:r>
        <w:rPr>
          <w:spacing w:val="31"/>
        </w:rPr>
        <w:t> </w:t>
      </w:r>
      <w:r>
        <w:rPr>
          <w:spacing w:val="12"/>
        </w:rPr>
        <w:t>期末余额比</w:t>
      </w:r>
      <w:r>
        <w:rPr>
          <w:spacing w:val="-3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spacing w:val="14"/>
        </w:rPr>
        <w:t>年末余额增加人民币</w:t>
      </w:r>
      <w:r>
        <w:rPr>
          <w:spacing w:val="-34"/>
        </w:rPr>
        <w:t> </w:t>
      </w:r>
      <w:r>
        <w:rPr>
          <w:rFonts w:ascii="Times New Roman" w:hAnsi="Times New Roman" w:cs="Times New Roman" w:eastAsia="Times New Roman" w:hint="default"/>
        </w:rPr>
        <w:t>2,120,819.66</w:t>
      </w:r>
      <w:r>
        <w:rPr>
          <w:rFonts w:ascii="Times New Roman" w:hAnsi="Times New Roman" w:cs="Times New Roman" w:eastAsia="Times New Roman" w:hint="default"/>
          <w:spacing w:val="13"/>
        </w:rPr>
        <w:t> </w:t>
      </w:r>
      <w:r>
        <w:rPr>
          <w:spacing w:val="13"/>
        </w:rPr>
        <w:t>元，增长了</w:t>
      </w:r>
    </w:p>
    <w:p>
      <w:pPr>
        <w:pStyle w:val="BodyText"/>
        <w:spacing w:line="345" w:lineRule="auto" w:before="119"/>
        <w:ind w:left="862" w:right="818"/>
        <w:jc w:val="both"/>
        <w:rPr>
          <w:rFonts w:ascii="Times New Roman" w:hAnsi="Times New Roman" w:cs="Times New Roman" w:eastAsia="Times New Roman" w:hint="default"/>
        </w:rPr>
      </w:pPr>
      <w:r>
        <w:rPr>
          <w:rFonts w:ascii="Times New Roman" w:hAnsi="Times New Roman" w:cs="Times New Roman" w:eastAsia="Times New Roman" w:hint="default"/>
          <w:spacing w:val="-4"/>
        </w:rPr>
        <w:t>347.53%</w:t>
      </w:r>
      <w:r>
        <w:rPr>
          <w:spacing w:val="-4"/>
        </w:rPr>
        <w:t>，主要原因：</w:t>
      </w:r>
      <w:r>
        <w:rPr>
          <w:rFonts w:ascii="Times New Roman" w:hAnsi="Times New Roman" w:cs="Times New Roman" w:eastAsia="Times New Roman" w:hint="default"/>
          <w:spacing w:val="-4"/>
        </w:rPr>
        <w:t>2010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月中国华农资产经营公司将所属全资企业中水广海钢丝绳厂</w:t>
      </w:r>
      <w:r>
        <w:rPr>
          <w:w w:val="99"/>
        </w:rPr>
        <w:t> </w:t>
      </w:r>
      <w:r>
        <w:rPr>
          <w:spacing w:val="-2"/>
          <w:w w:val="99"/>
        </w:rPr>
        <w:t>整体产权转让给公司中，与公司协商同意将中水广海钢丝绳厂离退休三项费用托付给鼎泰公</w:t>
      </w:r>
      <w:r>
        <w:rPr>
          <w:spacing w:val="-86"/>
          <w:w w:val="99"/>
        </w:rPr>
        <w:t> </w:t>
      </w:r>
      <w:r>
        <w:rPr>
          <w:spacing w:val="-86"/>
          <w:w w:val="99"/>
        </w:rPr>
      </w:r>
      <w:r>
        <w:rPr>
          <w:spacing w:val="-4"/>
        </w:rPr>
        <w:t>司管理，以后由鼎泰公司每月按现时标准按月发放给生存的离退休干部，发放截止日为</w:t>
      </w:r>
      <w:r>
        <w:rPr>
          <w:spacing w:val="-61"/>
        </w:rPr>
        <w:t> </w:t>
      </w:r>
      <w:r>
        <w:rPr>
          <w:rFonts w:ascii="Times New Roman" w:hAnsi="Times New Roman" w:cs="Times New Roman" w:eastAsia="Times New Roman" w:hint="default"/>
        </w:rPr>
        <w:t>2020</w:t>
      </w:r>
    </w:p>
    <w:p>
      <w:pPr>
        <w:pStyle w:val="BodyText"/>
        <w:spacing w:line="240" w:lineRule="auto" w:before="15"/>
        <w:ind w:left="862" w:right="0"/>
        <w:jc w:val="both"/>
      </w:pP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日止，总计金额</w:t>
      </w:r>
      <w:r>
        <w:rPr>
          <w:spacing w:val="-55"/>
        </w:rPr>
        <w:t> </w:t>
      </w:r>
      <w:r>
        <w:rPr>
          <w:rFonts w:ascii="Times New Roman" w:hAnsi="Times New Roman" w:cs="Times New Roman" w:eastAsia="Times New Roman" w:hint="default"/>
        </w:rPr>
        <w:t>1,090,296.00</w:t>
      </w:r>
      <w:r>
        <w:rPr>
          <w:rFonts w:ascii="Times New Roman" w:hAnsi="Times New Roman" w:cs="Times New Roman" w:eastAsia="Times New Roman" w:hint="default"/>
          <w:spacing w:val="-3"/>
        </w:rPr>
        <w:t> </w:t>
      </w:r>
      <w:r>
        <w:rPr/>
        <w:t>元；运输公司缴纳的运输保证金共计</w:t>
      </w:r>
      <w:r>
        <w:rPr>
          <w:spacing w:val="-55"/>
        </w:rPr>
        <w:t> </w:t>
      </w:r>
      <w:r>
        <w:rPr>
          <w:rFonts w:ascii="Times New Roman" w:hAnsi="Times New Roman" w:cs="Times New Roman" w:eastAsia="Times New Roman" w:hint="default"/>
        </w:rPr>
        <w:t>130</w:t>
      </w:r>
      <w:r>
        <w:rPr>
          <w:rFonts w:ascii="Times New Roman" w:hAnsi="Times New Roman" w:cs="Times New Roman" w:eastAsia="Times New Roman" w:hint="default"/>
          <w:spacing w:val="-3"/>
        </w:rPr>
        <w:t> </w:t>
      </w:r>
      <w:r>
        <w:rPr/>
        <w:t>万元。</w:t>
      </w:r>
    </w:p>
    <w:p>
      <w:pPr>
        <w:pStyle w:val="BodyText"/>
        <w:spacing w:line="336" w:lineRule="auto" w:before="117"/>
        <w:ind w:left="862" w:right="817"/>
        <w:jc w:val="both"/>
      </w:pPr>
      <w:r>
        <w:rPr/>
        <w:t>（</w:t>
      </w:r>
      <w:r>
        <w:rPr>
          <w:rFonts w:ascii="Times New Roman" w:hAnsi="Times New Roman" w:cs="Times New Roman" w:eastAsia="Times New Roman" w:hint="default"/>
        </w:rPr>
        <w:t>2</w:t>
      </w:r>
      <w:r>
        <w:rPr/>
        <w:t>）本报告期其他应付款中无应付持有公司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以上表决权股份的股东单位或关联</w:t>
      </w:r>
      <w:r>
        <w:rPr>
          <w:spacing w:val="-101"/>
        </w:rPr>
        <w:t> </w:t>
      </w:r>
      <w:r>
        <w:rPr>
          <w:spacing w:val="-101"/>
        </w:rPr>
      </w:r>
      <w:r>
        <w:rPr/>
        <w:t>方的款项。</w:t>
      </w:r>
    </w:p>
    <w:p>
      <w:pPr>
        <w:pStyle w:val="BodyText"/>
        <w:spacing w:line="240" w:lineRule="auto" w:before="51"/>
        <w:ind w:left="862" w:right="0"/>
        <w:jc w:val="both"/>
      </w:pPr>
      <w:r>
        <w:rPr/>
        <w:t>（</w:t>
      </w:r>
      <w:r>
        <w:rPr>
          <w:rFonts w:ascii="Times New Roman" w:hAnsi="Times New Roman" w:cs="Times New Roman" w:eastAsia="Times New Roman" w:hint="default"/>
        </w:rPr>
        <w:t>3</w:t>
      </w:r>
      <w:r>
        <w:rPr/>
        <w:t>）其他应付款前五名单位说明：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834"/>
        <w:gridCol w:w="1231"/>
        <w:gridCol w:w="1320"/>
        <w:gridCol w:w="1274"/>
        <w:gridCol w:w="1397"/>
        <w:gridCol w:w="1687"/>
      </w:tblGrid>
      <w:tr>
        <w:trPr>
          <w:trHeight w:val="71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3" w:right="0"/>
              <w:jc w:val="left"/>
              <w:rPr>
                <w:rFonts w:ascii="宋体" w:hAnsi="宋体" w:cs="宋体" w:eastAsia="宋体" w:hint="default"/>
                <w:sz w:val="18"/>
                <w:szCs w:val="18"/>
              </w:rPr>
            </w:pPr>
            <w:r>
              <w:rPr>
                <w:rFonts w:ascii="宋体" w:hAnsi="宋体" w:cs="宋体" w:eastAsia="宋体" w:hint="default"/>
                <w:sz w:val="18"/>
                <w:szCs w:val="18"/>
              </w:rPr>
              <w:t>款项内容</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388" w:right="0" w:hanging="89"/>
              <w:jc w:val="left"/>
              <w:rPr>
                <w:rFonts w:ascii="宋体" w:hAnsi="宋体" w:cs="宋体" w:eastAsia="宋体" w:hint="default"/>
                <w:sz w:val="18"/>
                <w:szCs w:val="18"/>
              </w:rPr>
            </w:pPr>
            <w:r>
              <w:rPr>
                <w:rFonts w:ascii="宋体" w:hAnsi="宋体" w:cs="宋体" w:eastAsia="宋体" w:hint="default"/>
                <w:sz w:val="18"/>
                <w:szCs w:val="18"/>
              </w:rPr>
              <w:t>占其他应付款</w:t>
            </w:r>
          </w:p>
          <w:p>
            <w:pPr>
              <w:pStyle w:val="TableParagraph"/>
              <w:spacing w:line="240" w:lineRule="auto" w:before="115"/>
              <w:ind w:left="388"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中水广海钢丝绳厂</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2" w:right="0"/>
              <w:jc w:val="left"/>
              <w:rPr>
                <w:rFonts w:ascii="Times New Roman" w:hAnsi="Times New Roman" w:cs="Times New Roman" w:eastAsia="Times New Roman" w:hint="default"/>
                <w:sz w:val="18"/>
                <w:szCs w:val="18"/>
              </w:rPr>
            </w:pPr>
            <w:r>
              <w:rPr>
                <w:rFonts w:ascii="Times New Roman"/>
                <w:sz w:val="18"/>
              </w:rPr>
              <w:t>1,286,343.69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 w:right="0"/>
              <w:jc w:val="center"/>
              <w:rPr>
                <w:rFonts w:ascii="Times New Roman" w:hAnsi="Times New Roman" w:cs="Times New Roman" w:eastAsia="Times New Roman" w:hint="default"/>
                <w:sz w:val="18"/>
                <w:szCs w:val="18"/>
              </w:rPr>
            </w:pPr>
            <w:r>
              <w:rPr>
                <w:rFonts w:ascii="Times New Roman"/>
                <w:sz w:val="18"/>
              </w:rPr>
              <w:t>47.10%</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马鞍山市九龙物流有限公司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2"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 w:right="0"/>
              <w:jc w:val="center"/>
              <w:rPr>
                <w:rFonts w:ascii="Times New Roman" w:hAnsi="Times New Roman" w:cs="Times New Roman" w:eastAsia="Times New Roman" w:hint="default"/>
                <w:sz w:val="18"/>
                <w:szCs w:val="18"/>
              </w:rPr>
            </w:pPr>
            <w:r>
              <w:rPr>
                <w:rFonts w:ascii="Times New Roman"/>
                <w:sz w:val="18"/>
              </w:rPr>
              <w:t>10.98%</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马鞍山市诚信物流有限公司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2"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10.98%</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马鞍山市明顺物流有限公司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2"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10.98%</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芜湖市创鸿货运服务有限公司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52"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10.98%</w:t>
            </w:r>
          </w:p>
        </w:tc>
      </w:tr>
      <w:tr>
        <w:trPr>
          <w:trHeight w:val="36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4" w:right="0"/>
              <w:jc w:val="left"/>
              <w:rPr>
                <w:rFonts w:ascii="Times New Roman" w:hAnsi="Times New Roman" w:cs="Times New Roman" w:eastAsia="Times New Roman" w:hint="default"/>
                <w:sz w:val="18"/>
                <w:szCs w:val="18"/>
              </w:rPr>
            </w:pPr>
            <w:r>
              <w:rPr>
                <w:rFonts w:ascii="Times New Roman"/>
                <w:sz w:val="18"/>
              </w:rPr>
              <w:t>2,486,343.69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91.02%</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1058" w:footer="1590" w:top="1780" w:bottom="1780" w:left="940" w:right="980"/>
        </w:sectPr>
      </w:pPr>
    </w:p>
    <w:p>
      <w:pPr>
        <w:pStyle w:val="Heading4"/>
        <w:spacing w:line="333" w:lineRule="exact"/>
        <w:ind w:left="868" w:right="0"/>
        <w:jc w:val="left"/>
        <w:rPr>
          <w:b w:val="0"/>
          <w:bCs w:val="0"/>
        </w:rPr>
      </w:pPr>
      <w:r>
        <w:rPr>
          <w:rFonts w:ascii="Times New Roman" w:hAnsi="Times New Roman" w:cs="Times New Roman" w:eastAsia="Times New Roman" w:hint="default"/>
        </w:rPr>
        <w:t>22</w:t>
      </w:r>
      <w:r>
        <w:rPr/>
        <w:t>、长期借款</w:t>
      </w:r>
      <w:r>
        <w:rPr>
          <w:b w:val="0"/>
          <w:bCs w:val="0"/>
        </w:rPr>
      </w:r>
    </w:p>
    <w:p>
      <w:pPr>
        <w:pStyle w:val="BodyText"/>
        <w:spacing w:line="240" w:lineRule="auto" w:before="109"/>
        <w:ind w:left="862" w:right="0"/>
        <w:jc w:val="left"/>
      </w:pPr>
      <w:r>
        <w:rPr>
          <w:w w:val="95"/>
        </w:rPr>
        <w:t>（</w:t>
      </w:r>
      <w:r>
        <w:rPr>
          <w:rFonts w:ascii="Times New Roman" w:hAnsi="Times New Roman" w:cs="Times New Roman" w:eastAsia="Times New Roman" w:hint="default"/>
          <w:w w:val="95"/>
        </w:rPr>
        <w:t>1</w:t>
      </w:r>
      <w:r>
        <w:rPr>
          <w:w w:val="95"/>
        </w:rPr>
        <w:t>）长期借款分类</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62" w:right="0"/>
        <w:jc w:val="left"/>
      </w:pPr>
      <w:r>
        <w:rPr/>
        <w:t>单位：元</w:t>
      </w:r>
      <w:r>
        <w:rPr>
          <w:spacing w:val="-3"/>
        </w:rPr>
        <w:t> </w:t>
      </w:r>
      <w:r>
        <w:rPr/>
        <w:t>币种：人民币</w:t>
      </w:r>
    </w:p>
    <w:p>
      <w:pPr>
        <w:spacing w:after="0" w:line="240" w:lineRule="auto"/>
        <w:jc w:val="left"/>
        <w:sectPr>
          <w:type w:val="continuous"/>
          <w:pgSz w:w="11910" w:h="16840"/>
          <w:pgMar w:top="940" w:bottom="920" w:left="940" w:right="980"/>
          <w:cols w:num="2" w:equalWidth="0">
            <w:col w:w="2646" w:space="3450"/>
            <w:col w:w="3894"/>
          </w:cols>
        </w:sectPr>
      </w:pPr>
    </w:p>
    <w:p>
      <w:pPr>
        <w:spacing w:line="240" w:lineRule="auto" w:before="10"/>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407"/>
        <w:gridCol w:w="2974"/>
        <w:gridCol w:w="2933"/>
      </w:tblGrid>
      <w:tr>
        <w:trPr>
          <w:trHeight w:val="418"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48,000,000.00</w:t>
            </w:r>
            <w:r>
              <w:rPr>
                <w:rFonts w:ascii="Times New Roman"/>
                <w:sz w:val="21"/>
              </w:rPr>
            </w:r>
          </w:p>
        </w:tc>
      </w:tr>
      <w:tr>
        <w:trPr>
          <w:trHeight w:val="418"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6,640,000.00</w:t>
            </w:r>
            <w:r>
              <w:rPr>
                <w:rFonts w:ascii="Times New Roman"/>
                <w:sz w:val="21"/>
              </w:rPr>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6,640,000.00</w:t>
            </w:r>
            <w:r>
              <w:rPr>
                <w:rFonts w:ascii="Times New Roman"/>
                <w:sz w:val="21"/>
              </w:rPr>
            </w:r>
          </w:p>
        </w:tc>
      </w:tr>
      <w:tr>
        <w:trPr>
          <w:trHeight w:val="418" w:hRule="exact"/>
        </w:trPr>
        <w:tc>
          <w:tcPr>
            <w:tcW w:w="24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6,640,000.00</w:t>
            </w:r>
            <w:r>
              <w:rPr>
                <w:rFonts w:ascii="Times New Roman"/>
                <w:sz w:val="21"/>
              </w:rPr>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54,640,000.00</w:t>
            </w:r>
            <w:r>
              <w:rPr>
                <w:rFonts w:ascii="Times New Roman"/>
                <w:sz w:val="21"/>
              </w:rPr>
            </w:r>
          </w:p>
        </w:tc>
      </w:tr>
    </w:tbl>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940" w:bottom="920" w:left="940" w:right="980"/>
        </w:sectPr>
      </w:pPr>
    </w:p>
    <w:p>
      <w:pPr>
        <w:pStyle w:val="BodyText"/>
        <w:spacing w:line="674" w:lineRule="auto" w:before="34"/>
        <w:ind w:left="862" w:right="-19"/>
        <w:jc w:val="left"/>
      </w:pPr>
      <w:r>
        <w:rPr/>
        <w:pict>
          <v:shape style="position:absolute;margin-left:55.32pt;margin-top:64.603653pt;width:484.2pt;height:36.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1"/>
                    <w:gridCol w:w="1080"/>
                    <w:gridCol w:w="1099"/>
                    <w:gridCol w:w="910"/>
                    <w:gridCol w:w="1207"/>
                    <w:gridCol w:w="847"/>
                    <w:gridCol w:w="1421"/>
                    <w:gridCol w:w="854"/>
                    <w:gridCol w:w="1130"/>
                  </w:tblGrid>
                  <w:tr>
                    <w:trPr>
                      <w:trHeight w:val="361" w:hRule="exact"/>
                    </w:trPr>
                    <w:tc>
                      <w:tcPr>
                        <w:tcW w:w="1121" w:type="dxa"/>
                        <w:vMerge w:val="restart"/>
                        <w:tcBorders>
                          <w:top w:val="single" w:sz="4" w:space="0" w:color="000000"/>
                          <w:left w:val="nil" w:sz="6" w:space="0" w:color="auto"/>
                          <w:right w:val="single" w:sz="4" w:space="0" w:color="000000"/>
                        </w:tcBorders>
                      </w:tcPr>
                      <w:p>
                        <w:pPr>
                          <w:pStyle w:val="TableParagraph"/>
                          <w:spacing w:line="240" w:lineRule="auto" w:before="152"/>
                          <w:ind w:left="20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52"/>
                          <w:ind w:left="84"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152"/>
                          <w:ind w:left="9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52"/>
                          <w:ind w:left="26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1" w:hRule="exact"/>
                    </w:trPr>
                    <w:tc>
                      <w:tcPr>
                        <w:tcW w:w="1121" w:type="dxa"/>
                        <w:vMerge/>
                        <w:tcBorders>
                          <w:left w:val="nil" w:sz="6" w:space="0" w:color="auto"/>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6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45"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left="201"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
              </w:txbxContent>
            </v:textbox>
            <w10:wrap type="none"/>
          </v:shape>
        </w:pict>
      </w:r>
      <w:r>
        <w:rPr/>
        <w:t>（</w:t>
      </w:r>
      <w:r>
        <w:rPr>
          <w:rFonts w:ascii="Times New Roman" w:hAnsi="Times New Roman" w:cs="Times New Roman" w:eastAsia="Times New Roman" w:hint="default"/>
        </w:rPr>
        <w:t>2</w:t>
      </w:r>
      <w:r>
        <w:rPr/>
        <w:t>）期末长期借款明细</w:t>
      </w:r>
      <w:r>
        <w:rPr>
          <w:w w:val="99"/>
        </w:rPr>
        <w:t> </w:t>
      </w:r>
      <w:r>
        <w:rPr/>
        <w:t>种：人民币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pStyle w:val="BodyText"/>
        <w:spacing w:line="240" w:lineRule="auto"/>
        <w:ind w:left="862" w:right="0"/>
        <w:jc w:val="left"/>
      </w:pPr>
      <w:r>
        <w:rPr>
          <w:spacing w:val="2"/>
          <w:w w:val="99"/>
        </w:rPr>
        <w:t>单</w:t>
      </w:r>
      <w:r>
        <w:rPr>
          <w:w w:val="99"/>
        </w:rPr>
        <w:t>位</w:t>
      </w:r>
      <w:r>
        <w:rPr>
          <w:spacing w:val="-99"/>
          <w:w w:val="99"/>
        </w:rPr>
        <w:t>：</w:t>
      </w:r>
      <w:r>
        <w:rPr>
          <w:w w:val="99"/>
        </w:rPr>
        <w:t>元</w:t>
      </w:r>
      <w:r>
        <w:rPr/>
        <w:t> </w:t>
      </w:r>
      <w:r>
        <w:rPr>
          <w:w w:val="99"/>
        </w:rPr>
        <w:t>币</w:t>
      </w:r>
      <w:r>
        <w:rPr/>
      </w:r>
    </w:p>
    <w:p>
      <w:pPr>
        <w:spacing w:after="0" w:line="240" w:lineRule="auto"/>
        <w:jc w:val="left"/>
        <w:sectPr>
          <w:type w:val="continuous"/>
          <w:pgSz w:w="11910" w:h="16840"/>
          <w:pgMar w:top="940" w:bottom="920" w:left="940" w:right="980"/>
          <w:cols w:num="2" w:equalWidth="0">
            <w:col w:w="3069" w:space="4177"/>
            <w:col w:w="2744"/>
          </w:cols>
        </w:sectPr>
      </w:pPr>
    </w:p>
    <w:tbl>
      <w:tblPr>
        <w:tblW w:w="0" w:type="auto"/>
        <w:jc w:val="left"/>
        <w:tblInd w:w="146" w:type="dxa"/>
        <w:tblLayout w:type="fixed"/>
        <w:tblCellMar>
          <w:top w:w="0" w:type="dxa"/>
          <w:left w:w="0" w:type="dxa"/>
          <w:bottom w:w="0" w:type="dxa"/>
          <w:right w:w="0" w:type="dxa"/>
        </w:tblCellMar>
        <w:tblLook w:val="01E0"/>
      </w:tblPr>
      <w:tblGrid>
        <w:gridCol w:w="1121"/>
        <w:gridCol w:w="1080"/>
        <w:gridCol w:w="1097"/>
        <w:gridCol w:w="912"/>
        <w:gridCol w:w="1207"/>
        <w:gridCol w:w="847"/>
        <w:gridCol w:w="1421"/>
        <w:gridCol w:w="854"/>
        <w:gridCol w:w="1130"/>
      </w:tblGrid>
      <w:tr>
        <w:trPr>
          <w:trHeight w:val="538" w:hRule="exact"/>
        </w:trPr>
        <w:tc>
          <w:tcPr>
            <w:tcW w:w="1121"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bookmarkStart w:name="23、股本" w:id="70"/>
            <w:bookmarkEnd w:id="70"/>
            <w:r>
              <w:rPr/>
            </w:r>
            <w:bookmarkStart w:name="24、资本公积" w:id="71"/>
            <w:bookmarkEnd w:id="71"/>
            <w:r>
              <w:rPr/>
            </w:r>
            <w:bookmarkStart w:name="25、盈余公积" w:id="72"/>
            <w:bookmarkEnd w:id="72"/>
            <w:r>
              <w:rPr/>
            </w:r>
            <w:bookmarkStart w:name="26、未分配利润" w:id="73"/>
            <w:bookmarkEnd w:id="73"/>
            <w:r>
              <w:rPr/>
            </w:r>
            <w:r>
              <w:rPr>
                <w:rFonts w:ascii="宋体" w:hAnsi="宋体" w:cs="宋体" w:eastAsia="宋体" w:hint="default"/>
                <w:sz w:val="18"/>
                <w:szCs w:val="18"/>
              </w:rPr>
              <w:t>安</w:t>
            </w:r>
            <w:r>
              <w:rPr>
                <w:rFonts w:ascii="宋体" w:hAnsi="宋体" w:cs="宋体" w:eastAsia="宋体" w:hint="default"/>
                <w:spacing w:val="-50"/>
                <w:sz w:val="18"/>
                <w:szCs w:val="18"/>
              </w:rPr>
              <w:t> </w:t>
            </w:r>
            <w:r>
              <w:rPr>
                <w:rFonts w:ascii="宋体" w:hAnsi="宋体" w:cs="宋体" w:eastAsia="宋体" w:hint="default"/>
                <w:sz w:val="18"/>
                <w:szCs w:val="18"/>
              </w:rPr>
              <w:t>徽</w:t>
            </w:r>
            <w:r>
              <w:rPr>
                <w:rFonts w:ascii="宋体" w:hAnsi="宋体" w:cs="宋体" w:eastAsia="宋体" w:hint="default"/>
                <w:spacing w:val="-50"/>
                <w:sz w:val="18"/>
                <w:szCs w:val="18"/>
              </w:rPr>
              <w:t> </w:t>
            </w:r>
            <w:r>
              <w:rPr>
                <w:rFonts w:ascii="宋体" w:hAnsi="宋体" w:cs="宋体" w:eastAsia="宋体" w:hint="default"/>
                <w:sz w:val="18"/>
                <w:szCs w:val="18"/>
              </w:rPr>
              <w:t>当</w:t>
            </w:r>
            <w:r>
              <w:rPr>
                <w:rFonts w:ascii="宋体" w:hAnsi="宋体" w:cs="宋体" w:eastAsia="宋体" w:hint="default"/>
                <w:spacing w:val="-50"/>
                <w:sz w:val="18"/>
                <w:szCs w:val="18"/>
              </w:rPr>
              <w:t> </w:t>
            </w:r>
            <w:r>
              <w:rPr>
                <w:rFonts w:ascii="宋体" w:hAnsi="宋体" w:cs="宋体" w:eastAsia="宋体" w:hint="default"/>
                <w:sz w:val="18"/>
                <w:szCs w:val="18"/>
              </w:rPr>
              <w:t>涂</w:t>
            </w:r>
            <w:r>
              <w:rPr>
                <w:rFonts w:ascii="宋体" w:hAnsi="宋体" w:cs="宋体" w:eastAsia="宋体" w:hint="default"/>
                <w:spacing w:val="-50"/>
                <w:sz w:val="18"/>
                <w:szCs w:val="18"/>
              </w:rPr>
              <w:t> </w:t>
            </w:r>
            <w:r>
              <w:rPr>
                <w:rFonts w:ascii="宋体" w:hAnsi="宋体" w:cs="宋体" w:eastAsia="宋体" w:hint="default"/>
                <w:sz w:val="18"/>
                <w:szCs w:val="18"/>
              </w:rPr>
              <w:t>经</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2006/4/5</w:t>
            </w:r>
          </w:p>
        </w:tc>
        <w:tc>
          <w:tcPr>
            <w:tcW w:w="1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2021/4/4</w:t>
            </w:r>
          </w:p>
        </w:tc>
        <w:tc>
          <w:tcPr>
            <w:tcW w:w="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一年期存款利</w:t>
            </w:r>
          </w:p>
        </w:tc>
        <w:tc>
          <w:tcPr>
            <w:tcW w:w="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vMerge w:val="restart"/>
            <w:tcBorders>
              <w:top w:val="single" w:sz="4" w:space="0" w:color="000000"/>
              <w:left w:val="single" w:sz="4" w:space="0" w:color="000000"/>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6,640,000.00</w:t>
            </w:r>
          </w:p>
        </w:tc>
      </w:tr>
      <w:tr>
        <w:trPr>
          <w:trHeight w:val="354" w:hRule="exact"/>
        </w:trPr>
        <w:tc>
          <w:tcPr>
            <w:tcW w:w="112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1" w:right="0"/>
              <w:jc w:val="left"/>
              <w:rPr>
                <w:rFonts w:ascii="宋体" w:hAnsi="宋体" w:cs="宋体" w:eastAsia="宋体" w:hint="default"/>
                <w:sz w:val="18"/>
                <w:szCs w:val="18"/>
              </w:rPr>
            </w:pPr>
            <w:r>
              <w:rPr>
                <w:rFonts w:ascii="宋体" w:hAnsi="宋体" w:cs="宋体" w:eastAsia="宋体" w:hint="default"/>
                <w:sz w:val="18"/>
                <w:szCs w:val="18"/>
              </w:rPr>
              <w:t>济</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区</w:t>
            </w:r>
            <w:r>
              <w:rPr>
                <w:rFonts w:ascii="宋体" w:hAnsi="宋体" w:cs="宋体" w:eastAsia="宋体" w:hint="default"/>
                <w:spacing w:val="-50"/>
                <w:sz w:val="18"/>
                <w:szCs w:val="18"/>
              </w:rPr>
              <w:t> </w:t>
            </w:r>
            <w:r>
              <w:rPr>
                <w:rFonts w:ascii="宋体" w:hAnsi="宋体" w:cs="宋体" w:eastAsia="宋体" w:hint="default"/>
                <w:sz w:val="18"/>
                <w:szCs w:val="18"/>
              </w:rPr>
              <w:t>管</w:t>
            </w:r>
          </w:p>
        </w:tc>
        <w:tc>
          <w:tcPr>
            <w:tcW w:w="1080"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912" w:type="dxa"/>
            <w:tcBorders>
              <w:top w:val="nil" w:sz="6" w:space="0" w:color="auto"/>
              <w:left w:val="single" w:sz="4" w:space="0" w:color="000000"/>
              <w:bottom w:val="nil" w:sz="6" w:space="0" w:color="auto"/>
              <w:right w:val="single" w:sz="4" w:space="0" w:color="000000"/>
            </w:tcBorders>
          </w:tcPr>
          <w:p>
            <w:pPr/>
          </w:p>
        </w:tc>
        <w:tc>
          <w:tcPr>
            <w:tcW w:w="120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率加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tc>
        <w:tc>
          <w:tcPr>
            <w:tcW w:w="847" w:type="dxa"/>
            <w:tcBorders>
              <w:top w:val="nil" w:sz="6" w:space="0" w:color="auto"/>
              <w:left w:val="single" w:sz="4" w:space="0" w:color="000000"/>
              <w:bottom w:val="nil" w:sz="6" w:space="0" w:color="auto"/>
              <w:right w:val="single" w:sz="4" w:space="0" w:color="000000"/>
            </w:tcBorders>
          </w:tcPr>
          <w:p>
            <w:pPr/>
          </w:p>
        </w:tc>
        <w:tc>
          <w:tcPr>
            <w:tcW w:w="1421" w:type="dxa"/>
            <w:vMerge/>
            <w:tcBorders>
              <w:left w:val="single" w:sz="4" w:space="0" w:color="000000"/>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nil" w:sz="6" w:space="0" w:color="auto"/>
            </w:tcBorders>
          </w:tcPr>
          <w:p>
            <w:pPr/>
          </w:p>
        </w:tc>
      </w:tr>
      <w:tr>
        <w:trPr>
          <w:trHeight w:val="409" w:hRule="exact"/>
        </w:trPr>
        <w:tc>
          <w:tcPr>
            <w:tcW w:w="1121" w:type="dxa"/>
            <w:tcBorders>
              <w:top w:val="nil" w:sz="6" w:space="0" w:color="auto"/>
              <w:left w:val="nil" w:sz="6" w:space="0" w:color="auto"/>
              <w:bottom w:val="single" w:sz="4" w:space="0" w:color="000000"/>
              <w:right w:val="single" w:sz="4" w:space="0" w:color="000000"/>
            </w:tcBorders>
          </w:tcPr>
          <w:p>
            <w:pPr>
              <w:pStyle w:val="TableParagraph"/>
              <w:spacing w:line="240" w:lineRule="auto" w:before="26"/>
              <w:ind w:left="31" w:right="0"/>
              <w:jc w:val="left"/>
              <w:rPr>
                <w:rFonts w:ascii="宋体" w:hAnsi="宋体" w:cs="宋体" w:eastAsia="宋体" w:hint="default"/>
                <w:sz w:val="18"/>
                <w:szCs w:val="18"/>
              </w:rPr>
            </w:pPr>
            <w:r>
              <w:rPr>
                <w:rFonts w:ascii="宋体" w:hAnsi="宋体" w:cs="宋体" w:eastAsia="宋体" w:hint="default"/>
                <w:sz w:val="18"/>
                <w:szCs w:val="18"/>
              </w:rPr>
              <w:t>理委员会</w:t>
            </w:r>
          </w:p>
        </w:tc>
        <w:tc>
          <w:tcPr>
            <w:tcW w:w="1080"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1207" w:type="dxa"/>
            <w:tcBorders>
              <w:top w:val="nil" w:sz="6" w:space="0" w:color="auto"/>
              <w:left w:val="single" w:sz="4" w:space="0" w:color="000000"/>
              <w:bottom w:val="single" w:sz="4" w:space="0" w:color="000000"/>
              <w:right w:val="single" w:sz="4" w:space="0" w:color="000000"/>
            </w:tcBorders>
          </w:tcPr>
          <w:p>
            <w:pPr/>
          </w:p>
        </w:tc>
        <w:tc>
          <w:tcPr>
            <w:tcW w:w="847" w:type="dxa"/>
            <w:tcBorders>
              <w:top w:val="nil" w:sz="6" w:space="0" w:color="auto"/>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1130" w:type="dxa"/>
            <w:tcBorders>
              <w:top w:val="nil" w:sz="6" w:space="0" w:color="auto"/>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3"/>
          <w:szCs w:val="23"/>
        </w:rPr>
      </w:pPr>
    </w:p>
    <w:p>
      <w:pPr>
        <w:pStyle w:val="Heading4"/>
        <w:spacing w:line="333" w:lineRule="exact"/>
        <w:ind w:left="848" w:right="0"/>
        <w:jc w:val="left"/>
        <w:rPr>
          <w:b w:val="0"/>
          <w:bCs w:val="0"/>
        </w:rPr>
      </w:pPr>
      <w:r>
        <w:rPr>
          <w:rFonts w:ascii="Times New Roman" w:hAnsi="Times New Roman" w:cs="Times New Roman" w:eastAsia="Times New Roman" w:hint="default"/>
        </w:rPr>
        <w:t>23</w:t>
      </w:r>
      <w:r>
        <w:rPr/>
        <w:t>、股本</w:t>
      </w:r>
      <w:r>
        <w:rPr>
          <w:b w:val="0"/>
          <w:bCs w:val="0"/>
        </w:rPr>
      </w:r>
    </w:p>
    <w:p>
      <w:pPr>
        <w:pStyle w:val="BodyText"/>
        <w:spacing w:line="240" w:lineRule="auto" w:before="111"/>
        <w:ind w:left="0" w:right="100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1102"/>
        <w:gridCol w:w="1546"/>
        <w:gridCol w:w="1572"/>
        <w:gridCol w:w="739"/>
        <w:gridCol w:w="1274"/>
        <w:gridCol w:w="679"/>
        <w:gridCol w:w="1560"/>
        <w:gridCol w:w="1356"/>
      </w:tblGrid>
      <w:tr>
        <w:trPr>
          <w:trHeight w:val="419" w:hRule="exact"/>
        </w:trPr>
        <w:tc>
          <w:tcPr>
            <w:tcW w:w="1102" w:type="dxa"/>
            <w:vMerge w:val="restart"/>
            <w:tcBorders>
              <w:top w:val="single" w:sz="4" w:space="0" w:color="000000"/>
              <w:left w:val="nil" w:sz="6" w:space="0" w:color="auto"/>
              <w:right w:val="single" w:sz="4" w:space="0" w:color="000000"/>
            </w:tcBorders>
          </w:tcPr>
          <w:p>
            <w:pP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74"/>
              <w:ind w:left="45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8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0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356" w:type="dxa"/>
            <w:vMerge w:val="restart"/>
            <w:tcBorders>
              <w:top w:val="single" w:sz="4" w:space="0" w:color="000000"/>
              <w:left w:val="single" w:sz="4" w:space="0" w:color="000000"/>
              <w:right w:val="nil" w:sz="6" w:space="0" w:color="auto"/>
            </w:tcBorders>
          </w:tcPr>
          <w:p>
            <w:pPr>
              <w:pStyle w:val="TableParagraph"/>
              <w:spacing w:line="240" w:lineRule="auto" w:before="174"/>
              <w:ind w:left="36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102" w:type="dxa"/>
            <w:vMerge/>
            <w:tcBorders>
              <w:left w:val="nil" w:sz="6" w:space="0" w:color="auto"/>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7"/>
              <w:jc w:val="right"/>
              <w:rPr>
                <w:rFonts w:ascii="宋体" w:hAnsi="宋体" w:cs="宋体" w:eastAsia="宋体" w:hint="default"/>
                <w:sz w:val="21"/>
                <w:szCs w:val="21"/>
              </w:rPr>
            </w:pPr>
            <w:r>
              <w:rPr>
                <w:rFonts w:ascii="宋体" w:hAnsi="宋体" w:cs="宋体" w:eastAsia="宋体" w:hint="default"/>
                <w:w w:val="95"/>
                <w:sz w:val="21"/>
                <w:szCs w:val="21"/>
              </w:rPr>
              <w:t>公积金转股</w:t>
            </w:r>
            <w:r>
              <w:rPr>
                <w:rFonts w:ascii="宋体" w:hAnsi="宋体" w:cs="宋体" w:eastAsia="宋体" w:hint="default"/>
                <w:sz w:val="21"/>
                <w:szCs w:val="21"/>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22"/>
              <w:jc w:val="right"/>
              <w:rPr>
                <w:rFonts w:ascii="宋体" w:hAnsi="宋体" w:cs="宋体" w:eastAsia="宋体" w:hint="default"/>
                <w:sz w:val="21"/>
                <w:szCs w:val="21"/>
              </w:rPr>
            </w:pPr>
            <w:r>
              <w:rPr>
                <w:rFonts w:ascii="宋体" w:hAnsi="宋体" w:cs="宋体" w:eastAsia="宋体" w:hint="default"/>
                <w:w w:val="95"/>
                <w:sz w:val="21"/>
                <w:szCs w:val="21"/>
              </w:rPr>
              <w:t>其他</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56" w:type="dxa"/>
            <w:vMerge/>
            <w:tcBorders>
              <w:left w:val="single" w:sz="4" w:space="0" w:color="000000"/>
              <w:bottom w:val="single" w:sz="4" w:space="0" w:color="000000"/>
              <w:right w:val="nil" w:sz="6" w:space="0" w:color="auto"/>
            </w:tcBorders>
          </w:tcPr>
          <w:p>
            <w:pPr/>
          </w:p>
        </w:tc>
      </w:tr>
      <w:tr>
        <w:trPr>
          <w:trHeight w:val="734"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08"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58,330,780.00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19,500,000.00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42" w:right="0"/>
              <w:jc w:val="center"/>
              <w:rPr>
                <w:rFonts w:ascii="Times New Roman" w:hAnsi="Times New Roman" w:cs="Times New Roman" w:eastAsia="Times New Roman" w:hint="default"/>
                <w:sz w:val="21"/>
                <w:szCs w:val="21"/>
              </w:rPr>
            </w:pPr>
            <w:r>
              <w:rPr>
                <w:rFonts w:ascii="Times New Roman"/>
                <w:sz w:val="21"/>
              </w:rPr>
              <w:t>19,500,000.00</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77,830,780.0</w:t>
            </w:r>
          </w:p>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262"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月，根据中国证监会“证监许可</w:t>
      </w:r>
      <w:r>
        <w:rPr>
          <w:rFonts w:ascii="Times New Roman" w:hAnsi="Times New Roman" w:cs="Times New Roman" w:eastAsia="Times New Roman" w:hint="default"/>
          <w:spacing w:val="2"/>
        </w:rPr>
        <w:t>[2010]41</w:t>
      </w:r>
      <w:r>
        <w:rPr>
          <w:rFonts w:ascii="Times New Roman" w:hAnsi="Times New Roman" w:cs="Times New Roman" w:eastAsia="Times New Roman" w:hint="default"/>
          <w:spacing w:val="-8"/>
        </w:rPr>
        <w:t> </w:t>
      </w:r>
      <w:r>
        <w:rPr>
          <w:spacing w:val="2"/>
        </w:rPr>
        <w:t>号”文，公司向社会公开发行人民</w:t>
      </w:r>
    </w:p>
    <w:p>
      <w:pPr>
        <w:pStyle w:val="BodyText"/>
        <w:spacing w:line="240" w:lineRule="auto" w:before="117"/>
        <w:ind w:left="842" w:right="0"/>
        <w:jc w:val="left"/>
      </w:pPr>
      <w:r>
        <w:rPr>
          <w:spacing w:val="9"/>
          <w:w w:val="99"/>
        </w:rPr>
        <w:t>币普通</w:t>
      </w:r>
      <w:r>
        <w:rPr>
          <w:w w:val="99"/>
        </w:rPr>
        <w:t>股</w:t>
      </w:r>
      <w:r>
        <w:rPr>
          <w:spacing w:val="-38"/>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11"/>
        </w:rPr>
        <w:t> </w:t>
      </w:r>
      <w:r>
        <w:rPr>
          <w:spacing w:val="9"/>
          <w:w w:val="99"/>
        </w:rPr>
        <w:t>万股（每股面</w:t>
      </w:r>
      <w:r>
        <w:rPr>
          <w:w w:val="99"/>
        </w:rPr>
        <w:t>值</w:t>
      </w:r>
      <w:r>
        <w:rPr>
          <w:spacing w:val="-36"/>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8"/>
        </w:rPr>
        <w:t> </w:t>
      </w:r>
      <w:r>
        <w:rPr>
          <w:spacing w:val="12"/>
          <w:w w:val="99"/>
        </w:rPr>
        <w:t>元</w:t>
      </w:r>
      <w:r>
        <w:rPr>
          <w:spacing w:val="-94"/>
          <w:w w:val="99"/>
        </w:rPr>
        <w:t>）</w:t>
      </w:r>
      <w:r>
        <w:rPr>
          <w:spacing w:val="9"/>
          <w:w w:val="99"/>
        </w:rPr>
        <w:t>，增加注册资</w:t>
      </w:r>
      <w:r>
        <w:rPr>
          <w:w w:val="99"/>
        </w:rPr>
        <w:t>本</w:t>
      </w:r>
      <w:r>
        <w:rPr>
          <w:spacing w:val="-36"/>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8"/>
        </w:rPr>
        <w:t> </w:t>
      </w:r>
      <w:r>
        <w:rPr>
          <w:spacing w:val="9"/>
          <w:w w:val="99"/>
        </w:rPr>
        <w:t>万元，变更后的注册资</w:t>
      </w:r>
      <w:r>
        <w:rPr>
          <w:spacing w:val="21"/>
          <w:w w:val="99"/>
        </w:rPr>
        <w:t>本</w:t>
      </w:r>
      <w:r>
        <w:rPr>
          <w:w w:val="99"/>
        </w:rPr>
        <w:t>为</w:t>
      </w:r>
      <w:r>
        <w:rPr/>
      </w:r>
    </w:p>
    <w:p>
      <w:pPr>
        <w:pStyle w:val="BodyText"/>
        <w:spacing w:line="240" w:lineRule="auto" w:before="117"/>
        <w:ind w:left="842" w:right="0"/>
        <w:jc w:val="left"/>
      </w:pPr>
      <w:r>
        <w:rPr>
          <w:rFonts w:ascii="Times New Roman" w:hAnsi="Times New Roman" w:cs="Times New Roman" w:eastAsia="Times New Roman" w:hint="default"/>
        </w:rPr>
        <w:t>77,830,780.00</w:t>
      </w:r>
      <w:r>
        <w:rPr>
          <w:rFonts w:ascii="Times New Roman" w:hAnsi="Times New Roman" w:cs="Times New Roman" w:eastAsia="Times New Roman" w:hint="default"/>
          <w:spacing w:val="-7"/>
        </w:rPr>
        <w:t> </w:t>
      </w:r>
      <w:r>
        <w:rPr>
          <w:spacing w:val="-3"/>
        </w:rPr>
        <w:t>元。截至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日止，公司已发行人民币普通股</w:t>
      </w:r>
      <w:r>
        <w:rPr>
          <w:spacing w:val="-55"/>
        </w:rPr>
        <w:t> </w:t>
      </w:r>
      <w:r>
        <w:rPr>
          <w:rFonts w:ascii="Times New Roman" w:hAnsi="Times New Roman" w:cs="Times New Roman" w:eastAsia="Times New Roman" w:hint="default"/>
        </w:rPr>
        <w:t>1,950</w:t>
      </w:r>
      <w:r>
        <w:rPr>
          <w:rFonts w:ascii="Times New Roman" w:hAnsi="Times New Roman" w:cs="Times New Roman" w:eastAsia="Times New Roman" w:hint="default"/>
          <w:spacing w:val="-7"/>
        </w:rPr>
        <w:t> </w:t>
      </w:r>
      <w:r>
        <w:rPr/>
        <w:t>万股，募集资</w:t>
      </w:r>
    </w:p>
    <w:p>
      <w:pPr>
        <w:pStyle w:val="BodyText"/>
        <w:spacing w:line="240" w:lineRule="auto" w:before="119"/>
        <w:ind w:left="842" w:right="0"/>
        <w:jc w:val="left"/>
      </w:pPr>
      <w:r>
        <w:rPr/>
        <w:t>金</w:t>
      </w:r>
      <w:r>
        <w:rPr>
          <w:spacing w:val="-57"/>
        </w:rPr>
        <w:t> </w:t>
      </w:r>
      <w:r>
        <w:rPr>
          <w:rFonts w:ascii="Times New Roman" w:hAnsi="Times New Roman" w:cs="Times New Roman" w:eastAsia="Times New Roman" w:hint="default"/>
        </w:rPr>
        <w:t>624,000,000.00</w:t>
      </w:r>
      <w:r>
        <w:rPr>
          <w:rFonts w:ascii="Times New Roman" w:hAnsi="Times New Roman" w:cs="Times New Roman" w:eastAsia="Times New Roman" w:hint="default"/>
          <w:spacing w:val="-3"/>
        </w:rPr>
        <w:t> </w:t>
      </w:r>
      <w:r>
        <w:rPr/>
        <w:t>元，扣除发行费用后，实际募集资金净额</w:t>
      </w:r>
      <w:r>
        <w:rPr>
          <w:spacing w:val="-52"/>
        </w:rPr>
        <w:t> </w:t>
      </w:r>
      <w:r>
        <w:rPr>
          <w:rFonts w:ascii="Times New Roman" w:hAnsi="Times New Roman" w:cs="Times New Roman" w:eastAsia="Times New Roman" w:hint="default"/>
        </w:rPr>
        <w:t>586,395,422.86</w:t>
      </w:r>
      <w:r>
        <w:rPr>
          <w:rFonts w:ascii="Times New Roman" w:hAnsi="Times New Roman" w:cs="Times New Roman" w:eastAsia="Times New Roman" w:hint="default"/>
          <w:spacing w:val="-5"/>
        </w:rPr>
        <w:t> </w:t>
      </w:r>
      <w:r>
        <w:rPr/>
        <w:t>元，其中新增注</w:t>
      </w:r>
    </w:p>
    <w:p>
      <w:pPr>
        <w:pStyle w:val="BodyText"/>
        <w:spacing w:line="336" w:lineRule="auto" w:before="117"/>
        <w:ind w:left="842" w:right="999"/>
        <w:jc w:val="left"/>
      </w:pPr>
      <w:r>
        <w:rPr/>
        <w:t>册资本</w:t>
      </w:r>
      <w:r>
        <w:rPr>
          <w:spacing w:val="-56"/>
        </w:rPr>
        <w:t> </w:t>
      </w:r>
      <w:r>
        <w:rPr>
          <w:rFonts w:ascii="Times New Roman" w:hAnsi="Times New Roman" w:cs="Times New Roman" w:eastAsia="Times New Roman" w:hint="default"/>
        </w:rPr>
        <w:t>19,500,000.00</w:t>
      </w:r>
      <w:r>
        <w:rPr>
          <w:rFonts w:ascii="Times New Roman" w:hAnsi="Times New Roman" w:cs="Times New Roman" w:eastAsia="Times New Roman" w:hint="default"/>
          <w:spacing w:val="-6"/>
        </w:rPr>
        <w:t> </w:t>
      </w:r>
      <w:r>
        <w:rPr>
          <w:spacing w:val="-6"/>
        </w:rPr>
        <w:t>元，增加资本公积</w:t>
      </w:r>
      <w:r>
        <w:rPr>
          <w:spacing w:val="-56"/>
        </w:rPr>
        <w:t> </w:t>
      </w:r>
      <w:r>
        <w:rPr>
          <w:rFonts w:ascii="Times New Roman" w:hAnsi="Times New Roman" w:cs="Times New Roman" w:eastAsia="Times New Roman" w:hint="default"/>
        </w:rPr>
        <w:t>566,895,422.86</w:t>
      </w:r>
      <w:r>
        <w:rPr>
          <w:rFonts w:ascii="Times New Roman" w:hAnsi="Times New Roman" w:cs="Times New Roman" w:eastAsia="Times New Roman" w:hint="default"/>
          <w:spacing w:val="-6"/>
        </w:rPr>
        <w:t> </w:t>
      </w:r>
      <w:r>
        <w:rPr>
          <w:spacing w:val="-3"/>
        </w:rPr>
        <w:t>元，新增股本业经深圳鹏城会计师事</w:t>
      </w:r>
      <w:r>
        <w:rPr>
          <w:w w:val="99"/>
        </w:rPr>
        <w:t> </w:t>
      </w:r>
      <w:r>
        <w:rPr/>
        <w:t>务所出具的“深鹏所验字</w:t>
      </w:r>
      <w:r>
        <w:rPr>
          <w:rFonts w:ascii="Times New Roman" w:hAnsi="Times New Roman" w:cs="Times New Roman" w:eastAsia="Times New Roman" w:hint="default"/>
        </w:rPr>
        <w:t>[2010]040</w:t>
      </w:r>
      <w:r>
        <w:rPr>
          <w:rFonts w:ascii="Times New Roman" w:hAnsi="Times New Roman" w:cs="Times New Roman" w:eastAsia="Times New Roman" w:hint="default"/>
          <w:spacing w:val="-8"/>
        </w:rPr>
        <w:t> </w:t>
      </w:r>
      <w:r>
        <w:rPr/>
        <w:t>号”验资报告审验。</w:t>
      </w:r>
    </w:p>
    <w:p>
      <w:pPr>
        <w:spacing w:line="240" w:lineRule="auto" w:before="12"/>
        <w:rPr>
          <w:rFonts w:ascii="宋体" w:hAnsi="宋体" w:cs="宋体" w:eastAsia="宋体" w:hint="default"/>
          <w:sz w:val="26"/>
          <w:szCs w:val="26"/>
        </w:rPr>
      </w:pPr>
    </w:p>
    <w:p>
      <w:pPr>
        <w:pStyle w:val="Heading4"/>
        <w:spacing w:line="333" w:lineRule="exact"/>
        <w:ind w:left="848" w:right="0"/>
        <w:jc w:val="left"/>
        <w:rPr>
          <w:b w:val="0"/>
          <w:bCs w:val="0"/>
        </w:rPr>
      </w:pPr>
      <w:r>
        <w:rPr>
          <w:rFonts w:ascii="Times New Roman" w:hAnsi="Times New Roman" w:cs="Times New Roman" w:eastAsia="Times New Roman" w:hint="default"/>
        </w:rPr>
        <w:t>24</w:t>
      </w:r>
      <w:r>
        <w:rPr/>
        <w:t>、资本公积</w:t>
      </w:r>
      <w:r>
        <w:rPr>
          <w:b w:val="0"/>
          <w:bCs w:val="0"/>
        </w:rPr>
      </w:r>
    </w:p>
    <w:p>
      <w:pPr>
        <w:pStyle w:val="BodyText"/>
        <w:spacing w:line="240" w:lineRule="auto" w:before="109"/>
        <w:ind w:left="0" w:right="100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662"/>
        <w:gridCol w:w="1759"/>
        <w:gridCol w:w="1759"/>
        <w:gridCol w:w="1759"/>
        <w:gridCol w:w="1759"/>
      </w:tblGrid>
      <w:tr>
        <w:trPr>
          <w:trHeight w:val="418"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bookmarkStart w:name="13,100,716.92" w:id="74"/>
            <w:bookmarkEnd w:id="74"/>
            <w:r>
              <w:rPr/>
            </w:r>
            <w:bookmarkStart w:name="566,895,422.86" w:id="75"/>
            <w:bookmarkEnd w:id="75"/>
            <w:r>
              <w:rPr/>
            </w:r>
            <w:bookmarkStart w:name="579,996,139.78" w:id="76"/>
            <w:bookmarkEnd w:id="76"/>
            <w:r>
              <w:rPr/>
            </w: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13,100,716.92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Times New Roman" w:hAnsi="Times New Roman" w:cs="Times New Roman" w:eastAsia="Times New Roman" w:hint="default"/>
                <w:sz w:val="21"/>
                <w:szCs w:val="21"/>
              </w:rPr>
            </w:pPr>
            <w:r>
              <w:rPr>
                <w:rFonts w:ascii="Times New Roman"/>
                <w:sz w:val="21"/>
              </w:rPr>
              <w:t>566,895,422.86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579,996,139.78</w:t>
            </w:r>
          </w:p>
        </w:tc>
      </w:tr>
    </w:tbl>
    <w:p>
      <w:pPr>
        <w:pStyle w:val="BodyText"/>
        <w:spacing w:line="257" w:lineRule="exact"/>
        <w:ind w:left="1473" w:right="0"/>
        <w:jc w:val="left"/>
      </w:pPr>
      <w:r>
        <w:rPr/>
        <w:t>本年度增加的资本公积相关情况见附注</w:t>
      </w:r>
      <w:r>
        <w:rPr>
          <w:spacing w:val="-61"/>
        </w:rPr>
        <w:t> </w:t>
      </w:r>
      <w:r>
        <w:rPr>
          <w:rFonts w:ascii="Times New Roman" w:hAnsi="Times New Roman" w:cs="Times New Roman" w:eastAsia="Times New Roman" w:hint="default"/>
        </w:rPr>
        <w:t>23</w: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333" w:lineRule="exact"/>
        <w:ind w:left="848" w:right="0"/>
        <w:jc w:val="left"/>
        <w:rPr>
          <w:b w:val="0"/>
          <w:bCs w:val="0"/>
        </w:rPr>
      </w:pPr>
      <w:r>
        <w:rPr>
          <w:rFonts w:ascii="Times New Roman" w:hAnsi="Times New Roman" w:cs="Times New Roman" w:eastAsia="Times New Roman" w:hint="default"/>
        </w:rPr>
        <w:t>25</w:t>
      </w:r>
      <w:r>
        <w:rPr/>
        <w:t>、盈余公积</w:t>
      </w:r>
      <w:r>
        <w:rPr>
          <w:b w:val="0"/>
          <w:bCs w:val="0"/>
        </w:rPr>
      </w:r>
    </w:p>
    <w:p>
      <w:pPr>
        <w:pStyle w:val="BodyText"/>
        <w:spacing w:line="240" w:lineRule="auto" w:before="109"/>
        <w:ind w:left="0" w:right="100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39"/>
        <w:gridCol w:w="1939"/>
        <w:gridCol w:w="1939"/>
        <w:gridCol w:w="1939"/>
        <w:gridCol w:w="1942"/>
      </w:tblGrid>
      <w:tr>
        <w:trPr>
          <w:trHeight w:val="41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bookmarkStart w:name="9,481,764.59" w:id="77"/>
            <w:bookmarkEnd w:id="77"/>
            <w:r>
              <w:rPr/>
            </w:r>
            <w:bookmarkStart w:name="2,386,736.72" w:id="78"/>
            <w:bookmarkEnd w:id="78"/>
            <w:r>
              <w:rPr/>
            </w:r>
            <w:bookmarkStart w:name="11,868,501.31" w:id="79"/>
            <w:bookmarkEnd w:id="79"/>
            <w:r>
              <w:rPr/>
            </w:r>
            <w:r>
              <w:rPr>
                <w:rFonts w:ascii="宋体" w:hAnsi="宋体" w:cs="宋体" w:eastAsia="宋体" w:hint="default"/>
                <w:sz w:val="21"/>
                <w:szCs w:val="21"/>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Times New Roman" w:hAnsi="Times New Roman" w:cs="Times New Roman" w:eastAsia="Times New Roman" w:hint="default"/>
                <w:sz w:val="21"/>
                <w:szCs w:val="21"/>
              </w:rPr>
            </w:pPr>
            <w:r>
              <w:rPr>
                <w:rFonts w:ascii="Times New Roman"/>
                <w:sz w:val="21"/>
              </w:rPr>
              <w:t>9,481,764.59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4" w:right="0"/>
              <w:jc w:val="left"/>
              <w:rPr>
                <w:rFonts w:ascii="Times New Roman" w:hAnsi="Times New Roman" w:cs="Times New Roman" w:eastAsia="Times New Roman" w:hint="default"/>
                <w:sz w:val="21"/>
                <w:szCs w:val="21"/>
              </w:rPr>
            </w:pPr>
            <w:r>
              <w:rPr>
                <w:rFonts w:ascii="Times New Roman"/>
                <w:sz w:val="21"/>
              </w:rPr>
              <w:t>2,386,736.72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08" w:right="0"/>
              <w:jc w:val="left"/>
              <w:rPr>
                <w:rFonts w:ascii="Times New Roman" w:hAnsi="Times New Roman" w:cs="Times New Roman" w:eastAsia="Times New Roman" w:hint="default"/>
                <w:sz w:val="21"/>
                <w:szCs w:val="21"/>
              </w:rPr>
            </w:pPr>
            <w:r>
              <w:rPr>
                <w:rFonts w:ascii="Times New Roman"/>
                <w:sz w:val="21"/>
              </w:rPr>
              <w:t>11,868,501.31</w:t>
            </w:r>
          </w:p>
        </w:tc>
      </w:tr>
    </w:tbl>
    <w:p>
      <w:pPr>
        <w:pStyle w:val="BodyText"/>
        <w:spacing w:line="257" w:lineRule="exact"/>
        <w:ind w:left="842" w:right="0"/>
        <w:jc w:val="left"/>
      </w:pPr>
      <w:r>
        <w:rPr/>
        <w:t>本期增加数按母公司税后净利润的</w:t>
      </w:r>
      <w:r>
        <w:rPr>
          <w:spacing w:val="-6"/>
        </w:rPr>
        <w:t> </w:t>
      </w:r>
      <w:r>
        <w:rPr>
          <w:rFonts w:ascii="Times New Roman" w:hAnsi="Times New Roman" w:cs="Times New Roman" w:eastAsia="Times New Roman" w:hint="default"/>
        </w:rPr>
        <w:t>10</w:t>
      </w:r>
      <w:r>
        <w:rPr/>
        <w:t>％提取法定盈余公积。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333" w:lineRule="exact"/>
        <w:ind w:left="848" w:right="0"/>
        <w:jc w:val="left"/>
        <w:rPr>
          <w:b w:val="0"/>
          <w:bCs w:val="0"/>
        </w:rPr>
      </w:pPr>
      <w:r>
        <w:rPr>
          <w:rFonts w:ascii="Times New Roman" w:hAnsi="Times New Roman" w:cs="Times New Roman" w:eastAsia="Times New Roman" w:hint="default"/>
        </w:rPr>
        <w:t>26</w:t>
      </w:r>
      <w:r>
        <w:rPr/>
        <w:t>、未分配利润</w:t>
      </w:r>
      <w:r>
        <w:rPr>
          <w:b w:val="0"/>
          <w:bCs w:val="0"/>
        </w:rPr>
      </w:r>
    </w:p>
    <w:p>
      <w:pPr>
        <w:pStyle w:val="BodyText"/>
        <w:spacing w:line="240" w:lineRule="auto" w:before="111"/>
        <w:ind w:left="6727" w:right="0"/>
        <w:jc w:val="left"/>
      </w:pPr>
      <w:r>
        <w:rPr/>
        <w:t>单位：元</w:t>
      </w:r>
      <w:r>
        <w:rPr>
          <w:spacing w:val="-3"/>
        </w:rPr>
        <w:t> </w:t>
      </w:r>
      <w:r>
        <w:rPr/>
        <w:t>币种：人民币</w:t>
      </w:r>
    </w:p>
    <w:p>
      <w:pPr>
        <w:spacing w:after="0" w:line="240" w:lineRule="auto"/>
        <w:jc w:val="left"/>
        <w:sectPr>
          <w:pgSz w:w="11910" w:h="16840"/>
          <w:pgMar w:header="1058" w:footer="1590" w:top="1780" w:bottom="1780" w:left="960" w:right="800"/>
        </w:sectPr>
      </w:pPr>
    </w:p>
    <w:tbl>
      <w:tblPr>
        <w:tblW w:w="0" w:type="auto"/>
        <w:jc w:val="left"/>
        <w:tblInd w:w="150" w:type="dxa"/>
        <w:tblLayout w:type="fixed"/>
        <w:tblCellMar>
          <w:top w:w="0" w:type="dxa"/>
          <w:left w:w="0" w:type="dxa"/>
          <w:bottom w:w="0" w:type="dxa"/>
          <w:right w:w="0" w:type="dxa"/>
        </w:tblCellMar>
        <w:tblLook w:val="01E0"/>
      </w:tblPr>
      <w:tblGrid>
        <w:gridCol w:w="4366"/>
        <w:gridCol w:w="1728"/>
        <w:gridCol w:w="2206"/>
      </w:tblGrid>
      <w:tr>
        <w:trPr>
          <w:trHeight w:val="41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bookmarkStart w:name="27、营业收入、营业成本" w:id="80"/>
            <w:bookmarkEnd w:id="80"/>
            <w:r>
              <w:rPr/>
            </w:r>
            <w:r>
              <w:rPr>
                <w:rFonts w:ascii="宋体" w:hAnsi="宋体" w:cs="宋体" w:eastAsia="宋体" w:hint="default"/>
                <w:sz w:val="21"/>
                <w:szCs w:val="21"/>
              </w:rPr>
              <w:t>项目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734"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75,575,655.27</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31"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33"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5"/>
                <w:sz w:val="21"/>
                <w:szCs w:val="21"/>
              </w:rPr>
              <w:t> </w:t>
            </w:r>
            <w:r>
              <w:rPr>
                <w:rFonts w:ascii="宋体" w:hAnsi="宋体" w:cs="宋体" w:eastAsia="宋体" w:hint="default"/>
                <w:sz w:val="21"/>
                <w:szCs w:val="21"/>
              </w:rPr>
              <w:t>年初未分配利润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75,575,655.27</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01"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23,757,246.77</w:t>
            </w:r>
            <w:r>
              <w:rPr>
                <w:rFonts w:ascii="Times New Roman"/>
                <w:sz w:val="20"/>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2</w:t>
            </w:r>
            <w:r>
              <w:rPr>
                <w:rFonts w:ascii="Times New Roman"/>
                <w:b/>
                <w:w w:val="95"/>
                <w:sz w:val="21"/>
              </w:rPr>
              <w:t>,</w:t>
            </w:r>
            <w:r>
              <w:rPr>
                <w:rFonts w:ascii="Times New Roman"/>
                <w:w w:val="95"/>
                <w:sz w:val="21"/>
              </w:rPr>
              <w:t>386</w:t>
            </w:r>
            <w:r>
              <w:rPr>
                <w:rFonts w:ascii="Times New Roman"/>
                <w:b/>
                <w:w w:val="95"/>
                <w:sz w:val="21"/>
              </w:rPr>
              <w:t>,</w:t>
            </w:r>
            <w:r>
              <w:rPr>
                <w:rFonts w:ascii="Times New Roman"/>
                <w:w w:val="95"/>
                <w:sz w:val="21"/>
              </w:rPr>
              <w:t>736.72</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10%</w:t>
            </w:r>
          </w:p>
        </w:tc>
      </w:tr>
      <w:tr>
        <w:trPr>
          <w:trHeight w:val="419"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5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1"/>
                <w:szCs w:val="21"/>
              </w:rPr>
            </w:pPr>
            <w:r>
              <w:rPr>
                <w:rFonts w:ascii="Times New Roman"/>
                <w:w w:val="95"/>
                <w:sz w:val="21"/>
              </w:rPr>
              <w:t>50,590,007.00</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8" w:hRule="exact"/>
        </w:trPr>
        <w:tc>
          <w:tcPr>
            <w:tcW w:w="43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46,356,158.32</w:t>
            </w:r>
            <w:r>
              <w:rPr>
                <w:rFonts w:ascii="Times New Roman"/>
                <w:sz w:val="21"/>
              </w:rPr>
            </w:r>
          </w:p>
        </w:tc>
        <w:tc>
          <w:tcPr>
            <w:tcW w:w="22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1"/>
        <w:rPr>
          <w:rFonts w:ascii="宋体" w:hAnsi="宋体" w:cs="宋体" w:eastAsia="宋体" w:hint="default"/>
          <w:sz w:val="23"/>
          <w:szCs w:val="23"/>
        </w:rPr>
      </w:pPr>
    </w:p>
    <w:p>
      <w:pPr>
        <w:pStyle w:val="BodyText"/>
        <w:spacing w:line="240" w:lineRule="auto" w:before="34"/>
        <w:ind w:left="162" w:right="0"/>
        <w:jc w:val="left"/>
      </w:pPr>
      <w:r>
        <w:rPr/>
        <w:t>（</w:t>
      </w:r>
      <w:r>
        <w:rPr>
          <w:rFonts w:ascii="Times New Roman" w:hAnsi="Times New Roman" w:cs="Times New Roman" w:eastAsia="Times New Roman" w:hint="default"/>
        </w:rPr>
        <w:t>1</w:t>
      </w:r>
      <w:r>
        <w:rPr/>
        <w:t>）</w:t>
      </w:r>
      <w:r>
        <w:rPr>
          <w:spacing w:val="7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年度股东大会审议通过了</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年年度利润分配议案，</w:t>
      </w:r>
    </w:p>
    <w:p>
      <w:pPr>
        <w:pStyle w:val="BodyText"/>
        <w:spacing w:line="240" w:lineRule="auto" w:before="119"/>
        <w:ind w:left="882" w:right="0"/>
        <w:jc w:val="left"/>
      </w:pPr>
      <w:r>
        <w:rPr/>
        <w:t>决定向全体股东每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w:t>
      </w:r>
      <w:r>
        <w:rPr>
          <w:spacing w:val="-52"/>
        </w:rPr>
        <w:t> </w:t>
      </w:r>
      <w:r>
        <w:rPr>
          <w:rFonts w:ascii="Times New Roman" w:hAnsi="Times New Roman" w:cs="Times New Roman" w:eastAsia="Times New Roman" w:hint="default"/>
        </w:rPr>
        <w:t>4.5</w:t>
      </w:r>
      <w:r>
        <w:rPr>
          <w:rFonts w:ascii="Times New Roman" w:hAnsi="Times New Roman" w:cs="Times New Roman" w:eastAsia="Times New Roman" w:hint="default"/>
          <w:spacing w:val="-3"/>
        </w:rPr>
        <w:t> </w:t>
      </w:r>
      <w:r>
        <w:rPr/>
        <w:t>元，共计分配现金股利</w:t>
      </w:r>
      <w:r>
        <w:rPr>
          <w:spacing w:val="-55"/>
        </w:rPr>
        <w:t> </w:t>
      </w:r>
      <w:r>
        <w:rPr>
          <w:rFonts w:ascii="Times New Roman" w:hAnsi="Times New Roman" w:cs="Times New Roman" w:eastAsia="Times New Roman" w:hint="default"/>
        </w:rPr>
        <w:t>35,023,851.00</w:t>
      </w:r>
      <w:r>
        <w:rPr>
          <w:rFonts w:ascii="Times New Roman" w:hAnsi="Times New Roman" w:cs="Times New Roman" w:eastAsia="Times New Roman" w:hint="default"/>
          <w:spacing w:val="-3"/>
        </w:rPr>
        <w:t> </w:t>
      </w:r>
      <w:r>
        <w:rPr/>
        <w:t>元；</w:t>
      </w:r>
    </w:p>
    <w:p>
      <w:pPr>
        <w:pStyle w:val="BodyText"/>
        <w:spacing w:line="240" w:lineRule="auto" w:before="117"/>
        <w:ind w:left="162" w:right="0"/>
        <w:jc w:val="left"/>
      </w:pPr>
      <w:r>
        <w:rPr/>
        <w:t>（</w:t>
      </w:r>
      <w:r>
        <w:rPr>
          <w:rFonts w:ascii="Times New Roman" w:hAnsi="Times New Roman" w:cs="Times New Roman" w:eastAsia="Times New Roman" w:hint="default"/>
        </w:rPr>
        <w:t>2</w:t>
      </w:r>
      <w:r>
        <w:rPr/>
        <w:t>）</w:t>
      </w:r>
      <w:r>
        <w:rPr>
          <w:spacing w:val="9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年度第二次临时股东大会审议通过了</w:t>
      </w:r>
      <w:r>
        <w:rPr>
          <w:spacing w:val="-3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年半年度</w:t>
      </w:r>
    </w:p>
    <w:p>
      <w:pPr>
        <w:pStyle w:val="BodyText"/>
        <w:spacing w:line="240" w:lineRule="auto" w:before="117"/>
        <w:ind w:left="882" w:right="0"/>
        <w:jc w:val="left"/>
      </w:pPr>
      <w:r>
        <w:rPr>
          <w:spacing w:val="11"/>
        </w:rPr>
        <w:t>利润分配议案，决定向全体股东每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10"/>
        </w:rPr>
        <w:t>股派发现金股利</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10"/>
        </w:rPr>
        <w:t>元，共计分配现金股利</w:t>
      </w:r>
    </w:p>
    <w:p>
      <w:pPr>
        <w:pStyle w:val="BodyText"/>
        <w:spacing w:line="240" w:lineRule="auto" w:before="117"/>
        <w:ind w:left="882" w:right="0"/>
        <w:jc w:val="left"/>
      </w:pPr>
      <w:r>
        <w:rPr>
          <w:rFonts w:ascii="Times New Roman" w:hAnsi="Times New Roman" w:cs="Times New Roman" w:eastAsia="Times New Roman" w:hint="default"/>
        </w:rPr>
        <w:t>15,566,156.00</w:t>
      </w:r>
      <w:r>
        <w:rPr>
          <w:rFonts w:ascii="Times New Roman" w:hAnsi="Times New Roman" w:cs="Times New Roman" w:eastAsia="Times New Roman" w:hint="default"/>
          <w:spacing w:val="-6"/>
        </w:rPr>
        <w:t> </w:t>
      </w:r>
      <w:r>
        <w:rPr/>
        <w:t>元。</w:t>
      </w:r>
    </w:p>
    <w:p>
      <w:pPr>
        <w:pStyle w:val="BodyText"/>
        <w:spacing w:line="240" w:lineRule="auto" w:before="117"/>
        <w:ind w:left="162" w:right="0"/>
        <w:jc w:val="left"/>
      </w:pPr>
      <w:r>
        <w:rPr/>
        <w:t>（</w:t>
      </w:r>
      <w:r>
        <w:rPr>
          <w:rFonts w:ascii="Times New Roman" w:hAnsi="Times New Roman" w:cs="Times New Roman" w:eastAsia="Times New Roman" w:hint="default"/>
        </w:rPr>
        <w:t>3</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年度的利润分配预案见附注十、</w:t>
      </w:r>
      <w:r>
        <w:rPr>
          <w:rFonts w:ascii="Times New Roman" w:hAnsi="Times New Roman" w:cs="Times New Roman" w:eastAsia="Times New Roman" w:hint="default"/>
        </w:rPr>
        <w:t>2</w: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58" w:footer="1590" w:top="1780" w:bottom="1780" w:left="1640" w:right="1600"/>
        </w:sectPr>
      </w:pPr>
    </w:p>
    <w:p>
      <w:pPr>
        <w:pStyle w:val="Heading4"/>
        <w:spacing w:line="333" w:lineRule="exact"/>
        <w:ind w:left="168" w:right="0"/>
        <w:jc w:val="left"/>
        <w:rPr>
          <w:b w:val="0"/>
          <w:bCs w:val="0"/>
        </w:rPr>
      </w:pPr>
      <w:r>
        <w:rPr>
          <w:rFonts w:ascii="Times New Roman" w:hAnsi="Times New Roman" w:cs="Times New Roman" w:eastAsia="Times New Roman" w:hint="default"/>
        </w:rPr>
        <w:t>27</w:t>
      </w:r>
      <w:r>
        <w:rPr/>
        <w:t>、营业收入、营业成本</w:t>
      </w:r>
      <w:r>
        <w:rPr>
          <w:b w:val="0"/>
          <w:bCs w:val="0"/>
        </w:rPr>
      </w:r>
    </w:p>
    <w:p>
      <w:pPr>
        <w:pStyle w:val="BodyText"/>
        <w:spacing w:line="240" w:lineRule="auto" w:before="109"/>
        <w:ind w:left="162" w:right="0"/>
        <w:jc w:val="left"/>
      </w:pPr>
      <w:r>
        <w:rPr>
          <w:w w:val="95"/>
        </w:rPr>
        <w:t>（</w:t>
      </w:r>
      <w:r>
        <w:rPr>
          <w:rFonts w:ascii="Times New Roman" w:hAnsi="Times New Roman" w:cs="Times New Roman" w:eastAsia="Times New Roman" w:hint="default"/>
          <w:w w:val="95"/>
        </w:rPr>
        <w:t>1</w:t>
      </w:r>
      <w:r>
        <w:rPr>
          <w:w w:val="95"/>
        </w:rPr>
        <w:t>）营业收入及营业成本</w:t>
      </w:r>
      <w:r>
        <w:rPr/>
      </w:r>
    </w:p>
    <w:p>
      <w:pPr>
        <w:pStyle w:val="BodyText"/>
        <w:spacing w:line="240" w:lineRule="auto" w:before="117"/>
        <w:ind w:left="162" w:right="0"/>
        <w:jc w:val="left"/>
      </w:pPr>
      <w:r>
        <w:rPr>
          <w:rFonts w:ascii="Times New Roman" w:hAnsi="Times New Roman" w:cs="Times New Roman" w:eastAsia="Times New Roman" w:hint="default"/>
        </w:rPr>
        <w:t>A</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62" w:right="0"/>
        <w:jc w:val="left"/>
      </w:pPr>
      <w:r>
        <w:rPr/>
        <w:t>单位：元</w:t>
      </w:r>
      <w:r>
        <w:rPr>
          <w:spacing w:val="-3"/>
        </w:rPr>
        <w:t> </w:t>
      </w:r>
      <w:r>
        <w:rPr/>
        <w:t>币种：人民币</w:t>
      </w:r>
    </w:p>
    <w:p>
      <w:pPr>
        <w:spacing w:after="0" w:line="240" w:lineRule="auto"/>
        <w:jc w:val="left"/>
        <w:sectPr>
          <w:type w:val="continuous"/>
          <w:pgSz w:w="11910" w:h="16840"/>
          <w:pgMar w:top="940" w:bottom="920" w:left="1640" w:right="1600"/>
          <w:cols w:num="2" w:equalWidth="0">
            <w:col w:w="2577" w:space="3519"/>
            <w:col w:w="2574"/>
          </w:cols>
        </w:sectPr>
      </w:pP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535"/>
        <w:gridCol w:w="2683"/>
        <w:gridCol w:w="2150"/>
      </w:tblGrid>
      <w:tr>
        <w:trPr>
          <w:trHeight w:val="418"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34"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410,170,791.28</w:t>
            </w:r>
            <w:r>
              <w:rPr>
                <w:rFonts w:ascii="Times New Roman"/>
                <w:sz w:val="21"/>
              </w:rPr>
            </w:r>
          </w:p>
        </w:tc>
      </w:tr>
      <w:tr>
        <w:trPr>
          <w:trHeight w:val="734"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3,313,565.03</w:t>
            </w:r>
            <w:r>
              <w:rPr>
                <w:rFonts w:ascii="Times New Roman"/>
                <w:sz w:val="21"/>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4,063,839.32</w:t>
            </w:r>
            <w:r>
              <w:rPr>
                <w:rFonts w:ascii="Times New Roman"/>
                <w:sz w:val="21"/>
              </w:rPr>
            </w:r>
          </w:p>
        </w:tc>
      </w:tr>
      <w:tr>
        <w:trPr>
          <w:trHeight w:val="734"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472,930,472.50</w:t>
            </w:r>
            <w:r>
              <w:rPr>
                <w:rFonts w:ascii="Times New Roman"/>
                <w:sz w:val="21"/>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414,234,630.60</w:t>
            </w:r>
            <w:r>
              <w:rPr>
                <w:rFonts w:ascii="Times New Roman"/>
                <w:sz w:val="21"/>
              </w:rPr>
            </w:r>
          </w:p>
        </w:tc>
      </w:tr>
      <w:tr>
        <w:trPr>
          <w:trHeight w:val="418"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前五名销售额</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85,057,226.13</w:t>
            </w:r>
            <w:r>
              <w:rPr>
                <w:rFonts w:ascii="Times New Roman"/>
                <w:sz w:val="21"/>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100,953,239.27</w:t>
            </w:r>
            <w:r>
              <w:rPr>
                <w:rFonts w:ascii="Times New Roman"/>
                <w:sz w:val="21"/>
              </w:rPr>
            </w:r>
          </w:p>
        </w:tc>
      </w:tr>
      <w:tr>
        <w:trPr>
          <w:trHeight w:val="420" w:hRule="exact"/>
        </w:trPr>
        <w:tc>
          <w:tcPr>
            <w:tcW w:w="3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前五名销售额占营业收入比例</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17.99%</w:t>
            </w:r>
            <w:r>
              <w:rPr>
                <w:rFonts w:ascii="Times New Roman"/>
                <w:sz w:val="21"/>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24.37%</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62" w:right="0"/>
        <w:jc w:val="left"/>
      </w:pPr>
      <w:r>
        <w:rPr>
          <w:rFonts w:ascii="Times New Roman" w:hAnsi="Times New Roman" w:cs="Times New Roman" w:eastAsia="Times New Roman" w:hint="default"/>
        </w:rPr>
        <w:t>B</w:t>
      </w:r>
      <w:r>
        <w:rPr/>
        <w:t>、营业成本</w:t>
      </w:r>
    </w:p>
    <w:p>
      <w:pPr>
        <w:spacing w:after="0" w:line="240" w:lineRule="auto"/>
        <w:jc w:val="left"/>
        <w:sectPr>
          <w:type w:val="continuous"/>
          <w:pgSz w:w="11910" w:h="16840"/>
          <w:pgMar w:top="940" w:bottom="920" w:left="1640" w:right="1600"/>
        </w:sectPr>
      </w:pPr>
    </w:p>
    <w:p>
      <w:pPr>
        <w:pStyle w:val="BodyText"/>
        <w:spacing w:line="258" w:lineRule="exact"/>
        <w:ind w:left="0" w:right="88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874" w:type="dxa"/>
        <w:tblLayout w:type="fixed"/>
        <w:tblCellMar>
          <w:top w:w="0" w:type="dxa"/>
          <w:left w:w="0" w:type="dxa"/>
          <w:bottom w:w="0" w:type="dxa"/>
          <w:right w:w="0" w:type="dxa"/>
        </w:tblCellMar>
        <w:tblLook w:val="01E0"/>
      </w:tblPr>
      <w:tblGrid>
        <w:gridCol w:w="2657"/>
        <w:gridCol w:w="2743"/>
        <w:gridCol w:w="2834"/>
      </w:tblGrid>
      <w:tr>
        <w:trPr>
          <w:trHeight w:val="419"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11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9"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5"/>
                <w:sz w:val="21"/>
              </w:rPr>
              <w:t>328,682,842.38</w:t>
            </w:r>
            <w:r>
              <w:rPr>
                <w:rFonts w:ascii="Times New Roman"/>
                <w:sz w:val="21"/>
              </w:rPr>
            </w:r>
          </w:p>
        </w:tc>
      </w:tr>
      <w:tr>
        <w:trPr>
          <w:trHeight w:val="41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w w:val="95"/>
                <w:sz w:val="21"/>
              </w:rPr>
              <w:t>33,949.31</w:t>
            </w:r>
            <w:r>
              <w:rPr>
                <w:rFonts w:ascii="Times New Roman"/>
                <w:sz w:val="21"/>
              </w:rPr>
            </w:r>
          </w:p>
        </w:tc>
      </w:tr>
      <w:tr>
        <w:trPr>
          <w:trHeight w:val="418" w:hRule="exact"/>
        </w:trPr>
        <w:tc>
          <w:tcPr>
            <w:tcW w:w="26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11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328,716,791.69</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922" w:right="969"/>
        <w:jc w:val="left"/>
      </w:pPr>
      <w:r>
        <w:rPr/>
        <w:t>（</w:t>
      </w:r>
      <w:r>
        <w:rPr>
          <w:rFonts w:ascii="Times New Roman" w:hAnsi="Times New Roman" w:cs="Times New Roman" w:eastAsia="Times New Roman" w:hint="default"/>
        </w:rPr>
        <w:t>2</w:t>
      </w:r>
      <w:r>
        <w:rPr/>
        <w:t>）主营业务（分行业）</w:t>
      </w:r>
    </w:p>
    <w:p>
      <w:pPr>
        <w:pStyle w:val="BodyText"/>
        <w:spacing w:line="240" w:lineRule="auto" w:before="119"/>
        <w:ind w:left="0" w:right="88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1939"/>
        <w:gridCol w:w="1942"/>
        <w:gridCol w:w="1939"/>
        <w:gridCol w:w="1939"/>
        <w:gridCol w:w="1942"/>
      </w:tblGrid>
      <w:tr>
        <w:trPr>
          <w:trHeight w:val="418"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before="174"/>
              <w:ind w:left="54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0" w:hRule="exact"/>
        </w:trPr>
        <w:tc>
          <w:tcPr>
            <w:tcW w:w="1939"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73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469,616,907.47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395,136,650.23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410,170,791.28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328,682,842.38</w:t>
            </w:r>
          </w:p>
        </w:tc>
      </w:tr>
    </w:tbl>
    <w:p>
      <w:pPr>
        <w:spacing w:line="240" w:lineRule="auto" w:before="9"/>
        <w:rPr>
          <w:rFonts w:ascii="宋体" w:hAnsi="宋体" w:cs="宋体" w:eastAsia="宋体" w:hint="default"/>
          <w:sz w:val="22"/>
          <w:szCs w:val="22"/>
        </w:rPr>
      </w:pPr>
    </w:p>
    <w:p>
      <w:pPr>
        <w:pStyle w:val="BodyText"/>
        <w:spacing w:line="240" w:lineRule="auto" w:before="34"/>
        <w:ind w:left="922" w:right="969"/>
        <w:jc w:val="left"/>
      </w:pPr>
      <w:r>
        <w:rPr/>
        <w:t>（</w:t>
      </w:r>
      <w:r>
        <w:rPr>
          <w:rFonts w:ascii="Times New Roman" w:hAnsi="Times New Roman" w:cs="Times New Roman" w:eastAsia="Times New Roman" w:hint="default"/>
        </w:rPr>
        <w:t>3</w:t>
      </w:r>
      <w:r>
        <w:rPr/>
        <w:t>）主营业务（分产品）</w:t>
      </w:r>
    </w:p>
    <w:p>
      <w:pPr>
        <w:pStyle w:val="BodyText"/>
        <w:spacing w:line="240" w:lineRule="auto" w:before="117"/>
        <w:ind w:left="0" w:right="88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240" w:type="dxa"/>
        <w:tblLayout w:type="fixed"/>
        <w:tblCellMar>
          <w:top w:w="0" w:type="dxa"/>
          <w:left w:w="0" w:type="dxa"/>
          <w:bottom w:w="0" w:type="dxa"/>
          <w:right w:w="0" w:type="dxa"/>
        </w:tblCellMar>
        <w:tblLook w:val="01E0"/>
      </w:tblPr>
      <w:tblGrid>
        <w:gridCol w:w="1939"/>
        <w:gridCol w:w="1940"/>
        <w:gridCol w:w="1940"/>
        <w:gridCol w:w="1939"/>
        <w:gridCol w:w="1942"/>
      </w:tblGrid>
      <w:tr>
        <w:trPr>
          <w:trHeight w:val="419"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before="174"/>
              <w:ind w:left="54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9" w:hRule="exact"/>
        </w:trPr>
        <w:tc>
          <w:tcPr>
            <w:tcW w:w="1939"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73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1"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402,875,371.60</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338,880,388.96</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343,659,699.07</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277,032,238.93</w:t>
            </w:r>
            <w:r>
              <w:rPr>
                <w:rFonts w:ascii="Times New Roman"/>
                <w:sz w:val="21"/>
              </w:rPr>
            </w:r>
          </w:p>
        </w:tc>
      </w:tr>
      <w:tr>
        <w:trPr>
          <w:trHeight w:val="73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66,741,535.87</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56,256,261.27</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66,511,092.21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51,650,603.45</w:t>
            </w:r>
            <w:r>
              <w:rPr>
                <w:rFonts w:ascii="Times New Roman"/>
                <w:sz w:val="21"/>
              </w:rPr>
            </w:r>
          </w:p>
        </w:tc>
      </w:tr>
      <w:tr>
        <w:trPr>
          <w:trHeight w:val="73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410,170,791.28</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328,682,842.38</w:t>
            </w:r>
            <w:r>
              <w:rPr>
                <w:rFonts w:ascii="Times New Roman"/>
                <w:sz w:val="21"/>
              </w:rPr>
            </w:r>
          </w:p>
        </w:tc>
      </w:tr>
    </w:tbl>
    <w:p>
      <w:pPr>
        <w:pStyle w:val="BodyText"/>
        <w:spacing w:line="257" w:lineRule="exact"/>
        <w:ind w:left="922" w:right="969"/>
        <w:jc w:val="left"/>
      </w:pPr>
      <w:r>
        <w:rPr/>
        <w:t>（</w:t>
      </w:r>
      <w:r>
        <w:rPr>
          <w:rFonts w:ascii="Times New Roman" w:hAnsi="Times New Roman" w:cs="Times New Roman" w:eastAsia="Times New Roman" w:hint="default"/>
        </w:rPr>
        <w:t>4</w:t>
      </w:r>
      <w:r>
        <w:rPr/>
        <w:t>）主营业务（分地区）</w:t>
      </w:r>
    </w:p>
    <w:p>
      <w:pPr>
        <w:pStyle w:val="BodyText"/>
        <w:spacing w:line="240" w:lineRule="auto" w:before="117"/>
        <w:ind w:left="0" w:right="109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39"/>
        <w:gridCol w:w="1939"/>
        <w:gridCol w:w="1942"/>
        <w:gridCol w:w="1939"/>
        <w:gridCol w:w="1939"/>
      </w:tblGrid>
      <w:tr>
        <w:trPr>
          <w:trHeight w:val="418"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before="174"/>
              <w:ind w:left="54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78"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9" w:hRule="exact"/>
        </w:trPr>
        <w:tc>
          <w:tcPr>
            <w:tcW w:w="193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736"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31"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385,919,820.82</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320,040,924.84</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0"/>
              <w:jc w:val="right"/>
              <w:rPr>
                <w:rFonts w:ascii="Times New Roman" w:hAnsi="Times New Roman" w:cs="Times New Roman" w:eastAsia="Times New Roman" w:hint="default"/>
                <w:sz w:val="21"/>
                <w:szCs w:val="21"/>
              </w:rPr>
            </w:pPr>
            <w:r>
              <w:rPr>
                <w:rFonts w:ascii="Times New Roman"/>
                <w:w w:val="95"/>
                <w:sz w:val="21"/>
              </w:rPr>
              <w:t>341,043,454.30</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9"/>
              <w:ind w:right="25"/>
              <w:jc w:val="right"/>
              <w:rPr>
                <w:rFonts w:ascii="Times New Roman" w:hAnsi="Times New Roman" w:cs="Times New Roman" w:eastAsia="Times New Roman" w:hint="default"/>
                <w:sz w:val="21"/>
                <w:szCs w:val="21"/>
              </w:rPr>
            </w:pPr>
            <w:r>
              <w:rPr>
                <w:rFonts w:ascii="Times New Roman"/>
                <w:w w:val="95"/>
                <w:sz w:val="21"/>
              </w:rPr>
              <w:t>279,502,504.89</w:t>
            </w:r>
            <w:r>
              <w:rPr>
                <w:rFonts w:ascii="Times New Roman"/>
                <w:sz w:val="21"/>
              </w:rPr>
            </w:r>
          </w:p>
        </w:tc>
      </w:tr>
      <w:tr>
        <w:trPr>
          <w:trHeight w:val="73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1"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83,697,086.65</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75,095,725.39</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95"/>
                <w:sz w:val="21"/>
              </w:rPr>
              <w:t>69,127,336.98</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8"/>
              <w:ind w:right="25"/>
              <w:jc w:val="right"/>
              <w:rPr>
                <w:rFonts w:ascii="Times New Roman" w:hAnsi="Times New Roman" w:cs="Times New Roman" w:eastAsia="Times New Roman" w:hint="default"/>
                <w:sz w:val="21"/>
                <w:szCs w:val="21"/>
              </w:rPr>
            </w:pPr>
            <w:r>
              <w:rPr>
                <w:rFonts w:ascii="Times New Roman"/>
                <w:w w:val="95"/>
                <w:sz w:val="21"/>
              </w:rPr>
              <w:t>49,180,337.49</w:t>
            </w:r>
            <w:r>
              <w:rPr>
                <w:rFonts w:ascii="Times New Roman"/>
                <w:sz w:val="21"/>
              </w:rPr>
            </w:r>
          </w:p>
        </w:tc>
      </w:tr>
      <w:tr>
        <w:trPr>
          <w:trHeight w:val="73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410,170,791.28</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328,682,842.38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058" w:footer="1590" w:top="1780" w:bottom="1780" w:left="880" w:right="920"/>
        </w:sectPr>
      </w:pPr>
    </w:p>
    <w:p>
      <w:pPr>
        <w:pStyle w:val="Heading4"/>
        <w:spacing w:line="282" w:lineRule="exact"/>
        <w:ind w:left="908" w:right="0"/>
        <w:jc w:val="left"/>
        <w:rPr>
          <w:b w:val="0"/>
          <w:bCs w:val="0"/>
        </w:rPr>
      </w:pPr>
      <w:bookmarkStart w:name="28、营业税金及附加" w:id="81"/>
      <w:bookmarkEnd w:id="81"/>
      <w:r>
        <w:rPr>
          <w:b w:val="0"/>
          <w:bCs w:val="0"/>
        </w:rPr>
      </w:r>
      <w:bookmarkStart w:name="29、销售费用" w:id="82"/>
      <w:bookmarkEnd w:id="82"/>
      <w:r>
        <w:rPr>
          <w:b w:val="0"/>
          <w:bCs w:val="0"/>
        </w:rPr>
      </w:r>
      <w:bookmarkStart w:name="30、管理费用" w:id="83"/>
      <w:bookmarkEnd w:id="83"/>
      <w:r>
        <w:rPr>
          <w:b w:val="0"/>
          <w:bCs w:val="0"/>
        </w:rPr>
      </w:r>
      <w:r>
        <w:rPr>
          <w:rFonts w:ascii="Times New Roman" w:hAnsi="Times New Roman" w:cs="Times New Roman" w:eastAsia="Times New Roman" w:hint="default"/>
        </w:rPr>
        <w:t>28</w:t>
      </w:r>
      <w:r>
        <w:rPr/>
        <w:t>、营业税金及附加</w:t>
      </w:r>
      <w:r>
        <w:rPr>
          <w:b w:val="0"/>
          <w:bCs w:val="0"/>
        </w:rPr>
      </w:r>
    </w:p>
    <w:p>
      <w:pPr>
        <w:pStyle w:val="BodyText"/>
        <w:spacing w:line="240" w:lineRule="auto" w:before="109"/>
        <w:ind w:left="0" w:right="7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25"/>
        <w:gridCol w:w="2292"/>
        <w:gridCol w:w="1860"/>
        <w:gridCol w:w="2722"/>
      </w:tblGrid>
      <w:tr>
        <w:trPr>
          <w:trHeight w:val="42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193"/>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18"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724,702.37</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570,175.76</w:t>
            </w:r>
            <w:r>
              <w:rPr>
                <w:rFonts w:ascii="Times New Roman"/>
                <w:sz w:val="21"/>
              </w:rPr>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p>
        </w:tc>
      </w:tr>
      <w:tr>
        <w:trPr>
          <w:trHeight w:val="418"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434,064.19</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342,105.46</w:t>
            </w:r>
            <w:r>
              <w:rPr>
                <w:rFonts w:ascii="Times New Roman"/>
                <w:sz w:val="21"/>
              </w:rPr>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p>
        </w:tc>
      </w:tr>
      <w:tr>
        <w:trPr>
          <w:trHeight w:val="41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地方教育费附加</w:t>
            </w:r>
            <w:r>
              <w:rPr>
                <w:rFonts w:ascii="Times New Roman" w:hAnsi="Times New Roman" w:cs="Times New Roman" w:eastAsia="Times New Roman" w:hint="default"/>
                <w:sz w:val="21"/>
                <w:szCs w:val="21"/>
              </w:rPr>
              <w: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162,336.63</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107,126.81</w:t>
            </w:r>
            <w:r>
              <w:rPr>
                <w:rFonts w:ascii="Times New Roman"/>
                <w:sz w:val="21"/>
              </w:rPr>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p>
        </w:tc>
      </w:tr>
      <w:tr>
        <w:trPr>
          <w:trHeight w:val="41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right="119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21"/>
                <w:szCs w:val="21"/>
              </w:rPr>
            </w:pPr>
            <w:r>
              <w:rPr>
                <w:rFonts w:ascii="Times New Roman"/>
                <w:w w:val="95"/>
                <w:sz w:val="21"/>
              </w:rPr>
              <w:t>1,321,103.19</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21"/>
                <w:szCs w:val="21"/>
              </w:rPr>
            </w:pPr>
            <w:r>
              <w:rPr>
                <w:rFonts w:ascii="Times New Roman"/>
                <w:w w:val="95"/>
                <w:sz w:val="21"/>
              </w:rPr>
              <w:t>1,019,408.03</w:t>
            </w:r>
            <w:r>
              <w:rPr>
                <w:rFonts w:ascii="Times New Roman"/>
                <w:sz w:val="21"/>
              </w:rPr>
            </w:r>
          </w:p>
        </w:tc>
        <w:tc>
          <w:tcPr>
            <w:tcW w:w="2722"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1216" w:right="0"/>
        <w:jc w:val="left"/>
      </w:pPr>
      <w:r>
        <w:rPr>
          <w:rFonts w:ascii="Times New Roman" w:hAnsi="Times New Roman" w:cs="Times New Roman" w:eastAsia="Times New Roman" w:hint="default"/>
        </w:rPr>
        <w:t>*</w:t>
      </w:r>
      <w:r>
        <w:rPr/>
        <w:t>广海分公司地方教育费附加计缴标准为应交流转税额的</w:t>
      </w:r>
      <w:r>
        <w:rPr>
          <w:spacing w:val="-61"/>
        </w:rPr>
        <w:t> </w:t>
      </w:r>
      <w:r>
        <w:rPr>
          <w:rFonts w:ascii="Times New Roman" w:hAnsi="Times New Roman" w:cs="Times New Roman" w:eastAsia="Times New Roman" w:hint="default"/>
        </w:rPr>
        <w:t>10%</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333" w:lineRule="exact"/>
        <w:ind w:left="908" w:right="0"/>
        <w:jc w:val="left"/>
        <w:rPr>
          <w:b w:val="0"/>
          <w:bCs w:val="0"/>
        </w:rPr>
      </w:pPr>
      <w:r>
        <w:rPr>
          <w:rFonts w:ascii="Times New Roman" w:hAnsi="Times New Roman" w:cs="Times New Roman" w:eastAsia="Times New Roman" w:hint="default"/>
        </w:rPr>
        <w:t>29</w:t>
      </w:r>
      <w:r>
        <w:rPr/>
        <w:t>、销售费用</w:t>
      </w:r>
      <w:r>
        <w:rPr>
          <w:b w:val="0"/>
          <w:bCs w:val="0"/>
        </w:rPr>
      </w:r>
    </w:p>
    <w:p>
      <w:pPr>
        <w:pStyle w:val="BodyText"/>
        <w:tabs>
          <w:tab w:pos="1156" w:val="left" w:leader="none"/>
        </w:tabs>
        <w:spacing w:line="240" w:lineRule="auto" w:before="109"/>
        <w:ind w:left="0" w:right="721"/>
        <w:jc w:val="right"/>
      </w:pPr>
      <w:r>
        <w:rPr>
          <w:w w:val="95"/>
        </w:rPr>
        <w:t>单位：元</w:t>
        <w:tab/>
        <w:t>币种：人民币</w:t>
      </w:r>
      <w:r>
        <w:rPr/>
      </w:r>
    </w:p>
    <w:p>
      <w:pPr>
        <w:spacing w:line="240" w:lineRule="auto" w:before="13"/>
        <w:rPr>
          <w:rFonts w:ascii="宋体" w:hAnsi="宋体" w:cs="宋体" w:eastAsia="宋体" w:hint="default"/>
          <w:sz w:val="12"/>
          <w:szCs w:val="12"/>
        </w:rPr>
      </w:pPr>
    </w:p>
    <w:tbl>
      <w:tblPr>
        <w:tblW w:w="0" w:type="auto"/>
        <w:jc w:val="left"/>
        <w:tblInd w:w="911" w:type="dxa"/>
        <w:tblLayout w:type="fixed"/>
        <w:tblCellMar>
          <w:top w:w="0" w:type="dxa"/>
          <w:left w:w="0" w:type="dxa"/>
          <w:bottom w:w="0" w:type="dxa"/>
          <w:right w:w="0" w:type="dxa"/>
        </w:tblCellMar>
        <w:tblLook w:val="01E0"/>
      </w:tblPr>
      <w:tblGrid>
        <w:gridCol w:w="2410"/>
        <w:gridCol w:w="3214"/>
        <w:gridCol w:w="2659"/>
      </w:tblGrid>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10,814,559.06</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8,907,290.15</w:t>
            </w:r>
            <w:r>
              <w:rPr>
                <w:rFonts w:ascii="Times New Roman"/>
                <w:sz w:val="21"/>
              </w:rPr>
            </w:r>
          </w:p>
        </w:tc>
      </w:tr>
      <w:tr>
        <w:trPr>
          <w:trHeight w:val="424"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w w:val="95"/>
                <w:sz w:val="21"/>
              </w:rPr>
              <w:t>2,341,315.43</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w w:val="95"/>
                <w:sz w:val="21"/>
              </w:rPr>
              <w:t>1,933,765.68</w:t>
            </w:r>
            <w:r>
              <w:rPr>
                <w:rFonts w:ascii="Times New Roman"/>
                <w:sz w:val="21"/>
              </w:rPr>
            </w:r>
          </w:p>
        </w:tc>
      </w:tr>
      <w:tr>
        <w:trPr>
          <w:trHeight w:val="42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2,564,300.86</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1,858,770.00</w:t>
            </w:r>
            <w:r>
              <w:rPr>
                <w:rFonts w:ascii="Times New Roman"/>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出口费用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1,065,834.22</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1,173,200.74</w:t>
            </w:r>
            <w:r>
              <w:rPr>
                <w:rFonts w:ascii="Times New Roman"/>
                <w:sz w:val="21"/>
              </w:rPr>
            </w:r>
          </w:p>
        </w:tc>
      </w:tr>
      <w:tr>
        <w:trPr>
          <w:trHeight w:val="42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1,294,486.90</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w w:val="95"/>
                <w:sz w:val="21"/>
              </w:rPr>
              <w:t>732,113.40</w:t>
            </w:r>
            <w:r>
              <w:rPr>
                <w:rFonts w:ascii="Times New Roman"/>
                <w:spacing w:val="-1"/>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81,187.62</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556,294.13</w:t>
            </w:r>
            <w:r>
              <w:rPr>
                <w:rFonts w:ascii="Times New Roman"/>
                <w:sz w:val="21"/>
              </w:rPr>
            </w:r>
          </w:p>
        </w:tc>
      </w:tr>
      <w:tr>
        <w:trPr>
          <w:trHeight w:val="42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478,367.61</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465,056.84</w:t>
            </w:r>
            <w:r>
              <w:rPr>
                <w:rFonts w:ascii="Times New Roman"/>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906,012.50</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464,104.50</w:t>
            </w:r>
            <w:r>
              <w:rPr>
                <w:rFonts w:ascii="Times New Roman"/>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标书费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492,293.87</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233,816.71</w:t>
            </w:r>
            <w:r>
              <w:rPr>
                <w:rFonts w:ascii="Times New Roman"/>
                <w:sz w:val="21"/>
              </w:rPr>
            </w:r>
          </w:p>
        </w:tc>
      </w:tr>
      <w:tr>
        <w:trPr>
          <w:trHeight w:val="42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商检费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128,047.50</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w w:val="95"/>
                <w:sz w:val="21"/>
              </w:rPr>
              <w:t>119,835.00</w:t>
            </w:r>
            <w:r>
              <w:rPr>
                <w:rFonts w:ascii="Times New Roman"/>
                <w:spacing w:val="-1"/>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5,253.76</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3,027.00</w:t>
            </w:r>
            <w:r>
              <w:rPr>
                <w:rFonts w:ascii="Times New Roman"/>
                <w:sz w:val="21"/>
              </w:rPr>
            </w:r>
          </w:p>
        </w:tc>
      </w:tr>
      <w:tr>
        <w:trPr>
          <w:trHeight w:val="425"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612,240.05</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832,848.38</w:t>
            </w:r>
            <w:r>
              <w:rPr>
                <w:rFonts w:ascii="Times New Roman"/>
                <w:sz w:val="21"/>
              </w:rPr>
            </w:r>
          </w:p>
        </w:tc>
      </w:tr>
      <w:tr>
        <w:trPr>
          <w:trHeight w:val="422"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20,783,899.38</w:t>
            </w:r>
            <w:r>
              <w:rPr>
                <w:rFonts w:ascii="Times New Roman"/>
                <w:sz w:val="21"/>
              </w:rPr>
            </w:r>
          </w:p>
        </w:tc>
        <w:tc>
          <w:tcPr>
            <w:tcW w:w="26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17,280,122.53</w:t>
            </w:r>
            <w:r>
              <w:rPr>
                <w:rFonts w:ascii="Times New Roman"/>
                <w:sz w:val="21"/>
              </w:rPr>
            </w:r>
          </w:p>
        </w:tc>
      </w:tr>
    </w:tbl>
    <w:p>
      <w:pPr>
        <w:spacing w:line="240" w:lineRule="auto" w:before="2"/>
        <w:rPr>
          <w:rFonts w:ascii="宋体" w:hAnsi="宋体" w:cs="宋体" w:eastAsia="宋体" w:hint="default"/>
          <w:sz w:val="26"/>
          <w:szCs w:val="26"/>
        </w:rPr>
      </w:pPr>
    </w:p>
    <w:p>
      <w:pPr>
        <w:pStyle w:val="Heading4"/>
        <w:spacing w:line="333" w:lineRule="exact"/>
        <w:ind w:left="908" w:right="0"/>
        <w:jc w:val="left"/>
        <w:rPr>
          <w:b w:val="0"/>
          <w:bCs w:val="0"/>
        </w:rPr>
      </w:pPr>
      <w:r>
        <w:rPr>
          <w:rFonts w:ascii="Times New Roman" w:hAnsi="Times New Roman" w:cs="Times New Roman" w:eastAsia="Times New Roman" w:hint="default"/>
        </w:rPr>
        <w:t>30</w:t>
      </w:r>
      <w:r>
        <w:rPr/>
        <w:t>、管理费用</w:t>
      </w:r>
      <w:r>
        <w:rPr>
          <w:b w:val="0"/>
          <w:bCs w:val="0"/>
        </w:rPr>
      </w:r>
    </w:p>
    <w:p>
      <w:pPr>
        <w:pStyle w:val="BodyText"/>
        <w:tabs>
          <w:tab w:pos="1156" w:val="left" w:leader="none"/>
        </w:tabs>
        <w:spacing w:line="240" w:lineRule="auto" w:before="109"/>
        <w:ind w:left="0" w:right="721"/>
        <w:jc w:val="right"/>
      </w:pPr>
      <w:r>
        <w:rPr>
          <w:w w:val="95"/>
        </w:rPr>
        <w:t>单位：元</w:t>
        <w:tab/>
        <w:t>币种：人民币</w:t>
      </w:r>
      <w:r>
        <w:rPr/>
      </w:r>
    </w:p>
    <w:p>
      <w:pPr>
        <w:spacing w:line="240" w:lineRule="auto" w:before="10"/>
        <w:rPr>
          <w:rFonts w:ascii="宋体" w:hAnsi="宋体" w:cs="宋体" w:eastAsia="宋体" w:hint="default"/>
          <w:sz w:val="12"/>
          <w:szCs w:val="12"/>
        </w:rPr>
      </w:pPr>
    </w:p>
    <w:tbl>
      <w:tblPr>
        <w:tblW w:w="0" w:type="auto"/>
        <w:jc w:val="left"/>
        <w:tblInd w:w="878" w:type="dxa"/>
        <w:tblLayout w:type="fixed"/>
        <w:tblCellMar>
          <w:top w:w="0" w:type="dxa"/>
          <w:left w:w="0" w:type="dxa"/>
          <w:bottom w:w="0" w:type="dxa"/>
          <w:right w:w="0" w:type="dxa"/>
        </w:tblCellMar>
        <w:tblLook w:val="01E0"/>
      </w:tblPr>
      <w:tblGrid>
        <w:gridCol w:w="2429"/>
        <w:gridCol w:w="2772"/>
        <w:gridCol w:w="3115"/>
      </w:tblGrid>
      <w:tr>
        <w:trPr>
          <w:trHeight w:val="42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2"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3,869,180.55</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2,603,242.54</w:t>
            </w:r>
            <w:r>
              <w:rPr>
                <w:rFonts w:ascii="Times New Roman"/>
                <w:sz w:val="21"/>
              </w:rPr>
            </w:r>
          </w:p>
        </w:tc>
      </w:tr>
      <w:tr>
        <w:trPr>
          <w:trHeight w:val="42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3,244,475.00</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1,876,394.65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39"/>
          <w:pgSz w:w="11910" w:h="16840"/>
          <w:pgMar w:footer="1590" w:header="1058" w:top="1780" w:bottom="1780" w:left="900" w:right="1080"/>
          <w:pgNumType w:start="110"/>
        </w:sectPr>
      </w:pPr>
    </w:p>
    <w:tbl>
      <w:tblPr>
        <w:tblW w:w="0" w:type="auto"/>
        <w:jc w:val="left"/>
        <w:tblInd w:w="118" w:type="dxa"/>
        <w:tblLayout w:type="fixed"/>
        <w:tblCellMar>
          <w:top w:w="0" w:type="dxa"/>
          <w:left w:w="0" w:type="dxa"/>
          <w:bottom w:w="0" w:type="dxa"/>
          <w:right w:w="0" w:type="dxa"/>
        </w:tblCellMar>
        <w:tblLook w:val="01E0"/>
      </w:tblPr>
      <w:tblGrid>
        <w:gridCol w:w="2429"/>
        <w:gridCol w:w="2772"/>
        <w:gridCol w:w="3115"/>
      </w:tblGrid>
      <w:tr>
        <w:trPr>
          <w:trHeight w:val="422"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bookmarkStart w:name="31、财务费用" w:id="84"/>
            <w:bookmarkEnd w:id="84"/>
            <w:r>
              <w:rPr/>
            </w:r>
            <w:bookmarkStart w:name="32、资产减值损失" w:id="85"/>
            <w:bookmarkEnd w:id="85"/>
            <w:r>
              <w:rPr/>
            </w:r>
            <w:r>
              <w:rPr>
                <w:rFonts w:ascii="宋体" w:hAnsi="宋体" w:cs="宋体" w:eastAsia="宋体" w:hint="default"/>
                <w:sz w:val="21"/>
                <w:szCs w:val="21"/>
              </w:rPr>
              <w:t>房租</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spacing w:val="-1"/>
                <w:sz w:val="21"/>
              </w:rPr>
              <w:t>1,311,016.66</w:t>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996,354.06</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886,649.13</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930,432.63</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1,856,415.47</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773,874.73</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1"/>
                <w:szCs w:val="21"/>
              </w:rPr>
            </w:pPr>
            <w:r>
              <w:rPr>
                <w:rFonts w:ascii="Times New Roman"/>
                <w:w w:val="95"/>
                <w:sz w:val="21"/>
              </w:rPr>
              <w:t>1,335,888.39</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690,367.60</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651,823.63</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515,929.70</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522,404.70</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354,484.10</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450,259.19</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327,872.40</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476,549.55</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pacing w:val="-1"/>
                <w:w w:val="95"/>
                <w:sz w:val="21"/>
              </w:rPr>
              <w:t>204,112.00</w:t>
            </w:r>
            <w:r>
              <w:rPr>
                <w:rFonts w:ascii="Times New Roman"/>
                <w:spacing w:val="-1"/>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305,944.43</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157,295.85</w:t>
            </w:r>
            <w:r>
              <w:rPr>
                <w:rFonts w:ascii="Times New Roman"/>
                <w:sz w:val="21"/>
              </w:rPr>
            </w:r>
          </w:p>
        </w:tc>
      </w:tr>
      <w:tr>
        <w:trPr>
          <w:trHeight w:val="424"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244,556.41</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131,046.63</w:t>
            </w:r>
            <w:r>
              <w:rPr>
                <w:rFonts w:ascii="Times New Roman"/>
                <w:sz w:val="21"/>
              </w:rPr>
            </w:r>
          </w:p>
        </w:tc>
      </w:tr>
      <w:tr>
        <w:trPr>
          <w:trHeight w:val="422"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7,127,747.76</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657,562.22</w:t>
            </w:r>
            <w:r>
              <w:rPr>
                <w:rFonts w:ascii="Times New Roman"/>
                <w:sz w:val="21"/>
              </w:rPr>
            </w:r>
          </w:p>
        </w:tc>
      </w:tr>
      <w:tr>
        <w:trPr>
          <w:trHeight w:val="42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23,482,910.87</w:t>
            </w:r>
            <w:r>
              <w:rPr>
                <w:rFonts w:ascii="Times New Roman"/>
                <w:sz w:val="21"/>
              </w:rPr>
            </w:r>
          </w:p>
        </w:tc>
        <w:tc>
          <w:tcPr>
            <w:tcW w:w="3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w w:val="95"/>
                <w:sz w:val="21"/>
              </w:rPr>
              <w:t>11,418,969.11</w:t>
            </w:r>
            <w:r>
              <w:rPr>
                <w:rFonts w:ascii="Times New Roman"/>
                <w:spacing w:val="-1"/>
                <w:sz w:val="21"/>
              </w:rPr>
            </w:r>
          </w:p>
        </w:tc>
      </w:tr>
    </w:tbl>
    <w:p>
      <w:pPr>
        <w:spacing w:line="240" w:lineRule="auto" w:before="4"/>
        <w:rPr>
          <w:rFonts w:ascii="宋体" w:hAnsi="宋体" w:cs="宋体" w:eastAsia="宋体" w:hint="default"/>
          <w:sz w:val="27"/>
          <w:szCs w:val="27"/>
        </w:rPr>
      </w:pPr>
    </w:p>
    <w:p>
      <w:pPr>
        <w:pStyle w:val="Heading4"/>
        <w:spacing w:line="333" w:lineRule="exact"/>
        <w:ind w:left="148" w:right="0"/>
        <w:jc w:val="left"/>
        <w:rPr>
          <w:b w:val="0"/>
          <w:bCs w:val="0"/>
        </w:rPr>
      </w:pPr>
      <w:r>
        <w:rPr>
          <w:rFonts w:ascii="Times New Roman" w:hAnsi="Times New Roman" w:cs="Times New Roman" w:eastAsia="Times New Roman" w:hint="default"/>
        </w:rPr>
        <w:t>31</w:t>
      </w:r>
      <w:r>
        <w:rPr/>
        <w:t>、财务费用</w:t>
      </w:r>
      <w:r>
        <w:rPr>
          <w:b w:val="0"/>
          <w:bCs w:val="0"/>
        </w:rPr>
      </w:r>
    </w:p>
    <w:p>
      <w:pPr>
        <w:pStyle w:val="BodyText"/>
        <w:tabs>
          <w:tab w:pos="1156" w:val="left" w:leader="none"/>
        </w:tabs>
        <w:spacing w:line="240" w:lineRule="auto" w:before="109"/>
        <w:ind w:left="0" w:right="141"/>
        <w:jc w:val="right"/>
      </w:pPr>
      <w:r>
        <w:rPr>
          <w:w w:val="95"/>
        </w:rPr>
        <w:t>单位：元</w:t>
        <w:tab/>
        <w:t>币种：人民币</w:t>
      </w:r>
      <w:r>
        <w:rPr/>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12"/>
        <w:gridCol w:w="3212"/>
        <w:gridCol w:w="2592"/>
      </w:tblGrid>
      <w:tr>
        <w:trPr>
          <w:trHeight w:val="422"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4"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5"/>
              <w:jc w:val="right"/>
              <w:rPr>
                <w:rFonts w:ascii="Times New Roman" w:hAnsi="Times New Roman" w:cs="Times New Roman" w:eastAsia="Times New Roman" w:hint="default"/>
                <w:sz w:val="21"/>
                <w:szCs w:val="21"/>
              </w:rPr>
            </w:pPr>
            <w:r>
              <w:rPr>
                <w:rFonts w:ascii="Times New Roman"/>
                <w:w w:val="95"/>
                <w:sz w:val="21"/>
              </w:rPr>
              <w:t>3,443,849.17</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5,721,358.90</w:t>
            </w:r>
            <w:r>
              <w:rPr>
                <w:rFonts w:ascii="Times New Roman"/>
                <w:sz w:val="21"/>
              </w:rPr>
            </w:r>
          </w:p>
        </w:tc>
      </w:tr>
      <w:tr>
        <w:trPr>
          <w:trHeight w:val="424"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5"/>
              <w:jc w:val="right"/>
              <w:rPr>
                <w:rFonts w:ascii="Times New Roman" w:hAnsi="Times New Roman" w:cs="Times New Roman" w:eastAsia="Times New Roman" w:hint="default"/>
                <w:sz w:val="21"/>
                <w:szCs w:val="21"/>
              </w:rPr>
            </w:pPr>
            <w:r>
              <w:rPr>
                <w:rFonts w:ascii="Times New Roman"/>
                <w:sz w:val="21"/>
              </w:rPr>
              <w:t>-</w:t>
            </w:r>
            <w:r>
              <w:rPr>
                <w:rFonts w:ascii="Times New Roman"/>
                <w:spacing w:val="-5"/>
                <w:sz w:val="21"/>
              </w:rPr>
              <w:t> </w:t>
            </w:r>
            <w:r>
              <w:rPr>
                <w:rFonts w:ascii="Times New Roman"/>
                <w:sz w:val="21"/>
              </w:rPr>
              <w:t>2,716,219.03</w:t>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21"/>
                <w:szCs w:val="21"/>
              </w:rPr>
            </w:pPr>
            <w:r>
              <w:rPr>
                <w:rFonts w:ascii="Times New Roman"/>
                <w:sz w:val="21"/>
              </w:rPr>
              <w:t>-</w:t>
            </w:r>
            <w:r>
              <w:rPr>
                <w:rFonts w:ascii="Times New Roman"/>
                <w:spacing w:val="-4"/>
                <w:sz w:val="21"/>
              </w:rPr>
              <w:t> </w:t>
            </w:r>
            <w:r>
              <w:rPr>
                <w:rFonts w:ascii="Times New Roman"/>
                <w:sz w:val="21"/>
              </w:rPr>
              <w:t>439,086.45</w:t>
            </w:r>
          </w:p>
        </w:tc>
      </w:tr>
      <w:tr>
        <w:trPr>
          <w:trHeight w:val="424"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利息净支出</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727,630.14</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5,282,272.45</w:t>
            </w:r>
            <w:r>
              <w:rPr>
                <w:rFonts w:ascii="Times New Roman"/>
                <w:sz w:val="21"/>
              </w:rPr>
            </w:r>
          </w:p>
        </w:tc>
      </w:tr>
      <w:tr>
        <w:trPr>
          <w:trHeight w:val="740"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7"/>
              <w:jc w:val="right"/>
              <w:rPr>
                <w:rFonts w:ascii="Times New Roman" w:hAnsi="Times New Roman" w:cs="Times New Roman" w:eastAsia="Times New Roman" w:hint="default"/>
                <w:sz w:val="21"/>
                <w:szCs w:val="21"/>
              </w:rPr>
            </w:pPr>
            <w:r>
              <w:rPr>
                <w:rFonts w:ascii="Times New Roman"/>
                <w:w w:val="95"/>
                <w:sz w:val="21"/>
              </w:rPr>
              <w:t>218,195.63</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9,231.09</w:t>
            </w:r>
            <w:r>
              <w:rPr>
                <w:rFonts w:ascii="Times New Roman"/>
                <w:sz w:val="21"/>
              </w:rPr>
            </w:r>
          </w:p>
        </w:tc>
      </w:tr>
      <w:tr>
        <w:trPr>
          <w:trHeight w:val="422"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145,026.85</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spacing w:val="-1"/>
                <w:w w:val="95"/>
                <w:sz w:val="21"/>
              </w:rPr>
              <w:t>124,711.73</w:t>
            </w:r>
            <w:r>
              <w:rPr>
                <w:rFonts w:ascii="Times New Roman"/>
                <w:spacing w:val="-1"/>
                <w:sz w:val="21"/>
              </w:rPr>
            </w:r>
          </w:p>
        </w:tc>
      </w:tr>
      <w:tr>
        <w:trPr>
          <w:trHeight w:val="422"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944,994.37</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789,076.53</w:t>
            </w:r>
            <w:r>
              <w:rPr>
                <w:rFonts w:ascii="Times New Roman"/>
                <w:sz w:val="21"/>
              </w:rPr>
            </w:r>
          </w:p>
        </w:tc>
      </w:tr>
      <w:tr>
        <w:trPr>
          <w:trHeight w:val="425" w:hRule="exact"/>
        </w:trPr>
        <w:tc>
          <w:tcPr>
            <w:tcW w:w="2512"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5"/>
              <w:jc w:val="right"/>
              <w:rPr>
                <w:rFonts w:ascii="Times New Roman" w:hAnsi="Times New Roman" w:cs="Times New Roman" w:eastAsia="Times New Roman" w:hint="default"/>
                <w:sz w:val="21"/>
                <w:szCs w:val="21"/>
              </w:rPr>
            </w:pPr>
            <w:r>
              <w:rPr>
                <w:rFonts w:ascii="Times New Roman"/>
                <w:w w:val="95"/>
                <w:sz w:val="21"/>
              </w:rPr>
              <w:t>2,035,846.99</w:t>
            </w:r>
            <w:r>
              <w:rPr>
                <w:rFonts w:ascii="Times New Roman"/>
                <w:sz w:val="21"/>
              </w:rPr>
            </w:r>
          </w:p>
        </w:tc>
        <w:tc>
          <w:tcPr>
            <w:tcW w:w="25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6,205,291.80</w:t>
            </w:r>
            <w:r>
              <w:rPr>
                <w:rFonts w:ascii="Times New Roman"/>
                <w:sz w:val="21"/>
              </w:rPr>
            </w:r>
          </w:p>
        </w:tc>
      </w:tr>
    </w:tbl>
    <w:p>
      <w:pPr>
        <w:spacing w:line="240" w:lineRule="auto" w:before="6"/>
        <w:rPr>
          <w:rFonts w:ascii="宋体" w:hAnsi="宋体" w:cs="宋体" w:eastAsia="宋体" w:hint="default"/>
          <w:sz w:val="22"/>
          <w:szCs w:val="22"/>
        </w:rPr>
      </w:pPr>
    </w:p>
    <w:p>
      <w:pPr>
        <w:pStyle w:val="Heading4"/>
        <w:spacing w:line="333" w:lineRule="exact"/>
        <w:ind w:left="148" w:right="0"/>
        <w:jc w:val="left"/>
        <w:rPr>
          <w:b w:val="0"/>
          <w:bCs w:val="0"/>
        </w:rPr>
      </w:pPr>
      <w:r>
        <w:rPr>
          <w:rFonts w:ascii="Times New Roman" w:hAnsi="Times New Roman" w:cs="Times New Roman" w:eastAsia="Times New Roman" w:hint="default"/>
        </w:rPr>
        <w:t>32</w:t>
      </w:r>
      <w:r>
        <w:rPr/>
        <w:t>、资产减值损失</w:t>
      </w:r>
      <w:r>
        <w:rPr>
          <w:b w:val="0"/>
          <w:bCs w:val="0"/>
        </w:rPr>
      </w:r>
    </w:p>
    <w:p>
      <w:pPr>
        <w:pStyle w:val="BodyText"/>
        <w:spacing w:line="240" w:lineRule="auto" w:before="109"/>
        <w:ind w:left="0" w:right="14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510"/>
        <w:gridCol w:w="3247"/>
        <w:gridCol w:w="2592"/>
      </w:tblGrid>
      <w:tr>
        <w:trPr>
          <w:trHeight w:val="418"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2,314,797.03</w:t>
            </w:r>
            <w:r>
              <w:rPr>
                <w:rFonts w:ascii="Times New Roman"/>
                <w:sz w:val="21"/>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874,126.77</w:t>
            </w:r>
            <w:r>
              <w:rPr>
                <w:rFonts w:ascii="Times New Roman"/>
                <w:sz w:val="21"/>
              </w:rPr>
            </w:r>
          </w:p>
        </w:tc>
      </w:tr>
      <w:tr>
        <w:trPr>
          <w:trHeight w:val="420" w:hRule="exact"/>
        </w:trPr>
        <w:tc>
          <w:tcPr>
            <w:tcW w:w="25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二、固定资产减值损失</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058" w:footer="1590" w:top="1780" w:bottom="1780" w:left="1660" w:right="1660"/>
        </w:sectPr>
      </w:pPr>
    </w:p>
    <w:p>
      <w:pPr>
        <w:spacing w:line="432" w:lineRule="exact"/>
        <w:ind w:left="92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8pt;height:21.6pt;mso-position-horizontal-relative:char;mso-position-vertical-relative:line" coordorigin="0,0" coordsize="8360,432">
            <v:group style="position:absolute;left:5;top:10;width:8350;height:2" coordorigin="5,10" coordsize="8350,2">
              <v:shape style="position:absolute;left:5;top:10;width:8350;height:2" coordorigin="5,10" coordsize="8350,0" path="m5,10l8354,10e" filled="false" stroked="true" strokeweight=".48pt" strokecolor="#000000">
                <v:path arrowok="t"/>
              </v:shape>
            </v:group>
            <v:group style="position:absolute;left:5;top:427;width:8350;height:2" coordorigin="5,427" coordsize="8350,2">
              <v:shape style="position:absolute;left:5;top:427;width:8350;height:2" coordorigin="5,427" coordsize="8350,0" path="m5,427l8354,427e" filled="false" stroked="true" strokeweight=".48pt" strokecolor="#000000">
                <v:path arrowok="t"/>
              </v:shape>
            </v:group>
            <v:group style="position:absolute;left:2513;top:5;width:2;height:418" coordorigin="2513,5" coordsize="2,418">
              <v:shape style="position:absolute;left:2513;top:5;width:2;height:418" coordorigin="2513,5" coordsize="0,418" path="m2513,5l2513,422e" filled="false" stroked="true" strokeweight=".48pt" strokecolor="#000000">
                <v:path arrowok="t"/>
              </v:shape>
            </v:group>
            <v:group style="position:absolute;left:5762;top:5;width:2;height:418" coordorigin="5762,5" coordsize="2,418">
              <v:shape style="position:absolute;left:5762;top:5;width:2;height:418" coordorigin="5762,5" coordsize="0,418" path="m5762,5l5762,422e" filled="false" stroked="true" strokeweight=".48pt" strokecolor="#000000">
                <v:path arrowok="t"/>
              </v:shape>
              <v:shape style="position:absolute;left:2513;top:10;width:3250;height:418" type="#_x0000_t202" filled="false" stroked="false">
                <v:textbox inset="0,0,0,0">
                  <w:txbxContent>
                    <w:p>
                      <w:pPr>
                        <w:spacing w:before="48"/>
                        <w:ind w:left="2042" w:right="0" w:firstLine="0"/>
                        <w:jc w:val="left"/>
                        <w:rPr>
                          <w:rFonts w:ascii="Times New Roman" w:hAnsi="Times New Roman" w:cs="Times New Roman" w:eastAsia="Times New Roman" w:hint="default"/>
                          <w:sz w:val="21"/>
                          <w:szCs w:val="21"/>
                        </w:rPr>
                      </w:pPr>
                      <w:bookmarkStart w:name="33、营业外收入" w:id="86"/>
                      <w:bookmarkEnd w:id="86"/>
                      <w:r>
                        <w:rPr/>
                      </w:r>
                      <w:bookmarkStart w:name="34、营业外支出" w:id="87"/>
                      <w:bookmarkEnd w:id="87"/>
                      <w:r>
                        <w:rPr/>
                      </w:r>
                      <w:r>
                        <w:rPr>
                          <w:rFonts w:ascii="Times New Roman"/>
                          <w:sz w:val="21"/>
                        </w:rPr>
                        <w:t>2,314,797.03</w:t>
                      </w:r>
                    </w:p>
                  </w:txbxContent>
                </v:textbox>
                <w10:wrap type="none"/>
              </v:shape>
              <v:shape style="position:absolute;left:1051;top:46;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xbxContent>
                </v:textbox>
                <w10:wrap type="none"/>
              </v:shape>
              <v:shape style="position:absolute;left:7303;top:86;width:945;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921,537.29</w:t>
                      </w:r>
                      <w:r>
                        <w:rPr>
                          <w:rFonts w:ascii="Times New Roman"/>
                          <w:sz w:val="21"/>
                        </w:rPr>
                      </w:r>
                    </w:p>
                  </w:txbxContent>
                </v:textbox>
                <w10:wrap type="none"/>
              </v:shape>
            </v:group>
          </v:group>
        </w:pict>
      </w:r>
      <w:r>
        <w:rPr>
          <w:rFonts w:ascii="宋体" w:hAnsi="宋体" w:cs="宋体" w:eastAsia="宋体" w:hint="default"/>
          <w:position w:val="-8"/>
          <w:sz w:val="20"/>
          <w:szCs w:val="20"/>
        </w:rPr>
      </w:r>
    </w:p>
    <w:p>
      <w:pPr>
        <w:spacing w:line="240" w:lineRule="auto" w:before="6"/>
        <w:rPr>
          <w:rFonts w:ascii="宋体" w:hAnsi="宋体" w:cs="宋体" w:eastAsia="宋体" w:hint="default"/>
          <w:sz w:val="23"/>
          <w:szCs w:val="23"/>
        </w:rPr>
      </w:pPr>
    </w:p>
    <w:p>
      <w:pPr>
        <w:pStyle w:val="Heading4"/>
        <w:spacing w:line="333" w:lineRule="exact"/>
        <w:ind w:left="968" w:right="0"/>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2"/>
        <w:rPr>
          <w:rFonts w:ascii="Microsoft JhengHei" w:hAnsi="Microsoft JhengHei" w:cs="Microsoft JhengHei" w:eastAsia="Microsoft JhengHei" w:hint="default"/>
          <w:b/>
          <w:bCs/>
          <w:sz w:val="30"/>
          <w:szCs w:val="30"/>
        </w:rPr>
      </w:pPr>
    </w:p>
    <w:p>
      <w:pPr>
        <w:pStyle w:val="BodyText"/>
        <w:tabs>
          <w:tab w:pos="6914" w:val="left" w:leader="none"/>
          <w:tab w:pos="8035" w:val="left" w:leader="none"/>
        </w:tabs>
        <w:spacing w:line="240" w:lineRule="auto"/>
        <w:ind w:left="962" w:right="0"/>
        <w:jc w:val="left"/>
      </w:pPr>
      <w:r>
        <w:rPr>
          <w:w w:val="95"/>
        </w:rPr>
        <w:t>（</w:t>
      </w:r>
      <w:r>
        <w:rPr>
          <w:rFonts w:ascii="Times New Roman" w:hAnsi="Times New Roman" w:cs="Times New Roman" w:eastAsia="Times New Roman" w:hint="default"/>
          <w:w w:val="95"/>
        </w:rPr>
        <w:t>1</w:t>
      </w:r>
      <w:r>
        <w:rPr>
          <w:w w:val="95"/>
        </w:rPr>
        <w:t>）</w:t>
        <w:tab/>
      </w:r>
      <w:r>
        <w:rPr>
          <w:spacing w:val="-8"/>
          <w:w w:val="95"/>
        </w:rPr>
        <w:t>单位：元</w:t>
        <w:tab/>
      </w:r>
      <w:r>
        <w:rPr>
          <w:spacing w:val="-5"/>
        </w:rPr>
        <w:t>币种：人民币</w:t>
      </w:r>
    </w:p>
    <w:p>
      <w:pPr>
        <w:spacing w:line="240" w:lineRule="auto" w:before="7"/>
        <w:rPr>
          <w:rFonts w:ascii="宋体" w:hAnsi="宋体" w:cs="宋体" w:eastAsia="宋体" w:hint="default"/>
          <w:sz w:val="11"/>
          <w:szCs w:val="11"/>
        </w:rPr>
      </w:pPr>
    </w:p>
    <w:tbl>
      <w:tblPr>
        <w:tblW w:w="0" w:type="auto"/>
        <w:jc w:val="left"/>
        <w:tblInd w:w="904" w:type="dxa"/>
        <w:tblLayout w:type="fixed"/>
        <w:tblCellMar>
          <w:top w:w="0" w:type="dxa"/>
          <w:left w:w="0" w:type="dxa"/>
          <w:bottom w:w="0" w:type="dxa"/>
          <w:right w:w="0" w:type="dxa"/>
        </w:tblCellMar>
        <w:tblLook w:val="01E0"/>
      </w:tblPr>
      <w:tblGrid>
        <w:gridCol w:w="2551"/>
        <w:gridCol w:w="2016"/>
        <w:gridCol w:w="1932"/>
        <w:gridCol w:w="1867"/>
      </w:tblGrid>
      <w:tr>
        <w:trPr>
          <w:trHeight w:val="953"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355" w:lineRule="auto" w:before="86"/>
              <w:ind w:left="297" w:right="197" w:hanging="106"/>
              <w:jc w:val="left"/>
              <w:rPr>
                <w:rFonts w:ascii="宋体" w:hAnsi="宋体" w:cs="宋体" w:eastAsia="宋体" w:hint="default"/>
                <w:sz w:val="21"/>
                <w:szCs w:val="21"/>
              </w:rPr>
            </w:pPr>
            <w:r>
              <w:rPr>
                <w:rFonts w:ascii="宋体" w:hAnsi="宋体" w:cs="宋体" w:eastAsia="宋体" w:hint="default"/>
                <w:sz w:val="21"/>
                <w:szCs w:val="21"/>
              </w:rPr>
              <w:t>计入当期非经常</w:t>
            </w:r>
            <w:r>
              <w:rPr>
                <w:rFonts w:ascii="宋体" w:hAnsi="宋体" w:cs="宋体" w:eastAsia="宋体" w:hint="default"/>
                <w:w w:val="99"/>
                <w:sz w:val="21"/>
                <w:szCs w:val="21"/>
              </w:rPr>
              <w:t> </w:t>
            </w:r>
            <w:r>
              <w:rPr>
                <w:rFonts w:ascii="宋体" w:hAnsi="宋体" w:cs="宋体" w:eastAsia="宋体" w:hint="default"/>
                <w:sz w:val="21"/>
                <w:szCs w:val="21"/>
              </w:rPr>
              <w:t>性损益的金额</w:t>
            </w:r>
          </w:p>
        </w:tc>
      </w:tr>
      <w:tr>
        <w:trPr>
          <w:trHeight w:val="422"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421,126.00</w:t>
            </w:r>
            <w:r>
              <w:rPr>
                <w:rFonts w:ascii="Times New Roman"/>
                <w:sz w:val="21"/>
              </w:rPr>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r>
      <w:tr>
        <w:trPr>
          <w:trHeight w:val="425"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92,471.33</w:t>
            </w:r>
            <w:r>
              <w:rPr>
                <w:rFonts w:ascii="Times New Roman"/>
                <w:sz w:val="21"/>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85,579.89</w:t>
            </w:r>
            <w:r>
              <w:rPr>
                <w:rFonts w:ascii="Times New Roman"/>
                <w:sz w:val="21"/>
              </w:rPr>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92,471.33</w:t>
            </w:r>
            <w:r>
              <w:rPr>
                <w:rFonts w:ascii="Times New Roman"/>
                <w:sz w:val="21"/>
              </w:rPr>
            </w:r>
          </w:p>
        </w:tc>
      </w:tr>
      <w:tr>
        <w:trPr>
          <w:trHeight w:val="422" w:hRule="exact"/>
        </w:trPr>
        <w:tc>
          <w:tcPr>
            <w:tcW w:w="255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w w:val="95"/>
                <w:sz w:val="21"/>
              </w:rPr>
              <w:t>399,471.33</w:t>
            </w:r>
            <w:r>
              <w:rPr>
                <w:rFonts w:ascii="Times New Roman"/>
                <w:sz w:val="21"/>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506,705.89</w:t>
            </w:r>
            <w:r>
              <w:rPr>
                <w:rFonts w:ascii="Times New Roman"/>
                <w:sz w:val="21"/>
              </w:rPr>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w w:val="95"/>
                <w:sz w:val="21"/>
              </w:rPr>
              <w:t>399,471.33</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962" w:right="0"/>
        <w:jc w:val="left"/>
      </w:pPr>
      <w:r>
        <w:rPr/>
        <w:t>（</w:t>
      </w:r>
      <w:r>
        <w:rPr>
          <w:rFonts w:ascii="Times New Roman" w:hAnsi="Times New Roman" w:cs="Times New Roman" w:eastAsia="Times New Roman" w:hint="default"/>
        </w:rPr>
        <w:t>2</w:t>
      </w:r>
      <w:r>
        <w:rPr/>
        <w:t>）政府补助明细</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702"/>
        <w:gridCol w:w="1133"/>
        <w:gridCol w:w="1418"/>
        <w:gridCol w:w="5669"/>
      </w:tblGrid>
      <w:tr>
        <w:trPr>
          <w:trHeight w:val="418"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w w:val="95"/>
                <w:sz w:val="21"/>
                <w:szCs w:val="21"/>
              </w:rPr>
              <w:t>本期发生额</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95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高新技术奖励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日据当科【</w:t>
            </w:r>
            <w:r>
              <w:rPr>
                <w:rFonts w:ascii="宋体" w:hAnsi="宋体" w:cs="宋体" w:eastAsia="宋体" w:hint="default"/>
                <w:spacing w:val="-74"/>
                <w:sz w:val="18"/>
                <w:szCs w:val="18"/>
              </w:rPr>
              <w:t> </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pacing w:val="12"/>
                <w:sz w:val="18"/>
                <w:szCs w:val="18"/>
              </w:rPr>
              <w:t>号文件收到高新技术奖励</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6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开发区扶持资金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8"/>
                <w:szCs w:val="18"/>
              </w:rPr>
            </w:pPr>
            <w:r>
              <w:rPr>
                <w:rFonts w:ascii="Times New Roman"/>
                <w:spacing w:val="-1"/>
                <w:sz w:val="18"/>
              </w:rPr>
              <w:t>159,726.00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日收到据入园协议收到的开发区扶持资金。</w:t>
            </w:r>
          </w:p>
        </w:tc>
      </w:tr>
      <w:tr>
        <w:trPr>
          <w:trHeight w:val="130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28" w:right="26"/>
              <w:jc w:val="left"/>
              <w:rPr>
                <w:rFonts w:ascii="宋体" w:hAnsi="宋体" w:cs="宋体" w:eastAsia="宋体" w:hint="default"/>
                <w:sz w:val="18"/>
                <w:szCs w:val="18"/>
              </w:rPr>
            </w:pPr>
            <w:r>
              <w:rPr>
                <w:rFonts w:ascii="宋体" w:hAnsi="宋体" w:cs="宋体" w:eastAsia="宋体" w:hint="default"/>
                <w:sz w:val="18"/>
                <w:szCs w:val="18"/>
              </w:rPr>
              <w:t>鼓励投资优惠政策奖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励资金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46,400.00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日收到綦江县财政局预算拨款凭证收款通知，綦江</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县财政局拨给重庆与神科技有限责任公司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年鼓励投资优惠政策奖</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励资金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6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外贸促进政策资金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65,000.00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8"/>
                <w:szCs w:val="18"/>
              </w:rPr>
            </w:pPr>
            <w:r>
              <w:rPr>
                <w:rFonts w:ascii="Times New Roman"/>
                <w:spacing w:val="-1"/>
                <w:sz w:val="18"/>
              </w:rPr>
              <w:t>60,000.00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日收到据马商【</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号的外贸促进政策资金</w:t>
            </w:r>
          </w:p>
        </w:tc>
      </w:tr>
      <w:tr>
        <w:trPr>
          <w:trHeight w:val="7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县政府表彰先进集体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日收到据当发【</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号的县政府表彰</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度先进集体奖</w:t>
            </w:r>
          </w:p>
        </w:tc>
      </w:tr>
      <w:tr>
        <w:trPr>
          <w:trHeight w:val="36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外贸发展资金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126,000.00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Times New Roman" w:hAnsi="Times New Roman" w:cs="Times New Roman" w:eastAsia="Times New Roman" w:hint="default"/>
                <w:sz w:val="18"/>
                <w:szCs w:val="18"/>
              </w:rPr>
            </w:pPr>
            <w:r>
              <w:rPr>
                <w:rFonts w:ascii="Times New Roman"/>
                <w:spacing w:val="-1"/>
                <w:sz w:val="18"/>
              </w:rPr>
              <w:t>125,000.00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日收到据皖商规财字</w:t>
            </w:r>
            <w:r>
              <w:rPr>
                <w:rFonts w:ascii="Times New Roman" w:hAnsi="Times New Roman" w:cs="Times New Roman" w:eastAsia="Times New Roman" w:hint="default"/>
                <w:sz w:val="18"/>
                <w:szCs w:val="18"/>
              </w:rPr>
              <w:t>[2009]82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号外贸发展资金</w:t>
            </w:r>
          </w:p>
        </w:tc>
      </w:tr>
      <w:tr>
        <w:trPr>
          <w:trHeight w:val="418"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307,000.00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421,126.00</w:t>
            </w:r>
          </w:p>
        </w:tc>
        <w:tc>
          <w:tcPr>
            <w:tcW w:w="56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9"/>
        <w:rPr>
          <w:rFonts w:ascii="宋体" w:hAnsi="宋体" w:cs="宋体" w:eastAsia="宋体" w:hint="default"/>
          <w:sz w:val="22"/>
          <w:szCs w:val="22"/>
        </w:rPr>
      </w:pPr>
    </w:p>
    <w:p>
      <w:pPr>
        <w:pStyle w:val="Heading4"/>
        <w:spacing w:line="333" w:lineRule="exact"/>
        <w:ind w:left="968" w:right="0"/>
        <w:jc w:val="left"/>
        <w:rPr>
          <w:b w:val="0"/>
          <w:bCs w:val="0"/>
        </w:rPr>
      </w:pPr>
      <w:r>
        <w:rPr>
          <w:rFonts w:ascii="Times New Roman" w:hAnsi="Times New Roman" w:cs="Times New Roman" w:eastAsia="Times New Roman" w:hint="default"/>
        </w:rPr>
        <w:t>34</w:t>
      </w:r>
      <w:r>
        <w:rPr/>
        <w:t>、营业外支出</w:t>
      </w:r>
      <w:r>
        <w:rPr>
          <w:b w:val="0"/>
          <w:bCs w:val="0"/>
        </w:rPr>
      </w:r>
    </w:p>
    <w:p>
      <w:pPr>
        <w:pStyle w:val="BodyText"/>
        <w:spacing w:line="240" w:lineRule="auto" w:before="109"/>
        <w:ind w:left="0" w:right="90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955" w:type="dxa"/>
        <w:tblLayout w:type="fixed"/>
        <w:tblCellMar>
          <w:top w:w="0" w:type="dxa"/>
          <w:left w:w="0" w:type="dxa"/>
          <w:bottom w:w="0" w:type="dxa"/>
          <w:right w:w="0" w:type="dxa"/>
        </w:tblCellMar>
        <w:tblLook w:val="01E0"/>
      </w:tblPr>
      <w:tblGrid>
        <w:gridCol w:w="2947"/>
        <w:gridCol w:w="1654"/>
        <w:gridCol w:w="1733"/>
        <w:gridCol w:w="1982"/>
      </w:tblGrid>
      <w:tr>
        <w:trPr>
          <w:trHeight w:val="953"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355" w:lineRule="auto" w:before="86"/>
              <w:ind w:left="460" w:right="149" w:hanging="317"/>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422"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5"/>
              <w:jc w:val="right"/>
              <w:rPr>
                <w:rFonts w:ascii="Times New Roman" w:hAnsi="Times New Roman" w:cs="Times New Roman" w:eastAsia="Times New Roman" w:hint="default"/>
                <w:sz w:val="21"/>
                <w:szCs w:val="21"/>
              </w:rPr>
            </w:pPr>
            <w:r>
              <w:rPr>
                <w:rFonts w:ascii="Times New Roman"/>
                <w:w w:val="95"/>
                <w:sz w:val="21"/>
              </w:rPr>
              <w:t>13,308.60</w:t>
            </w:r>
            <w:r>
              <w:rPr>
                <w:rFonts w:ascii="Times New Roman"/>
                <w:sz w:val="21"/>
              </w:rPr>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r>
      <w:tr>
        <w:trPr>
          <w:trHeight w:val="422"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5"/>
              <w:jc w:val="right"/>
              <w:rPr>
                <w:rFonts w:ascii="Times New Roman" w:hAnsi="Times New Roman" w:cs="Times New Roman" w:eastAsia="Times New Roman" w:hint="default"/>
                <w:sz w:val="21"/>
                <w:szCs w:val="21"/>
              </w:rPr>
            </w:pPr>
            <w:r>
              <w:rPr>
                <w:rFonts w:ascii="Times New Roman"/>
                <w:w w:val="95"/>
                <w:sz w:val="21"/>
              </w:rPr>
              <w:t>13,308.60</w:t>
            </w:r>
            <w:r>
              <w:rPr>
                <w:rFonts w:ascii="Times New Roman"/>
                <w:sz w:val="21"/>
              </w:rPr>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058" w:footer="1590" w:top="1780" w:bottom="1780" w:left="840" w:right="900"/>
        </w:sectPr>
      </w:pPr>
    </w:p>
    <w:tbl>
      <w:tblPr>
        <w:tblW w:w="0" w:type="auto"/>
        <w:jc w:val="left"/>
        <w:tblInd w:w="1015" w:type="dxa"/>
        <w:tblLayout w:type="fixed"/>
        <w:tblCellMar>
          <w:top w:w="0" w:type="dxa"/>
          <w:left w:w="0" w:type="dxa"/>
          <w:bottom w:w="0" w:type="dxa"/>
          <w:right w:w="0" w:type="dxa"/>
        </w:tblCellMar>
        <w:tblLook w:val="01E0"/>
      </w:tblPr>
      <w:tblGrid>
        <w:gridCol w:w="2947"/>
        <w:gridCol w:w="1654"/>
        <w:gridCol w:w="1733"/>
        <w:gridCol w:w="1982"/>
      </w:tblGrid>
      <w:tr>
        <w:trPr>
          <w:trHeight w:val="422"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bookmarkStart w:name="35、所得税费用" w:id="88"/>
            <w:bookmarkEnd w:id="88"/>
            <w:r>
              <w:rPr/>
            </w:r>
            <w:bookmarkStart w:name="36、基本每股收益和稀释每股收益的计算过程" w:id="89"/>
            <w:bookmarkEnd w:id="89"/>
            <w:r>
              <w:rPr/>
            </w:r>
            <w:r>
              <w:rPr>
                <w:rFonts w:ascii="宋体" w:hAnsi="宋体" w:cs="宋体" w:eastAsia="宋体" w:hint="default"/>
                <w:sz w:val="21"/>
                <w:szCs w:val="21"/>
              </w:rPr>
              <w:t>其他</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578,423.13</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301,647.40</w:t>
            </w:r>
            <w:r>
              <w:rPr>
                <w:rFonts w:ascii="Times New Roman"/>
                <w:sz w:val="21"/>
              </w:rPr>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578,423.13</w:t>
            </w:r>
            <w:r>
              <w:rPr>
                <w:rFonts w:ascii="Times New Roman"/>
                <w:sz w:val="21"/>
              </w:rPr>
            </w:r>
          </w:p>
        </w:tc>
      </w:tr>
      <w:tr>
        <w:trPr>
          <w:trHeight w:val="422" w:hRule="exact"/>
        </w:trPr>
        <w:tc>
          <w:tcPr>
            <w:tcW w:w="294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634,226.34</w:t>
            </w:r>
            <w:r>
              <w:rPr>
                <w:rFonts w:ascii="Times New Roman"/>
                <w:sz w:val="21"/>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314,956.00</w:t>
            </w:r>
            <w:r>
              <w:rPr>
                <w:rFonts w:ascii="Times New Roman"/>
                <w:sz w:val="21"/>
              </w:rPr>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634,226.34</w:t>
            </w:r>
            <w:r>
              <w:rPr>
                <w:rFonts w:ascii="Times New Roman"/>
                <w:sz w:val="21"/>
              </w:rPr>
            </w:r>
          </w:p>
        </w:tc>
      </w:tr>
    </w:tbl>
    <w:p>
      <w:pPr>
        <w:spacing w:line="240" w:lineRule="auto" w:before="0"/>
        <w:rPr>
          <w:rFonts w:ascii="宋体" w:hAnsi="宋体" w:cs="宋体" w:eastAsia="宋体" w:hint="default"/>
          <w:sz w:val="24"/>
          <w:szCs w:val="24"/>
        </w:rPr>
      </w:pPr>
    </w:p>
    <w:p>
      <w:pPr>
        <w:pStyle w:val="Heading4"/>
        <w:spacing w:line="333" w:lineRule="exact"/>
        <w:ind w:left="1028" w:right="0"/>
        <w:jc w:val="left"/>
        <w:rPr>
          <w:b w:val="0"/>
          <w:bCs w:val="0"/>
        </w:rPr>
      </w:pPr>
      <w:r>
        <w:rPr>
          <w:rFonts w:ascii="Times New Roman" w:hAnsi="Times New Roman" w:cs="Times New Roman" w:eastAsia="Times New Roman" w:hint="default"/>
        </w:rPr>
        <w:t>35</w:t>
      </w:r>
      <w:r>
        <w:rPr/>
        <w:t>、所得税费用</w:t>
      </w:r>
      <w:r>
        <w:rPr>
          <w:b w:val="0"/>
          <w:bCs w:val="0"/>
        </w:rPr>
      </w:r>
    </w:p>
    <w:p>
      <w:pPr>
        <w:pStyle w:val="BodyText"/>
        <w:spacing w:line="240" w:lineRule="auto" w:before="109"/>
        <w:ind w:left="0" w:right="66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000" w:type="dxa"/>
        <w:tblLayout w:type="fixed"/>
        <w:tblCellMar>
          <w:top w:w="0" w:type="dxa"/>
          <w:left w:w="0" w:type="dxa"/>
          <w:bottom w:w="0" w:type="dxa"/>
          <w:right w:w="0" w:type="dxa"/>
        </w:tblCellMar>
        <w:tblLook w:val="01E0"/>
      </w:tblPr>
      <w:tblGrid>
        <w:gridCol w:w="3866"/>
        <w:gridCol w:w="2138"/>
        <w:gridCol w:w="2378"/>
      </w:tblGrid>
      <w:tr>
        <w:trPr>
          <w:trHeight w:val="420"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3"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4,303,397.63</w:t>
            </w:r>
            <w:r>
              <w:rPr>
                <w:rFonts w:ascii="Times New Roman"/>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5"/>
              <w:jc w:val="right"/>
              <w:rPr>
                <w:rFonts w:ascii="Times New Roman" w:hAnsi="Times New Roman" w:cs="Times New Roman" w:eastAsia="Times New Roman" w:hint="default"/>
                <w:sz w:val="21"/>
                <w:szCs w:val="21"/>
              </w:rPr>
            </w:pPr>
            <w:r>
              <w:rPr>
                <w:rFonts w:ascii="Times New Roman"/>
                <w:w w:val="95"/>
                <w:sz w:val="21"/>
              </w:rPr>
              <w:t>7,304,639.23</w:t>
            </w:r>
            <w:r>
              <w:rPr>
                <w:rFonts w:ascii="Times New Roman"/>
                <w:sz w:val="21"/>
              </w:rPr>
            </w:r>
          </w:p>
        </w:tc>
      </w:tr>
      <w:tr>
        <w:trPr>
          <w:trHeight w:val="41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-440,154.60</w:t>
            </w:r>
            <w:r>
              <w:rPr>
                <w:rFonts w:ascii="Times New Roman"/>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w w:val="95"/>
                <w:sz w:val="21"/>
              </w:rPr>
              <w:t>-114,642.08</w:t>
            </w:r>
            <w:r>
              <w:rPr>
                <w:rFonts w:ascii="Times New Roman"/>
                <w:spacing w:val="-1"/>
                <w:sz w:val="21"/>
              </w:rPr>
            </w:r>
          </w:p>
        </w:tc>
      </w:tr>
      <w:tr>
        <w:trPr>
          <w:trHeight w:val="418" w:hRule="exact"/>
        </w:trPr>
        <w:tc>
          <w:tcPr>
            <w:tcW w:w="38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3,863,243.03</w:t>
            </w:r>
            <w:r>
              <w:rPr>
                <w:rFonts w:ascii="Times New Roman"/>
                <w:sz w:val="21"/>
              </w:rPr>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7,189,997.15</w:t>
            </w:r>
            <w:r>
              <w:rPr>
                <w:rFonts w:ascii="Times New Roman"/>
                <w:sz w:val="21"/>
              </w:rPr>
            </w:r>
          </w:p>
        </w:tc>
      </w:tr>
    </w:tbl>
    <w:p>
      <w:pPr>
        <w:spacing w:line="240" w:lineRule="auto" w:before="7"/>
        <w:rPr>
          <w:rFonts w:ascii="宋体" w:hAnsi="宋体" w:cs="宋体" w:eastAsia="宋体" w:hint="default"/>
          <w:sz w:val="26"/>
          <w:szCs w:val="26"/>
        </w:rPr>
      </w:pPr>
    </w:p>
    <w:p>
      <w:pPr>
        <w:pStyle w:val="Heading4"/>
        <w:spacing w:line="333" w:lineRule="exact"/>
        <w:ind w:left="1028" w:right="0"/>
        <w:jc w:val="left"/>
        <w:rPr>
          <w:b w:val="0"/>
          <w:bCs w:val="0"/>
        </w:rPr>
      </w:pPr>
      <w:r>
        <w:rPr>
          <w:rFonts w:ascii="Times New Roman" w:hAnsi="Times New Roman" w:cs="Times New Roman" w:eastAsia="Times New Roman" w:hint="default"/>
        </w:rPr>
        <w:t>36</w:t>
      </w:r>
      <w:r>
        <w:rPr/>
        <w:t>、基本每股收益和稀释每股收益的计算过程</w:t>
      </w:r>
      <w:r>
        <w:rPr>
          <w:b w:val="0"/>
          <w:bCs w:val="0"/>
        </w:rPr>
      </w:r>
    </w:p>
    <w:p>
      <w:pPr>
        <w:pStyle w:val="BodyText"/>
        <w:spacing w:line="240" w:lineRule="auto" w:before="109"/>
        <w:ind w:left="0" w:right="661"/>
        <w:jc w:val="right"/>
      </w:pPr>
      <w:r>
        <w:rPr/>
        <w:t>单位：元</w:t>
      </w:r>
      <w:r>
        <w:rPr>
          <w:spacing w:val="-2"/>
        </w:rPr>
        <w:t> </w:t>
      </w:r>
      <w:r>
        <w:rPr/>
        <w:t>：人民币</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5460"/>
        <w:gridCol w:w="1582"/>
        <w:gridCol w:w="1354"/>
        <w:gridCol w:w="1351"/>
      </w:tblGrid>
      <w:tr>
        <w:trPr>
          <w:trHeight w:val="365"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08" w:lineRule="exact"/>
              <w:ind w:left="1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left="2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1" w:type="dxa"/>
            <w:tcBorders>
              <w:top w:val="single" w:sz="8" w:space="0" w:color="000000"/>
              <w:left w:val="single" w:sz="4" w:space="0" w:color="000000"/>
              <w:bottom w:val="single" w:sz="4" w:space="0" w:color="000000"/>
              <w:right w:val="nil" w:sz="6" w:space="0" w:color="auto"/>
            </w:tcBorders>
          </w:tcPr>
          <w:p>
            <w:pPr>
              <w:pStyle w:val="TableParagraph"/>
              <w:spacing w:line="208" w:lineRule="exact"/>
              <w:ind w:left="2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P0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-199,541.76</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162,987.41</w:t>
            </w:r>
          </w:p>
        </w:tc>
      </w:tr>
      <w:tr>
        <w:trPr>
          <w:trHeight w:val="62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P0'=P0-F</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23,956,788.53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41,511,275.48</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08"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3"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94"/>
              <w:ind w:left="108" w:right="-8"/>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82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92"/>
              <w:ind w:left="108" w:right="-8"/>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33"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94"/>
              <w:ind w:left="108" w:right="-3"/>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23,956,788.53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41,511,275.48</w:t>
            </w:r>
          </w:p>
        </w:tc>
      </w:tr>
      <w:tr>
        <w:trPr>
          <w:trHeight w:val="62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S0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58,330,780.00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sz w:val="18"/>
              </w:rPr>
              <w:t>S1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sz w:val="18"/>
              </w:rPr>
              <w:t>Si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sz w:val="18"/>
              </w:rPr>
              <w:t>Sj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1058" w:footer="1590" w:top="1780" w:bottom="1780" w:left="780" w:right="1140"/>
        </w:sectPr>
      </w:pPr>
    </w:p>
    <w:tbl>
      <w:tblPr>
        <w:tblW w:w="0" w:type="auto"/>
        <w:jc w:val="left"/>
        <w:tblInd w:w="103" w:type="dxa"/>
        <w:tblLayout w:type="fixed"/>
        <w:tblCellMar>
          <w:top w:w="0" w:type="dxa"/>
          <w:left w:w="0" w:type="dxa"/>
          <w:bottom w:w="0" w:type="dxa"/>
          <w:right w:w="0" w:type="dxa"/>
        </w:tblCellMar>
        <w:tblLook w:val="01E0"/>
      </w:tblPr>
      <w:tblGrid>
        <w:gridCol w:w="5460"/>
        <w:gridCol w:w="1582"/>
        <w:gridCol w:w="1354"/>
        <w:gridCol w:w="1351"/>
      </w:tblGrid>
      <w:tr>
        <w:trPr>
          <w:trHeight w:val="365"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08" w:lineRule="exact"/>
              <w:ind w:left="112" w:right="0"/>
              <w:jc w:val="center"/>
              <w:rPr>
                <w:rFonts w:ascii="宋体" w:hAnsi="宋体" w:cs="宋体" w:eastAsia="宋体" w:hint="default"/>
                <w:sz w:val="18"/>
                <w:szCs w:val="18"/>
              </w:rPr>
            </w:pPr>
            <w:bookmarkStart w:name="37、现金流量表项目注释" w:id="90"/>
            <w:bookmarkEnd w:id="90"/>
            <w:r>
              <w:rPr/>
            </w: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left="2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1" w:type="dxa"/>
            <w:tcBorders>
              <w:top w:val="single" w:sz="8" w:space="0" w:color="000000"/>
              <w:left w:val="single" w:sz="4" w:space="0" w:color="000000"/>
              <w:bottom w:val="single" w:sz="4" w:space="0" w:color="000000"/>
              <w:right w:val="nil" w:sz="6" w:space="0" w:color="auto"/>
            </w:tcBorders>
          </w:tcPr>
          <w:p>
            <w:pPr>
              <w:pStyle w:val="TableParagraph"/>
              <w:spacing w:line="208" w:lineRule="exact"/>
              <w:ind w:left="2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M0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w:t>
            </w:r>
          </w:p>
        </w:tc>
      </w:tr>
      <w:tr>
        <w:trPr>
          <w:trHeight w:val="62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Mi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sz w:val="18"/>
              </w:rPr>
              <w:t>Mj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12"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74,580,780.00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83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92"/>
              <w:ind w:left="108" w:right="-3"/>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X1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2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sz w:val="18"/>
              </w:rPr>
              <w:t>X2=S+X1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74,580,780.00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631"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631"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0.71</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0.71</w:t>
            </w:r>
          </w:p>
        </w:tc>
      </w:tr>
      <w:tr>
        <w:trPr>
          <w:trHeight w:val="63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0.71</w:t>
            </w:r>
          </w:p>
        </w:tc>
      </w:tr>
      <w:tr>
        <w:trPr>
          <w:trHeight w:val="636" w:hRule="exact"/>
        </w:trPr>
        <w:tc>
          <w:tcPr>
            <w:tcW w:w="54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135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0.71</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1058" w:footer="1590" w:top="1800" w:bottom="1780" w:left="780" w:right="1140"/>
        </w:sectPr>
      </w:pPr>
    </w:p>
    <w:p>
      <w:pPr>
        <w:pStyle w:val="Heading4"/>
        <w:spacing w:line="333" w:lineRule="exact"/>
        <w:ind w:left="1028" w:right="0"/>
        <w:jc w:val="left"/>
        <w:rPr>
          <w:b w:val="0"/>
          <w:bCs w:val="0"/>
        </w:rPr>
      </w:pPr>
      <w:r>
        <w:rPr>
          <w:rFonts w:ascii="Times New Roman" w:hAnsi="Times New Roman" w:cs="Times New Roman" w:eastAsia="Times New Roman" w:hint="default"/>
        </w:rPr>
        <w:t>37</w:t>
      </w:r>
      <w:r>
        <w:rPr/>
        <w:t>、现金流量表项目注释</w:t>
      </w:r>
      <w:r>
        <w:rPr>
          <w:b w:val="0"/>
          <w:bCs w:val="0"/>
        </w:rPr>
      </w:r>
    </w:p>
    <w:p>
      <w:pPr>
        <w:pStyle w:val="BodyText"/>
        <w:spacing w:line="240" w:lineRule="auto" w:before="111"/>
        <w:ind w:left="1022" w:right="0"/>
        <w:jc w:val="left"/>
      </w:pPr>
      <w:r>
        <w:rPr>
          <w:w w:val="95"/>
        </w:rPr>
        <w:t>（</w:t>
      </w:r>
      <w:r>
        <w:rPr>
          <w:rFonts w:ascii="Times New Roman" w:hAnsi="Times New Roman" w:cs="Times New Roman" w:eastAsia="Times New Roman" w:hint="default"/>
          <w:w w:val="95"/>
        </w:rPr>
        <w:t>1</w:t>
      </w:r>
      <w:r>
        <w:rPr>
          <w:w w:val="95"/>
        </w:rPr>
        <w:t>）收到的其他与经营活动有关的现金</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022" w:right="0"/>
        <w:jc w:val="left"/>
      </w:pPr>
      <w:r>
        <w:rPr/>
        <w:t>单位： 元</w:t>
      </w:r>
      <w:r>
        <w:rPr>
          <w:spacing w:val="-2"/>
        </w:rPr>
        <w:t> </w:t>
      </w:r>
      <w:r>
        <w:rPr/>
        <w:t>币种：人民币</w:t>
      </w:r>
    </w:p>
    <w:p>
      <w:pPr>
        <w:spacing w:after="0" w:line="240" w:lineRule="auto"/>
        <w:jc w:val="left"/>
        <w:sectPr>
          <w:type w:val="continuous"/>
          <w:pgSz w:w="11910" w:h="16840"/>
          <w:pgMar w:top="940" w:bottom="920" w:left="780" w:right="1140"/>
          <w:cols w:num="2" w:equalWidth="0">
            <w:col w:w="4697" w:space="1293"/>
            <w:col w:w="4000"/>
          </w:cols>
        </w:sectPr>
      </w:pPr>
    </w:p>
    <w:p>
      <w:pPr>
        <w:spacing w:line="240" w:lineRule="auto" w:before="10"/>
        <w:rPr>
          <w:rFonts w:ascii="宋体" w:hAnsi="宋体" w:cs="宋体" w:eastAsia="宋体" w:hint="default"/>
          <w:sz w:val="12"/>
          <w:szCs w:val="12"/>
        </w:rPr>
      </w:pPr>
    </w:p>
    <w:tbl>
      <w:tblPr>
        <w:tblW w:w="0" w:type="auto"/>
        <w:jc w:val="left"/>
        <w:tblInd w:w="1034" w:type="dxa"/>
        <w:tblLayout w:type="fixed"/>
        <w:tblCellMar>
          <w:top w:w="0" w:type="dxa"/>
          <w:left w:w="0" w:type="dxa"/>
          <w:bottom w:w="0" w:type="dxa"/>
          <w:right w:w="0" w:type="dxa"/>
        </w:tblCellMar>
        <w:tblLook w:val="01E0"/>
      </w:tblPr>
      <w:tblGrid>
        <w:gridCol w:w="4087"/>
        <w:gridCol w:w="4195"/>
      </w:tblGrid>
      <w:tr>
        <w:trPr>
          <w:trHeight w:val="418" w:hRule="exact"/>
        </w:trPr>
        <w:tc>
          <w:tcPr>
            <w:tcW w:w="408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408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2,714,603.57</w:t>
            </w:r>
            <w:r>
              <w:rPr>
                <w:rFonts w:ascii="Times New Roman"/>
                <w:sz w:val="21"/>
              </w:rPr>
            </w:r>
          </w:p>
        </w:tc>
      </w:tr>
      <w:tr>
        <w:trPr>
          <w:trHeight w:val="419" w:hRule="exact"/>
        </w:trPr>
        <w:tc>
          <w:tcPr>
            <w:tcW w:w="408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4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92,471.33</w:t>
            </w:r>
            <w:r>
              <w:rPr>
                <w:rFonts w:ascii="Times New Roman"/>
                <w:sz w:val="21"/>
              </w:rPr>
            </w:r>
          </w:p>
        </w:tc>
      </w:tr>
      <w:tr>
        <w:trPr>
          <w:trHeight w:val="418" w:hRule="exact"/>
        </w:trPr>
        <w:tc>
          <w:tcPr>
            <w:tcW w:w="408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18,138,486.74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940" w:bottom="920" w:left="780" w:right="1140"/>
        </w:sectPr>
      </w:pPr>
    </w:p>
    <w:p>
      <w:pPr>
        <w:spacing w:line="432" w:lineRule="exact"/>
        <w:ind w:left="93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4.6pt;height:21.6pt;mso-position-horizontal-relative:char;mso-position-vertical-relative:line" coordorigin="0,0" coordsize="8292,432">
            <v:group style="position:absolute;left:5;top:10;width:8283;height:2" coordorigin="5,10" coordsize="8283,2">
              <v:shape style="position:absolute;left:5;top:10;width:8283;height:2" coordorigin="5,10" coordsize="8283,0" path="m5,10l8287,10e" filled="false" stroked="true" strokeweight=".48pt" strokecolor="#000000">
                <v:path arrowok="t"/>
              </v:shape>
            </v:group>
            <v:group style="position:absolute;left:5;top:427;width:8283;height:2" coordorigin="5,427" coordsize="8283,2">
              <v:shape style="position:absolute;left:5;top:427;width:8283;height:2" coordorigin="5,427" coordsize="8283,0" path="m5,427l8287,427e" filled="false" stroked="true" strokeweight=".48pt" strokecolor="#000000">
                <v:path arrowok="t"/>
              </v:shape>
            </v:group>
            <v:group style="position:absolute;left:4092;top:5;width:2;height:418" coordorigin="4092,5" coordsize="2,418">
              <v:shape style="position:absolute;left:4092;top:5;width:2;height:418" coordorigin="4092,5" coordsize="0,418" path="m4092,5l4092,422e" filled="false" stroked="true" strokeweight=".48pt" strokecolor="#000000">
                <v:path arrowok="t"/>
              </v:shape>
              <v:shape style="position:absolute;left:36;top:46;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bookmarkStart w:name="38、现金流量表补充资料" w:id="91"/>
                      <w:bookmarkEnd w:id="91"/>
                      <w:r>
                        <w:rPr/>
                      </w:r>
                      <w:r>
                        <w:rPr>
                          <w:rFonts w:ascii="宋体" w:hAnsi="宋体" w:cs="宋体" w:eastAsia="宋体" w:hint="default"/>
                          <w:w w:val="95"/>
                          <w:sz w:val="21"/>
                          <w:szCs w:val="21"/>
                        </w:rPr>
                        <w:t>合计</w:t>
                      </w:r>
                      <w:r>
                        <w:rPr>
                          <w:rFonts w:ascii="宋体" w:hAnsi="宋体" w:cs="宋体" w:eastAsia="宋体" w:hint="default"/>
                          <w:sz w:val="21"/>
                          <w:szCs w:val="21"/>
                        </w:rPr>
                      </w:r>
                    </w:p>
                  </w:txbxContent>
                </v:textbox>
                <w10:wrap type="none"/>
              </v:shape>
              <v:shape style="position:absolute;left:7054;top:86;width:1206;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20,945,561.64</w:t>
                      </w:r>
                      <w:r>
                        <w:rPr>
                          <w:rFonts w:ascii="Times New Roman"/>
                          <w:sz w:val="21"/>
                        </w:rPr>
                      </w:r>
                    </w:p>
                  </w:txbxContent>
                </v:textbox>
                <w10:wrap type="none"/>
              </v:shape>
            </v:group>
          </v:group>
        </w:pict>
      </w:r>
      <w:r>
        <w:rPr>
          <w:rFonts w:ascii="宋体" w:hAnsi="宋体" w:cs="宋体" w:eastAsia="宋体" w:hint="default"/>
          <w:position w:val="-8"/>
          <w:sz w:val="20"/>
          <w:szCs w:val="20"/>
        </w:rPr>
      </w:r>
    </w:p>
    <w:p>
      <w:pPr>
        <w:spacing w:line="240" w:lineRule="auto" w:before="6"/>
        <w:rPr>
          <w:rFonts w:ascii="宋体" w:hAnsi="宋体" w:cs="宋体" w:eastAsia="宋体" w:hint="default"/>
          <w:sz w:val="23"/>
          <w:szCs w:val="23"/>
        </w:rPr>
      </w:pPr>
    </w:p>
    <w:p>
      <w:pPr>
        <w:pStyle w:val="BodyText"/>
        <w:spacing w:line="240" w:lineRule="auto" w:before="34"/>
        <w:ind w:left="922" w:right="0"/>
        <w:jc w:val="left"/>
      </w:pPr>
      <w:r>
        <w:rPr/>
        <w:t>（</w:t>
      </w:r>
      <w:r>
        <w:rPr>
          <w:rFonts w:ascii="Times New Roman" w:hAnsi="Times New Roman" w:cs="Times New Roman" w:eastAsia="Times New Roman" w:hint="default"/>
        </w:rPr>
        <w:t>2</w:t>
      </w:r>
      <w:r>
        <w:rPr/>
        <w:t>）支付的其他与经营活动有关的现金</w:t>
      </w:r>
    </w:p>
    <w:p>
      <w:pPr>
        <w:pStyle w:val="BodyText"/>
        <w:spacing w:line="240" w:lineRule="auto" w:before="117"/>
        <w:ind w:left="0" w:right="661"/>
        <w:jc w:val="right"/>
      </w:pPr>
      <w:r>
        <w:rPr/>
        <w:t>单位： 元</w:t>
      </w:r>
      <w:r>
        <w:rPr>
          <w:spacing w:val="-2"/>
        </w:rPr>
        <w:t> </w:t>
      </w:r>
      <w:r>
        <w:rPr/>
        <w:t>币种：人民币</w:t>
      </w:r>
    </w:p>
    <w:p>
      <w:pPr>
        <w:spacing w:line="240" w:lineRule="auto" w:before="13"/>
        <w:rPr>
          <w:rFonts w:ascii="宋体" w:hAnsi="宋体" w:cs="宋体" w:eastAsia="宋体" w:hint="default"/>
          <w:sz w:val="12"/>
          <w:szCs w:val="12"/>
        </w:rPr>
      </w:pPr>
    </w:p>
    <w:tbl>
      <w:tblPr>
        <w:tblW w:w="0" w:type="auto"/>
        <w:jc w:val="left"/>
        <w:tblInd w:w="934" w:type="dxa"/>
        <w:tblLayout w:type="fixed"/>
        <w:tblCellMar>
          <w:top w:w="0" w:type="dxa"/>
          <w:left w:w="0" w:type="dxa"/>
          <w:bottom w:w="0" w:type="dxa"/>
          <w:right w:w="0" w:type="dxa"/>
        </w:tblCellMar>
        <w:tblLook w:val="01E0"/>
      </w:tblPr>
      <w:tblGrid>
        <w:gridCol w:w="4140"/>
        <w:gridCol w:w="4142"/>
      </w:tblGrid>
      <w:tr>
        <w:trPr>
          <w:trHeight w:val="418"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8"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运输费用</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10,752,906.57</w:t>
            </w:r>
            <w:r>
              <w:rPr>
                <w:rFonts w:ascii="Times New Roman"/>
                <w:sz w:val="21"/>
              </w:rPr>
            </w:r>
          </w:p>
        </w:tc>
      </w:tr>
      <w:tr>
        <w:trPr>
          <w:trHeight w:val="41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1,428,417.20</w:t>
            </w:r>
            <w:r>
              <w:rPr>
                <w:rFonts w:ascii="Times New Roman"/>
                <w:sz w:val="21"/>
              </w:rPr>
            </w:r>
          </w:p>
        </w:tc>
      </w:tr>
      <w:tr>
        <w:trPr>
          <w:trHeight w:val="41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2,265,081.57</w:t>
            </w:r>
            <w:r>
              <w:rPr>
                <w:rFonts w:ascii="Times New Roman"/>
                <w:sz w:val="21"/>
              </w:rPr>
            </w:r>
          </w:p>
        </w:tc>
      </w:tr>
      <w:tr>
        <w:trPr>
          <w:trHeight w:val="41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业务办公费</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3,659,679.72</w:t>
            </w:r>
            <w:r>
              <w:rPr>
                <w:rFonts w:ascii="Times New Roman"/>
                <w:sz w:val="21"/>
              </w:rPr>
            </w:r>
          </w:p>
        </w:tc>
      </w:tr>
      <w:tr>
        <w:trPr>
          <w:trHeight w:val="41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418"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银行手续费等</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1,309,183.71</w:t>
            </w:r>
            <w:r>
              <w:rPr>
                <w:rFonts w:ascii="Times New Roman"/>
                <w:sz w:val="21"/>
              </w:rPr>
            </w:r>
          </w:p>
        </w:tc>
      </w:tr>
      <w:tr>
        <w:trPr>
          <w:trHeight w:val="42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578,443.13</w:t>
            </w:r>
            <w:r>
              <w:rPr>
                <w:rFonts w:ascii="Times New Roman"/>
                <w:sz w:val="21"/>
              </w:rPr>
            </w:r>
          </w:p>
        </w:tc>
      </w:tr>
      <w:tr>
        <w:trPr>
          <w:trHeight w:val="418"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3,772,548.91</w:t>
            </w:r>
            <w:r>
              <w:rPr>
                <w:rFonts w:ascii="Times New Roman"/>
                <w:sz w:val="21"/>
              </w:rPr>
            </w:r>
          </w:p>
        </w:tc>
      </w:tr>
      <w:tr>
        <w:trPr>
          <w:trHeight w:val="418"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24,966,260.81</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922" w:right="0"/>
        <w:jc w:val="left"/>
      </w:pPr>
      <w:r>
        <w:rPr/>
        <w:t>（</w:t>
      </w:r>
      <w:r>
        <w:rPr>
          <w:rFonts w:ascii="Times New Roman" w:hAnsi="Times New Roman" w:cs="Times New Roman" w:eastAsia="Times New Roman" w:hint="default"/>
        </w:rPr>
        <w:t>3</w:t>
      </w:r>
      <w:r>
        <w:rPr/>
        <w:t>）收到的其他与筹资活动有关的现金</w:t>
      </w:r>
    </w:p>
    <w:p>
      <w:pPr>
        <w:pStyle w:val="BodyText"/>
        <w:tabs>
          <w:tab w:pos="1051" w:val="left" w:leader="none"/>
        </w:tabs>
        <w:spacing w:line="240" w:lineRule="auto" w:before="117"/>
        <w:ind w:left="0" w:right="661"/>
        <w:jc w:val="right"/>
      </w:pPr>
      <w:r>
        <w:rPr>
          <w:w w:val="95"/>
        </w:rPr>
        <w:t>单位：元</w:t>
        <w:tab/>
        <w:t>币种：人民币</w:t>
      </w:r>
      <w:r>
        <w:rPr/>
      </w:r>
    </w:p>
    <w:p>
      <w:pPr>
        <w:spacing w:line="240" w:lineRule="auto" w:before="13"/>
        <w:rPr>
          <w:rFonts w:ascii="宋体" w:hAnsi="宋体" w:cs="宋体" w:eastAsia="宋体" w:hint="default"/>
          <w:sz w:val="12"/>
          <w:szCs w:val="12"/>
        </w:rPr>
      </w:pPr>
    </w:p>
    <w:tbl>
      <w:tblPr>
        <w:tblW w:w="0" w:type="auto"/>
        <w:jc w:val="left"/>
        <w:tblInd w:w="934" w:type="dxa"/>
        <w:tblLayout w:type="fixed"/>
        <w:tblCellMar>
          <w:top w:w="0" w:type="dxa"/>
          <w:left w:w="0" w:type="dxa"/>
          <w:bottom w:w="0" w:type="dxa"/>
          <w:right w:w="0" w:type="dxa"/>
        </w:tblCellMar>
        <w:tblLook w:val="01E0"/>
      </w:tblPr>
      <w:tblGrid>
        <w:gridCol w:w="4154"/>
        <w:gridCol w:w="4128"/>
      </w:tblGrid>
      <w:tr>
        <w:trPr>
          <w:trHeight w:val="418"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4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30,330,798.32</w:t>
            </w:r>
            <w:r>
              <w:rPr>
                <w:rFonts w:ascii="Times New Roman"/>
                <w:sz w:val="21"/>
              </w:rPr>
            </w:r>
          </w:p>
        </w:tc>
      </w:tr>
      <w:tr>
        <w:trPr>
          <w:trHeight w:val="419"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30,330,798.32</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922" w:right="0"/>
        <w:jc w:val="left"/>
      </w:pPr>
      <w:r>
        <w:rPr/>
        <w:t>（</w:t>
      </w:r>
      <w:r>
        <w:rPr>
          <w:rFonts w:ascii="Times New Roman" w:hAnsi="Times New Roman" w:cs="Times New Roman" w:eastAsia="Times New Roman" w:hint="default"/>
        </w:rPr>
        <w:t>4</w:t>
      </w:r>
      <w:r>
        <w:rPr/>
        <w:t>）支付的其他与筹资活动有关的现金</w:t>
      </w:r>
    </w:p>
    <w:p>
      <w:pPr>
        <w:pStyle w:val="BodyText"/>
        <w:tabs>
          <w:tab w:pos="1051" w:val="left" w:leader="none"/>
        </w:tabs>
        <w:spacing w:line="240" w:lineRule="auto" w:before="117"/>
        <w:ind w:left="0" w:right="661"/>
        <w:jc w:val="right"/>
      </w:pPr>
      <w:r>
        <w:rPr>
          <w:w w:val="95"/>
        </w:rPr>
        <w:t>单位：元</w:t>
        <w:tab/>
        <w:t>币种：人民币</w:t>
      </w:r>
      <w:r>
        <w:rPr/>
      </w:r>
    </w:p>
    <w:p>
      <w:pPr>
        <w:spacing w:line="240" w:lineRule="auto" w:before="13"/>
        <w:rPr>
          <w:rFonts w:ascii="宋体" w:hAnsi="宋体" w:cs="宋体" w:eastAsia="宋体" w:hint="default"/>
          <w:sz w:val="12"/>
          <w:szCs w:val="12"/>
        </w:rPr>
      </w:pPr>
    </w:p>
    <w:tbl>
      <w:tblPr>
        <w:tblW w:w="0" w:type="auto"/>
        <w:jc w:val="left"/>
        <w:tblInd w:w="900" w:type="dxa"/>
        <w:tblLayout w:type="fixed"/>
        <w:tblCellMar>
          <w:top w:w="0" w:type="dxa"/>
          <w:left w:w="0" w:type="dxa"/>
          <w:bottom w:w="0" w:type="dxa"/>
          <w:right w:w="0" w:type="dxa"/>
        </w:tblCellMar>
        <w:tblLook w:val="01E0"/>
      </w:tblPr>
      <w:tblGrid>
        <w:gridCol w:w="4039"/>
        <w:gridCol w:w="4277"/>
      </w:tblGrid>
      <w:tr>
        <w:trPr>
          <w:trHeight w:val="418" w:hRule="exact"/>
        </w:trPr>
        <w:tc>
          <w:tcPr>
            <w:tcW w:w="40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40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22,070,075.31</w:t>
            </w:r>
            <w:r>
              <w:rPr>
                <w:rFonts w:ascii="Times New Roman"/>
                <w:sz w:val="21"/>
              </w:rPr>
            </w:r>
          </w:p>
        </w:tc>
      </w:tr>
      <w:tr>
        <w:trPr>
          <w:trHeight w:val="419" w:hRule="exact"/>
        </w:trPr>
        <w:tc>
          <w:tcPr>
            <w:tcW w:w="40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1"/>
                <w:szCs w:val="21"/>
              </w:rPr>
            </w:pPr>
            <w:r>
              <w:rPr>
                <w:rFonts w:ascii="Times New Roman"/>
                <w:w w:val="95"/>
                <w:sz w:val="21"/>
              </w:rPr>
              <w:t>10,586,022.84</w:t>
            </w:r>
            <w:r>
              <w:rPr>
                <w:rFonts w:ascii="Times New Roman"/>
                <w:sz w:val="21"/>
              </w:rPr>
            </w:r>
          </w:p>
        </w:tc>
      </w:tr>
      <w:tr>
        <w:trPr>
          <w:trHeight w:val="418" w:hRule="exact"/>
        </w:trPr>
        <w:tc>
          <w:tcPr>
            <w:tcW w:w="40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32,656,098.15</w:t>
            </w:r>
            <w:r>
              <w:rPr>
                <w:rFonts w:ascii="Times New Roman"/>
                <w:sz w:val="21"/>
              </w:rPr>
            </w:r>
          </w:p>
        </w:tc>
      </w:tr>
    </w:tbl>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1058" w:footer="1590" w:top="1780" w:bottom="1780" w:left="880" w:right="1140"/>
        </w:sectPr>
      </w:pPr>
    </w:p>
    <w:p>
      <w:pPr>
        <w:pStyle w:val="Heading4"/>
        <w:spacing w:line="333" w:lineRule="exact"/>
        <w:ind w:left="928" w:right="0"/>
        <w:jc w:val="left"/>
        <w:rPr>
          <w:b w:val="0"/>
          <w:bCs w:val="0"/>
        </w:rPr>
      </w:pPr>
      <w:r>
        <w:rPr>
          <w:rFonts w:ascii="Times New Roman" w:hAnsi="Times New Roman" w:cs="Times New Roman" w:eastAsia="Times New Roman" w:hint="default"/>
        </w:rPr>
        <w:t>38</w:t>
      </w:r>
      <w:r>
        <w:rPr/>
        <w:t>、现金流量表补充资料</w:t>
      </w:r>
      <w:r>
        <w:rPr>
          <w:b w:val="0"/>
          <w:bCs w:val="0"/>
        </w:rPr>
      </w:r>
    </w:p>
    <w:p>
      <w:pPr>
        <w:pStyle w:val="BodyText"/>
        <w:spacing w:line="240" w:lineRule="auto" w:before="109"/>
        <w:ind w:left="922" w:right="0"/>
        <w:jc w:val="left"/>
      </w:pPr>
      <w:r>
        <w:rPr>
          <w:w w:val="95"/>
        </w:rPr>
        <w:t>（</w:t>
      </w:r>
      <w:r>
        <w:rPr>
          <w:rFonts w:ascii="Times New Roman" w:hAnsi="Times New Roman" w:cs="Times New Roman" w:eastAsia="Times New Roman" w:hint="default"/>
          <w:w w:val="95"/>
        </w:rPr>
        <w:t>1</w:t>
      </w:r>
      <w:r>
        <w:rPr>
          <w:w w:val="95"/>
        </w:rPr>
        <w:t>）现金流量表补充资料</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922" w:right="0"/>
        <w:jc w:val="left"/>
      </w:pPr>
      <w:r>
        <w:rPr/>
        <w:t>单位：元</w:t>
      </w:r>
      <w:r>
        <w:rPr>
          <w:spacing w:val="-3"/>
        </w:rPr>
        <w:t> </w:t>
      </w:r>
      <w:r>
        <w:rPr/>
        <w:t>币种：人民币</w:t>
      </w:r>
    </w:p>
    <w:p>
      <w:pPr>
        <w:spacing w:after="0" w:line="240" w:lineRule="auto"/>
        <w:jc w:val="left"/>
        <w:sectPr>
          <w:type w:val="continuous"/>
          <w:pgSz w:w="11910" w:h="16840"/>
          <w:pgMar w:top="940" w:bottom="920" w:left="880" w:right="1140"/>
          <w:cols w:num="2" w:equalWidth="0">
            <w:col w:w="3337" w:space="2759"/>
            <w:col w:w="3794"/>
          </w:cols>
        </w:sectPr>
      </w:pPr>
    </w:p>
    <w:p>
      <w:pPr>
        <w:spacing w:line="240" w:lineRule="auto" w:before="5"/>
        <w:rPr>
          <w:rFonts w:ascii="宋体" w:hAnsi="宋体" w:cs="宋体" w:eastAsia="宋体" w:hint="default"/>
          <w:sz w:val="12"/>
          <w:szCs w:val="12"/>
        </w:rPr>
      </w:pPr>
    </w:p>
    <w:p>
      <w:pPr>
        <w:spacing w:line="374" w:lineRule="exact"/>
        <w:ind w:left="11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4pt;height:18.75pt;mso-position-horizontal-relative:char;mso-position-vertical-relative:line" coordorigin="0,0" coordsize="9648,375">
            <v:group style="position:absolute;left:5;top:10;width:9639;height:2" coordorigin="5,10" coordsize="9639,2">
              <v:shape style="position:absolute;left:5;top:10;width:9639;height:2" coordorigin="5,10" coordsize="9639,0" path="m5,10l9643,10e" filled="false" stroked="true" strokeweight=".48pt" strokecolor="#000000">
                <v:path arrowok="t"/>
              </v:shape>
            </v:group>
            <v:group style="position:absolute;left:5;top:370;width:9639;height:2" coordorigin="5,370" coordsize="9639,2">
              <v:shape style="position:absolute;left:5;top:370;width:9639;height:2" coordorigin="5,370" coordsize="9639,0" path="m5,370l9643,370e" filled="false" stroked="true" strokeweight=".48pt" strokecolor="#000000">
                <v:path arrowok="t"/>
              </v:shape>
            </v:group>
            <v:group style="position:absolute;left:6245;top:5;width:2;height:360" coordorigin="6245,5" coordsize="2,360">
              <v:shape style="position:absolute;left:6245;top:5;width:2;height:360" coordorigin="6245,5" coordsize="0,360" path="m6245,5l6245,365e" filled="false" stroked="true" strokeweight=".48pt" strokecolor="#000000">
                <v:path arrowok="t"/>
              </v:shape>
            </v:group>
            <v:group style="position:absolute;left:7944;top:5;width:2;height:360" coordorigin="7944,5" coordsize="2,360">
              <v:shape style="position:absolute;left:7944;top:5;width:2;height:360" coordorigin="7944,5" coordsize="0,360" path="m7944,5l7944,365e" filled="false" stroked="true" strokeweight=".48pt" strokecolor="#000000">
                <v:path arrowok="t"/>
              </v:shape>
              <v:shape style="position:absolute;left:6245;top:10;width:1700;height:360" type="#_x0000_t202" filled="false" stroked="false">
                <v:textbox inset="0,0,0,0">
                  <w:txbxContent>
                    <w:p>
                      <w:pPr>
                        <w:spacing w:line="233" w:lineRule="exact" w:before="0"/>
                        <w:ind w:left="48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xbxContent>
                </v:textbox>
                <w10:wrap type="none"/>
              </v:shape>
              <v:shape style="position:absolute;left:2765;top:42;width:720;height:180" type="#_x0000_t202" filled="false" stroked="false">
                <v:textbox inset="0,0,0,0">
                  <w:txbxContent>
                    <w:p>
                      <w:pPr>
                        <w:spacing w:line="180"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xbxContent>
                </v:textbox>
                <w10:wrap type="none"/>
              </v:shape>
              <v:shape style="position:absolute;left:8434;top:42;width:720;height:180" type="#_x0000_t202" filled="false" stroked="false">
                <v:textbox inset="0,0,0,0">
                  <w:txbxContent>
                    <w:p>
                      <w:pPr>
                        <w:spacing w:line="180"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xbxContent>
                </v:textbox>
                <w10:wrap type="none"/>
              </v:shape>
            </v:group>
          </v:group>
        </w:pict>
      </w:r>
      <w:r>
        <w:rPr>
          <w:rFonts w:ascii="宋体" w:hAnsi="宋体" w:cs="宋体" w:eastAsia="宋体" w:hint="default"/>
          <w:position w:val="-6"/>
          <w:sz w:val="20"/>
          <w:szCs w:val="20"/>
        </w:rPr>
      </w:r>
    </w:p>
    <w:p>
      <w:pPr>
        <w:spacing w:after="0" w:line="374" w:lineRule="exact"/>
        <w:rPr>
          <w:rFonts w:ascii="宋体" w:hAnsi="宋体" w:cs="宋体" w:eastAsia="宋体" w:hint="default"/>
          <w:sz w:val="20"/>
          <w:szCs w:val="20"/>
        </w:rPr>
        <w:sectPr>
          <w:type w:val="continuous"/>
          <w:pgSz w:w="11910" w:h="16840"/>
          <w:pgMar w:top="940" w:bottom="920" w:left="880" w:right="1140"/>
        </w:sectPr>
      </w:pPr>
    </w:p>
    <w:tbl>
      <w:tblPr>
        <w:tblW w:w="0" w:type="auto"/>
        <w:jc w:val="left"/>
        <w:tblInd w:w="118" w:type="dxa"/>
        <w:tblLayout w:type="fixed"/>
        <w:tblCellMar>
          <w:top w:w="0" w:type="dxa"/>
          <w:left w:w="0" w:type="dxa"/>
          <w:bottom w:w="0" w:type="dxa"/>
          <w:right w:w="0" w:type="dxa"/>
        </w:tblCellMar>
        <w:tblLook w:val="01E0"/>
      </w:tblPr>
      <w:tblGrid>
        <w:gridCol w:w="6240"/>
        <w:gridCol w:w="1699"/>
        <w:gridCol w:w="1699"/>
      </w:tblGrid>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23,757,246.77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41,674,262.89</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2,314,797.03</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921,537.29</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7,378,585.48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4,766,132.10</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531,737.38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2"/>
                <w:sz w:val="18"/>
              </w:rPr>
              <w:t>204,112.00</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55,803.21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13,308.60</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2,035,846.99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6,816,739.85</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3"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-440,154.60</w:t>
            </w:r>
            <w:r>
              <w:rPr>
                <w:rFonts w:ascii="Times New Roman"/>
                <w:sz w:val="21"/>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-114,642.08</w:t>
            </w:r>
          </w:p>
        </w:tc>
      </w:tr>
      <w:tr>
        <w:trPr>
          <w:trHeight w:val="36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-45,188,248.48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-14,732,342.79</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-95,744,082.81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-21,741,635.45</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26,470,311.82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-6,021,313.04</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-78,828,157.21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11,786,159.37</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267,557,257.68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64,710,247.36</w:t>
            </w:r>
          </w:p>
        </w:tc>
      </w:tr>
      <w:tr>
        <w:trPr>
          <w:trHeight w:val="36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pacing w:val="-1"/>
                <w:sz w:val="18"/>
              </w:rPr>
              <w:t>64,710,247.36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4"/>
              <w:jc w:val="right"/>
              <w:rPr>
                <w:rFonts w:ascii="Times New Roman" w:hAnsi="Times New Roman" w:cs="Times New Roman" w:eastAsia="Times New Roman" w:hint="default"/>
                <w:sz w:val="18"/>
                <w:szCs w:val="18"/>
              </w:rPr>
            </w:pPr>
            <w:r>
              <w:rPr>
                <w:rFonts w:ascii="Times New Roman"/>
                <w:spacing w:val="-1"/>
                <w:sz w:val="18"/>
              </w:rPr>
              <w:t>42,477,705.13</w:t>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202,847,010.32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22,232,542.23</w:t>
            </w:r>
          </w:p>
        </w:tc>
      </w:tr>
    </w:tbl>
    <w:p>
      <w:pPr>
        <w:spacing w:after="0" w:line="240" w:lineRule="auto"/>
        <w:jc w:val="right"/>
        <w:rPr>
          <w:rFonts w:ascii="Times New Roman" w:hAnsi="Times New Roman" w:cs="Times New Roman" w:eastAsia="Times New Roman" w:hint="default"/>
          <w:sz w:val="18"/>
          <w:szCs w:val="18"/>
        </w:rPr>
        <w:sectPr>
          <w:pgSz w:w="11910" w:h="16840"/>
          <w:pgMar w:header="1058" w:footer="1590" w:top="1800" w:bottom="1780" w:left="880" w:right="1140"/>
        </w:sectPr>
      </w:pPr>
    </w:p>
    <w:p>
      <w:pPr>
        <w:pStyle w:val="BodyText"/>
        <w:spacing w:line="257" w:lineRule="exact"/>
        <w:ind w:left="922" w:right="0"/>
        <w:jc w:val="left"/>
      </w:pPr>
      <w:r>
        <w:rPr>
          <w:w w:val="95"/>
        </w:rPr>
        <w:t>（</w:t>
      </w:r>
      <w:r>
        <w:rPr>
          <w:rFonts w:ascii="Times New Roman" w:hAnsi="Times New Roman" w:cs="Times New Roman" w:eastAsia="Times New Roman" w:hint="default"/>
          <w:w w:val="95"/>
        </w:rPr>
        <w:t>2</w:t>
      </w:r>
      <w:r>
        <w:rPr>
          <w:w w:val="95"/>
        </w:rPr>
        <w:t>）现金和现金等价物的构成</w:t>
      </w:r>
      <w:r>
        <w:rPr/>
      </w:r>
    </w:p>
    <w:p>
      <w:pPr>
        <w:spacing w:line="240" w:lineRule="auto" w:before="8"/>
        <w:rPr>
          <w:rFonts w:ascii="宋体" w:hAnsi="宋体" w:cs="宋体" w:eastAsia="宋体" w:hint="default"/>
          <w:sz w:val="28"/>
          <w:szCs w:val="28"/>
        </w:rPr>
      </w:pPr>
      <w:r>
        <w:rPr/>
        <w:br w:type="column"/>
      </w:r>
      <w:r>
        <w:rPr>
          <w:rFonts w:ascii="宋体"/>
          <w:sz w:val="28"/>
        </w:rPr>
      </w:r>
    </w:p>
    <w:p>
      <w:pPr>
        <w:pStyle w:val="BodyText"/>
        <w:spacing w:line="240" w:lineRule="auto"/>
        <w:ind w:left="922" w:right="0"/>
        <w:jc w:val="left"/>
      </w:pPr>
      <w:r>
        <w:rPr>
          <w:w w:val="95"/>
        </w:rPr>
        <w:t>单位：元</w:t>
      </w:r>
      <w:r>
        <w:rPr>
          <w:spacing w:val="-24"/>
          <w:w w:val="95"/>
        </w:rPr>
        <w:t> </w:t>
      </w:r>
      <w:r>
        <w:rPr>
          <w:w w:val="95"/>
        </w:rPr>
        <w:t>币种：</w:t>
      </w:r>
      <w:r>
        <w:rPr/>
      </w:r>
    </w:p>
    <w:p>
      <w:pPr>
        <w:pStyle w:val="BodyText"/>
        <w:spacing w:line="240" w:lineRule="auto" w:before="133"/>
        <w:ind w:left="1767" w:right="0"/>
        <w:jc w:val="left"/>
      </w:pPr>
      <w:r>
        <w:rPr/>
        <w:t>人民币</w:t>
      </w:r>
    </w:p>
    <w:p>
      <w:pPr>
        <w:spacing w:after="0" w:line="240" w:lineRule="auto"/>
        <w:jc w:val="left"/>
        <w:sectPr>
          <w:type w:val="continuous"/>
          <w:pgSz w:w="11910" w:h="16840"/>
          <w:pgMar w:top="940" w:bottom="920" w:left="880" w:right="1140"/>
          <w:cols w:num="2" w:equalWidth="0">
            <w:col w:w="3757" w:space="3068"/>
            <w:col w:w="3065"/>
          </w:cols>
        </w:sectPr>
      </w:pPr>
    </w:p>
    <w:p>
      <w:pPr>
        <w:spacing w:line="240" w:lineRule="auto" w:before="13"/>
        <w:rPr>
          <w:rFonts w:ascii="宋体" w:hAnsi="宋体" w:cs="宋体" w:eastAsia="宋体" w:hint="default"/>
          <w:sz w:val="12"/>
          <w:szCs w:val="12"/>
        </w:rPr>
      </w:pPr>
    </w:p>
    <w:tbl>
      <w:tblPr>
        <w:tblW w:w="0" w:type="auto"/>
        <w:jc w:val="left"/>
        <w:tblInd w:w="867" w:type="dxa"/>
        <w:tblLayout w:type="fixed"/>
        <w:tblCellMar>
          <w:top w:w="0" w:type="dxa"/>
          <w:left w:w="0" w:type="dxa"/>
          <w:bottom w:w="0" w:type="dxa"/>
          <w:right w:w="0" w:type="dxa"/>
        </w:tblCellMar>
        <w:tblLook w:val="01E0"/>
      </w:tblPr>
      <w:tblGrid>
        <w:gridCol w:w="4229"/>
        <w:gridCol w:w="2021"/>
        <w:gridCol w:w="2018"/>
      </w:tblGrid>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70" w:right="0"/>
              <w:jc w:val="left"/>
              <w:rPr>
                <w:rFonts w:ascii="Times New Roman" w:hAnsi="Times New Roman" w:cs="Times New Roman" w:eastAsia="Times New Roman" w:hint="default"/>
                <w:sz w:val="21"/>
                <w:szCs w:val="21"/>
              </w:rPr>
            </w:pPr>
            <w:r>
              <w:rPr>
                <w:rFonts w:ascii="Times New Roman"/>
                <w:sz w:val="21"/>
              </w:rPr>
              <w:t>66,098.40</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065" w:right="0"/>
              <w:jc w:val="left"/>
              <w:rPr>
                <w:rFonts w:ascii="Times New Roman" w:hAnsi="Times New Roman" w:cs="Times New Roman" w:eastAsia="Times New Roman" w:hint="default"/>
                <w:sz w:val="21"/>
                <w:szCs w:val="21"/>
              </w:rPr>
            </w:pPr>
            <w:r>
              <w:rPr>
                <w:rFonts w:ascii="Times New Roman"/>
                <w:sz w:val="21"/>
              </w:rPr>
              <w:t>29,780.33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940" w:bottom="920" w:left="880" w:right="1140"/>
        </w:sectPr>
      </w:pPr>
    </w:p>
    <w:tbl>
      <w:tblPr>
        <w:tblW w:w="0" w:type="auto"/>
        <w:jc w:val="left"/>
        <w:tblInd w:w="827" w:type="dxa"/>
        <w:tblLayout w:type="fixed"/>
        <w:tblCellMar>
          <w:top w:w="0" w:type="dxa"/>
          <w:left w:w="0" w:type="dxa"/>
          <w:bottom w:w="0" w:type="dxa"/>
          <w:right w:w="0" w:type="dxa"/>
        </w:tblCellMar>
        <w:tblLook w:val="01E0"/>
      </w:tblPr>
      <w:tblGrid>
        <w:gridCol w:w="4229"/>
        <w:gridCol w:w="2021"/>
        <w:gridCol w:w="2018"/>
      </w:tblGrid>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bookmarkStart w:name="六、关联方及关联交易" w:id="92"/>
            <w:bookmarkEnd w:id="92"/>
            <w:r>
              <w:rPr/>
            </w:r>
            <w:bookmarkStart w:name="1、本企业的控股股东情况" w:id="93"/>
            <w:bookmarkEnd w:id="93"/>
            <w:r>
              <w:rPr/>
            </w:r>
            <w:bookmarkStart w:name="2、本企业的子公司情况" w:id="94"/>
            <w:bookmarkEnd w:id="94"/>
            <w:r>
              <w:rPr/>
            </w:r>
            <w:bookmarkStart w:name="3、本企业的其他关联方情况" w:id="95"/>
            <w:bookmarkEnd w:id="95"/>
            <w:r>
              <w:rPr/>
            </w:r>
            <w:r>
              <w:rPr>
                <w:rFonts w:ascii="宋体" w:hAnsi="宋体" w:cs="宋体" w:eastAsia="宋体" w:hint="default"/>
                <w:sz w:val="21"/>
                <w:szCs w:val="21"/>
              </w:rPr>
              <w:t>可随时用于支付的银行存款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267,491,159.28</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64,680,467.03</w:t>
            </w:r>
            <w:r>
              <w:rPr>
                <w:rFonts w:ascii="Times New Roman"/>
                <w:sz w:val="21"/>
              </w:rPr>
            </w:r>
          </w:p>
        </w:tc>
      </w:tr>
      <w:tr>
        <w:trPr>
          <w:trHeight w:val="419"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755"/>
              <w:jc w:val="right"/>
              <w:rPr>
                <w:rFonts w:ascii="宋体" w:hAnsi="宋体" w:cs="宋体" w:eastAsia="宋体" w:hint="default"/>
                <w:sz w:val="21"/>
                <w:szCs w:val="21"/>
              </w:rPr>
            </w:pPr>
            <w:r>
              <w:rPr>
                <w:rFonts w:ascii="宋体" w:hAnsi="宋体" w:cs="宋体" w:eastAsia="宋体" w:hint="default"/>
                <w:w w:val="95"/>
                <w:sz w:val="21"/>
                <w:szCs w:val="21"/>
              </w:rPr>
              <w:t>可随时用于支付的其他货币资金</w:t>
            </w:r>
            <w:r>
              <w:rPr>
                <w:rFonts w:ascii="宋体" w:hAnsi="宋体" w:cs="宋体" w:eastAsia="宋体" w:hint="default"/>
                <w:sz w:val="21"/>
                <w:szCs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9"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right="755"/>
              <w:jc w:val="right"/>
              <w:rPr>
                <w:rFonts w:ascii="宋体" w:hAnsi="宋体" w:cs="宋体" w:eastAsia="宋体" w:hint="default"/>
                <w:sz w:val="21"/>
                <w:szCs w:val="21"/>
              </w:rPr>
            </w:pPr>
            <w:r>
              <w:rPr>
                <w:rFonts w:ascii="宋体" w:hAnsi="宋体" w:cs="宋体" w:eastAsia="宋体" w:hint="default"/>
                <w:w w:val="95"/>
                <w:sz w:val="21"/>
                <w:szCs w:val="21"/>
              </w:rPr>
              <w:t>可用于支付的存放中央银行款项</w:t>
            </w:r>
            <w:r>
              <w:rPr>
                <w:rFonts w:ascii="宋体" w:hAnsi="宋体" w:cs="宋体" w:eastAsia="宋体" w:hint="default"/>
                <w:sz w:val="21"/>
                <w:szCs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0"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8"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0" w:hRule="exact"/>
        </w:trPr>
        <w:tc>
          <w:tcPr>
            <w:tcW w:w="42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267,557,257.68</w:t>
            </w:r>
            <w:r>
              <w:rPr>
                <w:rFonts w:ascii="Times New Roman"/>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64,710,247.36</w:t>
            </w:r>
            <w:r>
              <w:rPr>
                <w:rFonts w:ascii="Times New Roman"/>
                <w:sz w:val="21"/>
              </w:rPr>
            </w:r>
          </w:p>
        </w:tc>
      </w:tr>
    </w:tbl>
    <w:p>
      <w:pPr>
        <w:pStyle w:val="BodyText"/>
        <w:spacing w:line="258" w:lineRule="exact"/>
        <w:ind w:left="882" w:right="930"/>
        <w:jc w:val="left"/>
      </w:pPr>
      <w:r>
        <w:rPr>
          <w:w w:val="99"/>
        </w:rPr>
      </w:r>
      <w:r>
        <w:rPr>
          <w:u w:val="single" w:color="000000"/>
        </w:rPr>
        <w:t>注：现金和现金等价物不含</w:t>
      </w:r>
      <w:r>
        <w:rPr/>
        <w:t>母公司或集团内子公司使用受限制的现金和现金等价物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888" w:right="930"/>
        <w:jc w:val="left"/>
        <w:rPr>
          <w:rFonts w:ascii="宋体" w:hAnsi="宋体" w:cs="宋体" w:eastAsia="宋体" w:hint="default"/>
        </w:rPr>
      </w:pPr>
      <w:r>
        <w:rPr>
          <w:rFonts w:ascii="宋体" w:hAnsi="宋体" w:cs="宋体" w:eastAsia="宋体" w:hint="default"/>
        </w:rPr>
        <w:t>六、关联方及关联交易</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333" w:lineRule="exact"/>
        <w:ind w:left="888" w:right="930"/>
        <w:jc w:val="left"/>
        <w:rPr>
          <w:b w:val="0"/>
          <w:bCs w:val="0"/>
        </w:rPr>
      </w:pPr>
      <w:r>
        <w:rPr>
          <w:rFonts w:ascii="Times New Roman" w:hAnsi="Times New Roman" w:cs="Times New Roman" w:eastAsia="Times New Roman" w:hint="default"/>
        </w:rPr>
        <w:t>1</w:t>
      </w:r>
      <w:r>
        <w:rPr/>
        <w:t>、本企业的控股股东情况</w:t>
      </w:r>
      <w:r>
        <w:rPr>
          <w:b w:val="0"/>
          <w:bCs w:val="0"/>
        </w:rPr>
      </w:r>
    </w:p>
    <w:p>
      <w:pPr>
        <w:pStyle w:val="BodyText"/>
        <w:spacing w:line="240" w:lineRule="auto" w:before="109"/>
        <w:ind w:left="0" w:right="99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850"/>
        <w:gridCol w:w="3115"/>
        <w:gridCol w:w="2837"/>
        <w:gridCol w:w="2834"/>
      </w:tblGrid>
      <w:tr>
        <w:trPr>
          <w:trHeight w:val="709" w:hRule="exact"/>
        </w:trPr>
        <w:tc>
          <w:tcPr>
            <w:tcW w:w="8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控股股</w:t>
            </w:r>
          </w:p>
          <w:p>
            <w:pPr>
              <w:pStyle w:val="TableParagraph"/>
              <w:spacing w:line="240" w:lineRule="auto" w:before="115"/>
              <w:ind w:left="156" w:right="0"/>
              <w:jc w:val="left"/>
              <w:rPr>
                <w:rFonts w:ascii="宋体" w:hAnsi="宋体" w:cs="宋体" w:eastAsia="宋体" w:hint="default"/>
                <w:sz w:val="18"/>
                <w:szCs w:val="18"/>
              </w:rPr>
            </w:pPr>
            <w:r>
              <w:rPr>
                <w:rFonts w:ascii="宋体" w:hAnsi="宋体" w:cs="宋体" w:eastAsia="宋体" w:hint="default"/>
                <w:sz w:val="18"/>
                <w:szCs w:val="18"/>
              </w:rPr>
              <w:t>东名称</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对本企业的持股比例</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对本企业的表决权比例</w:t>
            </w:r>
          </w:p>
        </w:tc>
      </w:tr>
      <w:tr>
        <w:trPr>
          <w:trHeight w:val="373" w:hRule="exact"/>
        </w:trPr>
        <w:tc>
          <w:tcPr>
            <w:tcW w:w="850"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Times New Roman" w:hAnsi="Times New Roman" w:cs="Times New Roman" w:eastAsia="Times New Roman" w:hint="default"/>
                <w:sz w:val="21"/>
                <w:szCs w:val="21"/>
              </w:rPr>
            </w:pPr>
            <w:r>
              <w:rPr>
                <w:rFonts w:ascii="Times New Roman"/>
                <w:sz w:val="21"/>
              </w:rPr>
              <w:t>46.1361%</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Times New Roman" w:hAnsi="Times New Roman" w:cs="Times New Roman" w:eastAsia="Times New Roman" w:hint="default"/>
                <w:sz w:val="21"/>
                <w:szCs w:val="21"/>
              </w:rPr>
            </w:pPr>
            <w:r>
              <w:rPr>
                <w:rFonts w:ascii="Times New Roman"/>
                <w:sz w:val="21"/>
              </w:rPr>
              <w:t>46.1361%</w:t>
            </w:r>
          </w:p>
        </w:tc>
      </w:tr>
    </w:tbl>
    <w:p>
      <w:pPr>
        <w:spacing w:line="240" w:lineRule="auto" w:before="6"/>
        <w:rPr>
          <w:rFonts w:ascii="宋体" w:hAnsi="宋体" w:cs="宋体" w:eastAsia="宋体" w:hint="default"/>
          <w:sz w:val="22"/>
          <w:szCs w:val="22"/>
        </w:rPr>
      </w:pPr>
    </w:p>
    <w:p>
      <w:pPr>
        <w:pStyle w:val="Heading4"/>
        <w:spacing w:line="333" w:lineRule="exact"/>
        <w:ind w:left="888" w:right="930"/>
        <w:jc w:val="left"/>
        <w:rPr>
          <w:b w:val="0"/>
          <w:bCs w:val="0"/>
        </w:rPr>
      </w:pPr>
      <w:r>
        <w:rPr>
          <w:rFonts w:ascii="Times New Roman" w:hAnsi="Times New Roman" w:cs="Times New Roman" w:eastAsia="Times New Roman" w:hint="default"/>
        </w:rPr>
        <w:t>2</w:t>
      </w:r>
      <w:r>
        <w:rPr/>
        <w:t>、本企业的子公司情况</w:t>
      </w:r>
      <w:r>
        <w:rPr>
          <w:b w:val="0"/>
          <w:bCs w:val="0"/>
        </w:rPr>
      </w:r>
    </w:p>
    <w:p>
      <w:pPr>
        <w:pStyle w:val="BodyText"/>
        <w:spacing w:line="240" w:lineRule="auto" w:before="109"/>
        <w:ind w:left="0" w:right="78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77"/>
        <w:gridCol w:w="840"/>
        <w:gridCol w:w="749"/>
        <w:gridCol w:w="840"/>
        <w:gridCol w:w="840"/>
        <w:gridCol w:w="955"/>
        <w:gridCol w:w="986"/>
        <w:gridCol w:w="1027"/>
        <w:gridCol w:w="1123"/>
        <w:gridCol w:w="1085"/>
      </w:tblGrid>
      <w:tr>
        <w:trPr>
          <w:trHeight w:val="71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5" w:right="0" w:hanging="89"/>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before="115"/>
              <w:ind w:left="23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40" w:lineRule="auto" w:before="115"/>
              <w:ind w:left="18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5" w:right="0"/>
              <w:jc w:val="left"/>
              <w:rPr>
                <w:rFonts w:ascii="宋体" w:hAnsi="宋体" w:cs="宋体" w:eastAsia="宋体" w:hint="default"/>
                <w:sz w:val="18"/>
                <w:szCs w:val="18"/>
              </w:rPr>
            </w:pPr>
            <w:r>
              <w:rPr>
                <w:rFonts w:ascii="宋体" w:hAnsi="宋体" w:cs="宋体" w:eastAsia="宋体" w:hint="default"/>
                <w:sz w:val="18"/>
                <w:szCs w:val="18"/>
              </w:rPr>
              <w:t>法人</w:t>
            </w:r>
          </w:p>
          <w:p>
            <w:pPr>
              <w:pStyle w:val="TableParagraph"/>
              <w:spacing w:line="240" w:lineRule="auto" w:before="115"/>
              <w:ind w:left="235" w:right="0"/>
              <w:jc w:val="left"/>
              <w:rPr>
                <w:rFonts w:ascii="宋体" w:hAnsi="宋体" w:cs="宋体" w:eastAsia="宋体" w:hint="default"/>
                <w:sz w:val="18"/>
                <w:szCs w:val="18"/>
              </w:rPr>
            </w:pPr>
            <w:r>
              <w:rPr>
                <w:rFonts w:ascii="宋体" w:hAnsi="宋体" w:cs="宋体" w:eastAsia="宋体" w:hint="default"/>
                <w:sz w:val="18"/>
                <w:szCs w:val="18"/>
              </w:rPr>
              <w:t>代表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085"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9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渝神科技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103" w:right="79"/>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38"/>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子</w:t>
            </w:r>
            <w:r>
              <w:rPr>
                <w:rFonts w:ascii="宋体" w:hAnsi="宋体" w:cs="宋体" w:eastAsia="宋体" w:hint="default"/>
                <w:sz w:val="18"/>
                <w:szCs w:val="18"/>
              </w:rPr>
              <w:t>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103" w:right="79"/>
              <w:jc w:val="left"/>
              <w:rPr>
                <w:rFonts w:ascii="宋体" w:hAnsi="宋体" w:cs="宋体" w:eastAsia="宋体" w:hint="default"/>
                <w:sz w:val="18"/>
                <w:szCs w:val="18"/>
              </w:rPr>
            </w:pPr>
            <w:r>
              <w:rPr>
                <w:rFonts w:ascii="宋体" w:hAnsi="宋体" w:cs="宋体" w:eastAsia="宋体" w:hint="default"/>
                <w:spacing w:val="4"/>
                <w:sz w:val="18"/>
                <w:szCs w:val="18"/>
              </w:rPr>
              <w:t>有限公</w:t>
            </w:r>
            <w:r>
              <w:rPr>
                <w:rFonts w:ascii="宋体" w:hAnsi="宋体" w:cs="宋体" w:eastAsia="宋体" w:hint="default"/>
                <w:sz w:val="18"/>
                <w:szCs w:val="18"/>
              </w:rPr>
              <w:t> 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79802155-5</w:t>
            </w:r>
          </w:p>
        </w:tc>
      </w:tr>
      <w:tr>
        <w:trPr>
          <w:trHeight w:val="9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隆泰科技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103" w:right="79"/>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38"/>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子</w:t>
            </w:r>
            <w:r>
              <w:rPr>
                <w:rFonts w:ascii="宋体" w:hAnsi="宋体" w:cs="宋体" w:eastAsia="宋体" w:hint="default"/>
                <w:sz w:val="18"/>
                <w:szCs w:val="18"/>
              </w:rPr>
              <w:t>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103" w:right="79"/>
              <w:jc w:val="left"/>
              <w:rPr>
                <w:rFonts w:ascii="宋体" w:hAnsi="宋体" w:cs="宋体" w:eastAsia="宋体" w:hint="default"/>
                <w:sz w:val="18"/>
                <w:szCs w:val="18"/>
              </w:rPr>
            </w:pPr>
            <w:r>
              <w:rPr>
                <w:rFonts w:ascii="宋体" w:hAnsi="宋体" w:cs="宋体" w:eastAsia="宋体" w:hint="default"/>
                <w:spacing w:val="4"/>
                <w:sz w:val="18"/>
                <w:szCs w:val="18"/>
              </w:rPr>
              <w:t>有限公</w:t>
            </w:r>
            <w:r>
              <w:rPr>
                <w:rFonts w:ascii="宋体" w:hAnsi="宋体" w:cs="宋体" w:eastAsia="宋体" w:hint="default"/>
                <w:sz w:val="18"/>
                <w:szCs w:val="18"/>
              </w:rPr>
              <w:t> 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56162885-0</w:t>
            </w:r>
          </w:p>
        </w:tc>
      </w:tr>
    </w:tbl>
    <w:p>
      <w:pPr>
        <w:spacing w:line="240" w:lineRule="auto" w:before="6"/>
        <w:rPr>
          <w:rFonts w:ascii="宋体" w:hAnsi="宋体" w:cs="宋体" w:eastAsia="宋体" w:hint="default"/>
          <w:sz w:val="22"/>
          <w:szCs w:val="22"/>
        </w:rPr>
      </w:pPr>
    </w:p>
    <w:p>
      <w:pPr>
        <w:pStyle w:val="Heading4"/>
        <w:spacing w:line="333" w:lineRule="exact"/>
        <w:ind w:left="888" w:right="93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877" w:type="dxa"/>
        <w:tblLayout w:type="fixed"/>
        <w:tblCellMar>
          <w:top w:w="0" w:type="dxa"/>
          <w:left w:w="0" w:type="dxa"/>
          <w:bottom w:w="0" w:type="dxa"/>
          <w:right w:w="0" w:type="dxa"/>
        </w:tblCellMar>
        <w:tblLook w:val="01E0"/>
      </w:tblPr>
      <w:tblGrid>
        <w:gridCol w:w="2693"/>
        <w:gridCol w:w="5400"/>
      </w:tblGrid>
      <w:tr>
        <w:trPr>
          <w:trHeight w:val="418"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4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18"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5400"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副总经理兼董事会秘书，持有公司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9.5441%</w:t>
            </w:r>
            <w:r>
              <w:rPr>
                <w:rFonts w:ascii="宋体" w:hAnsi="宋体" w:cs="宋体" w:eastAsia="宋体" w:hint="default"/>
                <w:sz w:val="21"/>
                <w:szCs w:val="21"/>
              </w:rPr>
              <w:t>的股票</w:t>
            </w:r>
          </w:p>
        </w:tc>
      </w:tr>
      <w:tr>
        <w:trPr>
          <w:trHeight w:val="42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喻琴</w:t>
            </w:r>
          </w:p>
        </w:tc>
        <w:tc>
          <w:tcPr>
            <w:tcW w:w="5400"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公司股东，持有公司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5.5505%</w:t>
            </w:r>
            <w:r>
              <w:rPr>
                <w:rFonts w:ascii="宋体" w:hAnsi="宋体" w:cs="宋体" w:eastAsia="宋体" w:hint="default"/>
                <w:sz w:val="21"/>
                <w:szCs w:val="21"/>
              </w:rPr>
              <w:t>的股权</w:t>
            </w:r>
          </w:p>
        </w:tc>
      </w:tr>
      <w:tr>
        <w:trPr>
          <w:trHeight w:val="418"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5400"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4.3698%</w:t>
            </w:r>
            <w:r>
              <w:rPr>
                <w:rFonts w:ascii="宋体" w:hAnsi="宋体" w:cs="宋体" w:eastAsia="宋体" w:hint="default"/>
                <w:sz w:val="21"/>
                <w:szCs w:val="21"/>
              </w:rPr>
              <w:t>的股权</w:t>
            </w:r>
          </w:p>
        </w:tc>
      </w:tr>
    </w:tbl>
    <w:p>
      <w:pPr>
        <w:spacing w:after="0" w:line="257" w:lineRule="exact"/>
        <w:jc w:val="center"/>
        <w:rPr>
          <w:rFonts w:ascii="宋体" w:hAnsi="宋体" w:cs="宋体" w:eastAsia="宋体" w:hint="default"/>
          <w:sz w:val="21"/>
          <w:szCs w:val="21"/>
        </w:rPr>
        <w:sectPr>
          <w:pgSz w:w="11910" w:h="16840"/>
          <w:pgMar w:header="1058" w:footer="1590" w:top="1780" w:bottom="1780" w:left="920" w:right="1020"/>
        </w:sectPr>
      </w:pPr>
    </w:p>
    <w:tbl>
      <w:tblPr>
        <w:tblW w:w="0" w:type="auto"/>
        <w:jc w:val="left"/>
        <w:tblInd w:w="117" w:type="dxa"/>
        <w:tblLayout w:type="fixed"/>
        <w:tblCellMar>
          <w:top w:w="0" w:type="dxa"/>
          <w:left w:w="0" w:type="dxa"/>
          <w:bottom w:w="0" w:type="dxa"/>
          <w:right w:w="0" w:type="dxa"/>
        </w:tblCellMar>
        <w:tblLook w:val="01E0"/>
      </w:tblPr>
      <w:tblGrid>
        <w:gridCol w:w="2690"/>
        <w:gridCol w:w="5402"/>
      </w:tblGrid>
      <w:tr>
        <w:trPr>
          <w:trHeight w:val="41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bookmarkStart w:name="4、关联交易情况" w:id="96"/>
            <w:bookmarkEnd w:id="96"/>
            <w:r>
              <w:rPr/>
            </w:r>
            <w:bookmarkStart w:name="5、关键管理人员报酬" w:id="97"/>
            <w:bookmarkEnd w:id="97"/>
            <w:r>
              <w:rPr/>
            </w:r>
            <w:bookmarkStart w:name="6、关联方应收应付款项" w:id="98"/>
            <w:bookmarkEnd w:id="98"/>
            <w:r>
              <w:rPr/>
            </w:r>
            <w:bookmarkStart w:name="七、股份支付" w:id="99"/>
            <w:bookmarkEnd w:id="99"/>
            <w:r>
              <w:rPr/>
            </w:r>
            <w:bookmarkStart w:name="八、或有事项" w:id="100"/>
            <w:bookmarkEnd w:id="100"/>
            <w:r>
              <w:rPr/>
            </w:r>
            <w:r>
              <w:rPr>
                <w:rFonts w:ascii="宋体" w:hAnsi="宋体" w:cs="宋体" w:eastAsia="宋体" w:hint="default"/>
                <w:sz w:val="21"/>
                <w:szCs w:val="21"/>
              </w:rPr>
              <w:t>黄学春</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3.7154%</w:t>
            </w:r>
            <w:r>
              <w:rPr>
                <w:rFonts w:ascii="宋体" w:hAnsi="宋体" w:cs="宋体" w:eastAsia="宋体" w:hint="default"/>
                <w:sz w:val="21"/>
                <w:szCs w:val="21"/>
              </w:rPr>
              <w:t>的股权</w:t>
            </w:r>
          </w:p>
        </w:tc>
      </w:tr>
      <w:tr>
        <w:trPr>
          <w:trHeight w:val="419"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董事，持有公司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2.1849%</w:t>
            </w:r>
            <w:r>
              <w:rPr>
                <w:rFonts w:ascii="宋体" w:hAnsi="宋体" w:cs="宋体" w:eastAsia="宋体" w:hint="default"/>
                <w:sz w:val="21"/>
                <w:szCs w:val="21"/>
              </w:rPr>
              <w:t>的股权</w:t>
            </w:r>
          </w:p>
        </w:tc>
      </w:tr>
      <w:tr>
        <w:trPr>
          <w:trHeight w:val="419"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董事，持有公司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1.0925%</w:t>
            </w:r>
            <w:r>
              <w:rPr>
                <w:rFonts w:ascii="宋体" w:hAnsi="宋体" w:cs="宋体" w:eastAsia="宋体" w:hint="default"/>
                <w:sz w:val="21"/>
                <w:szCs w:val="21"/>
              </w:rPr>
              <w:t>的股权</w:t>
            </w:r>
          </w:p>
        </w:tc>
      </w:tr>
      <w:tr>
        <w:trPr>
          <w:trHeight w:val="41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监事，持有公司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1.0925%</w:t>
            </w:r>
            <w:r>
              <w:rPr>
                <w:rFonts w:ascii="宋体" w:hAnsi="宋体" w:cs="宋体" w:eastAsia="宋体" w:hint="default"/>
                <w:sz w:val="21"/>
                <w:szCs w:val="21"/>
              </w:rPr>
              <w:t>的股权</w:t>
            </w:r>
          </w:p>
        </w:tc>
      </w:tr>
      <w:tr>
        <w:trPr>
          <w:trHeight w:val="420"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0.6817%</w:t>
            </w:r>
            <w:r>
              <w:rPr>
                <w:rFonts w:ascii="宋体" w:hAnsi="宋体" w:cs="宋体" w:eastAsia="宋体" w:hint="default"/>
                <w:sz w:val="21"/>
                <w:szCs w:val="21"/>
              </w:rPr>
              <w:t>的股权</w:t>
            </w:r>
          </w:p>
        </w:tc>
      </w:tr>
      <w:tr>
        <w:trPr>
          <w:trHeight w:val="41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总工程师，持有公司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r>
        <w:trPr>
          <w:trHeight w:val="41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r>
        <w:trPr>
          <w:trHeight w:val="420"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540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bl>
    <w:p>
      <w:pPr>
        <w:pStyle w:val="BodyText"/>
        <w:spacing w:line="274" w:lineRule="exact"/>
        <w:ind w:right="109"/>
        <w:jc w:val="left"/>
        <w:rPr>
          <w:rFonts w:ascii="Times New Roman" w:hAnsi="Times New Roman" w:cs="Times New Roman" w:eastAsia="Times New Roman" w:hint="default"/>
        </w:rPr>
      </w:pPr>
      <w:r>
        <w:rPr/>
        <w:t>上述人员部分职务已变更，具体见附注十、</w:t>
      </w:r>
      <w:r>
        <w:rPr>
          <w:rFonts w:ascii="Times New Roman" w:hAnsi="Times New Roman" w:cs="Times New Roman" w:eastAsia="Times New Roman" w:hint="default"/>
        </w:rPr>
        <w:t>1</w:t>
      </w:r>
    </w:p>
    <w:p>
      <w:pPr>
        <w:spacing w:line="312" w:lineRule="auto" w:before="50"/>
        <w:ind w:left="333" w:right="5463" w:hanging="2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本公司当期无关联交易情况。</w:t>
      </w:r>
    </w:p>
    <w:p>
      <w:pPr>
        <w:spacing w:line="240" w:lineRule="auto" w:before="12"/>
        <w:rPr>
          <w:rFonts w:ascii="宋体" w:hAnsi="宋体" w:cs="宋体" w:eastAsia="宋体" w:hint="default"/>
          <w:sz w:val="27"/>
          <w:szCs w:val="27"/>
        </w:rPr>
      </w:pPr>
    </w:p>
    <w:p>
      <w:pPr>
        <w:pStyle w:val="Heading4"/>
        <w:spacing w:line="240" w:lineRule="auto"/>
        <w:ind w:right="109"/>
        <w:jc w:val="left"/>
        <w:rPr>
          <w:b w:val="0"/>
          <w:bCs w:val="0"/>
        </w:rPr>
      </w:pPr>
      <w:r>
        <w:rPr>
          <w:rFonts w:ascii="Times New Roman" w:hAnsi="Times New Roman" w:cs="Times New Roman" w:eastAsia="Times New Roman" w:hint="default"/>
        </w:rPr>
        <w:t>5</w:t>
      </w:r>
      <w:r>
        <w:rPr/>
        <w:t>、关键管理人员报酬</w:t>
      </w:r>
      <w:r>
        <w:rPr>
          <w:b w:val="0"/>
          <w:bCs w:val="0"/>
        </w:rPr>
      </w:r>
    </w:p>
    <w:p>
      <w:pPr>
        <w:pStyle w:val="BodyText"/>
        <w:spacing w:line="240" w:lineRule="auto" w:before="111"/>
        <w:ind w:left="542" w:right="109"/>
        <w:jc w:val="left"/>
      </w:pPr>
      <w:r>
        <w:rPr>
          <w:rFonts w:ascii="Times New Roman" w:hAnsi="Times New Roman" w:cs="Times New Roman" w:eastAsia="Times New Roman" w:hint="default"/>
        </w:rPr>
        <w:t>2010 </w:t>
      </w:r>
      <w:r>
        <w:rPr/>
        <w:t>年度，关键人员在本公司领取报酬 </w:t>
      </w:r>
      <w:r>
        <w:rPr>
          <w:rFonts w:ascii="Times New Roman" w:hAnsi="Times New Roman" w:cs="Times New Roman" w:eastAsia="Times New Roman" w:hint="default"/>
        </w:rPr>
        <w:t>98 </w:t>
      </w:r>
      <w:r>
        <w:rPr/>
        <w:t>万元</w:t>
      </w:r>
      <w:r>
        <w:rPr>
          <w:spacing w:val="-60"/>
        </w:rPr>
        <w:t> </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58" w:footer="1590" w:top="1780" w:bottom="1780" w:left="1680" w:right="1680"/>
        </w:sectPr>
      </w:pPr>
    </w:p>
    <w:p>
      <w:pPr>
        <w:pStyle w:val="Heading4"/>
        <w:spacing w:line="333"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pStyle w:val="BodyText"/>
        <w:spacing w:line="240" w:lineRule="auto" w:before="109"/>
        <w:ind w:left="333" w:right="0"/>
        <w:jc w:val="left"/>
      </w:pPr>
      <w:r>
        <w:rPr>
          <w:w w:val="95"/>
        </w:rPr>
        <w:t>上市公司应收关联方款项</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tabs>
          <w:tab w:pos="1177" w:val="left" w:leader="none"/>
        </w:tabs>
        <w:spacing w:line="240" w:lineRule="auto"/>
        <w:ind w:left="128" w:right="0"/>
        <w:jc w:val="left"/>
      </w:pPr>
      <w:r>
        <w:rPr>
          <w:w w:val="95"/>
        </w:rPr>
        <w:t>单位：元</w:t>
        <w:tab/>
      </w:r>
      <w:r>
        <w:rPr/>
        <w:t>币种：人民币</w:t>
      </w:r>
    </w:p>
    <w:p>
      <w:pPr>
        <w:spacing w:after="0" w:line="240" w:lineRule="auto"/>
        <w:jc w:val="left"/>
        <w:sectPr>
          <w:type w:val="continuous"/>
          <w:pgSz w:w="11910" w:h="16840"/>
          <w:pgMar w:top="940" w:bottom="920" w:left="1680" w:right="1680"/>
          <w:cols w:num="2" w:equalWidth="0">
            <w:col w:w="2643" w:space="3132"/>
            <w:col w:w="2775"/>
          </w:cols>
        </w:sectPr>
      </w:pP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574"/>
        <w:gridCol w:w="974"/>
        <w:gridCol w:w="1452"/>
        <w:gridCol w:w="1452"/>
        <w:gridCol w:w="1346"/>
        <w:gridCol w:w="1346"/>
      </w:tblGrid>
      <w:tr>
        <w:trPr>
          <w:trHeight w:val="425" w:hRule="exact"/>
        </w:trPr>
        <w:tc>
          <w:tcPr>
            <w:tcW w:w="1574" w:type="dxa"/>
            <w:vMerge w:val="restart"/>
            <w:tcBorders>
              <w:top w:val="single" w:sz="6" w:space="0" w:color="000000"/>
              <w:left w:val="nil" w:sz="6" w:space="0" w:color="auto"/>
              <w:right w:val="single" w:sz="6" w:space="0" w:color="000000"/>
            </w:tcBorders>
          </w:tcPr>
          <w:p>
            <w:pPr>
              <w:pStyle w:val="TableParagraph"/>
              <w:spacing w:line="240" w:lineRule="auto" w:before="177"/>
              <w:ind w:left="36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177"/>
              <w:ind w:left="16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22" w:hRule="exact"/>
        </w:trPr>
        <w:tc>
          <w:tcPr>
            <w:tcW w:w="1574" w:type="dxa"/>
            <w:vMerge/>
            <w:tcBorders>
              <w:left w:val="nil" w:sz="6" w:space="0" w:color="auto"/>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74"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nil" w:sz="6" w:space="0" w:color="auto"/>
            </w:tcBorders>
          </w:tcPr>
          <w:p>
            <w:pPr/>
          </w:p>
        </w:tc>
      </w:tr>
      <w:tr>
        <w:trPr>
          <w:trHeight w:val="739"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18,200.00</w:t>
            </w:r>
            <w:r>
              <w:rPr>
                <w:rFonts w:ascii="Times New Roman"/>
                <w:sz w:val="21"/>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546.00</w:t>
            </w:r>
            <w:r>
              <w:rPr>
                <w:rFonts w:ascii="Times New Roman"/>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19,400.00</w:t>
            </w:r>
            <w:r>
              <w:rPr>
                <w:rFonts w:ascii="Times New Roman"/>
                <w:sz w:val="21"/>
              </w:rPr>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582.00</w:t>
            </w:r>
            <w:r>
              <w:rPr>
                <w:rFonts w:ascii="Times New Roman"/>
                <w:sz w:val="21"/>
              </w:rPr>
            </w:r>
          </w:p>
        </w:tc>
      </w:tr>
      <w:tr>
        <w:trPr>
          <w:trHeight w:val="739"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240"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300.00</w:t>
            </w:r>
            <w:r>
              <w:rPr>
                <w:rFonts w:ascii="Times New Roman"/>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z w:val="21"/>
              </w:rPr>
              <w:t>90.00</w:t>
            </w:r>
          </w:p>
        </w:tc>
      </w:tr>
      <w:tr>
        <w:trPr>
          <w:trHeight w:val="739"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7,000.00</w:t>
            </w:r>
            <w:r>
              <w:rPr>
                <w:rFonts w:ascii="Times New Roman"/>
                <w:sz w:val="21"/>
              </w:rPr>
            </w:r>
          </w:p>
        </w:tc>
        <w:tc>
          <w:tcPr>
            <w:tcW w:w="13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210.00</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28" w:right="109"/>
        <w:jc w:val="left"/>
        <w:rPr>
          <w:rFonts w:ascii="宋体" w:hAnsi="宋体" w:cs="宋体" w:eastAsia="宋体" w:hint="default"/>
        </w:rPr>
      </w:pPr>
      <w:r>
        <w:rPr>
          <w:rFonts w:ascii="宋体" w:hAnsi="宋体" w:cs="宋体" w:eastAsia="宋体" w:hint="default"/>
        </w:rPr>
        <w:t>七、股份支付</w:t>
      </w:r>
    </w:p>
    <w:p>
      <w:pPr>
        <w:pStyle w:val="BodyText"/>
        <w:spacing w:line="240" w:lineRule="auto" w:before="135"/>
        <w:ind w:left="542" w:right="109"/>
        <w:jc w:val="left"/>
      </w:pPr>
      <w:r>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日，本公司无股份支付。</w:t>
      </w:r>
    </w:p>
    <w:p>
      <w:pPr>
        <w:spacing w:line="240" w:lineRule="auto" w:before="0"/>
        <w:rPr>
          <w:rFonts w:ascii="宋体" w:hAnsi="宋体" w:cs="宋体" w:eastAsia="宋体" w:hint="default"/>
          <w:sz w:val="22"/>
          <w:szCs w:val="22"/>
        </w:rPr>
      </w:pPr>
    </w:p>
    <w:p>
      <w:pPr>
        <w:pStyle w:val="BodyText"/>
        <w:spacing w:line="240" w:lineRule="auto" w:before="192"/>
        <w:ind w:left="128" w:right="109"/>
        <w:jc w:val="left"/>
        <w:rPr>
          <w:rFonts w:ascii="宋体" w:hAnsi="宋体" w:cs="宋体" w:eastAsia="宋体" w:hint="default"/>
        </w:rPr>
      </w:pPr>
      <w:r>
        <w:rPr>
          <w:rFonts w:ascii="宋体" w:hAnsi="宋体" w:cs="宋体" w:eastAsia="宋体" w:hint="default"/>
        </w:rPr>
        <w:t>八、或有事项</w:t>
      </w:r>
    </w:p>
    <w:p>
      <w:pPr>
        <w:pStyle w:val="BodyText"/>
        <w:spacing w:line="240" w:lineRule="auto" w:before="133"/>
        <w:ind w:left="542" w:right="109"/>
        <w:jc w:val="left"/>
      </w:pPr>
      <w:r>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日，本公司无需披露的重大或有事项。</w:t>
      </w:r>
    </w:p>
    <w:p>
      <w:pPr>
        <w:spacing w:after="0" w:line="240" w:lineRule="auto"/>
        <w:jc w:val="left"/>
        <w:sectPr>
          <w:type w:val="continuous"/>
          <w:pgSz w:w="11910" w:h="16840"/>
          <w:pgMar w:top="940" w:bottom="920" w:left="1680" w:right="1680"/>
        </w:sectPr>
      </w:pPr>
    </w:p>
    <w:p>
      <w:pPr>
        <w:spacing w:line="240" w:lineRule="auto" w:before="11"/>
        <w:rPr>
          <w:rFonts w:ascii="宋体" w:hAnsi="宋体" w:cs="宋体" w:eastAsia="宋体" w:hint="default"/>
          <w:sz w:val="23"/>
          <w:szCs w:val="23"/>
        </w:rPr>
      </w:pPr>
    </w:p>
    <w:p>
      <w:pPr>
        <w:pStyle w:val="BodyText"/>
        <w:spacing w:line="240" w:lineRule="auto" w:before="34"/>
        <w:ind w:left="128" w:right="109"/>
        <w:jc w:val="left"/>
        <w:rPr>
          <w:rFonts w:ascii="宋体" w:hAnsi="宋体" w:cs="宋体" w:eastAsia="宋体" w:hint="default"/>
        </w:rPr>
      </w:pPr>
      <w:bookmarkStart w:name="九、其他重大事项" w:id="101"/>
      <w:bookmarkEnd w:id="101"/>
      <w:r>
        <w:rPr/>
      </w:r>
      <w:bookmarkStart w:name="十、资产负债表日后事项" w:id="102"/>
      <w:bookmarkEnd w:id="102"/>
      <w:r>
        <w:rPr/>
      </w:r>
      <w:bookmarkStart w:name="重要的资产负债表日后事项说明" w:id="103"/>
      <w:bookmarkEnd w:id="103"/>
      <w:r>
        <w:rPr/>
      </w:r>
      <w:r>
        <w:rPr>
          <w:rFonts w:ascii="宋体" w:hAnsi="宋体" w:cs="宋体" w:eastAsia="宋体" w:hint="default"/>
        </w:rPr>
        <w:t>九、其他重大事项</w:t>
      </w:r>
    </w:p>
    <w:p>
      <w:pPr>
        <w:pStyle w:val="BodyText"/>
        <w:spacing w:line="240" w:lineRule="auto" w:before="133"/>
        <w:ind w:left="542" w:right="109"/>
        <w:jc w:val="left"/>
      </w:pPr>
      <w:r>
        <w:rPr>
          <w:rFonts w:ascii="Times New Roman" w:hAnsi="Times New Roman" w:cs="Times New Roman" w:eastAsia="Times New Roman" w:hint="default"/>
        </w:rPr>
        <w:t>1.</w:t>
      </w:r>
      <w:r>
        <w:rPr/>
        <w:t>重要租赁合同</w:t>
      </w:r>
    </w:p>
    <w:p>
      <w:pPr>
        <w:pStyle w:val="BodyText"/>
        <w:spacing w:line="240" w:lineRule="auto" w:before="117"/>
        <w:ind w:left="542" w:right="0"/>
        <w:jc w:val="left"/>
      </w:pPr>
      <w:r>
        <w:rPr/>
        <w:t>本公司于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日与重庆钢丝绳厂签订了财产租赁合同</w:t>
      </w:r>
      <w:r>
        <w:rPr>
          <w:rFonts w:ascii="Times New Roman" w:hAnsi="Times New Roman" w:cs="Times New Roman" w:eastAsia="Times New Roman" w:hint="default"/>
        </w:rPr>
        <w:t>,</w:t>
      </w:r>
      <w:r>
        <w:rPr/>
        <w:t>租赁该厂区的部分厂</w:t>
      </w:r>
    </w:p>
    <w:p>
      <w:pPr>
        <w:pStyle w:val="BodyText"/>
        <w:spacing w:line="240" w:lineRule="auto" w:before="117"/>
        <w:ind w:right="109"/>
        <w:jc w:val="left"/>
      </w:pPr>
      <w:r>
        <w:rPr>
          <w:spacing w:val="3"/>
        </w:rPr>
        <w:t>房和设备，作为子公司渝神科技的生产办公之用，租赁期自</w:t>
      </w:r>
      <w:r>
        <w:rPr>
          <w:spacing w:val="-51"/>
        </w:rPr>
        <w:t> </w:t>
      </w:r>
      <w:r>
        <w:rPr>
          <w:rFonts w:ascii="Times New Roman" w:hAnsi="Times New Roman" w:cs="Times New Roman" w:eastAsia="Times New Roman" w:hint="default"/>
        </w:rPr>
        <w:t>2007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2015 </w:t>
      </w:r>
      <w:r>
        <w:rPr/>
        <w:t>年</w:t>
      </w:r>
    </w:p>
    <w:p>
      <w:pPr>
        <w:pStyle w:val="BodyText"/>
        <w:spacing w:line="240" w:lineRule="auto" w:before="117"/>
        <w:ind w:right="109"/>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日，每月租金</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w:t>
      </w:r>
    </w:p>
    <w:p>
      <w:pPr>
        <w:pStyle w:val="BodyText"/>
        <w:spacing w:line="240" w:lineRule="auto" w:before="117"/>
        <w:ind w:left="542" w:right="109"/>
        <w:jc w:val="left"/>
      </w:pPr>
      <w:r>
        <w:rPr/>
        <w:t>公司自</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日起，应付物业租金情况如下：</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128"/>
        <w:gridCol w:w="4159"/>
      </w:tblGrid>
      <w:tr>
        <w:trPr>
          <w:trHeight w:val="413"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租</w:t>
              <w:tab/>
            </w:r>
            <w:r>
              <w:rPr>
                <w:rFonts w:ascii="宋体" w:hAnsi="宋体" w:cs="宋体" w:eastAsia="宋体" w:hint="default"/>
                <w:sz w:val="21"/>
                <w:szCs w:val="21"/>
              </w:rPr>
              <w:t>期</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应付租金金额</w:t>
            </w:r>
          </w:p>
        </w:tc>
      </w:tr>
      <w:tr>
        <w:trPr>
          <w:trHeight w:val="414"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414"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spacing w:line="258"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413"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413"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2,200,000.00</w:t>
            </w:r>
            <w:r>
              <w:rPr>
                <w:rFonts w:ascii="Times New Roman"/>
                <w:sz w:val="21"/>
              </w:rPr>
            </w:r>
          </w:p>
        </w:tc>
      </w:tr>
      <w:tr>
        <w:trPr>
          <w:trHeight w:val="413" w:hRule="exact"/>
        </w:trPr>
        <w:tc>
          <w:tcPr>
            <w:tcW w:w="4128"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415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5,800,000.00</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128" w:right="109"/>
        <w:jc w:val="left"/>
        <w:rPr>
          <w:rFonts w:ascii="宋体" w:hAnsi="宋体" w:cs="宋体" w:eastAsia="宋体" w:hint="default"/>
        </w:rPr>
      </w:pPr>
      <w:r>
        <w:rPr>
          <w:rFonts w:ascii="宋体" w:hAnsi="宋体" w:cs="宋体" w:eastAsia="宋体" w:hint="default"/>
        </w:rPr>
        <w:t>十、资产负债表日后事项</w:t>
      </w:r>
    </w:p>
    <w:p>
      <w:pPr>
        <w:pStyle w:val="Heading4"/>
        <w:spacing w:line="240" w:lineRule="auto" w:before="68"/>
        <w:ind w:right="109"/>
        <w:jc w:val="left"/>
        <w:rPr>
          <w:b w:val="0"/>
          <w:bCs w:val="0"/>
        </w:rPr>
      </w:pPr>
      <w:r>
        <w:rPr>
          <w:rFonts w:ascii="Times New Roman" w:hAnsi="Times New Roman" w:cs="Times New Roman" w:eastAsia="Times New Roman" w:hint="default"/>
          <w:spacing w:val="-4"/>
        </w:rPr>
        <w:t>1</w:t>
      </w:r>
      <w:r>
        <w:rPr>
          <w:spacing w:val="-4"/>
        </w:rPr>
        <w:t>、</w:t>
      </w:r>
      <w:r>
        <w:rPr>
          <w:spacing w:val="-10"/>
        </w:rPr>
        <w:t> </w:t>
      </w:r>
      <w:r>
        <w:rPr/>
        <w:t>重要的资产负债表日后事项说明</w:t>
      </w:r>
      <w:r>
        <w:rPr>
          <w:b w:val="0"/>
          <w:bCs w:val="0"/>
        </w:rPr>
      </w:r>
    </w:p>
    <w:p>
      <w:pPr>
        <w:spacing w:line="240" w:lineRule="auto" w:before="2"/>
        <w:rPr>
          <w:rFonts w:ascii="Microsoft JhengHei" w:hAnsi="Microsoft JhengHei" w:cs="Microsoft JhengHei" w:eastAsia="Microsoft JhengHei" w:hint="default"/>
          <w:b/>
          <w:bCs/>
          <w:sz w:val="27"/>
          <w:szCs w:val="27"/>
        </w:rPr>
      </w:pPr>
    </w:p>
    <w:p>
      <w:pPr>
        <w:pStyle w:val="BodyText"/>
        <w:spacing w:line="343" w:lineRule="auto"/>
        <w:ind w:right="121" w:firstLine="420"/>
        <w:jc w:val="both"/>
      </w:pP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10</w:t>
      </w:r>
      <w:r>
        <w:rPr>
          <w:w w:val="95"/>
        </w:rPr>
        <w:t>日，公司</w:t>
      </w:r>
      <w:r>
        <w:rPr>
          <w:rFonts w:ascii="Times New Roman" w:hAnsi="Times New Roman" w:cs="Times New Roman" w:eastAsia="Times New Roman" w:hint="default"/>
          <w:w w:val="95"/>
        </w:rPr>
        <w:t>2011</w:t>
      </w:r>
      <w:r>
        <w:rPr>
          <w:w w:val="95"/>
        </w:rPr>
        <w:t>年度第一次临时股东大会审议通过《关于使用部分超募资金</w:t>
      </w:r>
      <w:r>
        <w:rPr>
          <w:w w:val="99"/>
        </w:rPr>
        <w:t> </w:t>
      </w:r>
      <w:r>
        <w:rPr>
          <w:spacing w:val="-2"/>
          <w:w w:val="99"/>
        </w:rPr>
        <w:t>对全资子公司增资以实施年产</w:t>
      </w:r>
      <w:r>
        <w:rPr>
          <w:rFonts w:ascii="Times New Roman" w:hAnsi="Times New Roman" w:cs="Times New Roman" w:eastAsia="Times New Roman" w:hint="default"/>
          <w:spacing w:val="-2"/>
          <w:w w:val="99"/>
        </w:rPr>
        <w:t>6</w:t>
      </w:r>
      <w:r>
        <w:rPr>
          <w:spacing w:val="-2"/>
          <w:w w:val="99"/>
        </w:rPr>
        <w:t>万吨高铁</w:t>
      </w:r>
      <w:r>
        <w:rPr>
          <w:rFonts w:ascii="Times New Roman" w:hAnsi="Times New Roman" w:cs="Times New Roman" w:eastAsia="Times New Roman" w:hint="default"/>
          <w:spacing w:val="-2"/>
          <w:w w:val="99"/>
        </w:rPr>
        <w:t>PC</w:t>
      </w:r>
      <w:r>
        <w:rPr>
          <w:spacing w:val="-2"/>
          <w:w w:val="99"/>
        </w:rPr>
        <w:t>制品项目的议案》；公司使用部分超募资金对全</w:t>
      </w:r>
      <w:r>
        <w:rPr>
          <w:spacing w:val="-93"/>
          <w:w w:val="99"/>
        </w:rPr>
        <w:t> </w:t>
      </w:r>
      <w:r>
        <w:rPr>
          <w:spacing w:val="-93"/>
          <w:w w:val="99"/>
        </w:rPr>
      </w:r>
      <w:r>
        <w:rPr>
          <w:spacing w:val="-2"/>
          <w:w w:val="99"/>
        </w:rPr>
        <w:t>资子公司重庆市隆泰稀土新材料有限责任公司增资人民币</w:t>
      </w:r>
      <w:r>
        <w:rPr>
          <w:rFonts w:ascii="Times New Roman" w:hAnsi="Times New Roman" w:cs="Times New Roman" w:eastAsia="Times New Roman" w:hint="default"/>
          <w:spacing w:val="-2"/>
          <w:w w:val="99"/>
        </w:rPr>
        <w:t>4000</w:t>
      </w:r>
      <w:r>
        <w:rPr>
          <w:spacing w:val="-2"/>
          <w:w w:val="99"/>
        </w:rPr>
        <w:t>万元，用于重庆市隆泰稀土新</w:t>
      </w:r>
      <w:r>
        <w:rPr>
          <w:spacing w:val="-81"/>
          <w:w w:val="99"/>
        </w:rPr>
        <w:t> </w:t>
      </w:r>
      <w:r>
        <w:rPr>
          <w:spacing w:val="-81"/>
          <w:w w:val="99"/>
        </w:rPr>
      </w:r>
      <w:r>
        <w:rPr>
          <w:spacing w:val="-6"/>
          <w:w w:val="99"/>
        </w:rPr>
        <w:t>材料有限责任公司实施建设“年产</w:t>
      </w:r>
      <w:r>
        <w:rPr>
          <w:rFonts w:ascii="Times New Roman" w:hAnsi="Times New Roman" w:cs="Times New Roman" w:eastAsia="Times New Roman" w:hint="default"/>
          <w:spacing w:val="-6"/>
          <w:w w:val="99"/>
        </w:rPr>
        <w:t>6</w:t>
      </w:r>
      <w:r>
        <w:rPr>
          <w:spacing w:val="-6"/>
          <w:w w:val="99"/>
        </w:rPr>
        <w:t>万吨高铁</w:t>
      </w:r>
      <w:r>
        <w:rPr>
          <w:rFonts w:ascii="Times New Roman" w:hAnsi="Times New Roman" w:cs="Times New Roman" w:eastAsia="Times New Roman" w:hint="default"/>
          <w:spacing w:val="-6"/>
          <w:w w:val="99"/>
        </w:rPr>
        <w:t>PC</w:t>
      </w:r>
      <w:r>
        <w:rPr>
          <w:spacing w:val="-6"/>
          <w:w w:val="99"/>
        </w:rPr>
        <w:t>制品项目（钢丝、钢棒和钢绞线）”。同时选</w:t>
      </w:r>
      <w:r>
        <w:rPr>
          <w:spacing w:val="-67"/>
          <w:w w:val="99"/>
        </w:rPr>
        <w:t> </w:t>
      </w:r>
      <w:r>
        <w:rPr>
          <w:spacing w:val="-67"/>
          <w:w w:val="99"/>
        </w:rPr>
      </w:r>
      <w:r>
        <w:rPr>
          <w:spacing w:val="-2"/>
          <w:w w:val="95"/>
        </w:rPr>
        <w:t>举刘冀鲁先生、唐成宽先生、吴翠华女士、司徒伟廉先生、陈炬先生、胡卫红女士为公司第</w:t>
      </w:r>
      <w:r>
        <w:rPr>
          <w:spacing w:val="88"/>
          <w:w w:val="95"/>
        </w:rPr>
        <w:t> </w:t>
      </w:r>
      <w:r>
        <w:rPr>
          <w:spacing w:val="88"/>
          <w:w w:val="95"/>
        </w:rPr>
      </w:r>
      <w:r>
        <w:rPr>
          <w:spacing w:val="-2"/>
          <w:w w:val="95"/>
        </w:rPr>
        <w:t>二届董事会非独立董事，选举方伦赞先生、赵增祺先生、戴新民先生为公司第二届董事会独</w:t>
      </w:r>
      <w:r>
        <w:rPr>
          <w:spacing w:val="90"/>
          <w:w w:val="95"/>
        </w:rPr>
        <w:t> </w:t>
      </w:r>
      <w:r>
        <w:rPr>
          <w:spacing w:val="90"/>
          <w:w w:val="95"/>
        </w:rPr>
      </w:r>
      <w:r>
        <w:rPr/>
        <w:t>立董事；选举戴卫星先生、袁福祥先生为公司第二届监事会非职工代表监事。</w:t>
      </w:r>
    </w:p>
    <w:p>
      <w:pPr>
        <w:spacing w:line="240" w:lineRule="auto" w:before="0"/>
        <w:rPr>
          <w:rFonts w:ascii="宋体" w:hAnsi="宋体" w:cs="宋体" w:eastAsia="宋体" w:hint="default"/>
          <w:sz w:val="20"/>
          <w:szCs w:val="20"/>
        </w:rPr>
      </w:pPr>
    </w:p>
    <w:p>
      <w:pPr>
        <w:pStyle w:val="BodyText"/>
        <w:spacing w:line="357" w:lineRule="auto" w:before="143"/>
        <w:ind w:right="121" w:firstLine="420"/>
        <w:jc w:val="both"/>
      </w:pPr>
      <w:r>
        <w:rPr>
          <w:spacing w:val="-2"/>
          <w:w w:val="99"/>
        </w:rPr>
        <w:t>同天，公司第二届董事会第一次会议，选举刘冀鲁先生为公司第二届董事会董事长；选</w:t>
      </w:r>
      <w:r>
        <w:rPr>
          <w:w w:val="99"/>
        </w:rPr>
        <w:t> </w:t>
      </w:r>
      <w:r>
        <w:rPr>
          <w:spacing w:val="-2"/>
          <w:w w:val="95"/>
        </w:rPr>
        <w:t>举刘冀鲁先生、唐成宽先生、赵增祺先生（独立董事）组成公司第二届战略委员会，由董事</w:t>
      </w:r>
      <w:r>
        <w:rPr>
          <w:spacing w:val="88"/>
          <w:w w:val="95"/>
        </w:rPr>
        <w:t> </w:t>
      </w:r>
      <w:r>
        <w:rPr>
          <w:spacing w:val="88"/>
          <w:w w:val="95"/>
        </w:rPr>
      </w:r>
      <w:r>
        <w:rPr>
          <w:spacing w:val="-5"/>
          <w:w w:val="98"/>
        </w:rPr>
        <w:t>长刘冀鲁先生担任第二届战略委员会主任委员；选举戴新民先生（独立董事）、胡卫红女士、</w:t>
      </w:r>
      <w:r>
        <w:rPr>
          <w:spacing w:val="-65"/>
          <w:w w:val="98"/>
        </w:rPr>
        <w:t> </w:t>
      </w:r>
      <w:r>
        <w:rPr>
          <w:spacing w:val="-65"/>
          <w:w w:val="98"/>
        </w:rPr>
      </w:r>
      <w:r>
        <w:rPr>
          <w:spacing w:val="-2"/>
          <w:w w:val="95"/>
        </w:rPr>
        <w:t>方伦赞先生（独立董事）组成公司第二届审计委员会，由戴新民先生（独立董事）担任第二</w:t>
      </w:r>
      <w:r>
        <w:rPr>
          <w:spacing w:val="91"/>
          <w:w w:val="95"/>
        </w:rPr>
        <w:t> </w:t>
      </w:r>
      <w:r>
        <w:rPr>
          <w:spacing w:val="91"/>
          <w:w w:val="95"/>
        </w:rPr>
      </w:r>
      <w:r>
        <w:rPr>
          <w:spacing w:val="-2"/>
          <w:w w:val="99"/>
        </w:rPr>
        <w:t>届审计委员会主任委员；选举方伦赞先生（独立董事）、吴翠华女士、赵增祺先生（独立董</w:t>
      </w:r>
      <w:r>
        <w:rPr>
          <w:spacing w:val="-89"/>
          <w:w w:val="99"/>
        </w:rPr>
        <w:t> </w:t>
      </w:r>
      <w:r>
        <w:rPr>
          <w:spacing w:val="-89"/>
          <w:w w:val="99"/>
        </w:rPr>
      </w:r>
      <w:r>
        <w:rPr>
          <w:spacing w:val="-2"/>
          <w:w w:val="95"/>
        </w:rPr>
        <w:t>事）组成公司第二届薪酬与考核委员会，由方伦赞先生（独立董事）担任第二届薪酬与考核</w:t>
      </w:r>
      <w:r>
        <w:rPr>
          <w:spacing w:val="93"/>
          <w:w w:val="95"/>
        </w:rPr>
        <w:t> </w:t>
      </w:r>
      <w:r>
        <w:rPr>
          <w:spacing w:val="93"/>
          <w:w w:val="95"/>
        </w:rPr>
      </w:r>
      <w:r>
        <w:rPr>
          <w:spacing w:val="-2"/>
          <w:w w:val="99"/>
        </w:rPr>
        <w:t>委员会主任委员；选举赵增祺先生（独立董事）、陈炬先生、戴新民先生（独立董事）组成</w:t>
      </w:r>
      <w:r>
        <w:rPr>
          <w:spacing w:val="-2"/>
        </w:rPr>
      </w:r>
    </w:p>
    <w:p>
      <w:pPr>
        <w:pStyle w:val="BodyText"/>
        <w:spacing w:line="240" w:lineRule="auto" w:before="30"/>
        <w:ind w:right="109"/>
        <w:jc w:val="left"/>
      </w:pPr>
      <w:r>
        <w:rPr>
          <w:w w:val="95"/>
        </w:rPr>
        <w:t>公司第二届提名委员会，由赵增祺（独立董事）担任第二届提名委员会主任委员；聘任刘凌</w:t>
      </w:r>
      <w:r>
        <w:rPr/>
      </w:r>
    </w:p>
    <w:p>
      <w:pPr>
        <w:spacing w:after="0" w:line="240" w:lineRule="auto"/>
        <w:jc w:val="left"/>
        <w:sectPr>
          <w:pgSz w:w="11910" w:h="16840"/>
          <w:pgMar w:header="1058" w:footer="1590" w:top="1780" w:bottom="1780" w:left="1680" w:right="1680"/>
        </w:sectPr>
      </w:pPr>
    </w:p>
    <w:p>
      <w:pPr>
        <w:pStyle w:val="BodyText"/>
        <w:spacing w:line="258" w:lineRule="exact"/>
        <w:ind w:right="109"/>
        <w:jc w:val="left"/>
      </w:pPr>
      <w:bookmarkStart w:name="2、资产负债表日后利润分配情况说明" w:id="104"/>
      <w:bookmarkEnd w:id="104"/>
      <w:r>
        <w:rPr/>
      </w:r>
      <w:bookmarkStart w:name="十一、母公司财务报表主要项目注释" w:id="105"/>
      <w:bookmarkEnd w:id="105"/>
      <w:r>
        <w:rPr/>
      </w:r>
      <w:bookmarkStart w:name="1、应收账款" w:id="106"/>
      <w:bookmarkEnd w:id="106"/>
      <w:r>
        <w:rPr/>
      </w:r>
      <w:r>
        <w:rPr>
          <w:w w:val="95"/>
        </w:rPr>
        <w:t>云女士为公司总经理；聘任黄学春先生为公司副总经理、财务总监，聘任宫为平先生、章大</w:t>
      </w:r>
      <w:r>
        <w:rPr/>
      </w:r>
    </w:p>
    <w:p>
      <w:pPr>
        <w:pStyle w:val="BodyText"/>
        <w:spacing w:line="355" w:lineRule="auto" w:before="133"/>
        <w:ind w:right="109"/>
        <w:jc w:val="left"/>
      </w:pPr>
      <w:r>
        <w:rPr>
          <w:spacing w:val="-2"/>
          <w:w w:val="95"/>
        </w:rPr>
        <w:t>林先生、陆江先生为公司副总经理，聘任史志民先生为公司总工程师；聘任黄学春先生为公</w:t>
      </w:r>
      <w:r>
        <w:rPr>
          <w:spacing w:val="90"/>
          <w:w w:val="95"/>
        </w:rPr>
        <w:t> </w:t>
      </w:r>
      <w:r>
        <w:rPr>
          <w:spacing w:val="90"/>
          <w:w w:val="95"/>
        </w:rPr>
      </w:r>
      <w:r>
        <w:rPr/>
        <w:t>司董事会秘书。</w:t>
      </w:r>
    </w:p>
    <w:p>
      <w:pPr>
        <w:spacing w:line="240" w:lineRule="auto" w:before="1"/>
        <w:rPr>
          <w:rFonts w:ascii="宋体" w:hAnsi="宋体" w:cs="宋体" w:eastAsia="宋体" w:hint="default"/>
          <w:sz w:val="25"/>
          <w:szCs w:val="25"/>
        </w:rPr>
      </w:pPr>
    </w:p>
    <w:p>
      <w:pPr>
        <w:pStyle w:val="Heading4"/>
        <w:spacing w:line="240" w:lineRule="auto"/>
        <w:ind w:right="10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pStyle w:val="BodyText"/>
        <w:spacing w:line="240" w:lineRule="auto" w:before="109"/>
        <w:ind w:left="631" w:right="1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日，公司第二届董事会第二次会议通过了</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年度利润分配议案，以</w:t>
      </w:r>
    </w:p>
    <w:p>
      <w:pPr>
        <w:pStyle w:val="BodyText"/>
        <w:spacing w:line="240" w:lineRule="auto" w:before="117"/>
        <w:ind w:left="211" w:right="109"/>
        <w:jc w:val="left"/>
      </w:pPr>
      <w:r>
        <w:rPr>
          <w:spacing w:val="2"/>
          <w:w w:val="99"/>
        </w:rPr>
        <w:t>现</w:t>
      </w:r>
      <w:r>
        <w:rPr>
          <w:w w:val="99"/>
        </w:rPr>
        <w:t>金</w:t>
      </w:r>
      <w:r>
        <w:rPr>
          <w:spacing w:val="2"/>
          <w:w w:val="99"/>
        </w:rPr>
        <w:t>分</w:t>
      </w:r>
      <w:r>
        <w:rPr>
          <w:w w:val="99"/>
        </w:rPr>
        <w:t>配每</w:t>
      </w:r>
      <w:r>
        <w:rPr>
          <w:spacing w:val="-50"/>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股</w:t>
      </w:r>
      <w:r>
        <w:rPr>
          <w:w w:val="99"/>
        </w:rPr>
        <w:t>分</w:t>
      </w:r>
      <w:r>
        <w:rPr>
          <w:spacing w:val="-53"/>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元</w:t>
      </w:r>
      <w:r>
        <w:rPr>
          <w:w w:val="99"/>
        </w:rPr>
        <w:t>（</w:t>
      </w:r>
      <w:r>
        <w:rPr>
          <w:spacing w:val="2"/>
          <w:w w:val="99"/>
        </w:rPr>
        <w:t>含</w:t>
      </w:r>
      <w:r>
        <w:rPr>
          <w:w w:val="99"/>
        </w:rPr>
        <w:t>税</w:t>
      </w:r>
      <w:r>
        <w:rPr>
          <w:spacing w:val="-106"/>
          <w:w w:val="99"/>
        </w:rPr>
        <w:t>）</w:t>
      </w:r>
      <w:r>
        <w:rPr>
          <w:spacing w:val="2"/>
          <w:w w:val="99"/>
        </w:rPr>
        <w:t>，</w:t>
      </w:r>
      <w:r>
        <w:rPr>
          <w:w w:val="99"/>
        </w:rPr>
        <w:t>该</w:t>
      </w:r>
      <w:r>
        <w:rPr>
          <w:spacing w:val="2"/>
          <w:w w:val="99"/>
        </w:rPr>
        <w:t>议</w:t>
      </w:r>
      <w:r>
        <w:rPr>
          <w:w w:val="99"/>
        </w:rPr>
        <w:t>案</w:t>
      </w:r>
      <w:r>
        <w:rPr>
          <w:spacing w:val="2"/>
          <w:w w:val="99"/>
        </w:rPr>
        <w:t>待</w:t>
      </w:r>
      <w:r>
        <w:rPr>
          <w:w w:val="99"/>
        </w:rPr>
        <w:t>股</w:t>
      </w:r>
      <w:r>
        <w:rPr>
          <w:spacing w:val="2"/>
          <w:w w:val="99"/>
        </w:rPr>
        <w:t>东</w:t>
      </w:r>
      <w:r>
        <w:rPr>
          <w:w w:val="99"/>
        </w:rPr>
        <w:t>大</w:t>
      </w:r>
      <w:r>
        <w:rPr>
          <w:spacing w:val="2"/>
          <w:w w:val="99"/>
        </w:rPr>
        <w:t>会</w:t>
      </w:r>
      <w:r>
        <w:rPr>
          <w:w w:val="99"/>
        </w:rPr>
        <w:t>表</w:t>
      </w:r>
      <w:r>
        <w:rPr>
          <w:spacing w:val="2"/>
          <w:w w:val="99"/>
        </w:rPr>
        <w:t>决</w:t>
      </w:r>
      <w:r>
        <w:rPr>
          <w:w w:val="99"/>
        </w:rPr>
        <w:t>通</w:t>
      </w:r>
      <w:r>
        <w:rPr>
          <w:spacing w:val="2"/>
          <w:w w:val="99"/>
        </w:rPr>
        <w:t>过</w:t>
      </w:r>
      <w:r>
        <w:rPr>
          <w:w w:val="99"/>
        </w:rPr>
        <w:t>。</w:t>
      </w:r>
      <w:r>
        <w:rPr/>
      </w:r>
    </w:p>
    <w:p>
      <w:pPr>
        <w:spacing w:line="240" w:lineRule="auto" w:before="0"/>
        <w:rPr>
          <w:rFonts w:ascii="宋体" w:hAnsi="宋体" w:cs="宋体" w:eastAsia="宋体" w:hint="default"/>
          <w:sz w:val="22"/>
          <w:szCs w:val="22"/>
        </w:rPr>
      </w:pPr>
    </w:p>
    <w:p>
      <w:pPr>
        <w:pStyle w:val="BodyText"/>
        <w:spacing w:line="240" w:lineRule="auto" w:before="194"/>
        <w:ind w:left="128" w:right="109"/>
        <w:jc w:val="left"/>
        <w:rPr>
          <w:rFonts w:ascii="宋体" w:hAnsi="宋体" w:cs="宋体" w:eastAsia="宋体" w:hint="default"/>
        </w:rPr>
      </w:pPr>
      <w:r>
        <w:rPr>
          <w:rFonts w:ascii="宋体" w:hAnsi="宋体" w:cs="宋体" w:eastAsia="宋体" w:hint="default"/>
        </w:rPr>
        <w:t>十一、母公司财务报表主要项目注释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0"/>
          <w:pgSz w:w="11910" w:h="16840"/>
          <w:pgMar w:footer="1590" w:header="1058" w:top="1780" w:bottom="1780" w:left="1680" w:right="1680"/>
          <w:pgNumType w:start="120"/>
        </w:sectPr>
      </w:pPr>
    </w:p>
    <w:p>
      <w:pPr>
        <w:pStyle w:val="Heading4"/>
        <w:spacing w:line="333" w:lineRule="exact"/>
        <w:ind w:right="0"/>
        <w:jc w:val="left"/>
        <w:rPr>
          <w:b w:val="0"/>
          <w:bCs w:val="0"/>
        </w:rPr>
      </w:pPr>
      <w:r>
        <w:rPr>
          <w:rFonts w:ascii="Times New Roman" w:hAnsi="Times New Roman" w:cs="Times New Roman" w:eastAsia="Times New Roman" w:hint="default"/>
        </w:rPr>
        <w:t>1</w:t>
      </w:r>
      <w:r>
        <w:rPr/>
        <w:t>、应收账款</w:t>
      </w:r>
      <w:r>
        <w:rPr>
          <w:b w:val="0"/>
          <w:bCs w:val="0"/>
        </w:rPr>
      </w:r>
    </w:p>
    <w:p>
      <w:pPr>
        <w:pStyle w:val="BodyText"/>
        <w:spacing w:line="240" w:lineRule="auto" w:before="109"/>
        <w:ind w:right="0"/>
        <w:jc w:val="left"/>
      </w:pPr>
      <w:r>
        <w:rPr>
          <w:w w:val="95"/>
        </w:rPr>
        <w:t>（</w:t>
      </w:r>
      <w:r>
        <w:rPr>
          <w:rFonts w:ascii="Times New Roman" w:hAnsi="Times New Roman" w:cs="Times New Roman" w:eastAsia="Times New Roman" w:hint="default"/>
          <w:w w:val="95"/>
        </w:rPr>
        <w:t>1</w:t>
      </w:r>
      <w:r>
        <w:rPr>
          <w:w w:val="95"/>
        </w:rPr>
        <w:t>）应收账款按种类披露：</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940" w:bottom="920" w:left="1680" w:right="1680"/>
          <w:cols w:num="2" w:equalWidth="0">
            <w:col w:w="2746" w:space="3139"/>
            <w:col w:w="2665"/>
          </w:cols>
        </w:sectPr>
      </w:pPr>
    </w:p>
    <w:p>
      <w:pPr>
        <w:spacing w:line="240" w:lineRule="auto" w:before="13"/>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2292"/>
        <w:gridCol w:w="2126"/>
        <w:gridCol w:w="1135"/>
        <w:gridCol w:w="1558"/>
        <w:gridCol w:w="1135"/>
      </w:tblGrid>
      <w:tr>
        <w:trPr>
          <w:trHeight w:val="365" w:hRule="exact"/>
        </w:trPr>
        <w:tc>
          <w:tcPr>
            <w:tcW w:w="2292"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4"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5" w:hRule="exact"/>
        </w:trPr>
        <w:tc>
          <w:tcPr>
            <w:tcW w:w="2292" w:type="dxa"/>
            <w:vMerge/>
            <w:tcBorders>
              <w:left w:val="nil" w:sz="6" w:space="0" w:color="auto"/>
              <w:right w:val="single" w:sz="6" w:space="0" w:color="000000"/>
            </w:tcBorders>
          </w:tcPr>
          <w:p>
            <w:pP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292"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36" w:hRule="exact"/>
        </w:trPr>
        <w:tc>
          <w:tcPr>
            <w:tcW w:w="229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888" w:right="0"/>
              <w:jc w:val="left"/>
              <w:rPr>
                <w:rFonts w:ascii="Times New Roman" w:hAnsi="Times New Roman" w:cs="Times New Roman" w:eastAsia="Times New Roman" w:hint="default"/>
                <w:sz w:val="18"/>
                <w:szCs w:val="18"/>
              </w:rPr>
            </w:pPr>
            <w:r>
              <w:rPr>
                <w:rFonts w:ascii="Times New Roman"/>
                <w:sz w:val="18"/>
              </w:rPr>
              <w:t>121,838,599.29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5,723,550.77</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4.70%</w:t>
            </w:r>
          </w:p>
        </w:tc>
      </w:tr>
    </w:tbl>
    <w:p>
      <w:pPr>
        <w:spacing w:line="240" w:lineRule="auto" w:before="6"/>
        <w:rPr>
          <w:rFonts w:ascii="宋体" w:hAnsi="宋体" w:cs="宋体" w:eastAsia="宋体" w:hint="default"/>
          <w:sz w:val="22"/>
          <w:szCs w:val="22"/>
        </w:rPr>
      </w:pPr>
    </w:p>
    <w:p>
      <w:pPr>
        <w:pStyle w:val="BodyText"/>
        <w:spacing w:line="240" w:lineRule="auto" w:before="34"/>
        <w:ind w:left="0" w:right="33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2292"/>
        <w:gridCol w:w="2126"/>
        <w:gridCol w:w="1135"/>
        <w:gridCol w:w="1558"/>
        <w:gridCol w:w="1135"/>
      </w:tblGrid>
      <w:tr>
        <w:trPr>
          <w:trHeight w:val="365" w:hRule="exact"/>
        </w:trPr>
        <w:tc>
          <w:tcPr>
            <w:tcW w:w="2292"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4"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2292" w:type="dxa"/>
            <w:vMerge/>
            <w:tcBorders>
              <w:left w:val="nil" w:sz="6" w:space="0" w:color="auto"/>
              <w:right w:val="single" w:sz="6" w:space="0" w:color="000000"/>
            </w:tcBorders>
          </w:tcPr>
          <w:p>
            <w:pP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292"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5" w:hRule="exact"/>
        </w:trPr>
        <w:tc>
          <w:tcPr>
            <w:tcW w:w="229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88" w:right="0"/>
              <w:jc w:val="left"/>
              <w:rPr>
                <w:rFonts w:ascii="Times New Roman" w:hAnsi="Times New Roman" w:cs="Times New Roman" w:eastAsia="Times New Roman" w:hint="default"/>
                <w:sz w:val="18"/>
                <w:szCs w:val="18"/>
              </w:rPr>
            </w:pPr>
            <w:r>
              <w:rPr>
                <w:rFonts w:ascii="Times New Roman"/>
                <w:sz w:val="18"/>
              </w:rPr>
              <w:t>108,722,470.44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76" w:right="0"/>
              <w:jc w:val="left"/>
              <w:rPr>
                <w:rFonts w:ascii="Times New Roman" w:hAnsi="Times New Roman" w:cs="Times New Roman" w:eastAsia="Times New Roman" w:hint="default"/>
                <w:sz w:val="18"/>
                <w:szCs w:val="18"/>
              </w:rPr>
            </w:pPr>
            <w:r>
              <w:rPr>
                <w:rFonts w:ascii="Times New Roman"/>
                <w:sz w:val="18"/>
              </w:rPr>
              <w:t>100.00%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99" w:right="0"/>
              <w:jc w:val="left"/>
              <w:rPr>
                <w:rFonts w:ascii="Times New Roman" w:hAnsi="Times New Roman" w:cs="Times New Roman" w:eastAsia="Times New Roman" w:hint="default"/>
                <w:sz w:val="18"/>
                <w:szCs w:val="18"/>
              </w:rPr>
            </w:pPr>
            <w:r>
              <w:rPr>
                <w:rFonts w:ascii="Times New Roman"/>
                <w:sz w:val="18"/>
              </w:rPr>
              <w:t>3,679,820.24</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left="556" w:right="0"/>
              <w:jc w:val="left"/>
              <w:rPr>
                <w:rFonts w:ascii="Times New Roman" w:hAnsi="Times New Roman" w:cs="Times New Roman" w:eastAsia="Times New Roman" w:hint="default"/>
                <w:sz w:val="18"/>
                <w:szCs w:val="18"/>
              </w:rPr>
            </w:pPr>
            <w:r>
              <w:rPr>
                <w:rFonts w:ascii="Times New Roman"/>
                <w:sz w:val="18"/>
              </w:rPr>
              <w:t>3.38%</w:t>
            </w:r>
          </w:p>
        </w:tc>
      </w:tr>
    </w:tbl>
    <w:p>
      <w:pPr>
        <w:spacing w:line="240" w:lineRule="auto" w:before="6"/>
        <w:rPr>
          <w:rFonts w:ascii="宋体" w:hAnsi="宋体" w:cs="宋体" w:eastAsia="宋体" w:hint="default"/>
          <w:sz w:val="22"/>
          <w:szCs w:val="22"/>
        </w:rPr>
      </w:pPr>
    </w:p>
    <w:p>
      <w:pPr>
        <w:pStyle w:val="BodyText"/>
        <w:spacing w:line="240" w:lineRule="auto" w:before="34"/>
        <w:ind w:right="109"/>
        <w:jc w:val="left"/>
      </w:pPr>
      <w:r>
        <w:rPr/>
        <w:t>应收账款种类的说明：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4"/>
        <w:ind w:right="109"/>
        <w:jc w:val="left"/>
      </w:pPr>
      <w:r>
        <w:rPr/>
        <w:t>组合中，按账龄分析法计提坏账准备的应收账款：</w:t>
      </w:r>
    </w:p>
    <w:p>
      <w:pPr>
        <w:pStyle w:val="BodyText"/>
        <w:spacing w:line="240" w:lineRule="auto" w:before="135"/>
        <w:ind w:left="0" w:right="33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1049"/>
        <w:gridCol w:w="1418"/>
        <w:gridCol w:w="910"/>
        <w:gridCol w:w="1217"/>
        <w:gridCol w:w="1418"/>
        <w:gridCol w:w="965"/>
        <w:gridCol w:w="1217"/>
      </w:tblGrid>
      <w:tr>
        <w:trPr>
          <w:trHeight w:val="365" w:hRule="exact"/>
        </w:trPr>
        <w:tc>
          <w:tcPr>
            <w:tcW w:w="1049"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0" w:type="dxa"/>
            <w:gridSpan w:val="3"/>
            <w:tcBorders>
              <w:top w:val="single" w:sz="6" w:space="0" w:color="000000"/>
              <w:left w:val="single" w:sz="6" w:space="0" w:color="000000"/>
              <w:bottom w:val="single" w:sz="6"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1049" w:type="dxa"/>
            <w:vMerge/>
            <w:tcBorders>
              <w:left w:val="nil" w:sz="6" w:space="0" w:color="auto"/>
              <w:right w:val="single" w:sz="6" w:space="0" w:color="000000"/>
            </w:tcBorders>
          </w:tcPr>
          <w:p>
            <w:pPr/>
          </w:p>
        </w:tc>
        <w:tc>
          <w:tcPr>
            <w:tcW w:w="23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before="154"/>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154"/>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1049" w:type="dxa"/>
            <w:vMerge/>
            <w:tcBorders>
              <w:left w:val="nil" w:sz="6" w:space="0" w:color="auto"/>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nil" w:sz="6" w:space="0" w:color="auto"/>
            </w:tcBorders>
          </w:tcPr>
          <w:p>
            <w:pPr/>
          </w:p>
        </w:tc>
      </w:tr>
      <w:tr>
        <w:trPr>
          <w:trHeight w:val="636"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115,675,730.44</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94.94%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3,470,271.91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105,666,805.46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97.19%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3,170,004.15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940" w:bottom="920" w:left="1680" w:right="1680"/>
        </w:sectPr>
      </w:pPr>
    </w:p>
    <w:tbl>
      <w:tblPr>
        <w:tblW w:w="0" w:type="auto"/>
        <w:jc w:val="left"/>
        <w:tblInd w:w="847" w:type="dxa"/>
        <w:tblLayout w:type="fixed"/>
        <w:tblCellMar>
          <w:top w:w="0" w:type="dxa"/>
          <w:left w:w="0" w:type="dxa"/>
          <w:bottom w:w="0" w:type="dxa"/>
          <w:right w:w="0" w:type="dxa"/>
        </w:tblCellMar>
        <w:tblLook w:val="01E0"/>
      </w:tblPr>
      <w:tblGrid>
        <w:gridCol w:w="1049"/>
        <w:gridCol w:w="1418"/>
        <w:gridCol w:w="910"/>
        <w:gridCol w:w="1217"/>
        <w:gridCol w:w="1416"/>
        <w:gridCol w:w="967"/>
        <w:gridCol w:w="1217"/>
      </w:tblGrid>
      <w:tr>
        <w:trPr>
          <w:trHeight w:val="636"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bookmarkStart w:name="2、其他应收款" w:id="107"/>
            <w:bookmarkEnd w:id="107"/>
            <w:r>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3,041,073.79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304,107.38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2,689,585.55</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2.48%</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268,958.56</w:t>
            </w:r>
          </w:p>
        </w:tc>
      </w:tr>
      <w:tr>
        <w:trPr>
          <w:trHeight w:val="635"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1,465,779.47</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293,155.89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156,527.38</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0.14%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31,305.48</w:t>
            </w:r>
          </w:p>
        </w:tc>
      </w:tr>
      <w:tr>
        <w:trPr>
          <w:trHeight w:val="636"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1,656,015.59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1,656,015.59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209,552.05</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0.19%</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209,552.05</w:t>
            </w:r>
          </w:p>
        </w:tc>
      </w:tr>
      <w:tr>
        <w:trPr>
          <w:trHeight w:val="635" w:hRule="exact"/>
        </w:trPr>
        <w:tc>
          <w:tcPr>
            <w:tcW w:w="1049"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121,838,599.29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5,723,550.77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108,722,470.44</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3,679,820.24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36" w:lineRule="auto"/>
        <w:ind w:left="842" w:right="6789"/>
        <w:jc w:val="left"/>
      </w:pPr>
      <w:r>
        <w:rPr/>
        <w:t>（</w:t>
      </w:r>
      <w:r>
        <w:rPr>
          <w:rFonts w:ascii="Times New Roman" w:hAnsi="Times New Roman" w:cs="Times New Roman" w:eastAsia="Times New Roman" w:hint="default"/>
        </w:rPr>
        <w:t>2</w:t>
      </w:r>
      <w:r>
        <w:rPr/>
        <w:t>）本期转回或收回情况</w:t>
      </w:r>
      <w:r>
        <w:rPr>
          <w:w w:val="99"/>
        </w:rPr>
        <w:t> </w:t>
      </w:r>
      <w:r>
        <w:rPr/>
        <w:t>无。</w:t>
      </w:r>
    </w:p>
    <w:p>
      <w:pPr>
        <w:pStyle w:val="BodyText"/>
        <w:spacing w:line="240" w:lineRule="auto" w:before="49"/>
        <w:ind w:left="842" w:right="0"/>
        <w:jc w:val="left"/>
      </w:pPr>
      <w:r>
        <w:rPr/>
        <w:t>（</w:t>
      </w:r>
      <w:r>
        <w:rPr>
          <w:rFonts w:ascii="Times New Roman" w:hAnsi="Times New Roman" w:cs="Times New Roman" w:eastAsia="Times New Roman" w:hint="default"/>
        </w:rPr>
        <w:t>3</w:t>
      </w:r>
      <w:r>
        <w:rPr/>
        <w:t>）本报告期应收账款中无持公司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以上表决权股份的股东单位欠款。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4"/>
        <w:ind w:left="842" w:right="0"/>
        <w:jc w:val="left"/>
      </w:pPr>
      <w:r>
        <w:rPr/>
        <w:t>（</w:t>
      </w:r>
      <w:r>
        <w:rPr>
          <w:rFonts w:ascii="Times New Roman" w:hAnsi="Times New Roman" w:cs="Times New Roman" w:eastAsia="Times New Roman" w:hint="default"/>
        </w:rPr>
        <w:t>4</w:t>
      </w:r>
      <w:r>
        <w:rPr/>
        <w:t>）应收账款金额前五名单位情况</w:t>
      </w:r>
    </w:p>
    <w:p>
      <w:pPr>
        <w:pStyle w:val="BodyText"/>
        <w:spacing w:line="240" w:lineRule="auto" w:before="117"/>
        <w:ind w:left="0" w:right="921"/>
        <w:jc w:val="right"/>
      </w:pPr>
      <w:r>
        <w:rPr/>
        <w:t>单位： 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808"/>
        <w:gridCol w:w="1690"/>
        <w:gridCol w:w="1690"/>
        <w:gridCol w:w="1692"/>
        <w:gridCol w:w="1949"/>
      </w:tblGrid>
      <w:tr>
        <w:trPr>
          <w:trHeight w:val="828" w:hRule="exact"/>
        </w:trPr>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21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42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42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9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40" w:lineRule="auto" w:before="13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南京优路电缆有限责任公司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4,905,956.69</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4.03%</w:t>
            </w:r>
            <w:r>
              <w:rPr>
                <w:rFonts w:ascii="Times New Roman"/>
                <w:sz w:val="21"/>
              </w:rPr>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东莞市华达电缆厂</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3,390,082.10</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2.78%</w:t>
            </w:r>
            <w:r>
              <w:rPr>
                <w:rFonts w:ascii="Times New Roman"/>
                <w:sz w:val="21"/>
              </w:rPr>
            </w:r>
          </w:p>
        </w:tc>
      </w:tr>
      <w:tr>
        <w:trPr>
          <w:trHeight w:val="42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江苏迁宇电线电缆有限公司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3,271,813.46</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2.69%</w:t>
            </w:r>
            <w:r>
              <w:rPr>
                <w:rFonts w:ascii="Times New Roman"/>
                <w:sz w:val="21"/>
              </w:rPr>
            </w:r>
          </w:p>
        </w:tc>
      </w:tr>
      <w:tr>
        <w:trPr>
          <w:trHeight w:val="41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江苏银龙电力电缆有限公司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spacing w:val="-1"/>
                <w:w w:val="95"/>
                <w:sz w:val="21"/>
              </w:rPr>
              <w:t>3,117,375.63</w:t>
            </w:r>
            <w:r>
              <w:rPr>
                <w:rFonts w:ascii="Times New Roman"/>
                <w:spacing w:val="-1"/>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2.56%</w:t>
            </w:r>
            <w:r>
              <w:rPr>
                <w:rFonts w:ascii="Times New Roman"/>
                <w:sz w:val="21"/>
              </w:rPr>
            </w:r>
          </w:p>
        </w:tc>
      </w:tr>
      <w:tr>
        <w:trPr>
          <w:trHeight w:val="41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贵州电力线路器材厂</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3,069,204.24</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w w:val="95"/>
                <w:sz w:val="21"/>
              </w:rPr>
              <w:t>2.52%</w:t>
            </w:r>
            <w:r>
              <w:rPr>
                <w:rFonts w:ascii="Times New Roman"/>
                <w:sz w:val="21"/>
              </w:rPr>
            </w:r>
          </w:p>
        </w:tc>
      </w:tr>
      <w:tr>
        <w:trPr>
          <w:trHeight w:val="419" w:hRule="exact"/>
        </w:trPr>
        <w:tc>
          <w:tcPr>
            <w:tcW w:w="28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7"/>
              <w:jc w:val="right"/>
              <w:rPr>
                <w:rFonts w:ascii="Times New Roman" w:hAnsi="Times New Roman" w:cs="Times New Roman" w:eastAsia="Times New Roman" w:hint="default"/>
                <w:sz w:val="21"/>
                <w:szCs w:val="21"/>
              </w:rPr>
            </w:pPr>
            <w:r>
              <w:rPr>
                <w:rFonts w:ascii="Times New Roman"/>
                <w:w w:val="95"/>
                <w:sz w:val="21"/>
              </w:rPr>
              <w:t>17,754,432.12</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21"/>
                <w:szCs w:val="21"/>
              </w:rPr>
            </w:pPr>
            <w:r>
              <w:rPr>
                <w:rFonts w:ascii="Times New Roman"/>
                <w:w w:val="95"/>
                <w:sz w:val="21"/>
              </w:rPr>
              <w:t>14.57%</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842" w:right="0"/>
        <w:jc w:val="left"/>
      </w:pPr>
      <w:r>
        <w:rPr/>
        <w:t>（</w:t>
      </w:r>
      <w:r>
        <w:rPr>
          <w:spacing w:val="-89"/>
        </w:rPr>
        <w:t> </w:t>
      </w:r>
      <w:r>
        <w:rPr>
          <w:rFonts w:ascii="Times New Roman" w:hAnsi="Times New Roman" w:cs="Times New Roman" w:eastAsia="Times New Roman" w:hint="default"/>
          <w:spacing w:val="9"/>
        </w:rPr>
        <w:t>5</w:t>
      </w:r>
      <w:r>
        <w:rPr>
          <w:spacing w:val="9"/>
        </w:rPr>
        <w:t>）</w:t>
      </w:r>
      <w:r>
        <w:rPr>
          <w:spacing w:val="-89"/>
        </w:rPr>
        <w:t> </w:t>
      </w:r>
      <w:r>
        <w:rPr>
          <w:spacing w:val="15"/>
        </w:rPr>
        <w:t>本公司在报告期内，</w:t>
      </w:r>
      <w:r>
        <w:rPr>
          <w:spacing w:val="-89"/>
        </w:rPr>
        <w:t> </w:t>
      </w:r>
      <w:r>
        <w:rPr>
          <w:spacing w:val="15"/>
        </w:rPr>
        <w:t>根据应收账款的可回收性，</w:t>
      </w:r>
      <w:r>
        <w:rPr>
          <w:spacing w:val="-89"/>
        </w:rPr>
        <w:t> </w:t>
      </w:r>
      <w:r>
        <w:rPr>
          <w:spacing w:val="15"/>
        </w:rPr>
        <w:t>共核销了应收账款及坏账准</w:t>
      </w:r>
      <w:r>
        <w:rPr>
          <w:spacing w:val="-67"/>
        </w:rPr>
        <w:t> </w:t>
      </w:r>
      <w:r>
        <w:rPr/>
        <w:t>备</w:t>
      </w:r>
    </w:p>
    <w:p>
      <w:pPr>
        <w:pStyle w:val="BodyText"/>
        <w:spacing w:line="240" w:lineRule="auto" w:before="117"/>
        <w:ind w:left="842" w:right="0"/>
        <w:jc w:val="left"/>
      </w:pPr>
      <w:r>
        <w:rPr>
          <w:rFonts w:ascii="Times New Roman" w:hAnsi="Times New Roman" w:cs="Times New Roman" w:eastAsia="Times New Roman" w:hint="default"/>
        </w:rPr>
        <w:t>157,144.77</w:t>
      </w:r>
      <w:r>
        <w:rPr>
          <w:rFonts w:ascii="Times New Roman" w:hAnsi="Times New Roman" w:cs="Times New Roman" w:eastAsia="Times New Roman" w:hint="default"/>
          <w:spacing w:val="-6"/>
        </w:rPr>
        <w:t> </w:t>
      </w:r>
      <w:r>
        <w:rPr/>
        <w:t>元。</w:t>
      </w:r>
    </w:p>
    <w:p>
      <w:pPr>
        <w:spacing w:line="240" w:lineRule="auto" w:before="0"/>
        <w:rPr>
          <w:rFonts w:ascii="宋体" w:hAnsi="宋体" w:cs="宋体" w:eastAsia="宋体" w:hint="default"/>
          <w:sz w:val="22"/>
          <w:szCs w:val="22"/>
        </w:rPr>
      </w:pPr>
    </w:p>
    <w:p>
      <w:pPr>
        <w:pStyle w:val="BodyText"/>
        <w:spacing w:line="240" w:lineRule="auto" w:before="192"/>
        <w:ind w:left="842" w:right="0"/>
        <w:jc w:val="left"/>
      </w:pPr>
      <w:r>
        <w:rPr/>
        <w:t>（</w:t>
      </w:r>
      <w:r>
        <w:rPr>
          <w:rFonts w:ascii="Times New Roman" w:hAnsi="Times New Roman" w:cs="Times New Roman" w:eastAsia="Times New Roman" w:hint="default"/>
        </w:rPr>
        <w:t>6</w:t>
      </w:r>
      <w:r>
        <w:rPr/>
        <w:t>）本报告期无终止确认的应收款项情况。</w:t>
      </w:r>
    </w:p>
    <w:p>
      <w:pPr>
        <w:spacing w:line="240" w:lineRule="auto" w:before="0"/>
        <w:rPr>
          <w:rFonts w:ascii="宋体" w:hAnsi="宋体" w:cs="宋体" w:eastAsia="宋体" w:hint="default"/>
          <w:sz w:val="22"/>
          <w:szCs w:val="22"/>
        </w:rPr>
      </w:pPr>
    </w:p>
    <w:p>
      <w:pPr>
        <w:pStyle w:val="BodyText"/>
        <w:spacing w:line="240" w:lineRule="auto" w:before="194"/>
        <w:ind w:left="842" w:right="0"/>
        <w:jc w:val="left"/>
      </w:pPr>
      <w:r>
        <w:rPr/>
        <w:t>（</w:t>
      </w:r>
      <w:r>
        <w:rPr>
          <w:rFonts w:ascii="Times New Roman" w:hAnsi="Times New Roman" w:cs="Times New Roman" w:eastAsia="Times New Roman" w:hint="default"/>
        </w:rPr>
        <w:t>7</w:t>
      </w:r>
      <w:r>
        <w:rPr/>
        <w:t>）本报告期无以应收款项为标的进行证券化的。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58" w:footer="1590" w:top="1780" w:bottom="1780" w:left="960" w:right="880"/>
        </w:sectPr>
      </w:pPr>
    </w:p>
    <w:p>
      <w:pPr>
        <w:pStyle w:val="Heading4"/>
        <w:spacing w:line="333" w:lineRule="exact"/>
        <w:ind w:left="848" w:right="-19"/>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spacing w:line="240" w:lineRule="auto" w:before="109"/>
        <w:ind w:left="842" w:right="-19"/>
        <w:jc w:val="left"/>
      </w:pPr>
      <w:r>
        <w:rPr>
          <w:rFonts w:ascii="Times New Roman" w:hAnsi="Times New Roman" w:cs="Times New Roman" w:eastAsia="Times New Roman" w:hint="default"/>
        </w:rPr>
        <w:t>1</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tabs>
          <w:tab w:pos="1996" w:val="left" w:leader="none"/>
        </w:tabs>
        <w:spacing w:line="240" w:lineRule="auto"/>
        <w:ind w:left="842" w:right="0"/>
        <w:jc w:val="left"/>
      </w:pPr>
      <w:r>
        <w:rPr>
          <w:w w:val="95"/>
        </w:rPr>
        <w:t>单位：元</w:t>
        <w:tab/>
      </w:r>
      <w:r>
        <w:rPr/>
        <w:t>币种：人民币</w:t>
      </w:r>
    </w:p>
    <w:p>
      <w:pPr>
        <w:spacing w:after="0" w:line="240" w:lineRule="auto"/>
        <w:jc w:val="left"/>
        <w:sectPr>
          <w:type w:val="continuous"/>
          <w:pgSz w:w="11910" w:h="16840"/>
          <w:pgMar w:top="940" w:bottom="920" w:left="960" w:right="880"/>
          <w:cols w:num="2" w:equalWidth="0">
            <w:col w:w="3469" w:space="2207"/>
            <w:col w:w="4394"/>
          </w:cols>
        </w:sectPr>
      </w:pPr>
    </w:p>
    <w:tbl>
      <w:tblPr>
        <w:tblW w:w="0" w:type="auto"/>
        <w:jc w:val="left"/>
        <w:tblInd w:w="115" w:type="dxa"/>
        <w:tblLayout w:type="fixed"/>
        <w:tblCellMar>
          <w:top w:w="0" w:type="dxa"/>
          <w:left w:w="0" w:type="dxa"/>
          <w:bottom w:w="0" w:type="dxa"/>
          <w:right w:w="0" w:type="dxa"/>
        </w:tblCellMar>
        <w:tblLook w:val="01E0"/>
      </w:tblPr>
      <w:tblGrid>
        <w:gridCol w:w="4502"/>
        <w:gridCol w:w="1843"/>
        <w:gridCol w:w="1133"/>
        <w:gridCol w:w="1418"/>
        <w:gridCol w:w="991"/>
      </w:tblGrid>
      <w:tr>
        <w:trPr>
          <w:trHeight w:val="365"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5"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015"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26" w:right="-4"/>
              <w:jc w:val="left"/>
              <w:rPr>
                <w:rFonts w:ascii="Times New Roman" w:hAnsi="Times New Roman" w:cs="Times New Roman" w:eastAsia="Times New Roman" w:hint="default"/>
                <w:sz w:val="21"/>
                <w:szCs w:val="21"/>
              </w:rPr>
            </w:pPr>
            <w:r>
              <w:rPr>
                <w:rFonts w:ascii="Times New Roman"/>
                <w:sz w:val="21"/>
              </w:rPr>
              <w:t>77,869,086.80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3" w:right="0"/>
              <w:jc w:val="left"/>
              <w:rPr>
                <w:rFonts w:ascii="Times New Roman" w:hAnsi="Times New Roman" w:cs="Times New Roman" w:eastAsia="Times New Roman" w:hint="default"/>
                <w:sz w:val="20"/>
                <w:szCs w:val="20"/>
              </w:rPr>
            </w:pPr>
            <w:r>
              <w:rPr>
                <w:rFonts w:ascii="Times New Roman"/>
                <w:sz w:val="20"/>
              </w:rPr>
              <w:t>427,802.25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0.55%</w:t>
            </w:r>
          </w:p>
        </w:tc>
      </w:tr>
    </w:tbl>
    <w:p>
      <w:pPr>
        <w:spacing w:line="240" w:lineRule="auto" w:before="3"/>
        <w:rPr>
          <w:rFonts w:ascii="宋体" w:hAnsi="宋体" w:cs="宋体" w:eastAsia="宋体" w:hint="default"/>
          <w:sz w:val="29"/>
          <w:szCs w:val="29"/>
        </w:rPr>
      </w:pPr>
    </w:p>
    <w:tbl>
      <w:tblPr>
        <w:tblW w:w="0" w:type="auto"/>
        <w:jc w:val="left"/>
        <w:tblInd w:w="155" w:type="dxa"/>
        <w:tblLayout w:type="fixed"/>
        <w:tblCellMar>
          <w:top w:w="0" w:type="dxa"/>
          <w:left w:w="0" w:type="dxa"/>
          <w:bottom w:w="0" w:type="dxa"/>
          <w:right w:w="0" w:type="dxa"/>
        </w:tblCellMar>
        <w:tblLook w:val="01E0"/>
      </w:tblPr>
      <w:tblGrid>
        <w:gridCol w:w="4502"/>
        <w:gridCol w:w="1843"/>
        <w:gridCol w:w="1133"/>
        <w:gridCol w:w="1418"/>
        <w:gridCol w:w="991"/>
      </w:tblGrid>
      <w:tr>
        <w:trPr>
          <w:trHeight w:val="365"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77"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26" w:right="0"/>
              <w:jc w:val="left"/>
              <w:rPr>
                <w:rFonts w:ascii="Times New Roman" w:hAnsi="Times New Roman" w:cs="Times New Roman" w:eastAsia="Times New Roman" w:hint="default"/>
                <w:sz w:val="21"/>
                <w:szCs w:val="21"/>
              </w:rPr>
            </w:pPr>
            <w:r>
              <w:rPr>
                <w:rFonts w:ascii="Times New Roman"/>
                <w:sz w:val="21"/>
              </w:rPr>
              <w:t>3,763,832.44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149,657.28</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3.98%</w:t>
            </w:r>
          </w:p>
        </w:tc>
      </w:tr>
    </w:tbl>
    <w:p>
      <w:pPr>
        <w:spacing w:line="240" w:lineRule="auto" w:before="6"/>
        <w:rPr>
          <w:rFonts w:ascii="宋体" w:hAnsi="宋体" w:cs="宋体" w:eastAsia="宋体" w:hint="default"/>
          <w:sz w:val="22"/>
          <w:szCs w:val="22"/>
        </w:rPr>
      </w:pPr>
    </w:p>
    <w:p>
      <w:pPr>
        <w:pStyle w:val="BodyText"/>
        <w:spacing w:line="240" w:lineRule="auto" w:before="34"/>
        <w:ind w:left="962" w:right="0"/>
        <w:jc w:val="left"/>
      </w:pPr>
      <w:r>
        <w:rPr/>
        <w:t>组合中，按账龄分析法计提坏账准备的其他应收款：</w:t>
      </w:r>
    </w:p>
    <w:p>
      <w:pPr>
        <w:pStyle w:val="BodyText"/>
        <w:tabs>
          <w:tab w:pos="7792" w:val="left" w:leader="none"/>
        </w:tabs>
        <w:spacing w:line="240" w:lineRule="auto" w:before="133"/>
        <w:ind w:left="6638" w:right="0"/>
        <w:jc w:val="left"/>
      </w:pPr>
      <w:r>
        <w:rPr>
          <w:w w:val="95"/>
        </w:rPr>
        <w:t>单位：元</w:t>
        <w:tab/>
      </w:r>
      <w:r>
        <w:rPr/>
        <w:t>币种：人民币</w:t>
      </w:r>
    </w:p>
    <w:p>
      <w:pPr>
        <w:spacing w:line="240" w:lineRule="auto" w:before="13"/>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659"/>
        <w:gridCol w:w="1417"/>
        <w:gridCol w:w="908"/>
        <w:gridCol w:w="1217"/>
        <w:gridCol w:w="1560"/>
        <w:gridCol w:w="967"/>
        <w:gridCol w:w="1217"/>
      </w:tblGrid>
      <w:tr>
        <w:trPr>
          <w:trHeight w:val="365" w:hRule="exact"/>
        </w:trPr>
        <w:tc>
          <w:tcPr>
            <w:tcW w:w="2659"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4" w:type="dxa"/>
            <w:gridSpan w:val="3"/>
            <w:tcBorders>
              <w:top w:val="single" w:sz="6" w:space="0" w:color="000000"/>
              <w:left w:val="single" w:sz="6" w:space="0" w:color="000000"/>
              <w:bottom w:val="single" w:sz="6"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2659" w:type="dxa"/>
            <w:vMerge/>
            <w:tcBorders>
              <w:left w:val="nil" w:sz="6" w:space="0" w:color="auto"/>
              <w:right w:val="single" w:sz="6" w:space="0" w:color="000000"/>
            </w:tcBorders>
          </w:tcPr>
          <w:p>
            <w:pPr/>
          </w:p>
        </w:tc>
        <w:tc>
          <w:tcPr>
            <w:tcW w:w="23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before="154"/>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154"/>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5" w:hRule="exact"/>
        </w:trPr>
        <w:tc>
          <w:tcPr>
            <w:tcW w:w="2659" w:type="dxa"/>
            <w:vMerge/>
            <w:tcBorders>
              <w:left w:val="nil" w:sz="6" w:space="0" w:color="auto"/>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17" w:type="dxa"/>
            <w:vMerge/>
            <w:tcBorders>
              <w:left w:val="single" w:sz="6" w:space="0" w:color="000000"/>
              <w:bottom w:val="single" w:sz="6" w:space="0" w:color="000000"/>
              <w:right w:val="nil" w:sz="6" w:space="0" w:color="auto"/>
            </w:tcBorders>
          </w:tcPr>
          <w:p>
            <w:pPr/>
          </w:p>
        </w:tc>
      </w:tr>
      <w:tr>
        <w:trPr>
          <w:trHeight w:val="377" w:hRule="exact"/>
        </w:trPr>
        <w:tc>
          <w:tcPr>
            <w:tcW w:w="265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76,689,554.87</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98.49%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55,728.00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3,395,492.69</w:t>
            </w:r>
            <w:r>
              <w:rPr>
                <w:rFonts w:ascii="Times New Roman"/>
                <w:sz w:val="21"/>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90.21%</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101,864.78</w:t>
            </w:r>
            <w:r>
              <w:rPr>
                <w:rFonts w:ascii="Times New Roman"/>
                <w:sz w:val="21"/>
              </w:rPr>
            </w:r>
          </w:p>
        </w:tc>
      </w:tr>
      <w:tr>
        <w:trPr>
          <w:trHeight w:val="378" w:hRule="exact"/>
        </w:trPr>
        <w:tc>
          <w:tcPr>
            <w:tcW w:w="265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662,049.42</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0.85%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66,204.94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343,000.95</w:t>
            </w:r>
            <w:r>
              <w:rPr>
                <w:rFonts w:ascii="Times New Roman"/>
                <w:sz w:val="21"/>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w w:val="95"/>
                <w:sz w:val="21"/>
              </w:rPr>
              <w:t>9.11%</w:t>
            </w:r>
            <w:r>
              <w:rPr>
                <w:rFonts w:ascii="Times New Roman"/>
                <w:spacing w:val="-1"/>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34,300.10</w:t>
            </w:r>
            <w:r>
              <w:rPr>
                <w:rFonts w:ascii="Times New Roman"/>
                <w:sz w:val="21"/>
              </w:rPr>
            </w:r>
          </w:p>
        </w:tc>
      </w:tr>
      <w:tr>
        <w:trPr>
          <w:trHeight w:val="378" w:hRule="exact"/>
        </w:trPr>
        <w:tc>
          <w:tcPr>
            <w:tcW w:w="2659"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pacing w:val="-1"/>
                <w:sz w:val="18"/>
              </w:rPr>
              <w:t>264,516.50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5"/>
              <w:jc w:val="right"/>
              <w:rPr>
                <w:rFonts w:ascii="Times New Roman" w:hAnsi="Times New Roman" w:cs="Times New Roman" w:eastAsia="Times New Roman" w:hint="default"/>
                <w:sz w:val="18"/>
                <w:szCs w:val="18"/>
              </w:rPr>
            </w:pPr>
            <w:r>
              <w:rPr>
                <w:rFonts w:ascii="Times New Roman"/>
                <w:sz w:val="18"/>
              </w:rPr>
              <w:t>0.34%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5"/>
              <w:jc w:val="right"/>
              <w:rPr>
                <w:rFonts w:ascii="Times New Roman" w:hAnsi="Times New Roman" w:cs="Times New Roman" w:eastAsia="Times New Roman" w:hint="default"/>
                <w:sz w:val="18"/>
                <w:szCs w:val="18"/>
              </w:rPr>
            </w:pPr>
            <w:r>
              <w:rPr>
                <w:rFonts w:ascii="Times New Roman"/>
                <w:spacing w:val="-1"/>
                <w:sz w:val="18"/>
              </w:rPr>
              <w:t>52,903.30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w w:val="95"/>
                <w:sz w:val="21"/>
              </w:rPr>
              <w:t>14,808.00</w:t>
            </w:r>
            <w:r>
              <w:rPr>
                <w:rFonts w:ascii="Times New Roman"/>
                <w:sz w:val="21"/>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w w:val="95"/>
                <w:sz w:val="21"/>
              </w:rPr>
              <w:t>2,961.60</w:t>
            </w:r>
            <w:r>
              <w:rPr>
                <w:rFonts w:ascii="Times New Roman"/>
                <w:sz w:val="21"/>
              </w:rPr>
            </w:r>
          </w:p>
        </w:tc>
      </w:tr>
      <w:tr>
        <w:trPr>
          <w:trHeight w:val="377" w:hRule="exact"/>
        </w:trPr>
        <w:tc>
          <w:tcPr>
            <w:tcW w:w="2659"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252,966.01</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0.32%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252,966.01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10,530.80</w:t>
            </w:r>
            <w:r>
              <w:rPr>
                <w:rFonts w:ascii="Times New Roman"/>
                <w:sz w:val="21"/>
              </w:rPr>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0.28%</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10,530.80</w:t>
            </w:r>
            <w:r>
              <w:rPr>
                <w:rFonts w:ascii="Times New Roman"/>
                <w:sz w:val="21"/>
              </w:rPr>
            </w:r>
          </w:p>
        </w:tc>
      </w:tr>
      <w:tr>
        <w:trPr>
          <w:trHeight w:val="377" w:hRule="exact"/>
        </w:trPr>
        <w:tc>
          <w:tcPr>
            <w:tcW w:w="265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77,869,086.80</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427,802.25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3,763,832.44</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149,657.28</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86"/>
        <w:ind w:left="962" w:right="0"/>
        <w:jc w:val="left"/>
      </w:pPr>
      <w:r>
        <w:rPr/>
        <w:t>（</w:t>
      </w:r>
      <w:r>
        <w:rPr>
          <w:rFonts w:ascii="Times New Roman" w:hAnsi="Times New Roman" w:cs="Times New Roman" w:eastAsia="Times New Roman" w:hint="default"/>
        </w:rPr>
        <w:t>3</w:t>
      </w:r>
      <w:r>
        <w:rPr/>
        <w:t>）本报告期无其他应收款中持有公司</w:t>
      </w:r>
      <w:r>
        <w:rPr>
          <w:spacing w:val="-60"/>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4"/>
        <w:ind w:left="962" w:right="0"/>
        <w:jc w:val="left"/>
      </w:pPr>
      <w:r>
        <w:rPr/>
        <w:t>（</w:t>
      </w:r>
      <w:r>
        <w:rPr>
          <w:rFonts w:ascii="Times New Roman" w:hAnsi="Times New Roman" w:cs="Times New Roman" w:eastAsia="Times New Roman" w:hint="default"/>
        </w:rPr>
        <w:t>4</w:t>
      </w:r>
      <w:r>
        <w:rPr/>
        <w:t>）期末其他应收款金额前五名单位情况</w:t>
      </w:r>
    </w:p>
    <w:p>
      <w:pPr>
        <w:pStyle w:val="BodyText"/>
        <w:spacing w:line="240" w:lineRule="auto" w:before="117"/>
        <w:ind w:left="0" w:right="96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58" w:type="dxa"/>
        <w:tblLayout w:type="fixed"/>
        <w:tblCellMar>
          <w:top w:w="0" w:type="dxa"/>
          <w:left w:w="0" w:type="dxa"/>
          <w:bottom w:w="0" w:type="dxa"/>
          <w:right w:w="0" w:type="dxa"/>
        </w:tblCellMar>
        <w:tblLook w:val="01E0"/>
      </w:tblPr>
      <w:tblGrid>
        <w:gridCol w:w="2551"/>
        <w:gridCol w:w="1514"/>
        <w:gridCol w:w="1320"/>
        <w:gridCol w:w="1274"/>
        <w:gridCol w:w="1397"/>
        <w:gridCol w:w="1687"/>
      </w:tblGrid>
      <w:tr>
        <w:trPr>
          <w:trHeight w:val="71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与本公</w:t>
            </w:r>
          </w:p>
          <w:p>
            <w:pPr>
              <w:pStyle w:val="TableParagraph"/>
              <w:spacing w:line="240" w:lineRule="auto" w:before="115"/>
              <w:ind w:left="482"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391"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115"/>
              <w:ind w:left="391"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941"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74,831,954.96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96.10%</w:t>
            </w:r>
            <w:r>
              <w:rPr>
                <w:rFonts w:ascii="Times New Roman"/>
                <w:sz w:val="20"/>
              </w:rPr>
            </w:r>
          </w:p>
        </w:tc>
      </w:tr>
      <w:tr>
        <w:trPr>
          <w:trHeight w:val="71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江西省电力物资公司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投标保证金和</w:t>
            </w: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0.31%</w:t>
            </w:r>
            <w:r>
              <w:rPr>
                <w:rFonts w:ascii="Times New Roman"/>
                <w:sz w:val="20"/>
              </w:rPr>
            </w:r>
          </w:p>
        </w:tc>
      </w:tr>
      <w:tr>
        <w:trPr>
          <w:trHeight w:val="36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台山市安居工程领导小组办</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2" w:right="0"/>
              <w:jc w:val="left"/>
              <w:rPr>
                <w:rFonts w:ascii="Times New Roman" w:hAnsi="Times New Roman" w:cs="Times New Roman" w:eastAsia="Times New Roman" w:hint="default"/>
                <w:sz w:val="18"/>
                <w:szCs w:val="18"/>
              </w:rPr>
            </w:pPr>
            <w:r>
              <w:rPr>
                <w:rFonts w:ascii="Times New Roman"/>
                <w:sz w:val="18"/>
              </w:rPr>
              <w:t>237,885.21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0"/>
                <w:szCs w:val="20"/>
              </w:rPr>
            </w:pPr>
            <w:r>
              <w:rPr>
                <w:rFonts w:ascii="Times New Roman"/>
                <w:w w:val="95"/>
                <w:sz w:val="20"/>
              </w:rPr>
              <w:t>0.31%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058" w:footer="1590" w:top="1780" w:bottom="1780" w:left="840" w:right="840"/>
        </w:sectPr>
      </w:pPr>
    </w:p>
    <w:tbl>
      <w:tblPr>
        <w:tblW w:w="0" w:type="auto"/>
        <w:jc w:val="left"/>
        <w:tblInd w:w="118" w:type="dxa"/>
        <w:tblLayout w:type="fixed"/>
        <w:tblCellMar>
          <w:top w:w="0" w:type="dxa"/>
          <w:left w:w="0" w:type="dxa"/>
          <w:bottom w:w="0" w:type="dxa"/>
          <w:right w:w="0" w:type="dxa"/>
        </w:tblCellMar>
        <w:tblLook w:val="01E0"/>
      </w:tblPr>
      <w:tblGrid>
        <w:gridCol w:w="2551"/>
        <w:gridCol w:w="1514"/>
        <w:gridCol w:w="1320"/>
        <w:gridCol w:w="1274"/>
        <w:gridCol w:w="1397"/>
        <w:gridCol w:w="1687"/>
      </w:tblGrid>
      <w:tr>
        <w:trPr>
          <w:trHeight w:val="36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bookmarkStart w:name="3、长期股权投资" w:id="108"/>
            <w:bookmarkEnd w:id="108"/>
            <w:r>
              <w:rPr/>
            </w:r>
            <w:bookmarkStart w:name="4、营业收入和营业成本" w:id="109"/>
            <w:bookmarkEnd w:id="109"/>
            <w:r>
              <w:rPr/>
            </w:r>
            <w:r>
              <w:rPr>
                <w:rFonts w:ascii="宋体" w:hAnsi="宋体" w:cs="宋体" w:eastAsia="宋体" w:hint="default"/>
                <w:sz w:val="18"/>
                <w:szCs w:val="18"/>
              </w:rPr>
              <w:t>公室</w:t>
            </w:r>
          </w:p>
        </w:tc>
        <w:tc>
          <w:tcPr>
            <w:tcW w:w="15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重庆钢丝绳厂</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Times New Roman" w:hAnsi="Times New Roman" w:cs="Times New Roman" w:eastAsia="Times New Roman" w:hint="default"/>
                <w:sz w:val="18"/>
                <w:szCs w:val="18"/>
              </w:rPr>
            </w:pPr>
            <w:r>
              <w:rPr>
                <w:rFonts w:ascii="Times New Roman"/>
                <w:sz w:val="18"/>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租赁押金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0"/>
                <w:szCs w:val="20"/>
              </w:rPr>
            </w:pPr>
            <w:r>
              <w:rPr>
                <w:rFonts w:ascii="Times New Roman"/>
                <w:w w:val="95"/>
                <w:sz w:val="20"/>
              </w:rPr>
              <w:t>0.19%</w:t>
            </w:r>
            <w:r>
              <w:rPr>
                <w:rFonts w:ascii="Times New Roman"/>
                <w:sz w:val="20"/>
              </w:rPr>
            </w:r>
          </w:p>
        </w:tc>
      </w:tr>
      <w:tr>
        <w:trPr>
          <w:trHeight w:val="71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重庆聚诚招标代理有限公司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投标服务商</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年以内、</w:t>
            </w:r>
            <w:r>
              <w:rPr>
                <w:rFonts w:ascii="Times New Roman" w:hAnsi="Times New Roman" w:cs="Times New Roman" w:eastAsia="Times New Roman" w:hint="default"/>
                <w:spacing w:val="-6"/>
                <w:sz w:val="18"/>
                <w:szCs w:val="18"/>
              </w:rPr>
              <w:t>2-3</w:t>
            </w:r>
          </w:p>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0.19%</w:t>
            </w:r>
            <w:r>
              <w:rPr>
                <w:rFonts w:ascii="Times New Roman"/>
                <w:sz w:val="20"/>
              </w:rPr>
            </w:r>
          </w:p>
        </w:tc>
      </w:tr>
      <w:tr>
        <w:trPr>
          <w:trHeight w:val="71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75,610,340.17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9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投标保证金和</w:t>
            </w: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97.10%</w:t>
            </w:r>
            <w:r>
              <w:rPr>
                <w:rFonts w:ascii="Times New Roman"/>
                <w:sz w:val="20"/>
              </w:rPr>
            </w:r>
          </w:p>
        </w:tc>
      </w:tr>
    </w:tbl>
    <w:p>
      <w:pPr>
        <w:spacing w:line="240" w:lineRule="auto" w:before="11"/>
        <w:rPr>
          <w:rFonts w:ascii="宋体" w:hAnsi="宋体" w:cs="宋体" w:eastAsia="宋体" w:hint="default"/>
          <w:sz w:val="23"/>
          <w:szCs w:val="23"/>
        </w:rPr>
      </w:pPr>
    </w:p>
    <w:p>
      <w:pPr>
        <w:pStyle w:val="Heading4"/>
        <w:spacing w:line="333" w:lineRule="exact"/>
        <w:ind w:left="928" w:right="0"/>
        <w:jc w:val="left"/>
        <w:rPr>
          <w:b w:val="0"/>
          <w:bCs w:val="0"/>
        </w:rPr>
      </w:pPr>
      <w:r>
        <w:rPr>
          <w:rFonts w:ascii="Times New Roman" w:hAnsi="Times New Roman" w:cs="Times New Roman" w:eastAsia="Times New Roman" w:hint="default"/>
        </w:rPr>
        <w:t>3</w:t>
      </w:r>
      <w:r>
        <w:rPr/>
        <w:t>、长期股权投资</w:t>
      </w:r>
      <w:r>
        <w:rPr>
          <w:b w:val="0"/>
          <w:bCs w:val="0"/>
        </w:rPr>
      </w:r>
    </w:p>
    <w:p>
      <w:pPr>
        <w:pStyle w:val="BodyText"/>
        <w:spacing w:line="240" w:lineRule="auto" w:before="109"/>
        <w:ind w:left="0" w:right="938"/>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267" w:type="dxa"/>
        <w:tblLayout w:type="fixed"/>
        <w:tblCellMar>
          <w:top w:w="0" w:type="dxa"/>
          <w:left w:w="0" w:type="dxa"/>
          <w:bottom w:w="0" w:type="dxa"/>
          <w:right w:w="0" w:type="dxa"/>
        </w:tblCellMar>
        <w:tblLook w:val="01E0"/>
      </w:tblPr>
      <w:tblGrid>
        <w:gridCol w:w="994"/>
        <w:gridCol w:w="708"/>
        <w:gridCol w:w="1135"/>
        <w:gridCol w:w="1133"/>
        <w:gridCol w:w="1135"/>
        <w:gridCol w:w="1274"/>
        <w:gridCol w:w="708"/>
        <w:gridCol w:w="710"/>
        <w:gridCol w:w="708"/>
        <w:gridCol w:w="850"/>
        <w:gridCol w:w="569"/>
      </w:tblGrid>
      <w:tr>
        <w:trPr>
          <w:trHeight w:val="249" w:hRule="exact"/>
        </w:trPr>
        <w:tc>
          <w:tcPr>
            <w:tcW w:w="994" w:type="dxa"/>
            <w:tcBorders>
              <w:top w:val="single" w:sz="4" w:space="0" w:color="000000"/>
              <w:left w:val="nil" w:sz="6" w:space="0" w:color="auto"/>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172" w:lineRule="exact"/>
              <w:ind w:right="122"/>
              <w:jc w:val="right"/>
              <w:rPr>
                <w:rFonts w:ascii="宋体" w:hAnsi="宋体" w:cs="宋体" w:eastAsia="宋体" w:hint="default"/>
                <w:sz w:val="15"/>
                <w:szCs w:val="15"/>
              </w:rPr>
            </w:pPr>
            <w:r>
              <w:rPr>
                <w:rFonts w:ascii="宋体" w:hAnsi="宋体" w:cs="宋体" w:eastAsia="宋体" w:hint="default"/>
                <w:w w:val="95"/>
                <w:sz w:val="15"/>
                <w:szCs w:val="15"/>
              </w:rPr>
              <w:t>在被投</w:t>
            </w:r>
            <w:r>
              <w:rPr>
                <w:rFonts w:ascii="宋体" w:hAnsi="宋体" w:cs="宋体" w:eastAsia="宋体" w:hint="default"/>
                <w:sz w:val="15"/>
                <w:szCs w:val="15"/>
              </w:rPr>
            </w: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172" w:lineRule="exact"/>
              <w:ind w:right="125"/>
              <w:jc w:val="right"/>
              <w:rPr>
                <w:rFonts w:ascii="宋体" w:hAnsi="宋体" w:cs="宋体" w:eastAsia="宋体" w:hint="default"/>
                <w:sz w:val="15"/>
                <w:szCs w:val="15"/>
              </w:rPr>
            </w:pPr>
            <w:r>
              <w:rPr>
                <w:rFonts w:ascii="宋体" w:hAnsi="宋体" w:cs="宋体" w:eastAsia="宋体" w:hint="default"/>
                <w:w w:val="95"/>
                <w:sz w:val="15"/>
                <w:szCs w:val="15"/>
              </w:rPr>
              <w:t>在被投</w:t>
            </w:r>
            <w:r>
              <w:rPr>
                <w:rFonts w:ascii="宋体" w:hAnsi="宋体" w:cs="宋体" w:eastAsia="宋体" w:hint="default"/>
                <w:sz w:val="15"/>
                <w:szCs w:val="15"/>
              </w:rPr>
            </w:r>
          </w:p>
        </w:tc>
        <w:tc>
          <w:tcPr>
            <w:tcW w:w="70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nil" w:sz="6" w:space="0" w:color="auto"/>
            </w:tcBorders>
          </w:tcPr>
          <w:p>
            <w:pPr/>
          </w:p>
        </w:tc>
      </w:tr>
      <w:tr>
        <w:trPr>
          <w:trHeight w:val="220" w:hRule="exact"/>
        </w:trPr>
        <w:tc>
          <w:tcPr>
            <w:tcW w:w="994"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271" w:right="0"/>
              <w:jc w:val="left"/>
              <w:rPr>
                <w:rFonts w:ascii="宋体" w:hAnsi="宋体" w:cs="宋体" w:eastAsia="宋体" w:hint="default"/>
                <w:sz w:val="15"/>
                <w:szCs w:val="15"/>
              </w:rPr>
            </w:pPr>
            <w:r>
              <w:rPr>
                <w:rFonts w:ascii="宋体" w:hAnsi="宋体" w:cs="宋体" w:eastAsia="宋体" w:hint="default"/>
                <w:sz w:val="15"/>
                <w:szCs w:val="15"/>
              </w:rPr>
              <w:t>被投资</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sz w:val="15"/>
                <w:szCs w:val="15"/>
              </w:rPr>
              <w:t>核算</w:t>
            </w: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22"/>
              <w:jc w:val="right"/>
              <w:rPr>
                <w:rFonts w:ascii="宋体" w:hAnsi="宋体" w:cs="宋体" w:eastAsia="宋体" w:hint="default"/>
                <w:sz w:val="15"/>
                <w:szCs w:val="15"/>
              </w:rPr>
            </w:pPr>
            <w:r>
              <w:rPr>
                <w:rFonts w:ascii="宋体" w:hAnsi="宋体" w:cs="宋体" w:eastAsia="宋体" w:hint="default"/>
                <w:w w:val="95"/>
                <w:sz w:val="15"/>
                <w:szCs w:val="15"/>
              </w:rPr>
              <w:t>资单位</w:t>
            </w:r>
            <w:r>
              <w:rPr>
                <w:rFonts w:ascii="宋体" w:hAnsi="宋体" w:cs="宋体" w:eastAsia="宋体" w:hint="default"/>
                <w:sz w:val="15"/>
                <w:szCs w:val="15"/>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25"/>
              <w:jc w:val="right"/>
              <w:rPr>
                <w:rFonts w:ascii="宋体" w:hAnsi="宋体" w:cs="宋体" w:eastAsia="宋体" w:hint="default"/>
                <w:sz w:val="15"/>
                <w:szCs w:val="15"/>
              </w:rPr>
            </w:pPr>
            <w:r>
              <w:rPr>
                <w:rFonts w:ascii="宋体" w:hAnsi="宋体" w:cs="宋体" w:eastAsia="宋体" w:hint="default"/>
                <w:w w:val="95"/>
                <w:sz w:val="15"/>
                <w:szCs w:val="15"/>
              </w:rPr>
              <w:t>资单位</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22"/>
              <w:jc w:val="right"/>
              <w:rPr>
                <w:rFonts w:ascii="宋体" w:hAnsi="宋体" w:cs="宋体" w:eastAsia="宋体" w:hint="default"/>
                <w:sz w:val="15"/>
                <w:szCs w:val="15"/>
              </w:rPr>
            </w:pPr>
            <w:r>
              <w:rPr>
                <w:rFonts w:ascii="宋体" w:hAnsi="宋体" w:cs="宋体" w:eastAsia="宋体" w:hint="default"/>
                <w:w w:val="95"/>
                <w:sz w:val="15"/>
                <w:szCs w:val="15"/>
              </w:rPr>
              <w:t>减值准</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18"/>
              <w:jc w:val="right"/>
              <w:rPr>
                <w:rFonts w:ascii="宋体" w:hAnsi="宋体" w:cs="宋体" w:eastAsia="宋体" w:hint="default"/>
                <w:sz w:val="15"/>
                <w:szCs w:val="15"/>
              </w:rPr>
            </w:pPr>
            <w:r>
              <w:rPr>
                <w:rFonts w:ascii="宋体" w:hAnsi="宋体" w:cs="宋体" w:eastAsia="宋体" w:hint="default"/>
                <w:w w:val="95"/>
                <w:sz w:val="15"/>
                <w:szCs w:val="15"/>
              </w:rPr>
              <w:t>本期计提</w:t>
            </w:r>
            <w:r>
              <w:rPr>
                <w:rFonts w:ascii="宋体" w:hAnsi="宋体" w:cs="宋体" w:eastAsia="宋体" w:hint="default"/>
                <w:sz w:val="15"/>
                <w:szCs w:val="15"/>
              </w:rPr>
            </w:r>
          </w:p>
        </w:tc>
        <w:tc>
          <w:tcPr>
            <w:tcW w:w="56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34"/>
              <w:jc w:val="right"/>
              <w:rPr>
                <w:rFonts w:ascii="宋体" w:hAnsi="宋体" w:cs="宋体" w:eastAsia="宋体" w:hint="default"/>
                <w:sz w:val="15"/>
                <w:szCs w:val="15"/>
              </w:rPr>
            </w:pPr>
            <w:r>
              <w:rPr>
                <w:rFonts w:ascii="宋体" w:hAnsi="宋体" w:cs="宋体" w:eastAsia="宋体" w:hint="default"/>
                <w:w w:val="95"/>
                <w:sz w:val="15"/>
                <w:szCs w:val="15"/>
              </w:rPr>
              <w:t>现金</w:t>
            </w:r>
            <w:r>
              <w:rPr>
                <w:rFonts w:ascii="宋体" w:hAnsi="宋体" w:cs="宋体" w:eastAsia="宋体" w:hint="default"/>
                <w:sz w:val="15"/>
                <w:szCs w:val="15"/>
              </w:rPr>
            </w:r>
          </w:p>
        </w:tc>
      </w:tr>
      <w:tr>
        <w:trPr>
          <w:trHeight w:val="364" w:hRule="exact"/>
        </w:trPr>
        <w:tc>
          <w:tcPr>
            <w:tcW w:w="994"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4" w:right="0"/>
              <w:jc w:val="center"/>
              <w:rPr>
                <w:rFonts w:ascii="宋体" w:hAnsi="宋体" w:cs="宋体" w:eastAsia="宋体" w:hint="default"/>
                <w:sz w:val="15"/>
                <w:szCs w:val="15"/>
              </w:rPr>
            </w:pPr>
            <w:r>
              <w:rPr>
                <w:rFonts w:ascii="宋体" w:hAnsi="宋体" w:cs="宋体" w:eastAsia="宋体" w:hint="default"/>
                <w:sz w:val="15"/>
                <w:szCs w:val="15"/>
              </w:rPr>
              <w:t>单位</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方法</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264"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26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264"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33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22"/>
              <w:jc w:val="right"/>
              <w:rPr>
                <w:rFonts w:ascii="宋体" w:hAnsi="宋体" w:cs="宋体" w:eastAsia="宋体" w:hint="default"/>
                <w:sz w:val="15"/>
                <w:szCs w:val="15"/>
              </w:rPr>
            </w:pPr>
            <w:r>
              <w:rPr>
                <w:rFonts w:ascii="宋体" w:hAnsi="宋体" w:cs="宋体" w:eastAsia="宋体" w:hint="default"/>
                <w:w w:val="95"/>
                <w:sz w:val="15"/>
                <w:szCs w:val="15"/>
              </w:rPr>
              <w:t>持股比</w:t>
            </w:r>
            <w:r>
              <w:rPr>
                <w:rFonts w:ascii="宋体" w:hAnsi="宋体" w:cs="宋体" w:eastAsia="宋体" w:hint="default"/>
                <w:sz w:val="15"/>
                <w:szCs w:val="15"/>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25"/>
              <w:jc w:val="right"/>
              <w:rPr>
                <w:rFonts w:ascii="宋体" w:hAnsi="宋体" w:cs="宋体" w:eastAsia="宋体" w:hint="default"/>
                <w:sz w:val="15"/>
                <w:szCs w:val="15"/>
              </w:rPr>
            </w:pPr>
            <w:r>
              <w:rPr>
                <w:rFonts w:ascii="宋体" w:hAnsi="宋体" w:cs="宋体" w:eastAsia="宋体" w:hint="default"/>
                <w:w w:val="95"/>
                <w:sz w:val="15"/>
                <w:szCs w:val="15"/>
              </w:rPr>
              <w:t>表决权</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w w:val="99"/>
                <w:sz w:val="15"/>
                <w:szCs w:val="15"/>
              </w:rPr>
              <w:t>备</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18"/>
              <w:jc w:val="right"/>
              <w:rPr>
                <w:rFonts w:ascii="宋体" w:hAnsi="宋体" w:cs="宋体" w:eastAsia="宋体" w:hint="default"/>
                <w:sz w:val="15"/>
                <w:szCs w:val="15"/>
              </w:rPr>
            </w:pPr>
            <w:r>
              <w:rPr>
                <w:rFonts w:ascii="宋体" w:hAnsi="宋体" w:cs="宋体" w:eastAsia="宋体" w:hint="default"/>
                <w:w w:val="95"/>
                <w:sz w:val="15"/>
                <w:szCs w:val="15"/>
              </w:rPr>
              <w:t>减值准备</w:t>
            </w:r>
            <w:r>
              <w:rPr>
                <w:rFonts w:ascii="宋体" w:hAnsi="宋体" w:cs="宋体" w:eastAsia="宋体" w:hint="default"/>
                <w:sz w:val="15"/>
                <w:szCs w:val="15"/>
              </w:rPr>
            </w:r>
          </w:p>
        </w:tc>
        <w:tc>
          <w:tcPr>
            <w:tcW w:w="569"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34"/>
              <w:jc w:val="right"/>
              <w:rPr>
                <w:rFonts w:ascii="宋体" w:hAnsi="宋体" w:cs="宋体" w:eastAsia="宋体" w:hint="default"/>
                <w:sz w:val="15"/>
                <w:szCs w:val="15"/>
              </w:rPr>
            </w:pPr>
            <w:r>
              <w:rPr>
                <w:rFonts w:ascii="宋体" w:hAnsi="宋体" w:cs="宋体" w:eastAsia="宋体" w:hint="default"/>
                <w:w w:val="95"/>
                <w:sz w:val="15"/>
                <w:szCs w:val="15"/>
              </w:rPr>
              <w:t>红利</w:t>
            </w:r>
            <w:r>
              <w:rPr>
                <w:rFonts w:ascii="宋体" w:hAnsi="宋体" w:cs="宋体" w:eastAsia="宋体" w:hint="default"/>
                <w:sz w:val="15"/>
                <w:szCs w:val="15"/>
              </w:rPr>
            </w:r>
          </w:p>
        </w:tc>
      </w:tr>
      <w:tr>
        <w:trPr>
          <w:trHeight w:val="346" w:hRule="exact"/>
        </w:trPr>
        <w:tc>
          <w:tcPr>
            <w:tcW w:w="994"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5"/>
                <w:szCs w:val="15"/>
              </w:rPr>
            </w:pPr>
            <w:r>
              <w:rPr>
                <w:rFonts w:ascii="宋体" w:hAnsi="宋体" w:cs="宋体" w:eastAsia="宋体" w:hint="default"/>
                <w:w w:val="99"/>
                <w:sz w:val="15"/>
                <w:szCs w:val="15"/>
              </w:rPr>
              <w:t>例</w:t>
            </w:r>
            <w:r>
              <w:rPr>
                <w:rFonts w:ascii="宋体" w:hAnsi="宋体" w:cs="宋体" w:eastAsia="宋体" w:hint="default"/>
                <w:sz w:val="15"/>
                <w:szCs w:val="15"/>
              </w:rPr>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0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0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nil" w:sz="6" w:space="0" w:color="auto"/>
            </w:tcBorders>
          </w:tcPr>
          <w:p>
            <w:pPr/>
          </w:p>
        </w:tc>
      </w:tr>
      <w:tr>
        <w:trPr>
          <w:trHeight w:val="30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渝神科技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02"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173" w:lineRule="exact"/>
              <w:ind w:left="196" w:right="0"/>
              <w:jc w:val="left"/>
              <w:rPr>
                <w:rFonts w:ascii="宋体" w:hAnsi="宋体" w:cs="宋体" w:eastAsia="宋体" w:hint="default"/>
                <w:sz w:val="15"/>
                <w:szCs w:val="15"/>
              </w:rPr>
            </w:pPr>
            <w:r>
              <w:rPr>
                <w:rFonts w:ascii="宋体" w:hAnsi="宋体" w:cs="宋体" w:eastAsia="宋体" w:hint="default"/>
                <w:sz w:val="15"/>
                <w:szCs w:val="15"/>
              </w:rPr>
              <w:t>隆泰稀土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10,000,000.00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10,000,000.00</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10,000,000.00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0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173" w:lineRule="exact"/>
              <w:ind w:left="122" w:right="0"/>
              <w:jc w:val="left"/>
              <w:rPr>
                <w:rFonts w:ascii="宋体" w:hAnsi="宋体" w:cs="宋体" w:eastAsia="宋体" w:hint="default"/>
                <w:sz w:val="15"/>
                <w:szCs w:val="15"/>
              </w:rPr>
            </w:pPr>
            <w:r>
              <w:rPr>
                <w:rFonts w:ascii="宋体" w:hAnsi="宋体" w:cs="宋体" w:eastAsia="宋体" w:hint="default"/>
                <w:sz w:val="15"/>
                <w:szCs w:val="15"/>
              </w:rPr>
              <w:t>信用社股金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28"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14,474,533.17</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10,050,000.00</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14,474,533.17</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1058" w:footer="1590" w:top="1780" w:bottom="1780" w:left="880" w:right="720"/>
        </w:sectPr>
      </w:pPr>
    </w:p>
    <w:p>
      <w:pPr>
        <w:pStyle w:val="Heading4"/>
        <w:spacing w:line="333" w:lineRule="exact"/>
        <w:ind w:left="928" w:right="0"/>
        <w:jc w:val="left"/>
        <w:rPr>
          <w:b w:val="0"/>
          <w:bCs w:val="0"/>
        </w:rPr>
      </w:pP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109"/>
        <w:ind w:left="922" w:right="0"/>
        <w:jc w:val="left"/>
      </w:pPr>
      <w:r>
        <w:rPr>
          <w:w w:val="95"/>
        </w:rPr>
        <w:t>（</w:t>
      </w:r>
      <w:r>
        <w:rPr>
          <w:rFonts w:ascii="Times New Roman" w:hAnsi="Times New Roman" w:cs="Times New Roman" w:eastAsia="Times New Roman" w:hint="default"/>
          <w:w w:val="95"/>
        </w:rPr>
        <w:t>1</w:t>
      </w:r>
      <w:r>
        <w:rPr>
          <w:w w:val="95"/>
        </w:rPr>
        <w:t>）营业收入及营业成本</w:t>
      </w:r>
      <w:r>
        <w:rPr/>
      </w:r>
    </w:p>
    <w:p>
      <w:pPr>
        <w:pStyle w:val="BodyText"/>
        <w:spacing w:line="240" w:lineRule="auto" w:before="117"/>
        <w:ind w:left="922" w:right="0"/>
        <w:jc w:val="left"/>
      </w:pPr>
      <w:r>
        <w:rPr>
          <w:rFonts w:ascii="Times New Roman" w:hAnsi="Times New Roman" w:cs="Times New Roman" w:eastAsia="Times New Roman" w:hint="default"/>
        </w:rPr>
        <w:t>A</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922" w:right="0"/>
        <w:jc w:val="left"/>
      </w:pPr>
      <w:r>
        <w:rPr/>
        <w:t>单位：元</w:t>
      </w:r>
      <w:r>
        <w:rPr>
          <w:spacing w:val="-3"/>
        </w:rPr>
        <w:t> </w:t>
      </w:r>
      <w:r>
        <w:rPr/>
        <w:t>币种：人民币</w:t>
      </w:r>
    </w:p>
    <w:p>
      <w:pPr>
        <w:spacing w:after="0" w:line="240" w:lineRule="auto"/>
        <w:jc w:val="left"/>
        <w:sectPr>
          <w:type w:val="continuous"/>
          <w:pgSz w:w="11910" w:h="16840"/>
          <w:pgMar w:top="940" w:bottom="920" w:left="880" w:right="720"/>
          <w:cols w:num="2" w:equalWidth="0">
            <w:col w:w="3337" w:space="2759"/>
            <w:col w:w="4214"/>
          </w:cols>
        </w:sectPr>
      </w:pPr>
    </w:p>
    <w:p>
      <w:pPr>
        <w:spacing w:line="240" w:lineRule="auto" w:before="10"/>
        <w:rPr>
          <w:rFonts w:ascii="宋体" w:hAnsi="宋体" w:cs="宋体" w:eastAsia="宋体" w:hint="default"/>
          <w:sz w:val="12"/>
          <w:szCs w:val="12"/>
        </w:rPr>
      </w:pPr>
    </w:p>
    <w:tbl>
      <w:tblPr>
        <w:tblW w:w="0" w:type="auto"/>
        <w:jc w:val="left"/>
        <w:tblInd w:w="226" w:type="dxa"/>
        <w:tblLayout w:type="fixed"/>
        <w:tblCellMar>
          <w:top w:w="0" w:type="dxa"/>
          <w:left w:w="0" w:type="dxa"/>
          <w:bottom w:w="0" w:type="dxa"/>
          <w:right w:w="0" w:type="dxa"/>
        </w:tblCellMar>
        <w:tblLook w:val="01E0"/>
      </w:tblPr>
      <w:tblGrid>
        <w:gridCol w:w="3247"/>
        <w:gridCol w:w="3250"/>
        <w:gridCol w:w="3250"/>
      </w:tblGrid>
      <w:tr>
        <w:trPr>
          <w:trHeight w:val="41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410,170,791.28</w:t>
            </w:r>
            <w:r>
              <w:rPr>
                <w:rFonts w:ascii="Times New Roman"/>
                <w:sz w:val="21"/>
              </w:rPr>
            </w:r>
          </w:p>
        </w:tc>
      </w:tr>
      <w:tr>
        <w:trPr>
          <w:trHeight w:val="41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spacing w:val="-1"/>
                <w:sz w:val="21"/>
              </w:rPr>
              <w:t>3,289,611.91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4,570,233.03</w:t>
            </w:r>
            <w:r>
              <w:rPr>
                <w:rFonts w:ascii="Times New Roman"/>
                <w:sz w:val="21"/>
              </w:rPr>
            </w:r>
          </w:p>
        </w:tc>
      </w:tr>
      <w:tr>
        <w:trPr>
          <w:trHeight w:val="41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472,906,519.38</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414,741,024.31</w:t>
            </w:r>
            <w:r>
              <w:rPr>
                <w:rFonts w:ascii="Times New Roman"/>
                <w:sz w:val="21"/>
              </w:rPr>
            </w:r>
          </w:p>
        </w:tc>
      </w:tr>
      <w:tr>
        <w:trPr>
          <w:trHeight w:val="41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前五名销售额</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85,057,226.13</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100,953,239.27</w:t>
            </w:r>
            <w:r>
              <w:rPr>
                <w:rFonts w:ascii="Times New Roman"/>
                <w:sz w:val="21"/>
              </w:rPr>
            </w:r>
          </w:p>
        </w:tc>
      </w:tr>
      <w:tr>
        <w:trPr>
          <w:trHeight w:val="41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前五名销售额占营业收入比例</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17.99%</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107"/>
              <w:jc w:val="right"/>
              <w:rPr>
                <w:rFonts w:ascii="宋体" w:hAnsi="宋体" w:cs="宋体" w:eastAsia="宋体" w:hint="default"/>
                <w:sz w:val="21"/>
                <w:szCs w:val="21"/>
              </w:rPr>
            </w:pPr>
            <w:r>
              <w:rPr>
                <w:rFonts w:ascii="Times New Roman" w:hAnsi="Times New Roman" w:cs="Times New Roman" w:eastAsia="Times New Roman" w:hint="default"/>
                <w:w w:val="95"/>
                <w:sz w:val="21"/>
                <w:szCs w:val="21"/>
              </w:rPr>
              <w:t>24.34</w:t>
            </w:r>
            <w:r>
              <w:rPr>
                <w:rFonts w:ascii="宋体" w:hAnsi="宋体" w:cs="宋体" w:eastAsia="宋体" w:hint="default"/>
                <w:w w:val="95"/>
                <w:sz w:val="21"/>
                <w:szCs w:val="21"/>
              </w:rPr>
              <w:t>％</w:t>
            </w:r>
            <w:r>
              <w:rPr>
                <w:rFonts w:ascii="宋体" w:hAnsi="宋体" w:cs="宋体" w:eastAsia="宋体" w:hint="default"/>
                <w:sz w:val="21"/>
                <w:szCs w:val="21"/>
              </w:rPr>
            </w:r>
          </w:p>
        </w:tc>
      </w:tr>
    </w:tbl>
    <w:p>
      <w:pPr>
        <w:spacing w:line="240" w:lineRule="auto" w:before="6"/>
        <w:rPr>
          <w:rFonts w:ascii="宋体" w:hAnsi="宋体" w:cs="宋体" w:eastAsia="宋体" w:hint="default"/>
          <w:sz w:val="22"/>
          <w:szCs w:val="22"/>
        </w:rPr>
      </w:pPr>
    </w:p>
    <w:p>
      <w:pPr>
        <w:pStyle w:val="BodyText"/>
        <w:spacing w:line="240" w:lineRule="auto" w:before="34"/>
        <w:ind w:left="922" w:right="0"/>
        <w:jc w:val="left"/>
      </w:pPr>
      <w:r>
        <w:rPr>
          <w:rFonts w:ascii="Times New Roman" w:hAnsi="Times New Roman" w:cs="Times New Roman" w:eastAsia="Times New Roman" w:hint="default"/>
        </w:rPr>
        <w:t>B</w:t>
      </w:r>
      <w:r>
        <w:rPr/>
        <w:t>、营业成本</w:t>
      </w:r>
    </w:p>
    <w:p>
      <w:pPr>
        <w:pStyle w:val="BodyText"/>
        <w:spacing w:line="240" w:lineRule="auto" w:before="117"/>
        <w:ind w:left="6807" w:right="0"/>
        <w:jc w:val="lef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307" w:type="dxa"/>
        <w:tblLayout w:type="fixed"/>
        <w:tblCellMar>
          <w:top w:w="0" w:type="dxa"/>
          <w:left w:w="0" w:type="dxa"/>
          <w:bottom w:w="0" w:type="dxa"/>
          <w:right w:w="0" w:type="dxa"/>
        </w:tblCellMar>
        <w:tblLook w:val="01E0"/>
      </w:tblPr>
      <w:tblGrid>
        <w:gridCol w:w="3250"/>
        <w:gridCol w:w="3247"/>
        <w:gridCol w:w="3250"/>
      </w:tblGrid>
      <w:tr>
        <w:trPr>
          <w:trHeight w:val="418"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331,698,408.75</w:t>
            </w:r>
            <w:r>
              <w:rPr>
                <w:rFonts w:ascii="Times New Roman"/>
                <w:sz w:val="21"/>
              </w:rPr>
            </w:r>
          </w:p>
        </w:tc>
      </w:tr>
      <w:tr>
        <w:trPr>
          <w:trHeight w:val="41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Times New Roman" w:hAnsi="Times New Roman" w:cs="Times New Roman" w:eastAsia="Times New Roman" w:hint="default"/>
                <w:sz w:val="21"/>
                <w:szCs w:val="21"/>
              </w:rPr>
            </w:pPr>
            <w:r>
              <w:rPr>
                <w:rFonts w:ascii="Times New Roman"/>
                <w:w w:val="95"/>
                <w:sz w:val="21"/>
              </w:rPr>
              <w:t>644,193.85</w:t>
            </w:r>
            <w:r>
              <w:rPr>
                <w:rFonts w:ascii="Times New Roman"/>
                <w:sz w:val="21"/>
              </w:rPr>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940" w:bottom="920" w:left="880" w:right="720"/>
        </w:sectPr>
      </w:pPr>
    </w:p>
    <w:tbl>
      <w:tblPr>
        <w:tblW w:w="0" w:type="auto"/>
        <w:jc w:val="left"/>
        <w:tblInd w:w="247" w:type="dxa"/>
        <w:tblLayout w:type="fixed"/>
        <w:tblCellMar>
          <w:top w:w="0" w:type="dxa"/>
          <w:left w:w="0" w:type="dxa"/>
          <w:bottom w:w="0" w:type="dxa"/>
          <w:right w:w="0" w:type="dxa"/>
        </w:tblCellMar>
        <w:tblLook w:val="01E0"/>
      </w:tblPr>
      <w:tblGrid>
        <w:gridCol w:w="3247"/>
        <w:gridCol w:w="3250"/>
        <w:gridCol w:w="3250"/>
      </w:tblGrid>
      <w:tr>
        <w:trPr>
          <w:trHeight w:val="41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bookmarkStart w:name="5、现金流量表补充资料" w:id="110"/>
            <w:bookmarkEnd w:id="110"/>
            <w:r>
              <w:rPr/>
            </w: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26" w:right="0"/>
              <w:jc w:val="left"/>
              <w:rPr>
                <w:rFonts w:ascii="Times New Roman" w:hAnsi="Times New Roman" w:cs="Times New Roman" w:eastAsia="Times New Roman" w:hint="default"/>
                <w:sz w:val="21"/>
                <w:szCs w:val="21"/>
              </w:rPr>
            </w:pPr>
            <w:r>
              <w:rPr>
                <w:rFonts w:ascii="Times New Roman"/>
                <w:sz w:val="21"/>
              </w:rPr>
              <w:t>397,745,878.97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826" w:right="0"/>
              <w:jc w:val="left"/>
              <w:rPr>
                <w:rFonts w:ascii="Times New Roman" w:hAnsi="Times New Roman" w:cs="Times New Roman" w:eastAsia="Times New Roman" w:hint="default"/>
                <w:sz w:val="21"/>
                <w:szCs w:val="21"/>
              </w:rPr>
            </w:pPr>
            <w:r>
              <w:rPr>
                <w:rFonts w:ascii="Times New Roman"/>
                <w:sz w:val="21"/>
              </w:rPr>
              <w:t>332,342,602.60</w:t>
            </w:r>
          </w:p>
        </w:tc>
      </w:tr>
    </w:tbl>
    <w:p>
      <w:pPr>
        <w:pStyle w:val="BodyText"/>
        <w:spacing w:line="274" w:lineRule="exact"/>
        <w:ind w:left="862" w:right="0"/>
        <w:jc w:val="left"/>
      </w:pPr>
      <w:r>
        <w:rPr/>
        <w:t>（</w:t>
      </w:r>
      <w:r>
        <w:rPr>
          <w:rFonts w:ascii="Times New Roman" w:hAnsi="Times New Roman" w:cs="Times New Roman" w:eastAsia="Times New Roman" w:hint="default"/>
        </w:rPr>
        <w:t>2</w:t>
      </w:r>
      <w:r>
        <w:rPr/>
        <w:t>）主营业务（分行业）</w:t>
      </w:r>
    </w:p>
    <w:p>
      <w:pPr>
        <w:pStyle w:val="BodyText"/>
        <w:spacing w:line="240" w:lineRule="auto" w:before="119"/>
        <w:ind w:left="0" w:right="10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358" w:type="dxa"/>
        <w:tblLayout w:type="fixed"/>
        <w:tblCellMar>
          <w:top w:w="0" w:type="dxa"/>
          <w:left w:w="0" w:type="dxa"/>
          <w:bottom w:w="0" w:type="dxa"/>
          <w:right w:w="0" w:type="dxa"/>
        </w:tblCellMar>
        <w:tblLook w:val="01E0"/>
      </w:tblPr>
      <w:tblGrid>
        <w:gridCol w:w="1939"/>
        <w:gridCol w:w="1939"/>
        <w:gridCol w:w="1942"/>
        <w:gridCol w:w="1939"/>
        <w:gridCol w:w="1939"/>
      </w:tblGrid>
      <w:tr>
        <w:trPr>
          <w:trHeight w:val="418"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before="174"/>
              <w:ind w:left="54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78"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193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73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469,616,907.47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397,745,878.97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410,170,791.28</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331,698,408.75</w:t>
            </w:r>
          </w:p>
        </w:tc>
      </w:tr>
    </w:tbl>
    <w:p>
      <w:pPr>
        <w:spacing w:line="240" w:lineRule="auto" w:before="9"/>
        <w:rPr>
          <w:rFonts w:ascii="宋体" w:hAnsi="宋体" w:cs="宋体" w:eastAsia="宋体" w:hint="default"/>
          <w:sz w:val="22"/>
          <w:szCs w:val="22"/>
        </w:rPr>
      </w:pPr>
    </w:p>
    <w:p>
      <w:pPr>
        <w:pStyle w:val="BodyText"/>
        <w:spacing w:line="240" w:lineRule="auto" w:before="34"/>
        <w:ind w:left="862" w:right="0"/>
        <w:jc w:val="left"/>
      </w:pPr>
      <w:r>
        <w:rPr/>
        <w:t>（</w:t>
      </w:r>
      <w:r>
        <w:rPr>
          <w:rFonts w:ascii="Times New Roman" w:hAnsi="Times New Roman" w:cs="Times New Roman" w:eastAsia="Times New Roman" w:hint="default"/>
        </w:rPr>
        <w:t>3</w:t>
      </w:r>
      <w:r>
        <w:rPr/>
        <w:t>）主营业务（分产品）</w:t>
      </w:r>
    </w:p>
    <w:p>
      <w:pPr>
        <w:pStyle w:val="BodyText"/>
        <w:spacing w:line="240" w:lineRule="auto" w:before="117"/>
        <w:ind w:left="6747" w:right="0"/>
        <w:jc w:val="lef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1942"/>
        <w:gridCol w:w="1939"/>
        <w:gridCol w:w="1939"/>
        <w:gridCol w:w="1942"/>
        <w:gridCol w:w="1939"/>
      </w:tblGrid>
      <w:tr>
        <w:trPr>
          <w:trHeight w:val="418"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before="174"/>
              <w:ind w:left="55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9" w:hRule="exact"/>
        </w:trPr>
        <w:tc>
          <w:tcPr>
            <w:tcW w:w="1942"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736"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402,875,371.60</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341,178,190.32</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343,659,699.07</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280,047,805.30</w:t>
            </w:r>
            <w:r>
              <w:rPr>
                <w:rFonts w:ascii="Times New Roman"/>
                <w:sz w:val="21"/>
              </w:rPr>
            </w:r>
          </w:p>
        </w:tc>
      </w:tr>
      <w:tr>
        <w:trPr>
          <w:trHeight w:val="7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66,741,535.87</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56,567,688.65</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w w:val="95"/>
                <w:sz w:val="21"/>
              </w:rPr>
              <w:t>66,511,092.21</w:t>
            </w:r>
            <w:r>
              <w:rPr>
                <w:rFonts w:ascii="Times New Roman"/>
                <w:spacing w:val="-1"/>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8"/>
              <w:ind w:right="25"/>
              <w:jc w:val="right"/>
              <w:rPr>
                <w:rFonts w:ascii="Times New Roman" w:hAnsi="Times New Roman" w:cs="Times New Roman" w:eastAsia="Times New Roman" w:hint="default"/>
                <w:sz w:val="21"/>
                <w:szCs w:val="21"/>
              </w:rPr>
            </w:pPr>
            <w:r>
              <w:rPr>
                <w:rFonts w:ascii="Times New Roman"/>
                <w:w w:val="95"/>
                <w:sz w:val="21"/>
              </w:rPr>
              <w:t>51,650,603.45</w:t>
            </w:r>
            <w:r>
              <w:rPr>
                <w:rFonts w:ascii="Times New Roman"/>
                <w:sz w:val="21"/>
              </w:rPr>
            </w:r>
          </w:p>
        </w:tc>
      </w:tr>
      <w:tr>
        <w:trPr>
          <w:trHeight w:val="73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410,170,791.28</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331,698,408.75</w:t>
            </w:r>
            <w:r>
              <w:rPr>
                <w:rFonts w:ascii="Times New Roman"/>
                <w:sz w:val="21"/>
              </w:rPr>
            </w:r>
          </w:p>
        </w:tc>
      </w:tr>
    </w:tbl>
    <w:p>
      <w:pPr>
        <w:spacing w:line="240" w:lineRule="auto" w:before="6"/>
        <w:rPr>
          <w:rFonts w:ascii="宋体" w:hAnsi="宋体" w:cs="宋体" w:eastAsia="宋体" w:hint="default"/>
          <w:sz w:val="22"/>
          <w:szCs w:val="22"/>
        </w:rPr>
      </w:pPr>
    </w:p>
    <w:p>
      <w:pPr>
        <w:pStyle w:val="Heading4"/>
        <w:spacing w:line="333" w:lineRule="exact"/>
        <w:ind w:left="868" w:right="0"/>
        <w:jc w:val="left"/>
        <w:rPr>
          <w:b w:val="0"/>
          <w:bCs w:val="0"/>
        </w:rPr>
      </w:pPr>
      <w:r>
        <w:rPr>
          <w:rFonts w:ascii="Times New Roman" w:hAnsi="Times New Roman" w:cs="Times New Roman" w:eastAsia="Times New Roman" w:hint="default"/>
        </w:rPr>
        <w:t>5</w:t>
      </w:r>
      <w:r>
        <w:rPr/>
        <w:t>、现金流量表补充资料</w:t>
      </w:r>
      <w:r>
        <w:rPr>
          <w:b w:val="0"/>
          <w:bCs w:val="0"/>
        </w:rPr>
      </w:r>
    </w:p>
    <w:p>
      <w:pPr>
        <w:pStyle w:val="BodyText"/>
        <w:spacing w:line="240" w:lineRule="auto" w:before="109"/>
        <w:ind w:left="0" w:right="10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6204"/>
        <w:gridCol w:w="1771"/>
        <w:gridCol w:w="1771"/>
      </w:tblGrid>
      <w:tr>
        <w:trPr>
          <w:trHeight w:val="36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36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23,867,367.21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40,078,723.22</w:t>
            </w:r>
          </w:p>
        </w:tc>
      </w:tr>
      <w:tr>
        <w:trPr>
          <w:trHeight w:val="63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2,313,098.25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pacing w:val="-1"/>
                <w:sz w:val="18"/>
              </w:rPr>
              <w:t>921,000.74</w:t>
            </w:r>
          </w:p>
        </w:tc>
      </w:tr>
      <w:tr>
        <w:trPr>
          <w:trHeight w:val="63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7,216,283.86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spacing w:val="-1"/>
                <w:sz w:val="18"/>
              </w:rPr>
              <w:t>4,727,837.01</w:t>
            </w:r>
          </w:p>
        </w:tc>
      </w:tr>
      <w:tr>
        <w:trPr>
          <w:trHeight w:val="63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476,549.55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204,112.00</w:t>
            </w:r>
          </w:p>
        </w:tc>
      </w:tr>
      <w:tr>
        <w:trPr>
          <w:trHeight w:val="63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55,803.21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13,308.60</w:t>
            </w:r>
          </w:p>
        </w:tc>
      </w:tr>
      <w:tr>
        <w:trPr>
          <w:trHeight w:val="36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1058" w:footer="1590" w:top="1780" w:bottom="1780" w:left="940" w:right="780"/>
        </w:sectPr>
      </w:pPr>
    </w:p>
    <w:tbl>
      <w:tblPr>
        <w:tblW w:w="0" w:type="auto"/>
        <w:jc w:val="left"/>
        <w:tblInd w:w="113" w:type="dxa"/>
        <w:tblLayout w:type="fixed"/>
        <w:tblCellMar>
          <w:top w:w="0" w:type="dxa"/>
          <w:left w:w="0" w:type="dxa"/>
          <w:bottom w:w="0" w:type="dxa"/>
          <w:right w:w="0" w:type="dxa"/>
        </w:tblCellMar>
        <w:tblLook w:val="01E0"/>
      </w:tblPr>
      <w:tblGrid>
        <w:gridCol w:w="6202"/>
        <w:gridCol w:w="1774"/>
        <w:gridCol w:w="1771"/>
      </w:tblGrid>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4" w:right="0"/>
              <w:jc w:val="center"/>
              <w:rPr>
                <w:rFonts w:ascii="Microsoft JhengHei" w:hAnsi="Microsoft JhengHei" w:cs="Microsoft JhengHei" w:eastAsia="Microsoft JhengHei" w:hint="default"/>
                <w:sz w:val="18"/>
                <w:szCs w:val="18"/>
              </w:rPr>
            </w:pPr>
            <w:bookmarkStart w:name="十二、补充资料" w:id="111"/>
            <w:bookmarkEnd w:id="111"/>
            <w:r>
              <w:rPr/>
            </w:r>
            <w:bookmarkStart w:name="1、当期非经常性损益明细表" w:id="112"/>
            <w:bookmarkEnd w:id="112"/>
            <w:r>
              <w:rPr/>
            </w: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tc>
      </w:tr>
      <w:tr>
        <w:trPr>
          <w:trHeight w:val="319" w:hRule="exact"/>
        </w:trPr>
        <w:tc>
          <w:tcPr>
            <w:tcW w:w="6202" w:type="dxa"/>
            <w:tcBorders>
              <w:top w:val="single" w:sz="4" w:space="0" w:color="000000"/>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2,031,618.47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6,791,104.78</w:t>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-395,657.03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-114,642.08</w:t>
            </w:r>
          </w:p>
        </w:tc>
      </w:tr>
      <w:tr>
        <w:trPr>
          <w:trHeight w:val="63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-42,723,064.31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pacing w:val="-1"/>
                <w:sz w:val="18"/>
              </w:rPr>
              <w:t>-12,457,509.68</w:t>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right="2148"/>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-80,570,448.52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-21,879,946.11</w:t>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right="2148"/>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5,167,318.35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pacing w:val="-1"/>
                <w:sz w:val="18"/>
              </w:rPr>
              <w:t>-6,466,223.54</w:t>
            </w:r>
          </w:p>
        </w:tc>
      </w:tr>
      <w:tr>
        <w:trPr>
          <w:trHeight w:val="63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-82,561,130.96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pacing w:val="-1"/>
                <w:sz w:val="18"/>
              </w:rPr>
              <w:t>11,817,764.94</w:t>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267,422,525.25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64,645,920.88</w:t>
            </w:r>
          </w:p>
        </w:tc>
      </w:tr>
      <w:tr>
        <w:trPr>
          <w:trHeight w:val="361"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64,645,920.88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Times New Roman" w:hAnsi="Times New Roman" w:cs="Times New Roman" w:eastAsia="Times New Roman" w:hint="default"/>
                <w:sz w:val="18"/>
                <w:szCs w:val="18"/>
              </w:rPr>
            </w:pPr>
            <w:r>
              <w:rPr>
                <w:rFonts w:ascii="Times New Roman"/>
                <w:spacing w:val="-1"/>
                <w:sz w:val="18"/>
              </w:rPr>
              <w:t>42,381,773.08</w:t>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60" w:hRule="exact"/>
        </w:trPr>
        <w:tc>
          <w:tcPr>
            <w:tcW w:w="6202"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202,776,604.37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22,264,147.80</w:t>
            </w:r>
          </w:p>
        </w:tc>
      </w:tr>
    </w:tbl>
    <w:p>
      <w:pPr>
        <w:spacing w:line="240" w:lineRule="auto" w:before="6"/>
        <w:rPr>
          <w:rFonts w:ascii="宋体" w:hAnsi="宋体" w:cs="宋体" w:eastAsia="宋体" w:hint="default"/>
          <w:sz w:val="22"/>
          <w:szCs w:val="22"/>
        </w:rPr>
      </w:pPr>
    </w:p>
    <w:p>
      <w:pPr>
        <w:pStyle w:val="BodyText"/>
        <w:spacing w:line="240" w:lineRule="auto" w:before="34"/>
        <w:ind w:left="868" w:right="0"/>
        <w:jc w:val="left"/>
        <w:rPr>
          <w:rFonts w:ascii="宋体" w:hAnsi="宋体" w:cs="宋体" w:eastAsia="宋体" w:hint="default"/>
        </w:rPr>
      </w:pPr>
      <w:r>
        <w:rPr>
          <w:rFonts w:ascii="宋体" w:hAnsi="宋体" w:cs="宋体" w:eastAsia="宋体" w:hint="default"/>
        </w:rPr>
        <w:t>十二、补充资料</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333" w:lineRule="exact"/>
        <w:ind w:left="868"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pStyle w:val="BodyText"/>
        <w:spacing w:line="240" w:lineRule="auto" w:before="109"/>
        <w:ind w:left="0" w:right="861"/>
        <w:jc w:val="right"/>
      </w:pPr>
      <w:r>
        <w:rPr/>
        <w:t>单位：元</w:t>
      </w:r>
      <w:r>
        <w:rPr>
          <w:spacing w:val="-3"/>
        </w:rPr>
        <w:t> </w:t>
      </w:r>
      <w:r>
        <w:rPr/>
        <w:t>币种：人民币</w:t>
      </w:r>
    </w:p>
    <w:p>
      <w:pPr>
        <w:spacing w:line="240" w:lineRule="auto" w:before="8"/>
        <w:rPr>
          <w:rFonts w:ascii="宋体" w:hAnsi="宋体" w:cs="宋体" w:eastAsia="宋体" w:hint="default"/>
          <w:sz w:val="12"/>
          <w:szCs w:val="12"/>
        </w:rPr>
      </w:pPr>
    </w:p>
    <w:p>
      <w:pPr>
        <w:spacing w:line="374" w:lineRule="exact"/>
        <w:ind w:left="18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6.5pt;height:18.75pt;mso-position-horizontal-relative:char;mso-position-vertical-relative:line" coordorigin="0,0" coordsize="9730,375">
            <v:group style="position:absolute;left:5;top:10;width:9720;height:2" coordorigin="5,10" coordsize="9720,2">
              <v:shape style="position:absolute;left:5;top:10;width:9720;height:2" coordorigin="5,10" coordsize="9720,0" path="m5,10l9725,10e" filled="false" stroked="true" strokeweight=".48pt" strokecolor="#000000">
                <v:path arrowok="t"/>
              </v:shape>
            </v:group>
            <v:group style="position:absolute;left:5;top:370;width:9720;height:2" coordorigin="5,370" coordsize="9720,2">
              <v:shape style="position:absolute;left:5;top:370;width:9720;height:2" coordorigin="5,370" coordsize="9720,0" path="m5,370l9725,370e" filled="false" stroked="true" strokeweight=".48pt" strokecolor="#000000">
                <v:path arrowok="t"/>
              </v:shape>
            </v:group>
            <v:group style="position:absolute;left:6384;top:5;width:2;height:360" coordorigin="6384,5" coordsize="2,360">
              <v:shape style="position:absolute;left:6384;top:5;width:2;height:360" coordorigin="6384,5" coordsize="0,360" path="m6384,5l6384,365e" filled="false" stroked="true" strokeweight=".48pt" strokecolor="#000000">
                <v:path arrowok="t"/>
              </v:shape>
            </v:group>
            <v:group style="position:absolute;left:8054;top:5;width:2;height:360" coordorigin="8054,5" coordsize="2,360">
              <v:shape style="position:absolute;left:8054;top:5;width:2;height:360" coordorigin="8054,5" coordsize="0,360" path="m8054,5l8054,365e" filled="false" stroked="true" strokeweight=".48pt" strokecolor="#000000">
                <v:path arrowok="t"/>
              </v:shape>
              <v:shape style="position:absolute;left:6384;top:10;width:1671;height:360" type="#_x0000_t202" filled="false" stroked="false">
                <v:textbox inset="0,0,0,0">
                  <w:txbxContent>
                    <w:p>
                      <w:pPr>
                        <w:spacing w:line="224" w:lineRule="exact" w:before="0"/>
                        <w:ind w:left="45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xbxContent>
                </v:textbox>
                <w10:wrap type="none"/>
              </v:shape>
              <v:shape style="position:absolute;left:3960;top: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8508;top:40;width:76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xbxContent>
                </v:textbox>
                <w10:wrap type="none"/>
              </v:shape>
            </v:group>
          </v:group>
        </w:pict>
      </w:r>
      <w:r>
        <w:rPr>
          <w:rFonts w:ascii="宋体" w:hAnsi="宋体" w:cs="宋体" w:eastAsia="宋体" w:hint="default"/>
          <w:position w:val="-6"/>
          <w:sz w:val="20"/>
          <w:szCs w:val="20"/>
        </w:rPr>
      </w:r>
    </w:p>
    <w:p>
      <w:pPr>
        <w:spacing w:after="0" w:line="374" w:lineRule="exact"/>
        <w:rPr>
          <w:rFonts w:ascii="宋体" w:hAnsi="宋体" w:cs="宋体" w:eastAsia="宋体" w:hint="default"/>
          <w:sz w:val="20"/>
          <w:szCs w:val="20"/>
        </w:rPr>
        <w:sectPr>
          <w:pgSz w:w="11910" w:h="16840"/>
          <w:pgMar w:header="1058" w:footer="1590" w:top="1800" w:bottom="1780" w:left="940" w:right="940"/>
        </w:sectPr>
      </w:pPr>
    </w:p>
    <w:tbl>
      <w:tblPr>
        <w:tblW w:w="0" w:type="auto"/>
        <w:jc w:val="left"/>
        <w:tblInd w:w="100" w:type="dxa"/>
        <w:tblLayout w:type="fixed"/>
        <w:tblCellMar>
          <w:top w:w="0" w:type="dxa"/>
          <w:left w:w="0" w:type="dxa"/>
          <w:bottom w:w="0" w:type="dxa"/>
          <w:right w:w="0" w:type="dxa"/>
        </w:tblCellMar>
        <w:tblLook w:val="01E0"/>
      </w:tblPr>
      <w:tblGrid>
        <w:gridCol w:w="6379"/>
        <w:gridCol w:w="1670"/>
        <w:gridCol w:w="1670"/>
      </w:tblGrid>
      <w:tr>
        <w:trPr>
          <w:trHeight w:val="36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39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63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-55,803.21</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-13,308.60</w:t>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0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2"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55" w:lineRule="auto"/>
              <w:ind w:left="108" w:right="10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量享受的政府补助除外）</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307,000.00</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421,126.00</w:t>
            </w:r>
          </w:p>
        </w:tc>
      </w:tr>
      <w:tr>
        <w:trPr>
          <w:trHeight w:val="63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9"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08" w:right="103"/>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资单位可辨认净资产公允价值产生的收益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0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55" w:lineRule="auto"/>
              <w:ind w:left="108" w:right="10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易性金融负债产生的公允价值变动损益，以及处置交易性金融资产、交易性金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融负债和可供出售金融资产取得的投资收益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1058" w:footer="1590" w:top="1800" w:bottom="1780" w:left="1020" w:right="940"/>
        </w:sectPr>
      </w:pPr>
    </w:p>
    <w:tbl>
      <w:tblPr>
        <w:tblW w:w="0" w:type="auto"/>
        <w:jc w:val="left"/>
        <w:tblInd w:w="100" w:type="dxa"/>
        <w:tblLayout w:type="fixed"/>
        <w:tblCellMar>
          <w:top w:w="0" w:type="dxa"/>
          <w:left w:w="0" w:type="dxa"/>
          <w:bottom w:w="0" w:type="dxa"/>
          <w:right w:w="0" w:type="dxa"/>
        </w:tblCellMar>
        <w:tblLook w:val="01E0"/>
      </w:tblPr>
      <w:tblGrid>
        <w:gridCol w:w="6379"/>
        <w:gridCol w:w="1670"/>
        <w:gridCol w:w="1670"/>
      </w:tblGrid>
      <w:tr>
        <w:trPr>
          <w:trHeight w:val="36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3955" w:right="0"/>
              <w:jc w:val="left"/>
              <w:rPr>
                <w:rFonts w:ascii="宋体" w:hAnsi="宋体" w:cs="宋体" w:eastAsia="宋体" w:hint="default"/>
                <w:sz w:val="18"/>
                <w:szCs w:val="18"/>
              </w:rPr>
            </w:pPr>
            <w:bookmarkStart w:name="2、净资产收益率、每股收益及计算过程" w:id="113"/>
            <w:bookmarkEnd w:id="113"/>
            <w:r>
              <w:rPr/>
            </w:r>
            <w:r>
              <w:rPr>
                <w:rFonts w:ascii="宋体" w:hAnsi="宋体" w:cs="宋体" w:eastAsia="宋体" w:hint="default"/>
                <w:sz w:val="18"/>
                <w:szCs w:val="18"/>
              </w:rPr>
              <w:t>项目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21" w:lineRule="exact"/>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36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-485,951.80</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pacing w:val="-1"/>
                <w:sz w:val="18"/>
              </w:rPr>
              <w:t>-216,067.51</w:t>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35,213.25</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pacing w:val="-1"/>
                <w:sz w:val="18"/>
              </w:rPr>
              <w:t>-28,762.48</w:t>
            </w:r>
          </w:p>
        </w:tc>
      </w:tr>
      <w:tr>
        <w:trPr>
          <w:trHeight w:val="631"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0" w:hRule="exact"/>
        </w:trPr>
        <w:tc>
          <w:tcPr>
            <w:tcW w:w="6379"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-199,541.76</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pacing w:val="-1"/>
                <w:sz w:val="18"/>
              </w:rPr>
              <w:t>162,987.41</w:t>
            </w:r>
          </w:p>
        </w:tc>
      </w:tr>
    </w:tbl>
    <w:p>
      <w:pPr>
        <w:spacing w:line="240" w:lineRule="auto" w:before="11"/>
        <w:rPr>
          <w:rFonts w:ascii="宋体" w:hAnsi="宋体" w:cs="宋体" w:eastAsia="宋体" w:hint="default"/>
          <w:sz w:val="23"/>
          <w:szCs w:val="23"/>
        </w:rPr>
      </w:pPr>
    </w:p>
    <w:p>
      <w:pPr>
        <w:pStyle w:val="Heading4"/>
        <w:spacing w:line="333" w:lineRule="exact"/>
        <w:ind w:left="788" w:right="0"/>
        <w:jc w:val="left"/>
        <w:rPr>
          <w:b w:val="0"/>
          <w:bCs w:val="0"/>
        </w:rPr>
      </w:pPr>
      <w:r>
        <w:rPr>
          <w:rFonts w:ascii="Times New Roman" w:hAnsi="Times New Roman" w:cs="Times New Roman" w:eastAsia="Times New Roman" w:hint="default"/>
        </w:rPr>
        <w:t>2</w:t>
      </w:r>
      <w:r>
        <w:rPr/>
        <w:t>、净资产收益率、每股收益及计算过程</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1418"/>
        <w:gridCol w:w="3053"/>
        <w:gridCol w:w="1418"/>
        <w:gridCol w:w="1874"/>
        <w:gridCol w:w="1877"/>
      </w:tblGrid>
      <w:tr>
        <w:trPr>
          <w:trHeight w:val="360"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before="152"/>
              <w:ind w:left="7"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13" w:lineRule="exact"/>
              <w:ind w:left="105" w:right="0" w:firstLine="60"/>
              <w:jc w:val="left"/>
              <w:rPr>
                <w:rFonts w:ascii="宋体" w:hAnsi="宋体" w:cs="宋体" w:eastAsia="宋体" w:hint="default"/>
                <w:sz w:val="18"/>
                <w:szCs w:val="18"/>
              </w:rPr>
            </w:pPr>
            <w:r>
              <w:rPr>
                <w:rFonts w:ascii="宋体" w:hAnsi="宋体" w:cs="宋体" w:eastAsia="宋体" w:hint="default"/>
                <w:sz w:val="18"/>
                <w:szCs w:val="18"/>
              </w:rPr>
              <w:t>加权平均净资</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1" w:type="dxa"/>
            <w:gridSpan w:val="2"/>
            <w:tcBorders>
              <w:top w:val="single" w:sz="4"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1" w:hRule="exact"/>
        </w:trPr>
        <w:tc>
          <w:tcPr>
            <w:tcW w:w="1418" w:type="dxa"/>
            <w:vMerge/>
            <w:tcBorders>
              <w:left w:val="nil" w:sz="6" w:space="0" w:color="auto"/>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61" w:hRule="exact"/>
        </w:trPr>
        <w:tc>
          <w:tcPr>
            <w:tcW w:w="1418" w:type="dxa"/>
            <w:vMerge w:val="restart"/>
            <w:tcBorders>
              <w:top w:val="single" w:sz="4" w:space="0" w:color="000000"/>
              <w:left w:val="nil" w:sz="6" w:space="0" w:color="auto"/>
              <w:right w:val="single" w:sz="4" w:space="0" w:color="000000"/>
            </w:tcBorders>
          </w:tcPr>
          <w:p>
            <w:pPr>
              <w:pStyle w:val="TableParagraph"/>
              <w:spacing w:line="22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sz w:val="18"/>
              </w:rPr>
              <w:t>3.71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18"/>
                <w:szCs w:val="18"/>
              </w:rPr>
            </w:pPr>
            <w:r>
              <w:rPr>
                <w:rFonts w:ascii="Times New Roman"/>
                <w:sz w:val="18"/>
              </w:rPr>
              <w:t>0.32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Times New Roman" w:hAnsi="Times New Roman" w:cs="Times New Roman" w:eastAsia="Times New Roman" w:hint="default"/>
                <w:sz w:val="18"/>
                <w:szCs w:val="18"/>
              </w:rPr>
            </w:pPr>
            <w:r>
              <w:rPr>
                <w:rFonts w:ascii="Times New Roman"/>
                <w:sz w:val="18"/>
              </w:rPr>
              <w:t>0.32</w:t>
            </w:r>
          </w:p>
        </w:tc>
      </w:tr>
      <w:tr>
        <w:trPr>
          <w:trHeight w:val="950"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57" w:lineRule="auto"/>
              <w:ind w:left="103" w:right="103"/>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0.32</w:t>
            </w:r>
          </w:p>
        </w:tc>
      </w:tr>
      <w:tr>
        <w:trPr>
          <w:trHeight w:val="360" w:hRule="exact"/>
        </w:trPr>
        <w:tc>
          <w:tcPr>
            <w:tcW w:w="1418" w:type="dxa"/>
            <w:vMerge w:val="restart"/>
            <w:tcBorders>
              <w:top w:val="single" w:sz="4" w:space="0" w:color="000000"/>
              <w:left w:val="nil" w:sz="6" w:space="0" w:color="auto"/>
              <w:right w:val="single" w:sz="4" w:space="0" w:color="000000"/>
            </w:tcBorders>
          </w:tcPr>
          <w:p>
            <w:pPr>
              <w:pStyle w:val="TableParagraph"/>
              <w:spacing w:line="221"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18"/>
                <w:szCs w:val="18"/>
              </w:rPr>
            </w:pPr>
            <w:r>
              <w:rPr>
                <w:rFonts w:ascii="Times New Roman"/>
                <w:sz w:val="18"/>
              </w:rPr>
              <w:t>30.29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Times New Roman" w:hAnsi="Times New Roman" w:cs="Times New Roman" w:eastAsia="Times New Roman" w:hint="default"/>
                <w:sz w:val="18"/>
                <w:szCs w:val="18"/>
              </w:rPr>
            </w:pPr>
            <w:r>
              <w:rPr>
                <w:rFonts w:ascii="Times New Roman"/>
                <w:sz w:val="18"/>
              </w:rPr>
              <w:t>0.71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0.71</w:t>
            </w:r>
          </w:p>
        </w:tc>
      </w:tr>
      <w:tr>
        <w:trPr>
          <w:trHeight w:val="950"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55" w:lineRule="auto"/>
              <w:ind w:left="103" w:right="103"/>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30.17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0.71</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0.71</w:t>
            </w:r>
          </w:p>
        </w:tc>
      </w:tr>
    </w:tbl>
    <w:p>
      <w:pPr>
        <w:pStyle w:val="BodyText"/>
        <w:spacing w:line="257" w:lineRule="exact"/>
        <w:ind w:left="1202" w:right="0"/>
        <w:jc w:val="left"/>
      </w:pPr>
      <w:r>
        <w:rPr/>
        <w:t>（</w:t>
      </w:r>
      <w:r>
        <w:rPr>
          <w:rFonts w:ascii="Times New Roman" w:hAnsi="Times New Roman" w:cs="Times New Roman" w:eastAsia="Times New Roman" w:hint="default"/>
        </w:rPr>
        <w:t>1</w:t>
      </w:r>
      <w:r>
        <w:rPr/>
        <w:t>）加权平均净资产收益率的计算公式如下：</w:t>
      </w:r>
    </w:p>
    <w:p>
      <w:pPr>
        <w:pStyle w:val="BodyText"/>
        <w:spacing w:line="240" w:lineRule="auto" w:before="117"/>
        <w:ind w:left="1202" w:right="0"/>
        <w:jc w:val="left"/>
        <w:rPr>
          <w:rFonts w:ascii="Times New Roman" w:hAnsi="Times New Roman" w:cs="Times New Roman" w:eastAsia="Times New Roman" w:hint="default"/>
        </w:rPr>
      </w:pPr>
      <w:r>
        <w:rPr/>
        <w:t>加权平均净资产收益率</w:t>
      </w:r>
      <w:r>
        <w:rPr>
          <w:rFonts w:ascii="Times New Roman" w:hAnsi="Times New Roman" w:cs="Times New Roman" w:eastAsia="Times New Roman" w:hint="default"/>
        </w:rPr>
        <w:t>=P0/(E0</w:t>
      </w:r>
      <w:r>
        <w:rPr/>
        <w:t>＋</w:t>
      </w:r>
      <w:r>
        <w:rPr>
          <w:rFonts w:ascii="Times New Roman" w:hAnsi="Times New Roman" w:cs="Times New Roman" w:eastAsia="Times New Roman" w:hint="default"/>
        </w:rPr>
        <w:t>NP÷2</w:t>
      </w:r>
      <w:r>
        <w:rPr/>
        <w:t>＋</w:t>
      </w:r>
      <w:r>
        <w:rPr>
          <w:rFonts w:ascii="Times New Roman" w:hAnsi="Times New Roman" w:cs="Times New Roman" w:eastAsia="Times New Roman" w:hint="default"/>
        </w:rPr>
        <w:t>Ei×Mi÷M0–</w:t>
      </w:r>
      <w:r>
        <w:rPr>
          <w:rFonts w:ascii="Times New Roman" w:hAnsi="Times New Roman" w:cs="Times New Roman" w:eastAsia="Times New Roman" w:hint="default"/>
          <w:spacing w:val="-20"/>
        </w:rPr>
        <w:t> </w:t>
      </w:r>
      <w:r>
        <w:rPr>
          <w:rFonts w:ascii="Times New Roman" w:hAnsi="Times New Roman" w:cs="Times New Roman" w:eastAsia="Times New Roman" w:hint="default"/>
        </w:rPr>
        <w:t>Ej×Mj÷M0±Ek×Mk÷M0)</w:t>
      </w:r>
    </w:p>
    <w:p>
      <w:pPr>
        <w:pStyle w:val="BodyText"/>
        <w:spacing w:line="338" w:lineRule="auto" w:before="117"/>
        <w:ind w:left="782" w:right="861" w:firstLine="42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9"/>
        </w:rPr>
        <w:t> </w:t>
      </w:r>
      <w:r>
        <w:rPr/>
        <w:t>分别对应于归属于公司普通股股东的净利润、扣除非经常性损益后归属于公</w:t>
      </w:r>
      <w:r>
        <w:rPr>
          <w:w w:val="99"/>
        </w:rPr>
        <w:t> </w:t>
      </w:r>
      <w:r>
        <w:rPr>
          <w:spacing w:val="-3"/>
        </w:rPr>
        <w:t>司普通股股东的净利润；</w:t>
      </w:r>
      <w:r>
        <w:rPr>
          <w:rFonts w:ascii="Times New Roman" w:hAnsi="Times New Roman" w:cs="Times New Roman" w:eastAsia="Times New Roman" w:hint="default"/>
          <w:spacing w:val="-3"/>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38"/>
        </w:rPr>
        <w:t> </w:t>
      </w:r>
      <w:r>
        <w:rPr/>
        <w:t>为归属于公司普通股股</w:t>
      </w:r>
      <w:r>
        <w:rPr>
          <w:w w:val="99"/>
        </w:rPr>
        <w:t> </w:t>
      </w:r>
      <w:r>
        <w:rPr>
          <w:spacing w:val="2"/>
        </w:rPr>
        <w:t>东的期初净资产；</w:t>
      </w:r>
      <w:r>
        <w:rPr>
          <w:rFonts w:ascii="Times New Roman" w:hAnsi="Times New Roman" w:cs="Times New Roman" w:eastAsia="Times New Roman" w:hint="default"/>
          <w:spacing w:val="2"/>
        </w:rPr>
        <w:t>Ei </w:t>
      </w:r>
      <w:r>
        <w:rPr/>
        <w:t>为报告期发行新股或债转股等新增的、归属于公司普通股股东的净资</w:t>
      </w:r>
      <w:r>
        <w:rPr>
          <w:spacing w:val="-90"/>
        </w:rPr>
        <w:t> </w:t>
      </w:r>
      <w:r>
        <w:rPr>
          <w:spacing w:val="-90"/>
        </w:rPr>
      </w:r>
      <w:r>
        <w:rPr>
          <w:spacing w:val="-5"/>
        </w:rPr>
        <w:t>产；</w:t>
      </w:r>
      <w:r>
        <w:rPr>
          <w:rFonts w:ascii="Times New Roman" w:hAnsi="Times New Roman" w:cs="Times New Roman" w:eastAsia="Times New Roman" w:hint="default"/>
          <w:spacing w:val="-5"/>
        </w:rPr>
        <w:t>Ej </w:t>
      </w:r>
      <w:r>
        <w:rPr/>
        <w:t>为报告期回购或现金分红等减少的、归属于公司普通股股东的净资产；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32"/>
        </w:rPr>
        <w:t> </w:t>
      </w:r>
      <w:r>
        <w:rPr/>
        <w:t>为报告期</w:t>
      </w:r>
      <w:r>
        <w:rPr>
          <w:w w:val="99"/>
        </w:rPr>
        <w:t> </w:t>
      </w:r>
      <w:r>
        <w:rPr>
          <w:spacing w:val="-5"/>
        </w:rPr>
        <w:t>月份数；</w:t>
      </w:r>
      <w:r>
        <w:rPr>
          <w:rFonts w:ascii="Times New Roman" w:hAnsi="Times New Roman" w:cs="Times New Roman" w:eastAsia="Times New Roman" w:hint="default"/>
          <w:spacing w:val="-5"/>
        </w:rPr>
        <w:t>Mi </w:t>
      </w:r>
      <w:r>
        <w:rPr/>
        <w:t>为新增净资产次月起至报告期期末的累计月数；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34"/>
        </w:rPr>
        <w:t> </w:t>
      </w:r>
      <w:r>
        <w:rPr/>
        <w:t>为减少净资产次月起至报告</w:t>
      </w:r>
      <w:r>
        <w:rPr>
          <w:w w:val="99"/>
        </w:rPr>
        <w:t> </w:t>
      </w:r>
      <w:r>
        <w:rPr/>
        <w:t>期期末的累计月数；</w:t>
      </w:r>
      <w:r>
        <w:rPr>
          <w:rFonts w:ascii="Times New Roman" w:hAnsi="Times New Roman" w:cs="Times New Roman" w:eastAsia="Times New Roman" w:hint="default"/>
        </w:rPr>
        <w:t>Ek</w:t>
      </w:r>
      <w:r>
        <w:rPr>
          <w:rFonts w:ascii="Times New Roman" w:hAnsi="Times New Roman" w:cs="Times New Roman" w:eastAsia="Times New Roman" w:hint="default"/>
          <w:spacing w:val="-1"/>
        </w:rPr>
        <w:t> </w:t>
      </w:r>
      <w:r>
        <w:rPr/>
        <w:t>为因其他交易或事项引起的、归属于公司普通股股东的净资产增减</w:t>
      </w:r>
      <w:r>
        <w:rPr>
          <w:w w:val="99"/>
        </w:rPr>
        <w:t> </w:t>
      </w:r>
      <w:r>
        <w:rPr/>
        <w:t>变动；</w:t>
      </w:r>
      <w:r>
        <w:rPr>
          <w:rFonts w:ascii="Times New Roman" w:hAnsi="Times New Roman" w:cs="Times New Roman" w:eastAsia="Times New Roman" w:hint="default"/>
        </w:rPr>
        <w:t>Mk</w:t>
      </w:r>
      <w:r>
        <w:rPr>
          <w:rFonts w:ascii="Times New Roman" w:hAnsi="Times New Roman" w:cs="Times New Roman" w:eastAsia="Times New Roman" w:hint="default"/>
          <w:spacing w:val="-8"/>
        </w:rPr>
        <w:t> </w:t>
      </w:r>
      <w:r>
        <w:rPr/>
        <w:t>为发生其他净资产增减变动次月起至报告期期末的累计月数。</w:t>
      </w:r>
    </w:p>
    <w:p>
      <w:pPr>
        <w:pStyle w:val="BodyText"/>
        <w:spacing w:line="355" w:lineRule="auto" w:before="22"/>
        <w:ind w:left="782" w:right="861" w:firstLine="420"/>
        <w:jc w:val="both"/>
      </w:pPr>
      <w:r>
        <w:rPr>
          <w:spacing w:val="-2"/>
          <w:w w:val="95"/>
        </w:rPr>
        <w:t>报告期发生同一控制下企业合并的，计算加权平均净资产收益率时，被合并方的净资产</w:t>
      </w:r>
      <w:r>
        <w:rPr>
          <w:w w:val="99"/>
        </w:rPr>
        <w:t> </w:t>
      </w:r>
      <w:r>
        <w:rPr>
          <w:spacing w:val="-2"/>
          <w:w w:val="95"/>
        </w:rPr>
        <w:t>从报告期期初起进行加权；计算扣除非经常性损益后的加权平均净资产收益率时，被合并方</w:t>
      </w:r>
      <w:r>
        <w:rPr>
          <w:spacing w:val="-2"/>
        </w:rPr>
      </w:r>
    </w:p>
    <w:p>
      <w:pPr>
        <w:spacing w:after="0" w:line="355" w:lineRule="auto"/>
        <w:jc w:val="both"/>
        <w:sectPr>
          <w:pgSz w:w="11910" w:h="16840"/>
          <w:pgMar w:header="1058" w:footer="1590" w:top="1780" w:bottom="1780" w:left="1020" w:right="940"/>
        </w:sectPr>
      </w:pPr>
    </w:p>
    <w:p>
      <w:pPr>
        <w:pStyle w:val="BodyText"/>
        <w:spacing w:line="258" w:lineRule="exact"/>
        <w:ind w:left="1002" w:right="0"/>
        <w:jc w:val="left"/>
      </w:pPr>
      <w:bookmarkStart w:name="3、公司主要会计报表项目的异常情况及原因的说明" w:id="114"/>
      <w:bookmarkEnd w:id="114"/>
      <w:r>
        <w:rPr/>
      </w:r>
      <w:r>
        <w:rPr/>
        <w:t>的净资产从合并日的次月起进行加权。计算比较期间的加权平均净资产收益率时，被合并方</w:t>
      </w:r>
    </w:p>
    <w:p>
      <w:pPr>
        <w:pStyle w:val="BodyText"/>
        <w:spacing w:line="355" w:lineRule="auto" w:before="133"/>
        <w:ind w:left="1002" w:right="0"/>
        <w:jc w:val="left"/>
      </w:pPr>
      <w:r>
        <w:rPr>
          <w:spacing w:val="-2"/>
          <w:w w:val="95"/>
        </w:rPr>
        <w:t>的净利润、净资产均从比较期间期初起进行加权；计算比较期间扣除非经常性损益后的加权</w:t>
      </w:r>
      <w:r>
        <w:rPr>
          <w:spacing w:val="94"/>
          <w:w w:val="95"/>
        </w:rPr>
        <w:t> </w:t>
      </w:r>
      <w:r>
        <w:rPr>
          <w:spacing w:val="94"/>
          <w:w w:val="95"/>
        </w:rPr>
      </w:r>
      <w:r>
        <w:rPr>
          <w:spacing w:val="-3"/>
          <w:w w:val="99"/>
        </w:rPr>
        <w:t>平均净资产收益率时，被合并方的净资产不予加权计算（权重为零）。</w:t>
      </w:r>
      <w:r>
        <w:rPr>
          <w:spacing w:val="-3"/>
        </w:rPr>
      </w:r>
    </w:p>
    <w:p>
      <w:pPr>
        <w:pStyle w:val="BodyText"/>
        <w:spacing w:line="338" w:lineRule="auto" w:before="32"/>
        <w:ind w:left="1506" w:right="5129" w:hanging="8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）基本每股收益参照如下公式计算：</w:t>
      </w:r>
      <w:r>
        <w:rPr>
          <w:w w:val="99"/>
        </w:rPr>
        <w:t> </w:t>
      </w:r>
      <w:r>
        <w:rPr/>
        <w:t>基本每股收益</w:t>
      </w:r>
      <w:r>
        <w:rPr>
          <w:rFonts w:ascii="Times New Roman" w:hAnsi="Times New Roman" w:cs="Times New Roman" w:eastAsia="Times New Roman" w:hint="default"/>
        </w:rPr>
        <w:t>=P0÷S</w:t>
      </w:r>
    </w:p>
    <w:p>
      <w:pPr>
        <w:pStyle w:val="BodyText"/>
        <w:spacing w:line="240" w:lineRule="auto" w:before="22"/>
        <w:ind w:left="1527" w:right="0"/>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12"/>
        </w:rPr>
        <w:t> </w:t>
      </w:r>
      <w:r>
        <w:rPr>
          <w:rFonts w:ascii="Times New Roman" w:hAnsi="Times New Roman" w:cs="Times New Roman" w:eastAsia="Times New Roman" w:hint="default"/>
        </w:rPr>
        <w:t>Sj×Mj÷M0-Sk</w:t>
      </w:r>
    </w:p>
    <w:p>
      <w:pPr>
        <w:pStyle w:val="BodyText"/>
        <w:spacing w:line="338" w:lineRule="auto" w:before="117"/>
        <w:ind w:left="1002" w:right="941" w:firstLine="42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9"/>
        </w:rPr>
        <w:t> </w:t>
      </w:r>
      <w:r>
        <w:rPr/>
        <w:t>为归属于公司普通股股东的净利润或扣除非经常性损益后归属于普通股股东</w:t>
      </w:r>
      <w:r>
        <w:rPr>
          <w:w w:val="99"/>
        </w:rPr>
        <w:t> </w:t>
      </w:r>
      <w:r>
        <w:rPr/>
        <w:t>的净利润；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9"/>
        </w:rPr>
        <w:t> </w:t>
      </w:r>
      <w:r>
        <w:rPr/>
        <w:t>为报告期因公积金</w:t>
      </w:r>
      <w:r>
        <w:rPr>
          <w:w w:val="99"/>
        </w:rPr>
        <w:t> </w:t>
      </w:r>
      <w:r>
        <w:rPr>
          <w:spacing w:val="3"/>
        </w:rPr>
        <w:t>转增股本或股票股利分配等增加股份数；</w:t>
      </w:r>
      <w:r>
        <w:rPr>
          <w:rFonts w:ascii="Times New Roman" w:hAnsi="Times New Roman" w:cs="Times New Roman" w:eastAsia="Times New Roman" w:hint="default"/>
          <w:spacing w:val="3"/>
        </w:rPr>
        <w:t>Si</w:t>
      </w:r>
      <w:r>
        <w:rPr>
          <w:rFonts w:ascii="Times New Roman" w:hAnsi="Times New Roman" w:cs="Times New Roman" w:eastAsia="Times New Roman" w:hint="default"/>
          <w:spacing w:val="-34"/>
        </w:rPr>
        <w:t> </w:t>
      </w:r>
      <w:r>
        <w:rPr>
          <w:spacing w:val="3"/>
        </w:rPr>
        <w:t>为报告期因发行新股或债转股等增加股份数；</w:t>
      </w:r>
      <w:r>
        <w:rPr>
          <w:w w:val="87"/>
        </w:rPr>
        <w:t> </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6"/>
        </w:rPr>
        <w:t> </w:t>
      </w:r>
      <w:r>
        <w:rPr/>
        <w:t>为增加股份</w:t>
      </w:r>
      <w:r>
        <w:rPr>
          <w:w w:val="99"/>
        </w:rPr>
        <w:t> </w:t>
      </w:r>
      <w:r>
        <w:rPr/>
        <w:t>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7"/>
        </w:rPr>
        <w:t> </w:t>
      </w:r>
      <w:r>
        <w:rPr/>
        <w:t>为减少股份次月起至报告期期末的累计月数。</w:t>
      </w:r>
    </w:p>
    <w:p>
      <w:pPr>
        <w:pStyle w:val="BodyText"/>
        <w:spacing w:line="336" w:lineRule="auto" w:before="22"/>
        <w:ind w:left="1422" w:right="0"/>
        <w:jc w:val="left"/>
      </w:pPr>
      <w:r>
        <w:rPr/>
        <w:t>（</w:t>
      </w:r>
      <w:r>
        <w:rPr>
          <w:rFonts w:ascii="Times New Roman" w:hAnsi="Times New Roman" w:cs="Times New Roman" w:eastAsia="Times New Roman" w:hint="default"/>
        </w:rPr>
        <w:t>3</w:t>
      </w:r>
      <w:r>
        <w:rPr/>
        <w:t>）稀释每股收益参照如下公式计算：</w:t>
      </w:r>
      <w:r>
        <w:rPr>
          <w:w w:val="99"/>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w:t>
      </w:r>
    </w:p>
    <w:p>
      <w:pPr>
        <w:pStyle w:val="BodyText"/>
        <w:spacing w:line="240" w:lineRule="auto" w:before="24"/>
        <w:ind w:left="1002" w:right="0"/>
        <w:jc w:val="left"/>
        <w:rPr>
          <w:rFonts w:ascii="Times New Roman" w:hAnsi="Times New Roman" w:cs="Times New Roman" w:eastAsia="Times New Roman" w:hint="default"/>
        </w:rPr>
      </w:pPr>
      <w:r>
        <w:rPr/>
        <w:t>券等增加的普通股加权平均数</w:t>
      </w:r>
      <w:r>
        <w:rPr>
          <w:rFonts w:ascii="Times New Roman" w:hAnsi="Times New Roman" w:cs="Times New Roman" w:eastAsia="Times New Roman" w:hint="default"/>
        </w:rPr>
        <w:t>)</w:t>
      </w:r>
    </w:p>
    <w:p>
      <w:pPr>
        <w:pStyle w:val="BodyText"/>
        <w:spacing w:line="350" w:lineRule="auto" w:before="119"/>
        <w:ind w:left="1002" w:right="941" w:firstLine="420"/>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19"/>
        </w:rPr>
        <w:t> </w:t>
      </w:r>
      <w:r>
        <w:rPr/>
        <w:t>为归属于公司普通股股东的净利润或扣除非经常性损益后归属于公司普通股</w:t>
      </w:r>
      <w:r>
        <w:rPr>
          <w:w w:val="99"/>
        </w:rPr>
        <w:t> </w:t>
      </w:r>
      <w:r>
        <w:rPr>
          <w:spacing w:val="-2"/>
          <w:w w:val="95"/>
        </w:rPr>
        <w:t>股东的净利润，并考虑稀释性潜在普通股对其影响，按《企业会计准则》及有关规定进行调</w:t>
      </w:r>
      <w:r>
        <w:rPr>
          <w:spacing w:val="93"/>
          <w:w w:val="95"/>
        </w:rPr>
        <w:t> </w:t>
      </w:r>
      <w:r>
        <w:rPr>
          <w:spacing w:val="93"/>
          <w:w w:val="95"/>
        </w:rPr>
      </w:r>
      <w:r>
        <w:rPr>
          <w:spacing w:val="-2"/>
          <w:w w:val="95"/>
        </w:rPr>
        <w:t>整。公司在计算稀释每股收益时，应考虑所有稀释性潜在普通股对归属于公司普通股股东的</w:t>
      </w:r>
      <w:r>
        <w:rPr>
          <w:spacing w:val="91"/>
          <w:w w:val="95"/>
        </w:rPr>
        <w:t> </w:t>
      </w:r>
      <w:r>
        <w:rPr>
          <w:spacing w:val="91"/>
          <w:w w:val="95"/>
        </w:rPr>
      </w:r>
      <w:r>
        <w:rPr>
          <w:spacing w:val="-2"/>
          <w:w w:val="99"/>
        </w:rPr>
        <w:t>净利润或扣除非经常性损益后归属于公司普通股股东的净利润和加权平均股数的影响，按照</w:t>
      </w:r>
      <w:r>
        <w:rPr>
          <w:spacing w:val="-84"/>
          <w:w w:val="99"/>
        </w:rPr>
        <w:t> </w:t>
      </w:r>
      <w:r>
        <w:rPr>
          <w:spacing w:val="-84"/>
          <w:w w:val="99"/>
        </w:rPr>
      </w:r>
      <w:r>
        <w:rPr/>
        <w:t>其稀释程度从大到小的顺序计入稀释每股收益，直至稀释每股收益达到最小值。</w:t>
      </w:r>
    </w:p>
    <w:p>
      <w:pPr>
        <w:spacing w:line="240" w:lineRule="auto" w:before="7"/>
        <w:rPr>
          <w:rFonts w:ascii="宋体" w:hAnsi="宋体" w:cs="宋体" w:eastAsia="宋体" w:hint="default"/>
          <w:sz w:val="25"/>
          <w:szCs w:val="25"/>
        </w:rPr>
      </w:pPr>
    </w:p>
    <w:p>
      <w:pPr>
        <w:spacing w:line="312" w:lineRule="auto" w:before="0"/>
        <w:ind w:left="1316" w:right="0" w:hanging="30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b/>
          <w:bCs/>
          <w:w w:val="99"/>
          <w:sz w:val="21"/>
          <w:szCs w:val="21"/>
        </w:rPr>
        <w:t> </w:t>
      </w:r>
      <w:r>
        <w:rPr>
          <w:rFonts w:ascii="宋体" w:hAnsi="宋体" w:cs="宋体" w:eastAsia="宋体" w:hint="default"/>
          <w:w w:val="95"/>
          <w:sz w:val="21"/>
          <w:szCs w:val="21"/>
        </w:rPr>
        <w:t>比较合并财务报表各科目金额变动幅度超过</w:t>
      </w:r>
      <w:r>
        <w:rPr>
          <w:rFonts w:ascii="Times New Roman" w:hAnsi="Times New Roman" w:cs="Times New Roman" w:eastAsia="Times New Roman" w:hint="default"/>
          <w:w w:val="95"/>
          <w:sz w:val="21"/>
          <w:szCs w:val="21"/>
        </w:rPr>
        <w:t>30%</w:t>
      </w:r>
      <w:r>
        <w:rPr>
          <w:rFonts w:ascii="宋体" w:hAnsi="宋体" w:cs="宋体" w:eastAsia="宋体" w:hint="default"/>
          <w:w w:val="95"/>
          <w:sz w:val="21"/>
          <w:szCs w:val="21"/>
        </w:rPr>
        <w:t>，或占合并财务报表</w:t>
      </w:r>
      <w:r>
        <w:rPr>
          <w:rFonts w:ascii="Times New Roman" w:hAnsi="Times New Roman" w:cs="Times New Roman" w:eastAsia="Times New Roman" w:hint="default"/>
          <w:w w:val="95"/>
          <w:sz w:val="21"/>
          <w:szCs w:val="21"/>
        </w:rPr>
        <w:t>2010</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日资</w:t>
      </w:r>
      <w:r>
        <w:rPr>
          <w:rFonts w:ascii="宋体" w:hAnsi="宋体" w:cs="宋体" w:eastAsia="宋体" w:hint="default"/>
          <w:sz w:val="21"/>
          <w:szCs w:val="21"/>
        </w:rPr>
      </w:r>
    </w:p>
    <w:p>
      <w:pPr>
        <w:pStyle w:val="BodyText"/>
        <w:spacing w:line="240" w:lineRule="auto" w:before="47"/>
        <w:ind w:left="1002" w:right="0"/>
        <w:jc w:val="left"/>
      </w:pPr>
      <w:r>
        <w:rPr/>
        <w:t>产总额</w:t>
      </w:r>
      <w:r>
        <w:rPr>
          <w:rFonts w:ascii="Times New Roman" w:hAnsi="Times New Roman" w:cs="Times New Roman" w:eastAsia="Times New Roman" w:hint="default"/>
        </w:rPr>
        <w:t>5%</w:t>
      </w:r>
      <w:r>
        <w:rPr/>
        <w:t>或占合并财务报表</w:t>
      </w:r>
      <w:r>
        <w:rPr>
          <w:rFonts w:ascii="Times New Roman" w:hAnsi="Times New Roman" w:cs="Times New Roman" w:eastAsia="Times New Roman" w:hint="default"/>
        </w:rPr>
        <w:t>2010</w:t>
      </w:r>
      <w:r>
        <w:rPr/>
        <w:t>年度利润总额</w:t>
      </w:r>
      <w:r>
        <w:rPr>
          <w:rFonts w:ascii="Times New Roman" w:hAnsi="Times New Roman" w:cs="Times New Roman" w:eastAsia="Times New Roman" w:hint="default"/>
        </w:rPr>
        <w:t>10%</w:t>
      </w:r>
      <w:r>
        <w:rPr/>
        <w:t>以上的主要项目列示如下：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1212"/>
        <w:gridCol w:w="1769"/>
        <w:gridCol w:w="1759"/>
        <w:gridCol w:w="1639"/>
        <w:gridCol w:w="1490"/>
        <w:gridCol w:w="2148"/>
      </w:tblGrid>
      <w:tr>
        <w:trPr>
          <w:trHeight w:val="361" w:hRule="exact"/>
        </w:trPr>
        <w:tc>
          <w:tcPr>
            <w:tcW w:w="1212" w:type="dxa"/>
            <w:vMerge w:val="restart"/>
            <w:tcBorders>
              <w:top w:val="single" w:sz="4" w:space="0" w:color="000000"/>
              <w:left w:val="nil" w:sz="6" w:space="0" w:color="auto"/>
              <w:right w:val="single" w:sz="4" w:space="0" w:color="000000"/>
            </w:tcBorders>
          </w:tcPr>
          <w:p>
            <w:pPr>
              <w:pStyle w:val="TableParagraph"/>
              <w:spacing w:line="240" w:lineRule="auto" w:before="152"/>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9" w:type="dxa"/>
            <w:vMerge w:val="restart"/>
            <w:tcBorders>
              <w:top w:val="single" w:sz="4" w:space="0" w:color="000000"/>
              <w:left w:val="single" w:sz="4" w:space="0" w:color="000000"/>
              <w:right w:val="single" w:sz="4" w:space="0" w:color="000000"/>
            </w:tcBorders>
          </w:tcPr>
          <w:p>
            <w:pPr>
              <w:pStyle w:val="TableParagraph"/>
              <w:spacing w:line="226"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759" w:type="dxa"/>
            <w:vMerge w:val="restart"/>
            <w:tcBorders>
              <w:top w:val="single" w:sz="4" w:space="0" w:color="000000"/>
              <w:left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148" w:type="dxa"/>
            <w:vMerge w:val="restart"/>
            <w:tcBorders>
              <w:top w:val="single" w:sz="4" w:space="0" w:color="000000"/>
              <w:left w:val="single" w:sz="4" w:space="0" w:color="000000"/>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1" w:hRule="exact"/>
        </w:trPr>
        <w:tc>
          <w:tcPr>
            <w:tcW w:w="1212"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456"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8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148" w:type="dxa"/>
            <w:vMerge/>
            <w:tcBorders>
              <w:left w:val="single" w:sz="4" w:space="0" w:color="000000"/>
              <w:bottom w:val="single" w:sz="4" w:space="0" w:color="000000"/>
              <w:right w:val="nil" w:sz="6" w:space="0" w:color="auto"/>
            </w:tcBorders>
          </w:tcPr>
          <w:p>
            <w:pPr/>
          </w:p>
        </w:tc>
      </w:tr>
      <w:tr>
        <w:trPr>
          <w:trHeight w:val="537"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主要是当期新增加募集</w:t>
            </w:r>
          </w:p>
        </w:tc>
      </w:tr>
      <w:tr>
        <w:trPr>
          <w:trHeight w:val="334"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21"/>
                <w:sz w:val="18"/>
                <w:szCs w:val="18"/>
              </w:rPr>
              <w:t> </w:t>
            </w:r>
            <w:r>
              <w:rPr>
                <w:rFonts w:ascii="宋体" w:hAnsi="宋体" w:cs="宋体" w:eastAsia="宋体" w:hint="default"/>
                <w:sz w:val="18"/>
                <w:szCs w:val="18"/>
              </w:rPr>
              <w:t>金</w:t>
            </w:r>
            <w:r>
              <w:rPr>
                <w:rFonts w:ascii="宋体" w:hAnsi="宋体" w:cs="宋体" w:eastAsia="宋体" w:hint="default"/>
                <w:spacing w:val="-21"/>
                <w:sz w:val="18"/>
                <w:szCs w:val="18"/>
              </w:rPr>
              <w:t> </w:t>
            </w:r>
            <w:r>
              <w:rPr>
                <w:rFonts w:ascii="宋体" w:hAnsi="宋体" w:cs="宋体" w:eastAsia="宋体" w:hint="default"/>
                <w:sz w:val="18"/>
                <w:szCs w:val="18"/>
              </w:rPr>
              <w:t>专</w:t>
            </w:r>
            <w:r>
              <w:rPr>
                <w:rFonts w:ascii="宋体" w:hAnsi="宋体" w:cs="宋体" w:eastAsia="宋体" w:hint="default"/>
                <w:spacing w:val="-21"/>
                <w:sz w:val="18"/>
                <w:szCs w:val="18"/>
              </w:rPr>
              <w:t> </w:t>
            </w:r>
            <w:r>
              <w:rPr>
                <w:rFonts w:ascii="宋体" w:hAnsi="宋体" w:cs="宋体" w:eastAsia="宋体" w:hint="default"/>
                <w:sz w:val="18"/>
                <w:szCs w:val="18"/>
              </w:rPr>
              <w:t>户</w:t>
            </w:r>
            <w:r>
              <w:rPr>
                <w:rFonts w:ascii="宋体" w:hAnsi="宋体" w:cs="宋体" w:eastAsia="宋体" w:hint="default"/>
                <w:spacing w:val="-16"/>
                <w:sz w:val="18"/>
                <w:szCs w:val="18"/>
              </w:rPr>
              <w:t> </w:t>
            </w:r>
            <w:r>
              <w:rPr>
                <w:rFonts w:ascii="宋体" w:hAnsi="宋体" w:cs="宋体" w:eastAsia="宋体" w:hint="default"/>
                <w:sz w:val="18"/>
                <w:szCs w:val="18"/>
              </w:rPr>
              <w:t>存</w:t>
            </w:r>
            <w:r>
              <w:rPr>
                <w:rFonts w:ascii="宋体" w:hAnsi="宋体" w:cs="宋体" w:eastAsia="宋体" w:hint="default"/>
                <w:spacing w:val="-21"/>
                <w:sz w:val="18"/>
                <w:szCs w:val="18"/>
              </w:rPr>
              <w:t> </w:t>
            </w:r>
            <w:r>
              <w:rPr>
                <w:rFonts w:ascii="宋体" w:hAnsi="宋体" w:cs="宋体" w:eastAsia="宋体" w:hint="default"/>
                <w:sz w:val="18"/>
                <w:szCs w:val="18"/>
              </w:rPr>
              <w:t>款</w:t>
            </w:r>
            <w:r>
              <w:rPr>
                <w:rFonts w:ascii="宋体" w:hAnsi="宋体" w:cs="宋体" w:eastAsia="宋体" w:hint="default"/>
                <w:spacing w:val="-21"/>
                <w:sz w:val="18"/>
                <w:szCs w:val="18"/>
              </w:rPr>
              <w:t> </w:t>
            </w:r>
            <w:r>
              <w:rPr>
                <w:rFonts w:ascii="宋体" w:hAnsi="宋体" w:cs="宋体" w:eastAsia="宋体" w:hint="default"/>
                <w:sz w:val="18"/>
                <w:szCs w:val="18"/>
              </w:rPr>
              <w:t>余</w:t>
            </w:r>
            <w:r>
              <w:rPr>
                <w:rFonts w:ascii="宋体" w:hAnsi="宋体" w:cs="宋体" w:eastAsia="宋体" w:hint="default"/>
                <w:spacing w:val="-18"/>
                <w:sz w:val="18"/>
                <w:szCs w:val="18"/>
              </w:rPr>
              <w:t> </w:t>
            </w:r>
            <w:r>
              <w:rPr>
                <w:rFonts w:ascii="宋体" w:hAnsi="宋体" w:cs="宋体" w:eastAsia="宋体" w:hint="default"/>
                <w:sz w:val="18"/>
                <w:szCs w:val="18"/>
              </w:rPr>
              <w:t>额</w:t>
            </w:r>
          </w:p>
        </w:tc>
      </w:tr>
      <w:tr>
        <w:trPr>
          <w:trHeight w:val="428"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w w:val="95"/>
                <w:sz w:val="21"/>
              </w:rPr>
              <w:t>273,641,412.08</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w w:val="95"/>
                <w:sz w:val="21"/>
              </w:rPr>
              <w:t>75,639,045.68</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198,002,366.40</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261.77%</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17,008.97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万元人民币。</w:t>
            </w:r>
          </w:p>
        </w:tc>
      </w:tr>
      <w:tr>
        <w:trPr>
          <w:trHeight w:val="950"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52,462,873.86</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17,595,267.17</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34,867,606.69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2"/>
                <w:szCs w:val="22"/>
              </w:rPr>
            </w:pPr>
            <w:r>
              <w:rPr>
                <w:rFonts w:ascii="Times New Roman"/>
                <w:sz w:val="22"/>
              </w:rPr>
              <w:t>198.16%</w:t>
            </w:r>
          </w:p>
        </w:tc>
        <w:tc>
          <w:tcPr>
            <w:tcW w:w="2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57" w:lineRule="auto"/>
              <w:ind w:left="103" w:right="108"/>
              <w:jc w:val="left"/>
              <w:rPr>
                <w:rFonts w:ascii="宋体" w:hAnsi="宋体" w:cs="宋体" w:eastAsia="宋体" w:hint="default"/>
                <w:sz w:val="18"/>
                <w:szCs w:val="18"/>
              </w:rPr>
            </w:pPr>
            <w:r>
              <w:rPr>
                <w:rFonts w:ascii="宋体" w:hAnsi="宋体" w:cs="宋体" w:eastAsia="宋体" w:hint="default"/>
                <w:spacing w:val="12"/>
                <w:sz w:val="18"/>
                <w:szCs w:val="18"/>
              </w:rPr>
              <w:t>本期与客户银行承兑票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据结算业务增多。</w:t>
            </w:r>
          </w:p>
        </w:tc>
      </w:tr>
    </w:tbl>
    <w:p>
      <w:pPr>
        <w:spacing w:after="0" w:line="357" w:lineRule="auto"/>
        <w:jc w:val="left"/>
        <w:rPr>
          <w:rFonts w:ascii="宋体" w:hAnsi="宋体" w:cs="宋体" w:eastAsia="宋体" w:hint="default"/>
          <w:sz w:val="18"/>
          <w:szCs w:val="18"/>
        </w:rPr>
        <w:sectPr>
          <w:pgSz w:w="11910" w:h="16840"/>
          <w:pgMar w:header="1058" w:footer="1590" w:top="1780" w:bottom="1780" w:left="800" w:right="860"/>
        </w:sectPr>
      </w:pPr>
    </w:p>
    <w:tbl>
      <w:tblPr>
        <w:tblW w:w="0" w:type="auto"/>
        <w:jc w:val="left"/>
        <w:tblInd w:w="102" w:type="dxa"/>
        <w:tblLayout w:type="fixed"/>
        <w:tblCellMar>
          <w:top w:w="0" w:type="dxa"/>
          <w:left w:w="0" w:type="dxa"/>
          <w:bottom w:w="0" w:type="dxa"/>
          <w:right w:w="0" w:type="dxa"/>
        </w:tblCellMar>
        <w:tblLook w:val="01E0"/>
      </w:tblPr>
      <w:tblGrid>
        <w:gridCol w:w="1212"/>
        <w:gridCol w:w="1769"/>
        <w:gridCol w:w="1759"/>
        <w:gridCol w:w="1639"/>
        <w:gridCol w:w="1490"/>
        <w:gridCol w:w="2148"/>
      </w:tblGrid>
      <w:tr>
        <w:trPr>
          <w:trHeight w:val="360" w:hRule="exact"/>
        </w:trPr>
        <w:tc>
          <w:tcPr>
            <w:tcW w:w="1212" w:type="dxa"/>
            <w:vMerge w:val="restart"/>
            <w:tcBorders>
              <w:top w:val="single" w:sz="4" w:space="0" w:color="000000"/>
              <w:left w:val="nil" w:sz="6" w:space="0" w:color="auto"/>
              <w:right w:val="single" w:sz="4"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9" w:type="dxa"/>
            <w:vMerge w:val="restart"/>
            <w:tcBorders>
              <w:top w:val="single" w:sz="4" w:space="0" w:color="000000"/>
              <w:left w:val="single" w:sz="4" w:space="0" w:color="000000"/>
              <w:right w:val="single" w:sz="4" w:space="0" w:color="000000"/>
            </w:tcBorders>
          </w:tcPr>
          <w:p>
            <w:pPr>
              <w:pStyle w:val="TableParagraph"/>
              <w:spacing w:line="224"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759" w:type="dxa"/>
            <w:vMerge w:val="restart"/>
            <w:tcBorders>
              <w:top w:val="single" w:sz="4" w:space="0" w:color="000000"/>
              <w:left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148" w:type="dxa"/>
            <w:vMerge w:val="restart"/>
            <w:tcBorders>
              <w:top w:val="single" w:sz="4" w:space="0" w:color="000000"/>
              <w:left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0" w:hRule="exact"/>
        </w:trPr>
        <w:tc>
          <w:tcPr>
            <w:tcW w:w="1212"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6"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148" w:type="dxa"/>
            <w:vMerge/>
            <w:tcBorders>
              <w:left w:val="single" w:sz="4" w:space="0" w:color="000000"/>
              <w:bottom w:val="single" w:sz="4" w:space="0" w:color="000000"/>
              <w:right w:val="nil" w:sz="6" w:space="0" w:color="auto"/>
            </w:tcBorders>
          </w:tcPr>
          <w:p>
            <w:pP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3"/>
                <w:sz w:val="18"/>
                <w:szCs w:val="18"/>
              </w:rPr>
              <w:t>主要是当期新设的隆泰</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子公司工程款和设备款。</w:t>
            </w:r>
          </w:p>
        </w:tc>
      </w:tr>
      <w:tr>
        <w:trPr>
          <w:trHeight w:val="334"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以及母公司预付的原材</w:t>
            </w:r>
          </w:p>
        </w:tc>
      </w:tr>
      <w:tr>
        <w:trPr>
          <w:trHeight w:val="427"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w w:val="95"/>
                <w:sz w:val="21"/>
              </w:rPr>
              <w:t>81,684,397.25</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w w:val="95"/>
                <w:sz w:val="21"/>
              </w:rPr>
              <w:t>30,569,241.40</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2"/>
                <w:szCs w:val="22"/>
              </w:rPr>
            </w:pPr>
            <w:r>
              <w:rPr>
                <w:rFonts w:ascii="Times New Roman"/>
                <w:spacing w:val="-2"/>
                <w:sz w:val="22"/>
              </w:rPr>
              <w:t>51,115,155.85</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7"/>
              <w:jc w:val="right"/>
              <w:rPr>
                <w:rFonts w:ascii="Times New Roman" w:hAnsi="Times New Roman" w:cs="Times New Roman" w:eastAsia="Times New Roman" w:hint="default"/>
                <w:sz w:val="22"/>
                <w:szCs w:val="22"/>
              </w:rPr>
            </w:pPr>
            <w:r>
              <w:rPr>
                <w:rFonts w:ascii="Times New Roman"/>
                <w:sz w:val="22"/>
              </w:rPr>
              <w:t>167.21%</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料款增加。</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主要是本期三期工程和</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广海分公司成立，产能扩</w:t>
            </w:r>
          </w:p>
        </w:tc>
      </w:tr>
      <w:tr>
        <w:trPr>
          <w:trHeight w:val="335"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大，相应储备了部分原材</w:t>
            </w:r>
          </w:p>
        </w:tc>
      </w:tr>
      <w:tr>
        <w:trPr>
          <w:trHeight w:val="428"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w w:val="95"/>
                <w:sz w:val="21"/>
              </w:rPr>
              <w:t>54,039,630.36</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46,373,271.32</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85.81%</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料、在产品、产成品等。</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5"/>
                <w:sz w:val="18"/>
                <w:szCs w:val="18"/>
              </w:rPr>
              <w:t>本期成品仓库，车间技改</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和酸洗磷化车间休息室</w:t>
            </w:r>
          </w:p>
        </w:tc>
      </w:tr>
      <w:tr>
        <w:trPr>
          <w:trHeight w:val="29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等工程完工转入固定资</w:t>
            </w:r>
          </w:p>
        </w:tc>
      </w:tr>
      <w:tr>
        <w:trPr>
          <w:trHeight w:val="410"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5"/>
                <w:sz w:val="18"/>
                <w:szCs w:val="18"/>
              </w:rPr>
              <w:t>产、购置了大量的机器设</w:t>
            </w:r>
          </w:p>
        </w:tc>
      </w:tr>
      <w:tr>
        <w:trPr>
          <w:trHeight w:val="349"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备和收购中海钢丝绳厂</w:t>
            </w:r>
          </w:p>
        </w:tc>
      </w:tr>
      <w:tr>
        <w:trPr>
          <w:trHeight w:val="335"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12"/>
                <w:sz w:val="18"/>
                <w:szCs w:val="18"/>
              </w:rPr>
              <w:t>整体资产增加的固定资</w:t>
            </w:r>
          </w:p>
        </w:tc>
      </w:tr>
      <w:tr>
        <w:trPr>
          <w:trHeight w:val="429"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w w:val="95"/>
                <w:sz w:val="21"/>
              </w:rPr>
              <w:t>109,336,812.50</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21"/>
                <w:szCs w:val="21"/>
              </w:rPr>
            </w:pPr>
            <w:r>
              <w:rPr>
                <w:rFonts w:ascii="Times New Roman"/>
                <w:w w:val="95"/>
                <w:sz w:val="21"/>
              </w:rPr>
              <w:t>74,257,749.83</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2"/>
                <w:szCs w:val="22"/>
              </w:rPr>
            </w:pPr>
            <w:r>
              <w:rPr>
                <w:rFonts w:ascii="Times New Roman"/>
                <w:spacing w:val="-1"/>
                <w:sz w:val="22"/>
              </w:rPr>
              <w:t>35,079,062.67</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97"/>
              <w:jc w:val="right"/>
              <w:rPr>
                <w:rFonts w:ascii="Times New Roman" w:hAnsi="Times New Roman" w:cs="Times New Roman" w:eastAsia="Times New Roman" w:hint="default"/>
                <w:sz w:val="22"/>
                <w:szCs w:val="22"/>
              </w:rPr>
            </w:pPr>
            <w:r>
              <w:rPr>
                <w:rFonts w:ascii="Times New Roman"/>
                <w:sz w:val="22"/>
              </w:rPr>
              <w:t>47.24%</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产</w:t>
            </w:r>
          </w:p>
        </w:tc>
      </w:tr>
      <w:tr>
        <w:trPr>
          <w:trHeight w:val="540"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本期新增投资于年产</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6</w:t>
            </w:r>
          </w:p>
        </w:tc>
      </w:tr>
      <w:tr>
        <w:trPr>
          <w:trHeight w:val="29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万吨高铁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PC </w:t>
            </w:r>
            <w:r>
              <w:rPr>
                <w:rFonts w:ascii="宋体" w:hAnsi="宋体" w:cs="宋体" w:eastAsia="宋体" w:hint="default"/>
                <w:sz w:val="18"/>
                <w:szCs w:val="18"/>
              </w:rPr>
              <w:t>制品项目，</w:t>
            </w:r>
          </w:p>
        </w:tc>
      </w:tr>
      <w:tr>
        <w:trPr>
          <w:trHeight w:val="410"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万吨稀土多元合</w:t>
            </w:r>
          </w:p>
        </w:tc>
      </w:tr>
      <w:tr>
        <w:trPr>
          <w:trHeight w:val="33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5"/>
                <w:sz w:val="18"/>
                <w:szCs w:val="18"/>
              </w:rPr>
              <w:t>金渡层钢丝、钢绞线项目</w:t>
            </w:r>
          </w:p>
        </w:tc>
      </w:tr>
      <w:tr>
        <w:trPr>
          <w:trHeight w:val="429"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spacing w:val="-1"/>
                <w:w w:val="95"/>
                <w:sz w:val="21"/>
              </w:rPr>
              <w:t>8,114,916.34</w:t>
            </w:r>
            <w:r>
              <w:rPr>
                <w:rFonts w:ascii="Times New Roman"/>
                <w:spacing w:val="-1"/>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w w:val="95"/>
                <w:sz w:val="21"/>
              </w:rPr>
              <w:t>452,253.12</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7,662,663.22</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2"/>
                <w:szCs w:val="22"/>
              </w:rPr>
            </w:pPr>
            <w:r>
              <w:rPr>
                <w:rFonts w:ascii="Times New Roman"/>
                <w:spacing w:val="-1"/>
                <w:sz w:val="22"/>
              </w:rPr>
              <w:t>1694.33%</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的基础建设</w:t>
            </w:r>
          </w:p>
        </w:tc>
      </w:tr>
      <w:tr>
        <w:trPr>
          <w:trHeight w:val="537"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本期收购中海钢丝绳厂</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整体资产新增的土地使</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用权和新设全资子公司</w:t>
            </w:r>
          </w:p>
        </w:tc>
      </w:tr>
      <w:tr>
        <w:trPr>
          <w:trHeight w:val="335"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隆泰新购置的土地使用</w:t>
            </w:r>
          </w:p>
        </w:tc>
      </w:tr>
      <w:tr>
        <w:trPr>
          <w:trHeight w:val="428"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w w:val="95"/>
                <w:sz w:val="21"/>
              </w:rPr>
              <w:t>55,357,966.93</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w w:val="95"/>
                <w:sz w:val="21"/>
              </w:rPr>
              <w:t>8,283,326.67</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47,074,640.26</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568.31%</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权</w:t>
            </w:r>
          </w:p>
        </w:tc>
      </w:tr>
      <w:tr>
        <w:trPr>
          <w:trHeight w:val="29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本期计提坏账准备增加</w:t>
            </w:r>
          </w:p>
        </w:tc>
      </w:tr>
      <w:tr>
        <w:trPr>
          <w:trHeight w:val="335"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pacing w:val="-66"/>
                <w:sz w:val="18"/>
                <w:szCs w:val="18"/>
              </w:rPr>
              <w:t> </w:t>
            </w:r>
            <w:r>
              <w:rPr>
                <w:rFonts w:ascii="宋体" w:hAnsi="宋体" w:cs="宋体" w:eastAsia="宋体" w:hint="default"/>
                <w:sz w:val="18"/>
                <w:szCs w:val="18"/>
              </w:rPr>
              <w:t>延</w:t>
            </w:r>
            <w:r>
              <w:rPr>
                <w:rFonts w:ascii="宋体" w:hAnsi="宋体" w:cs="宋体" w:eastAsia="宋体" w:hint="default"/>
                <w:spacing w:val="-66"/>
                <w:sz w:val="18"/>
                <w:szCs w:val="18"/>
              </w:rPr>
              <w:t> </w:t>
            </w:r>
            <w:r>
              <w:rPr>
                <w:rFonts w:ascii="宋体" w:hAnsi="宋体" w:cs="宋体" w:eastAsia="宋体" w:hint="default"/>
                <w:sz w:val="18"/>
                <w:szCs w:val="18"/>
              </w:rPr>
              <w:t>所</w:t>
            </w:r>
            <w:r>
              <w:rPr>
                <w:rFonts w:ascii="宋体" w:hAnsi="宋体" w:cs="宋体" w:eastAsia="宋体" w:hint="default"/>
                <w:spacing w:val="-66"/>
                <w:sz w:val="18"/>
                <w:szCs w:val="18"/>
              </w:rPr>
              <w:t> </w:t>
            </w:r>
            <w:r>
              <w:rPr>
                <w:rFonts w:ascii="宋体" w:hAnsi="宋体" w:cs="宋体" w:eastAsia="宋体" w:hint="default"/>
                <w:sz w:val="18"/>
                <w:szCs w:val="18"/>
              </w:rPr>
              <w:t>得</w:t>
            </w:r>
            <w:r>
              <w:rPr>
                <w:rFonts w:ascii="宋体" w:hAnsi="宋体" w:cs="宋体" w:eastAsia="宋体" w:hint="default"/>
                <w:spacing w:val="-66"/>
                <w:sz w:val="18"/>
                <w:szCs w:val="18"/>
              </w:rPr>
              <w:t> </w:t>
            </w:r>
            <w:r>
              <w:rPr>
                <w:rFonts w:ascii="宋体" w:hAnsi="宋体" w:cs="宋体" w:eastAsia="宋体" w:hint="default"/>
                <w:sz w:val="18"/>
                <w:szCs w:val="18"/>
              </w:rPr>
              <w:t>税</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及子公司隆泰亏损额计</w:t>
            </w:r>
          </w:p>
        </w:tc>
      </w:tr>
      <w:tr>
        <w:trPr>
          <w:trHeight w:val="428"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w w:val="95"/>
                <w:sz w:val="21"/>
              </w:rPr>
              <w:t>977,442.09</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w w:val="95"/>
                <w:sz w:val="21"/>
              </w:rPr>
              <w:t>537,287.49</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440,154.60</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81.92%</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提的递延所得税资产</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本期公司用超募资金偿</w:t>
            </w:r>
          </w:p>
        </w:tc>
      </w:tr>
      <w:tr>
        <w:trPr>
          <w:trHeight w:val="339"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还银行借款</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r>
      <w:tr>
        <w:trPr>
          <w:trHeight w:val="424"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95"/>
                <w:sz w:val="21"/>
              </w:rPr>
              <w:t>51,378,137.86</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1"/>
                <w:szCs w:val="21"/>
              </w:rPr>
            </w:pPr>
            <w:r>
              <w:rPr>
                <w:rFonts w:ascii="Times New Roman"/>
                <w:spacing w:val="-1"/>
                <w:sz w:val="21"/>
              </w:rPr>
              <w:t>110,080,000.00</w:t>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2"/>
                <w:szCs w:val="22"/>
              </w:rPr>
            </w:pPr>
            <w:r>
              <w:rPr>
                <w:rFonts w:ascii="Times New Roman"/>
                <w:spacing w:val="-1"/>
                <w:sz w:val="22"/>
              </w:rPr>
              <w:t>-58,701,862.14</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22"/>
                <w:szCs w:val="22"/>
              </w:rPr>
            </w:pPr>
            <w:r>
              <w:rPr>
                <w:rFonts w:ascii="Times New Roman"/>
                <w:spacing w:val="-1"/>
                <w:sz w:val="22"/>
              </w:rPr>
              <w:t>-53.33%</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1058" w:footer="1590" w:top="1800" w:bottom="1780" w:left="800" w:right="860"/>
        </w:sectPr>
      </w:pPr>
    </w:p>
    <w:tbl>
      <w:tblPr>
        <w:tblW w:w="0" w:type="auto"/>
        <w:jc w:val="left"/>
        <w:tblInd w:w="102" w:type="dxa"/>
        <w:tblLayout w:type="fixed"/>
        <w:tblCellMar>
          <w:top w:w="0" w:type="dxa"/>
          <w:left w:w="0" w:type="dxa"/>
          <w:bottom w:w="0" w:type="dxa"/>
          <w:right w:w="0" w:type="dxa"/>
        </w:tblCellMar>
        <w:tblLook w:val="01E0"/>
      </w:tblPr>
      <w:tblGrid>
        <w:gridCol w:w="1212"/>
        <w:gridCol w:w="1769"/>
        <w:gridCol w:w="1759"/>
        <w:gridCol w:w="1639"/>
        <w:gridCol w:w="1490"/>
        <w:gridCol w:w="2148"/>
      </w:tblGrid>
      <w:tr>
        <w:trPr>
          <w:trHeight w:val="360" w:hRule="exact"/>
        </w:trPr>
        <w:tc>
          <w:tcPr>
            <w:tcW w:w="1212" w:type="dxa"/>
            <w:vMerge w:val="restart"/>
            <w:tcBorders>
              <w:top w:val="single" w:sz="4" w:space="0" w:color="000000"/>
              <w:left w:val="nil" w:sz="6" w:space="0" w:color="auto"/>
              <w:right w:val="single" w:sz="4"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9" w:type="dxa"/>
            <w:vMerge w:val="restart"/>
            <w:tcBorders>
              <w:top w:val="single" w:sz="4" w:space="0" w:color="000000"/>
              <w:left w:val="single" w:sz="4" w:space="0" w:color="000000"/>
              <w:right w:val="single" w:sz="4" w:space="0" w:color="000000"/>
            </w:tcBorders>
          </w:tcPr>
          <w:p>
            <w:pPr>
              <w:pStyle w:val="TableParagraph"/>
              <w:spacing w:line="224"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759" w:type="dxa"/>
            <w:vMerge w:val="restart"/>
            <w:tcBorders>
              <w:top w:val="single" w:sz="4" w:space="0" w:color="000000"/>
              <w:left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148" w:type="dxa"/>
            <w:vMerge w:val="restart"/>
            <w:tcBorders>
              <w:top w:val="single" w:sz="4" w:space="0" w:color="000000"/>
              <w:left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0" w:hRule="exact"/>
        </w:trPr>
        <w:tc>
          <w:tcPr>
            <w:tcW w:w="1212"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6"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148" w:type="dxa"/>
            <w:vMerge/>
            <w:tcBorders>
              <w:left w:val="single" w:sz="4" w:space="0" w:color="000000"/>
              <w:bottom w:val="single" w:sz="4" w:space="0" w:color="000000"/>
              <w:right w:val="nil" w:sz="6" w:space="0" w:color="auto"/>
            </w:tcBorders>
          </w:tcPr>
          <w:p>
            <w:pPr/>
          </w:p>
        </w:tc>
      </w:tr>
      <w:tr>
        <w:trPr>
          <w:trHeight w:val="768"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97"/>
              <w:jc w:val="right"/>
              <w:rPr>
                <w:rFonts w:ascii="Times New Roman" w:hAnsi="Times New Roman" w:cs="Times New Roman" w:eastAsia="Times New Roman" w:hint="default"/>
                <w:sz w:val="21"/>
                <w:szCs w:val="21"/>
              </w:rPr>
            </w:pPr>
            <w:r>
              <w:rPr>
                <w:rFonts w:ascii="Times New Roman"/>
                <w:w w:val="95"/>
                <w:sz w:val="21"/>
              </w:rPr>
              <w:t>6,403,018.96</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97"/>
              <w:jc w:val="right"/>
              <w:rPr>
                <w:rFonts w:ascii="Times New Roman" w:hAnsi="Times New Roman" w:cs="Times New Roman" w:eastAsia="Times New Roman" w:hint="default"/>
                <w:sz w:val="21"/>
                <w:szCs w:val="21"/>
              </w:rPr>
            </w:pPr>
            <w:r>
              <w:rPr>
                <w:rFonts w:ascii="Times New Roman"/>
                <w:w w:val="95"/>
                <w:sz w:val="21"/>
              </w:rPr>
              <w:t>16,414,089.52</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2"/>
                <w:sz w:val="22"/>
              </w:rPr>
              <w:t>-10,011,070.56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7"/>
              <w:jc w:val="right"/>
              <w:rPr>
                <w:rFonts w:ascii="Times New Roman" w:hAnsi="Times New Roman" w:cs="Times New Roman" w:eastAsia="Times New Roman" w:hint="default"/>
                <w:sz w:val="22"/>
                <w:szCs w:val="22"/>
              </w:rPr>
            </w:pPr>
            <w:r>
              <w:rPr>
                <w:rFonts w:ascii="Times New Roman"/>
                <w:spacing w:val="-1"/>
                <w:sz w:val="22"/>
              </w:rPr>
              <w:t>-60.99%</w:t>
            </w:r>
          </w:p>
        </w:tc>
        <w:tc>
          <w:tcPr>
            <w:tcW w:w="2148" w:type="dxa"/>
            <w:tcBorders>
              <w:top w:val="single" w:sz="4" w:space="0" w:color="000000"/>
              <w:left w:val="single" w:sz="4" w:space="0" w:color="000000"/>
              <w:bottom w:val="single" w:sz="4" w:space="0" w:color="000000"/>
              <w:right w:val="nil" w:sz="6" w:space="0" w:color="auto"/>
            </w:tcBorders>
          </w:tcPr>
          <w:p>
            <w:pPr>
              <w:pStyle w:val="TableParagraph"/>
              <w:spacing w:line="355" w:lineRule="auto" w:before="1"/>
              <w:ind w:left="103" w:right="239"/>
              <w:jc w:val="left"/>
              <w:rPr>
                <w:rFonts w:ascii="宋体" w:hAnsi="宋体" w:cs="宋体" w:eastAsia="宋体" w:hint="default"/>
                <w:sz w:val="18"/>
                <w:szCs w:val="18"/>
              </w:rPr>
            </w:pPr>
            <w:r>
              <w:rPr>
                <w:rFonts w:ascii="宋体" w:hAnsi="宋体" w:cs="宋体" w:eastAsia="宋体" w:hint="default"/>
                <w:sz w:val="18"/>
                <w:szCs w:val="18"/>
              </w:rPr>
              <w:t>主要是偿还了部分供应 商货款</w:t>
            </w:r>
          </w:p>
        </w:tc>
      </w:tr>
      <w:tr>
        <w:trPr>
          <w:trHeight w:val="769"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w w:val="95"/>
                <w:sz w:val="21"/>
              </w:rPr>
              <w:t>3,944,749.72</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w w:val="95"/>
                <w:sz w:val="21"/>
              </w:rPr>
              <w:t>2,138,951.98</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1,805,797.74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7"/>
              <w:jc w:val="right"/>
              <w:rPr>
                <w:rFonts w:ascii="Times New Roman" w:hAnsi="Times New Roman" w:cs="Times New Roman" w:eastAsia="Times New Roman" w:hint="default"/>
                <w:sz w:val="22"/>
                <w:szCs w:val="22"/>
              </w:rPr>
            </w:pPr>
            <w:r>
              <w:rPr>
                <w:rFonts w:ascii="Times New Roman"/>
                <w:sz w:val="22"/>
              </w:rPr>
              <w:t>84.42%</w:t>
            </w:r>
          </w:p>
        </w:tc>
        <w:tc>
          <w:tcPr>
            <w:tcW w:w="214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1"/>
              <w:ind w:left="103" w:right="239"/>
              <w:jc w:val="left"/>
              <w:rPr>
                <w:rFonts w:ascii="宋体" w:hAnsi="宋体" w:cs="宋体" w:eastAsia="宋体" w:hint="default"/>
                <w:sz w:val="18"/>
                <w:szCs w:val="18"/>
              </w:rPr>
            </w:pPr>
            <w:r>
              <w:rPr>
                <w:rFonts w:ascii="宋体" w:hAnsi="宋体" w:cs="宋体" w:eastAsia="宋体" w:hint="default"/>
                <w:sz w:val="18"/>
                <w:szCs w:val="18"/>
              </w:rPr>
              <w:t>主要是预收客户的预付 款。</w:t>
            </w:r>
          </w:p>
        </w:tc>
      </w:tr>
      <w:tr>
        <w:trPr>
          <w:trHeight w:val="769"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7"/>
              <w:jc w:val="right"/>
              <w:rPr>
                <w:rFonts w:ascii="Times New Roman" w:hAnsi="Times New Roman" w:cs="Times New Roman" w:eastAsia="Times New Roman" w:hint="default"/>
                <w:sz w:val="21"/>
                <w:szCs w:val="21"/>
              </w:rPr>
            </w:pPr>
            <w:r>
              <w:rPr>
                <w:rFonts w:ascii="Times New Roman"/>
                <w:w w:val="95"/>
                <w:sz w:val="21"/>
              </w:rPr>
              <w:t>3,679,643.15</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7"/>
              <w:jc w:val="right"/>
              <w:rPr>
                <w:rFonts w:ascii="Times New Roman" w:hAnsi="Times New Roman" w:cs="Times New Roman" w:eastAsia="Times New Roman" w:hint="default"/>
                <w:sz w:val="21"/>
                <w:szCs w:val="21"/>
              </w:rPr>
            </w:pPr>
            <w:r>
              <w:rPr>
                <w:rFonts w:ascii="Times New Roman"/>
                <w:w w:val="95"/>
                <w:sz w:val="21"/>
              </w:rPr>
              <w:t>8,635,732.66</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-4,956,089.51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97"/>
              <w:jc w:val="right"/>
              <w:rPr>
                <w:rFonts w:ascii="Times New Roman" w:hAnsi="Times New Roman" w:cs="Times New Roman" w:eastAsia="Times New Roman" w:hint="default"/>
                <w:sz w:val="22"/>
                <w:szCs w:val="22"/>
              </w:rPr>
            </w:pPr>
            <w:r>
              <w:rPr>
                <w:rFonts w:ascii="Times New Roman"/>
                <w:spacing w:val="-1"/>
                <w:sz w:val="22"/>
              </w:rPr>
              <w:t>-57.39%</w:t>
            </w:r>
          </w:p>
        </w:tc>
        <w:tc>
          <w:tcPr>
            <w:tcW w:w="2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本期应交所得税减少</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主要是本期新增收购中</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水广海钢丝绳厂约定代</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付原钢丝绳厂员工的离</w:t>
            </w:r>
          </w:p>
        </w:tc>
      </w:tr>
      <w:tr>
        <w:trPr>
          <w:trHeight w:val="353"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退休费用</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109</w:t>
            </w:r>
            <w:r>
              <w:rPr>
                <w:rFonts w:ascii="Times New Roman" w:hAnsi="Times New Roman" w:cs="Times New Roman" w:eastAsia="Times New Roman" w:hint="default"/>
                <w:spacing w:val="15"/>
                <w:sz w:val="18"/>
                <w:szCs w:val="18"/>
              </w:rPr>
              <w:t> </w:t>
            </w:r>
            <w:r>
              <w:rPr>
                <w:rFonts w:ascii="宋体" w:hAnsi="宋体" w:cs="宋体" w:eastAsia="宋体" w:hint="default"/>
                <w:spacing w:val="12"/>
                <w:sz w:val="18"/>
                <w:szCs w:val="18"/>
              </w:rPr>
              <w:t>万元和运</w:t>
            </w:r>
          </w:p>
        </w:tc>
      </w:tr>
      <w:tr>
        <w:trPr>
          <w:trHeight w:val="33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输公司支付的运输保证</w:t>
            </w:r>
          </w:p>
        </w:tc>
      </w:tr>
      <w:tr>
        <w:trPr>
          <w:trHeight w:val="429"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w w:val="95"/>
                <w:sz w:val="21"/>
              </w:rPr>
              <w:t>2,731,066.79</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w w:val="95"/>
                <w:sz w:val="21"/>
              </w:rPr>
              <w:t>610,247.13</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2,120,819.66</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347.53%</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本期公司用超募资金偿</w:t>
            </w:r>
          </w:p>
        </w:tc>
      </w:tr>
      <w:tr>
        <w:trPr>
          <w:trHeight w:val="339"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5"/>
                <w:sz w:val="18"/>
                <w:szCs w:val="18"/>
              </w:rPr>
              <w:t>还银行借款</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r>
      <w:tr>
        <w:trPr>
          <w:trHeight w:val="423" w:hRule="exact"/>
        </w:trPr>
        <w:tc>
          <w:tcPr>
            <w:tcW w:w="1212"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6,640,000.00</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97"/>
              <w:jc w:val="right"/>
              <w:rPr>
                <w:rFonts w:ascii="Times New Roman" w:hAnsi="Times New Roman" w:cs="Times New Roman" w:eastAsia="Times New Roman" w:hint="default"/>
                <w:sz w:val="21"/>
                <w:szCs w:val="21"/>
              </w:rPr>
            </w:pPr>
            <w:r>
              <w:rPr>
                <w:rFonts w:ascii="Times New Roman"/>
                <w:w w:val="95"/>
                <w:sz w:val="21"/>
              </w:rPr>
              <w:t>54,640,000.00</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-48,000,000.00</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2"/>
                <w:szCs w:val="22"/>
              </w:rPr>
            </w:pPr>
            <w:r>
              <w:rPr>
                <w:rFonts w:ascii="Times New Roman"/>
                <w:spacing w:val="-1"/>
                <w:sz w:val="22"/>
              </w:rPr>
              <w:t>-87.85%</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7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本期向社会公开发行人</w:t>
            </w:r>
          </w:p>
        </w:tc>
      </w:tr>
      <w:tr>
        <w:trPr>
          <w:trHeight w:val="400"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民</w:t>
            </w:r>
            <w:r>
              <w:rPr>
                <w:rFonts w:ascii="宋体" w:hAnsi="宋体" w:cs="宋体" w:eastAsia="宋体" w:hint="default"/>
                <w:spacing w:val="-50"/>
                <w:sz w:val="18"/>
                <w:szCs w:val="18"/>
              </w:rPr>
              <w:t> </w:t>
            </w:r>
            <w:r>
              <w:rPr>
                <w:rFonts w:ascii="宋体" w:hAnsi="宋体" w:cs="宋体" w:eastAsia="宋体" w:hint="default"/>
                <w:sz w:val="18"/>
                <w:szCs w:val="18"/>
              </w:rPr>
              <w:t>币</w:t>
            </w:r>
            <w:r>
              <w:rPr>
                <w:rFonts w:ascii="宋体" w:hAnsi="宋体" w:cs="宋体" w:eastAsia="宋体" w:hint="default"/>
                <w:spacing w:val="-52"/>
                <w:sz w:val="18"/>
                <w:szCs w:val="18"/>
              </w:rPr>
              <w:t> </w:t>
            </w:r>
            <w:r>
              <w:rPr>
                <w:rFonts w:ascii="宋体" w:hAnsi="宋体" w:cs="宋体" w:eastAsia="宋体" w:hint="default"/>
                <w:sz w:val="18"/>
                <w:szCs w:val="18"/>
              </w:rPr>
              <w:t>普</w:t>
            </w:r>
            <w:r>
              <w:rPr>
                <w:rFonts w:ascii="宋体" w:hAnsi="宋体" w:cs="宋体" w:eastAsia="宋体" w:hint="default"/>
                <w:spacing w:val="-52"/>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w:t>
            </w:r>
          </w:p>
        </w:tc>
      </w:tr>
      <w:tr>
        <w:trPr>
          <w:trHeight w:val="424"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97"/>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1"/>
                <w:sz w:val="22"/>
              </w:rPr>
              <w:t>19,500,000.00</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2"/>
                <w:szCs w:val="22"/>
              </w:rPr>
            </w:pPr>
            <w:r>
              <w:rPr>
                <w:rFonts w:ascii="Times New Roman"/>
                <w:sz w:val="22"/>
              </w:rPr>
              <w:t>33.43%</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537"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公司已发行人民币普通</w:t>
            </w:r>
          </w:p>
        </w:tc>
      </w:tr>
      <w:tr>
        <w:trPr>
          <w:trHeight w:val="355"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万股，募集资金</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624,000,000.00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元，扣除</w:t>
            </w:r>
          </w:p>
        </w:tc>
      </w:tr>
      <w:tr>
        <w:trPr>
          <w:trHeight w:val="373"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5"/>
                <w:sz w:val="18"/>
                <w:szCs w:val="18"/>
              </w:rPr>
              <w:t>发行费用后，实际募集资</w:t>
            </w:r>
          </w:p>
        </w:tc>
      </w:tr>
      <w:tr>
        <w:trPr>
          <w:trHeight w:val="327"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 净 额</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580,850,676.86</w:t>
            </w:r>
          </w:p>
        </w:tc>
      </w:tr>
      <w:tr>
        <w:trPr>
          <w:trHeight w:val="345"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13"/>
                <w:sz w:val="18"/>
                <w:szCs w:val="18"/>
              </w:rPr>
              <w:t>元，其中新增注册资本</w:t>
            </w:r>
          </w:p>
        </w:tc>
      </w:tr>
      <w:tr>
        <w:trPr>
          <w:trHeight w:val="340"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19,500,000.00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元，增加资</w:t>
            </w:r>
          </w:p>
        </w:tc>
      </w:tr>
      <w:tr>
        <w:trPr>
          <w:trHeight w:val="424"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95"/>
                <w:sz w:val="21"/>
              </w:rPr>
              <w:t>579,996,139.78</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w w:val="95"/>
                <w:sz w:val="21"/>
              </w:rPr>
              <w:t>13,100,716.92</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2"/>
                <w:szCs w:val="22"/>
              </w:rPr>
            </w:pPr>
            <w:r>
              <w:rPr>
                <w:rFonts w:ascii="Times New Roman"/>
                <w:spacing w:val="-1"/>
                <w:sz w:val="22"/>
              </w:rPr>
              <w:t>566,895,422.86</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2"/>
                <w:szCs w:val="22"/>
              </w:rPr>
            </w:pPr>
            <w:r>
              <w:rPr>
                <w:rFonts w:ascii="Times New Roman"/>
                <w:spacing w:val="-1"/>
                <w:sz w:val="22"/>
              </w:rPr>
              <w:t>4327.21%</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566,895,422.86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本期新设广海分公司和</w:t>
            </w:r>
          </w:p>
        </w:tc>
      </w:tr>
      <w:tr>
        <w:trPr>
          <w:trHeight w:val="304"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全资子公司，固定资产增</w:t>
            </w:r>
          </w:p>
        </w:tc>
      </w:tr>
      <w:tr>
        <w:trPr>
          <w:trHeight w:val="395"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12"/>
                <w:sz w:val="18"/>
                <w:szCs w:val="18"/>
              </w:rPr>
              <w:t>加相应的折旧费增加和</w:t>
            </w:r>
          </w:p>
        </w:tc>
      </w:tr>
      <w:tr>
        <w:trPr>
          <w:trHeight w:val="352"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调整原计入资本公积中</w:t>
            </w:r>
          </w:p>
        </w:tc>
      </w:tr>
      <w:tr>
        <w:trPr>
          <w:trHeight w:val="471"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21"/>
                <w:szCs w:val="21"/>
              </w:rPr>
            </w:pPr>
            <w:r>
              <w:rPr>
                <w:rFonts w:ascii="Times New Roman"/>
                <w:w w:val="95"/>
                <w:sz w:val="21"/>
              </w:rPr>
              <w:t>23,482,910.87</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21"/>
                <w:szCs w:val="21"/>
              </w:rPr>
            </w:pPr>
            <w:r>
              <w:rPr>
                <w:rFonts w:ascii="Times New Roman"/>
                <w:spacing w:val="-1"/>
                <w:w w:val="95"/>
                <w:sz w:val="21"/>
              </w:rPr>
              <w:t>11,418,969.11</w:t>
            </w:r>
            <w:r>
              <w:rPr>
                <w:rFonts w:ascii="Times New Roman"/>
                <w:spacing w:val="-1"/>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2"/>
                <w:szCs w:val="22"/>
              </w:rPr>
            </w:pPr>
            <w:r>
              <w:rPr>
                <w:rFonts w:ascii="Times New Roman"/>
                <w:spacing w:val="-1"/>
                <w:sz w:val="22"/>
              </w:rPr>
              <w:t>12,063,941.76</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right="97"/>
              <w:jc w:val="right"/>
              <w:rPr>
                <w:rFonts w:ascii="Times New Roman" w:hAnsi="Times New Roman" w:cs="Times New Roman" w:eastAsia="Times New Roman" w:hint="default"/>
                <w:sz w:val="22"/>
                <w:szCs w:val="22"/>
              </w:rPr>
            </w:pPr>
            <w:r>
              <w:rPr>
                <w:rFonts w:ascii="Times New Roman"/>
                <w:sz w:val="22"/>
              </w:rPr>
              <w:t>105.65%</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21"/>
                <w:szCs w:val="21"/>
              </w:rPr>
              <w:t>发生</w:t>
            </w:r>
            <w:r>
              <w:rPr>
                <w:rFonts w:ascii="宋体" w:hAnsi="宋体" w:cs="宋体" w:eastAsia="宋体" w:hint="default"/>
                <w:sz w:val="18"/>
                <w:szCs w:val="18"/>
              </w:rPr>
              <w:t>发行费用。</w:t>
            </w:r>
          </w:p>
        </w:tc>
      </w:tr>
    </w:tbl>
    <w:p>
      <w:pPr>
        <w:spacing w:after="0" w:line="240" w:lineRule="auto"/>
        <w:jc w:val="left"/>
        <w:rPr>
          <w:rFonts w:ascii="宋体" w:hAnsi="宋体" w:cs="宋体" w:eastAsia="宋体" w:hint="default"/>
          <w:sz w:val="18"/>
          <w:szCs w:val="18"/>
        </w:rPr>
        <w:sectPr>
          <w:footerReference w:type="default" r:id="rId41"/>
          <w:pgSz w:w="11910" w:h="16840"/>
          <w:pgMar w:footer="1590" w:header="1058" w:top="1800" w:bottom="1780" w:left="800" w:right="860"/>
          <w:pgNumType w:start="130"/>
        </w:sectPr>
      </w:pPr>
    </w:p>
    <w:tbl>
      <w:tblPr>
        <w:tblW w:w="0" w:type="auto"/>
        <w:jc w:val="left"/>
        <w:tblInd w:w="102" w:type="dxa"/>
        <w:tblLayout w:type="fixed"/>
        <w:tblCellMar>
          <w:top w:w="0" w:type="dxa"/>
          <w:left w:w="0" w:type="dxa"/>
          <w:bottom w:w="0" w:type="dxa"/>
          <w:right w:w="0" w:type="dxa"/>
        </w:tblCellMar>
        <w:tblLook w:val="01E0"/>
      </w:tblPr>
      <w:tblGrid>
        <w:gridCol w:w="1212"/>
        <w:gridCol w:w="1769"/>
        <w:gridCol w:w="1759"/>
        <w:gridCol w:w="1639"/>
        <w:gridCol w:w="1490"/>
        <w:gridCol w:w="2148"/>
      </w:tblGrid>
      <w:tr>
        <w:trPr>
          <w:trHeight w:val="360" w:hRule="exact"/>
        </w:trPr>
        <w:tc>
          <w:tcPr>
            <w:tcW w:w="1212" w:type="dxa"/>
            <w:vMerge w:val="restart"/>
            <w:tcBorders>
              <w:top w:val="single" w:sz="4" w:space="0" w:color="000000"/>
              <w:left w:val="nil" w:sz="6" w:space="0" w:color="auto"/>
              <w:right w:val="single" w:sz="4" w:space="0" w:color="000000"/>
            </w:tcBorders>
          </w:tcPr>
          <w:p>
            <w:pPr>
              <w:pStyle w:val="TableParagraph"/>
              <w:spacing w:line="240" w:lineRule="auto" w:before="1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9" w:type="dxa"/>
            <w:vMerge w:val="restart"/>
            <w:tcBorders>
              <w:top w:val="single" w:sz="4" w:space="0" w:color="000000"/>
              <w:left w:val="single" w:sz="4" w:space="0" w:color="000000"/>
              <w:right w:val="single" w:sz="4" w:space="0" w:color="000000"/>
            </w:tcBorders>
          </w:tcPr>
          <w:p>
            <w:pPr>
              <w:pStyle w:val="TableParagraph"/>
              <w:spacing w:line="224"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759" w:type="dxa"/>
            <w:vMerge w:val="restart"/>
            <w:tcBorders>
              <w:top w:val="single" w:sz="4" w:space="0" w:color="000000"/>
              <w:left w:val="single" w:sz="4" w:space="0" w:color="000000"/>
              <w:right w:val="single" w:sz="4" w:space="0" w:color="000000"/>
            </w:tcBorders>
          </w:tcPr>
          <w:p>
            <w:pPr>
              <w:pStyle w:val="TableParagraph"/>
              <w:spacing w:line="22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148" w:type="dxa"/>
            <w:vMerge w:val="restart"/>
            <w:tcBorders>
              <w:top w:val="single" w:sz="4" w:space="0" w:color="000000"/>
              <w:left w:val="single" w:sz="4" w:space="0" w:color="000000"/>
              <w:right w:val="nil" w:sz="6" w:space="0" w:color="auto"/>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0" w:hRule="exact"/>
        </w:trPr>
        <w:tc>
          <w:tcPr>
            <w:tcW w:w="1212"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6"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148" w:type="dxa"/>
            <w:vMerge/>
            <w:tcBorders>
              <w:left w:val="single" w:sz="4" w:space="0" w:color="000000"/>
              <w:bottom w:val="single" w:sz="4" w:space="0" w:color="000000"/>
              <w:right w:val="nil" w:sz="6" w:space="0" w:color="auto"/>
            </w:tcBorders>
          </w:tcPr>
          <w:p>
            <w:pP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本期公司用超募资金偿</w:t>
            </w:r>
          </w:p>
        </w:tc>
      </w:tr>
      <w:tr>
        <w:trPr>
          <w:trHeight w:val="293"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还银行借款</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r>
      <w:tr>
        <w:trPr>
          <w:trHeight w:val="407"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00" w:lineRule="exact"/>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5"/>
                <w:sz w:val="18"/>
                <w:szCs w:val="18"/>
              </w:rPr>
              <w:t>元，减少承担的利息支出</w:t>
            </w:r>
          </w:p>
        </w:tc>
      </w:tr>
      <w:tr>
        <w:trPr>
          <w:trHeight w:val="334"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12"/>
                <w:sz w:val="18"/>
                <w:szCs w:val="18"/>
              </w:rPr>
              <w:t>和募集资金存款利息收</w:t>
            </w:r>
          </w:p>
        </w:tc>
      </w:tr>
      <w:tr>
        <w:trPr>
          <w:trHeight w:val="429"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w w:val="95"/>
                <w:sz w:val="21"/>
              </w:rPr>
              <w:t>2,035,846.99</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21"/>
                <w:szCs w:val="21"/>
              </w:rPr>
            </w:pPr>
            <w:r>
              <w:rPr>
                <w:rFonts w:ascii="Times New Roman"/>
                <w:w w:val="95"/>
                <w:sz w:val="21"/>
              </w:rPr>
              <w:t>6,205,291.80</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-4,169,444.81</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pacing w:val="-1"/>
                <w:sz w:val="22"/>
              </w:rPr>
              <w:t>-67.19%</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入增加原因。</w:t>
            </w:r>
          </w:p>
        </w:tc>
      </w:tr>
      <w:tr>
        <w:trPr>
          <w:trHeight w:val="538" w:hRule="exact"/>
        </w:trPr>
        <w:tc>
          <w:tcPr>
            <w:tcW w:w="1212" w:type="dxa"/>
            <w:tcBorders>
              <w:top w:val="single" w:sz="4" w:space="0" w:color="000000"/>
              <w:left w:val="nil" w:sz="6" w:space="0" w:color="auto"/>
              <w:bottom w:val="nil" w:sz="6" w:space="0" w:color="auto"/>
              <w:right w:val="single" w:sz="4" w:space="0" w:color="000000"/>
            </w:tcBorders>
          </w:tcPr>
          <w:p>
            <w:pPr/>
          </w:p>
        </w:tc>
        <w:tc>
          <w:tcPr>
            <w:tcW w:w="1769" w:type="dxa"/>
            <w:tcBorders>
              <w:top w:val="single" w:sz="4" w:space="0" w:color="000000"/>
              <w:left w:val="single" w:sz="4" w:space="0" w:color="000000"/>
              <w:bottom w:val="nil" w:sz="6" w:space="0" w:color="auto"/>
              <w:right w:val="single" w:sz="4" w:space="0" w:color="000000"/>
            </w:tcBorders>
          </w:tcPr>
          <w:p>
            <w:pPr/>
          </w:p>
        </w:tc>
        <w:tc>
          <w:tcPr>
            <w:tcW w:w="1759"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2148"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本期公司收购中海钢丝</w:t>
            </w:r>
          </w:p>
        </w:tc>
      </w:tr>
      <w:tr>
        <w:trPr>
          <w:trHeight w:val="377"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08"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6"/>
                <w:sz w:val="18"/>
                <w:szCs w:val="18"/>
              </w:rPr>
              <w:t> </w:t>
            </w:r>
            <w:r>
              <w:rPr>
                <w:rFonts w:ascii="宋体" w:hAnsi="宋体" w:cs="宋体" w:eastAsia="宋体" w:hint="default"/>
                <w:sz w:val="18"/>
                <w:szCs w:val="18"/>
              </w:rPr>
              <w:t>值</w:t>
            </w:r>
            <w:r>
              <w:rPr>
                <w:rFonts w:ascii="宋体" w:hAnsi="宋体" w:cs="宋体" w:eastAsia="宋体" w:hint="default"/>
                <w:spacing w:val="-66"/>
                <w:sz w:val="18"/>
                <w:szCs w:val="18"/>
              </w:rPr>
              <w:t> </w:t>
            </w:r>
            <w:r>
              <w:rPr>
                <w:rFonts w:ascii="宋体" w:hAnsi="宋体" w:cs="宋体" w:eastAsia="宋体" w:hint="default"/>
                <w:sz w:val="18"/>
                <w:szCs w:val="18"/>
              </w:rPr>
              <w:t>损</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12"/>
                <w:sz w:val="18"/>
                <w:szCs w:val="18"/>
              </w:rPr>
              <w:t>绳厂整体资产接收的应</w:t>
            </w:r>
          </w:p>
        </w:tc>
      </w:tr>
      <w:tr>
        <w:trPr>
          <w:trHeight w:val="350" w:hRule="exact"/>
        </w:trPr>
        <w:tc>
          <w:tcPr>
            <w:tcW w:w="1212"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2"/>
                <w:sz w:val="18"/>
                <w:szCs w:val="18"/>
              </w:rPr>
              <w:t>收账款和其他应收款中</w:t>
            </w:r>
          </w:p>
        </w:tc>
      </w:tr>
      <w:tr>
        <w:trPr>
          <w:trHeight w:val="308" w:hRule="exact"/>
        </w:trPr>
        <w:tc>
          <w:tcPr>
            <w:tcW w:w="1212" w:type="dxa"/>
            <w:tcBorders>
              <w:top w:val="nil" w:sz="6" w:space="0" w:color="auto"/>
              <w:left w:val="nil" w:sz="6" w:space="0" w:color="auto"/>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
        </w:tc>
        <w:tc>
          <w:tcPr>
            <w:tcW w:w="1759" w:type="dxa"/>
            <w:tcBorders>
              <w:top w:val="nil" w:sz="6" w:space="0" w:color="auto"/>
              <w:left w:val="single" w:sz="4" w:space="0" w:color="000000"/>
              <w:bottom w:val="nil" w:sz="6" w:space="0" w:color="auto"/>
              <w:right w:val="single" w:sz="4" w:space="0" w:color="000000"/>
            </w:tcBorders>
          </w:tcPr>
          <w:p>
            <w:pPr/>
          </w:p>
        </w:tc>
        <w:tc>
          <w:tcPr>
            <w:tcW w:w="1639"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214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大部分是三年以上账龄，</w:t>
            </w:r>
          </w:p>
        </w:tc>
      </w:tr>
      <w:tr>
        <w:trPr>
          <w:trHeight w:val="428" w:hRule="exact"/>
        </w:trPr>
        <w:tc>
          <w:tcPr>
            <w:tcW w:w="1212" w:type="dxa"/>
            <w:tcBorders>
              <w:top w:val="nil" w:sz="6" w:space="0" w:color="auto"/>
              <w:left w:val="nil" w:sz="6" w:space="0" w:color="auto"/>
              <w:bottom w:val="single" w:sz="4" w:space="0" w:color="000000"/>
              <w:right w:val="single" w:sz="4" w:space="0" w:color="000000"/>
            </w:tcBorders>
          </w:tcPr>
          <w:p>
            <w:pP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97"/>
              <w:jc w:val="right"/>
              <w:rPr>
                <w:rFonts w:ascii="Times New Roman" w:hAnsi="Times New Roman" w:cs="Times New Roman" w:eastAsia="Times New Roman" w:hint="default"/>
                <w:sz w:val="21"/>
                <w:szCs w:val="21"/>
              </w:rPr>
            </w:pPr>
            <w:r>
              <w:rPr>
                <w:rFonts w:ascii="Times New Roman"/>
                <w:w w:val="95"/>
                <w:sz w:val="21"/>
              </w:rPr>
              <w:t>2,314,797.03</w:t>
            </w:r>
            <w:r>
              <w:rPr>
                <w:rFonts w:ascii="Times New Roman"/>
                <w:sz w:val="21"/>
              </w:rPr>
            </w:r>
          </w:p>
        </w:tc>
        <w:tc>
          <w:tcPr>
            <w:tcW w:w="1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w w:val="95"/>
                <w:sz w:val="21"/>
              </w:rPr>
              <w:t>921,537.29</w:t>
            </w:r>
            <w:r>
              <w:rPr>
                <w:rFonts w:ascii="Times New Roman"/>
                <w:sz w:val="21"/>
              </w:rPr>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pacing w:val="-1"/>
                <w:sz w:val="22"/>
              </w:rPr>
              <w:t>1,393,259.74</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22"/>
                <w:szCs w:val="22"/>
              </w:rPr>
            </w:pPr>
            <w:r>
              <w:rPr>
                <w:rFonts w:ascii="Times New Roman"/>
                <w:sz w:val="22"/>
              </w:rPr>
              <w:t>151.19%</w:t>
            </w:r>
          </w:p>
        </w:tc>
        <w:tc>
          <w:tcPr>
            <w:tcW w:w="2148" w:type="dxa"/>
            <w:tcBorders>
              <w:top w:val="nil" w:sz="6" w:space="0" w:color="auto"/>
              <w:left w:val="single" w:sz="4" w:space="0" w:color="000000"/>
              <w:bottom w:val="single" w:sz="4" w:space="0" w:color="000000"/>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因些全额计提减值准备</w:t>
            </w:r>
          </w:p>
        </w:tc>
      </w:tr>
      <w:tr>
        <w:trPr>
          <w:trHeight w:val="768" w:hRule="exact"/>
        </w:trPr>
        <w:tc>
          <w:tcPr>
            <w:tcW w:w="1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w w:val="95"/>
                <w:sz w:val="21"/>
              </w:rPr>
              <w:t>634,246.34</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w w:val="95"/>
                <w:sz w:val="21"/>
              </w:rPr>
              <w:t>314,956.00</w:t>
            </w:r>
            <w:r>
              <w:rPr>
                <w:rFonts w:ascii="Times New Roman"/>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319,290.34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7"/>
              <w:jc w:val="right"/>
              <w:rPr>
                <w:rFonts w:ascii="Times New Roman" w:hAnsi="Times New Roman" w:cs="Times New Roman" w:eastAsia="Times New Roman" w:hint="default"/>
                <w:sz w:val="22"/>
                <w:szCs w:val="22"/>
              </w:rPr>
            </w:pPr>
            <w:r>
              <w:rPr>
                <w:rFonts w:ascii="Times New Roman"/>
                <w:sz w:val="22"/>
              </w:rPr>
              <w:t>101.38%</w:t>
            </w:r>
          </w:p>
        </w:tc>
        <w:tc>
          <w:tcPr>
            <w:tcW w:w="2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本期发生赔偿支出</w:t>
            </w:r>
          </w:p>
        </w:tc>
      </w:tr>
    </w:tbl>
    <w:p>
      <w:pPr>
        <w:spacing w:line="240" w:lineRule="auto" w:before="0"/>
        <w:rPr>
          <w:rFonts w:ascii="宋体" w:hAnsi="宋体" w:cs="宋体" w:eastAsia="宋体" w:hint="default"/>
          <w:sz w:val="24"/>
          <w:szCs w:val="24"/>
        </w:rPr>
      </w:pPr>
    </w:p>
    <w:p>
      <w:pPr>
        <w:pStyle w:val="BodyText"/>
        <w:tabs>
          <w:tab w:pos="3059" w:val="left" w:leader="none"/>
          <w:tab w:pos="6627" w:val="left" w:leader="none"/>
          <w:tab w:pos="9779" w:val="left" w:leader="none"/>
        </w:tabs>
        <w:spacing w:line="240" w:lineRule="auto" w:before="34"/>
        <w:ind w:left="38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BodyText"/>
        <w:tabs>
          <w:tab w:pos="1223" w:val="left" w:leader="none"/>
          <w:tab w:pos="3057" w:val="left" w:leader="none"/>
          <w:tab w:pos="4688" w:val="left" w:leader="none"/>
          <w:tab w:pos="6629" w:val="left" w:leader="none"/>
          <w:tab w:pos="7731" w:val="left" w:leader="none"/>
          <w:tab w:pos="9883" w:val="left" w:leader="none"/>
        </w:tabs>
        <w:spacing w:line="240" w:lineRule="auto" w:before="34"/>
        <w:ind w:left="383" w:right="0"/>
        <w:jc w:val="left"/>
        <w:rPr>
          <w:rFonts w:ascii="Times New Roman" w:hAnsi="Times New Roman" w:cs="Times New Roman" w:eastAsia="Times New Roman" w:hint="default"/>
        </w:rPr>
      </w:pP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rPr>
        <w:t>期： </w:t>
      </w:r>
      <w:r>
        <w:rPr>
          <w:rFonts w:ascii="Times New Roman" w:hAnsi="Times New Roman" w:cs="Times New Roman" w:eastAsia="Times New Roman" w:hint="default"/>
          <w:spacing w:val="1"/>
          <w:w w:val="99"/>
        </w:rPr>
      </w:r>
      <w:r>
        <w:rPr>
          <w:rFonts w:ascii="Times New Roman" w:hAnsi="Times New Roman" w:cs="Times New Roman" w:eastAsia="Times New Roman" w:hint="default"/>
          <w:spacing w:val="1"/>
          <w:w w:val="99"/>
          <w:u w:val="single" w:color="000000"/>
        </w:rPr>
        <w:t> </w:t>
      </w:r>
      <w:r>
        <w:rPr>
          <w:rFonts w:ascii="Times New Roman" w:hAnsi="Times New Roman" w:cs="Times New Roman" w:eastAsia="Times New Roman" w:hint="default"/>
          <w:spacing w:val="1"/>
          <w:u w:val="single" w:color="000000"/>
        </w:rPr>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pgSz w:w="11910" w:h="16840"/>
          <w:pgMar w:header="1058" w:footer="1590" w:top="1780" w:bottom="1780" w:left="800" w:right="860"/>
        </w:sectPr>
      </w:pPr>
    </w:p>
    <w:p>
      <w:pPr>
        <w:pStyle w:val="Heading1"/>
        <w:spacing w:line="521" w:lineRule="exact"/>
        <w:ind w:left="1963" w:right="109"/>
        <w:jc w:val="left"/>
      </w:pPr>
      <w:bookmarkStart w:name="_TOC_250000" w:id="115"/>
      <w:r>
        <w:rPr/>
        <w:t>第十一节</w:t>
      </w:r>
      <w:r>
        <w:rPr>
          <w:spacing w:val="-6"/>
        </w:rPr>
        <w:t> </w:t>
      </w:r>
      <w:bookmarkEnd w:id="115"/>
      <w:r>
        <w:rPr/>
        <w:t>备查文件目录</w:t>
      </w:r>
    </w:p>
    <w:p>
      <w:pPr>
        <w:spacing w:line="240" w:lineRule="auto" w:before="12"/>
        <w:rPr>
          <w:rFonts w:ascii="宋体" w:hAnsi="宋体" w:cs="宋体" w:eastAsia="宋体" w:hint="default"/>
          <w:sz w:val="51"/>
          <w:szCs w:val="51"/>
        </w:rPr>
      </w:pPr>
    </w:p>
    <w:p>
      <w:pPr>
        <w:pStyle w:val="BodyText"/>
        <w:spacing w:line="636" w:lineRule="auto"/>
        <w:ind w:right="109"/>
        <w:jc w:val="left"/>
      </w:pPr>
      <w:r>
        <w:rPr/>
        <w:t>一、载有公司董事、监事、高级管理人员签署的</w:t>
      </w:r>
      <w:r>
        <w:rPr>
          <w:rFonts w:ascii="Times New Roman" w:hAnsi="Times New Roman" w:cs="Times New Roman" w:eastAsia="Times New Roman" w:hint="default"/>
        </w:rPr>
        <w:t>2010</w:t>
      </w:r>
      <w:r>
        <w:rPr/>
        <w:t>年度报告正本；</w:t>
      </w:r>
      <w:r>
        <w:rPr>
          <w:w w:val="99"/>
        </w:rPr>
        <w:t> </w:t>
      </w:r>
      <w:r>
        <w:rPr/>
        <w:t>二、载有法定代表人、主管会计工作负责人、会计机构负责人签名盖章的会计报表；</w:t>
      </w:r>
    </w:p>
    <w:p>
      <w:pPr>
        <w:pStyle w:val="BodyText"/>
        <w:spacing w:line="357" w:lineRule="auto" w:before="149"/>
        <w:ind w:right="126"/>
        <w:jc w:val="left"/>
      </w:pPr>
      <w:r>
        <w:rPr>
          <w:spacing w:val="-2"/>
          <w:w w:val="95"/>
        </w:rPr>
        <w:t>三、载有深圳市鹏城会计师事务所有限公司盖章、注册会计师亲笔签字并盖章的审计报告原</w:t>
      </w:r>
      <w:r>
        <w:rPr>
          <w:w w:val="95"/>
        </w:rPr>
        <w:t>  </w:t>
      </w:r>
      <w:r>
        <w:rPr>
          <w:spacing w:val="93"/>
          <w:w w:val="95"/>
        </w:rPr>
        <w:t> </w:t>
      </w:r>
      <w:r>
        <w:rPr>
          <w:spacing w:val="93"/>
          <w:w w:val="95"/>
        </w:rPr>
      </w:r>
      <w:r>
        <w:rPr/>
        <w:t>件；</w:t>
      </w:r>
    </w:p>
    <w:p>
      <w:pPr>
        <w:spacing w:line="240" w:lineRule="auto" w:before="0"/>
        <w:rPr>
          <w:rFonts w:ascii="宋体" w:hAnsi="宋体" w:cs="宋体" w:eastAsia="宋体" w:hint="default"/>
          <w:sz w:val="20"/>
          <w:szCs w:val="20"/>
        </w:rPr>
      </w:pPr>
    </w:p>
    <w:p>
      <w:pPr>
        <w:pStyle w:val="BodyText"/>
        <w:spacing w:line="672" w:lineRule="auto" w:before="131"/>
        <w:ind w:right="214"/>
        <w:jc w:val="left"/>
      </w:pPr>
      <w:r>
        <w:rPr/>
        <w:t>四、报告期内在中国证监会指定报纸上公开披露过的所有公司文件的正本及公告的原稿；</w:t>
      </w:r>
      <w:r>
        <w:rPr>
          <w:w w:val="99"/>
        </w:rPr>
        <w:t> </w:t>
      </w:r>
      <w:r>
        <w:rPr/>
        <w:t>五、以上文件置备于公司证券部备查。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064" w:right="0"/>
        <w:jc w:val="left"/>
      </w:pPr>
      <w:r>
        <w:rPr/>
        <w:t>马鞍山鼎泰稀土新材料股份有限公司</w:t>
      </w:r>
    </w:p>
    <w:p>
      <w:pPr>
        <w:pStyle w:val="BodyText"/>
        <w:spacing w:line="355" w:lineRule="auto" w:before="133"/>
        <w:ind w:left="4917" w:right="856"/>
        <w:jc w:val="right"/>
      </w:pPr>
      <w:r>
        <w:rPr>
          <w:w w:val="95"/>
        </w:rPr>
        <w:t>董事长：刘冀鲁</w:t>
      </w:r>
      <w:r>
        <w:rPr>
          <w:spacing w:val="-38"/>
          <w:w w:val="95"/>
        </w:rPr>
        <w:t> </w:t>
      </w:r>
      <w:r>
        <w:rPr>
          <w:spacing w:val="-38"/>
          <w:w w:val="95"/>
        </w:rPr>
      </w:r>
      <w:r>
        <w:rPr>
          <w:w w:val="95"/>
        </w:rPr>
        <w:t>二〇一一年三月</w:t>
      </w:r>
      <w:r>
        <w:rPr/>
      </w:r>
    </w:p>
    <w:sectPr>
      <w:pgSz w:w="11910" w:h="16840"/>
      <w:pgMar w:header="1058" w:footer="1590" w:top="1780" w:bottom="17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 w:name="Wingdings">
    <w:altName w:val="Wingdings"/>
    <w:charset w:val="2"/>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58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10</w:t>
                </w:r>
                <w:r>
                  <w:rPr/>
                  <w:fldChar w:fldCharType="end"/>
                </w:r>
                <w:r>
                  <w:rPr>
                    <w:rFonts w:ascii="Times New Roman"/>
                    <w:spacing w:val="-3"/>
                  </w:rPr>
                  <w:t> </w:t>
                </w:r>
                <w:r>
                  <w:rPr>
                    <w:rFonts w:ascii="Times New Roman"/>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272"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74</w:t>
                </w:r>
                <w:r>
                  <w:rPr/>
                  <w:fldChar w:fldCharType="end"/>
                </w:r>
                <w:r>
                  <w:rPr>
                    <w:rFonts w:ascii="Times New Roman"/>
                    <w:spacing w:val="-3"/>
                  </w:rPr>
                  <w:t> </w:t>
                </w:r>
                <w:r>
                  <w:rPr>
                    <w:rFonts w:ascii="Times New Roman"/>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152"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80</w:t>
                </w:r>
                <w:r>
                  <w:rPr/>
                  <w:fldChar w:fldCharType="end"/>
                </w:r>
                <w:r>
                  <w:rPr>
                    <w:rFonts w:ascii="Times New Roman"/>
                    <w:spacing w:val="-3"/>
                  </w:rPr>
                  <w:t> </w:t>
                </w:r>
                <w:r>
                  <w:rPr>
                    <w:rFonts w:ascii="Times New Roman"/>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128"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84</w:t>
                </w:r>
                <w:r>
                  <w:rPr/>
                  <w:fldChar w:fldCharType="end"/>
                </w:r>
                <w:r>
                  <w:rPr>
                    <w:rFonts w:ascii="Times New Roman"/>
                    <w:spacing w:val="-3"/>
                  </w:rPr>
                  <w:t> </w:t>
                </w:r>
                <w:r>
                  <w:rPr>
                    <w:rFonts w:ascii="Times New Roman"/>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104"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87</w:t>
                </w:r>
                <w:r>
                  <w:rPr/>
                  <w:fldChar w:fldCharType="end"/>
                </w:r>
                <w:r>
                  <w:rPr>
                    <w:rFonts w:ascii="Times New Roman"/>
                    <w:spacing w:val="-3"/>
                  </w:rPr>
                  <w:t> </w:t>
                </w:r>
                <w:r>
                  <w:rPr>
                    <w:rFonts w:ascii="Times New Roman"/>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080"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90</w:t>
                </w:r>
                <w:r>
                  <w:rPr/>
                  <w:fldChar w:fldCharType="end"/>
                </w:r>
                <w:r>
                  <w:rPr>
                    <w:rFonts w:ascii="Times New Roman"/>
                    <w:spacing w:val="-3"/>
                  </w:rPr>
                  <w:t> </w:t>
                </w:r>
                <w:r>
                  <w:rPr>
                    <w:rFonts w:ascii="Times New Roman"/>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056"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- 92</w:t>
                </w:r>
                <w:r>
                  <w:rPr>
                    <w:rFonts w:ascii="Times New Roman"/>
                    <w:spacing w:val="-2"/>
                  </w:rPr>
                  <w:t> </w:t>
                </w:r>
                <w:r>
                  <w:rPr>
                    <w:rFonts w:ascii="Times New Roman"/>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032"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93</w:t>
                </w:r>
                <w:r>
                  <w:rPr/>
                  <w:fldChar w:fldCharType="end"/>
                </w:r>
                <w:r>
                  <w:rPr>
                    <w:rFonts w:ascii="Times New Roman"/>
                    <w:spacing w:val="-3"/>
                  </w:rPr>
                  <w:t> </w:t>
                </w:r>
                <w:r>
                  <w:rPr>
                    <w:rFonts w:ascii="Times New Roman"/>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5960"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98</w:t>
                </w:r>
                <w:r>
                  <w:rPr/>
                  <w:fldChar w:fldCharType="end"/>
                </w:r>
                <w:r>
                  <w:rPr>
                    <w:rFonts w:ascii="Times New Roman"/>
                    <w:spacing w:val="-3"/>
                  </w:rPr>
                  <w:t> </w:t>
                </w:r>
                <w:r>
                  <w:rPr>
                    <w:rFonts w:ascii="Times New Roman"/>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51.399231pt;width:30pt;height:12.6pt;mso-position-horizontal-relative:page;mso-position-vertical-relative:page;z-index:-685936"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100</w:t>
                </w:r>
                <w:r>
                  <w:rPr/>
                  <w:fldChar w:fldCharType="end"/>
                </w:r>
                <w:r>
                  <w:rPr>
                    <w:rFonts w:ascii="Times New Roman"/>
                    <w:spacing w:val="-4"/>
                  </w:rPr>
                  <w:t> </w:t>
                </w:r>
                <w:r>
                  <w:rPr>
                    <w:rFonts w:ascii="Times New Roman"/>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560"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20</w:t>
                </w:r>
                <w:r>
                  <w:rPr/>
                  <w:fldChar w:fldCharType="end"/>
                </w:r>
                <w:r>
                  <w:rPr>
                    <w:rFonts w:ascii="Times New Roman"/>
                    <w:spacing w:val="-3"/>
                  </w:rPr>
                  <w:t> </w:t>
                </w:r>
                <w:r>
                  <w:rPr>
                    <w:rFonts w:ascii="Times New Roman"/>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920013pt;margin-top:751.399231pt;width:29.5pt;height:12.6pt;mso-position-horizontal-relative:page;mso-position-vertical-relative:page;z-index:-685816"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110</w:t>
                </w:r>
                <w:r>
                  <w:rPr/>
                  <w:fldChar w:fldCharType="end"/>
                </w:r>
                <w:r>
                  <w:rPr>
                    <w:rFonts w:ascii="Times New Roman"/>
                    <w:spacing w:val="-7"/>
                  </w:rPr>
                  <w:t> </w:t>
                </w:r>
                <w:r>
                  <w:rPr>
                    <w:rFonts w:ascii="Times New Roman"/>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51.399231pt;width:30pt;height:12.6pt;mso-position-horizontal-relative:page;mso-position-vertical-relative:page;z-index:-685792"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120</w:t>
                </w:r>
                <w:r>
                  <w:rPr/>
                  <w:fldChar w:fldCharType="end"/>
                </w:r>
                <w:r>
                  <w:rPr>
                    <w:rFonts w:ascii="Times New Roman"/>
                    <w:spacing w:val="-4"/>
                  </w:rPr>
                  <w:t> </w:t>
                </w:r>
                <w:r>
                  <w:rPr>
                    <w:rFonts w:ascii="Times New Roman"/>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51.399231pt;width:30pt;height:12.6pt;mso-position-horizontal-relative:page;mso-position-vertical-relative:page;z-index:-685768"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130</w:t>
                </w:r>
                <w:r>
                  <w:rPr/>
                  <w:fldChar w:fldCharType="end"/>
                </w:r>
                <w:r>
                  <w:rPr>
                    <w:rFonts w:ascii="Times New Roman"/>
                    <w:spacing w:val="-4"/>
                  </w:rPr>
                  <w:t> </w:t>
                </w:r>
                <w:r>
                  <w:rPr>
                    <w:rFonts w:ascii="Times New Roman"/>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536"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30</w:t>
                </w:r>
                <w:r>
                  <w:rPr/>
                  <w:fldChar w:fldCharType="end"/>
                </w:r>
                <w:r>
                  <w:rPr>
                    <w:rFonts w:ascii="Times New Roman"/>
                    <w:spacing w:val="-3"/>
                  </w:rPr>
                  <w:t> </w:t>
                </w:r>
                <w:r>
                  <w:rPr>
                    <w:rFonts w:ascii="Times New Roman"/>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51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40</w:t>
                </w:r>
                <w:r>
                  <w:rPr/>
                  <w:fldChar w:fldCharType="end"/>
                </w:r>
                <w:r>
                  <w:rPr>
                    <w:rFonts w:ascii="Times New Roman"/>
                    <w:spacing w:val="-3"/>
                  </w:rPr>
                  <w:t> </w:t>
                </w:r>
                <w:r>
                  <w:rPr>
                    <w:rFonts w:ascii="Times New Roman"/>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488"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50</w:t>
                </w:r>
                <w:r>
                  <w:rPr/>
                  <w:fldChar w:fldCharType="end"/>
                </w:r>
                <w:r>
                  <w:rPr>
                    <w:rFonts w:ascii="Times New Roman"/>
                    <w:spacing w:val="-3"/>
                  </w:rPr>
                  <w:t> </w:t>
                </w:r>
                <w:r>
                  <w:rPr>
                    <w:rFonts w:ascii="Times New Roman"/>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3.999207pt;width:24.7pt;height:12.45pt;mso-position-horizontal-relative:page;mso-position-vertical-relative:page;z-index:-68646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60</w:t>
                </w:r>
                <w:r>
                  <w:rPr/>
                  <w:fldChar w:fldCharType="end"/>
                </w:r>
                <w:r>
                  <w:rPr>
                    <w:rFonts w:ascii="Times New Roman"/>
                    <w:spacing w:val="-3"/>
                  </w:rPr>
                  <w:t> </w:t>
                </w:r>
                <w:r>
                  <w:rPr>
                    <w:rFonts w:ascii="Times New Roman"/>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679993pt;margin-top:504.799194pt;width:24.7pt;height:12.6pt;mso-position-horizontal-relative:page;mso-position-vertical-relative:page;z-index:-686392"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62</w:t>
                </w:r>
                <w:r>
                  <w:rPr/>
                  <w:fldChar w:fldCharType="end"/>
                </w:r>
                <w:r>
                  <w:rPr>
                    <w:rFonts w:ascii="Times New Roman"/>
                    <w:spacing w:val="-3"/>
                  </w:rPr>
                  <w:t> </w:t>
                </w:r>
                <w:r>
                  <w:rPr>
                    <w:rFonts w:ascii="Times New Roman"/>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320"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69</w:t>
                </w:r>
                <w:r>
                  <w:rPr/>
                  <w:fldChar w:fldCharType="end"/>
                </w:r>
                <w:r>
                  <w:rPr>
                    <w:rFonts w:ascii="Times New Roman"/>
                    <w:spacing w:val="-3"/>
                  </w:rPr>
                  <w:t> </w:t>
                </w:r>
                <w:r>
                  <w:rPr>
                    <w:rFonts w:ascii="Times New Roman"/>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51.399231pt;width:24.7pt;height:12.6pt;mso-position-horizontal-relative:page;mso-position-vertical-relative:page;z-index:-686296" type="#_x0000_t202" filled="false" stroked="false">
          <v:textbox inset="0,0,0,0">
            <w:txbxContent>
              <w:p>
                <w:pPr>
                  <w:pStyle w:val="BodyText"/>
                  <w:spacing w:line="236"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70</w:t>
                </w:r>
                <w:r>
                  <w:rPr/>
                  <w:fldChar w:fldCharType="end"/>
                </w:r>
                <w:r>
                  <w:rPr>
                    <w:rFonts w:ascii="Times New Roman"/>
                    <w:spacing w:val="-3"/>
                  </w:rPr>
                  <w:t> </w:t>
                </w:r>
                <w:r>
                  <w:rPr>
                    <w:rFonts w:ascii="Times New Roman"/>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10.320024pt;width:31.44pt;height:35.28pt;mso-position-horizontal-relative:page;mso-position-vertical-relative:page;z-index:-686632" type="#_x0000_t75" stroked="false">
          <v:imagedata r:id="rId1" o:title=""/>
        </v:shape>
      </w:pict>
    </w:r>
    <w:r>
      <w:rPr/>
      <w:pict>
        <v:shapetype id="_x0000_t202" o:spt="202" coordsize="21600,21600" path="m,l,21600r21600,l21600,xe">
          <v:stroke joinstyle="miter"/>
          <v:path gradientshapeok="t" o:connecttype="rect"/>
        </v:shapetype>
        <v:shape style="position:absolute;margin-left:389.359985pt;margin-top:36.86565pt;width:105.45pt;height:11.4pt;mso-position-horizontal-relative:page;mso-position-vertical-relative:page;z-index:-686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25.839996pt;margin-top:52.919987pt;width:31.32pt;height:35.28pt;mso-position-horizontal-relative:page;mso-position-vertical-relative:page;z-index:-686440" type="#_x0000_t75" stroked="false">
          <v:imagedata r:id="rId1" o:title=""/>
        </v:shape>
      </w:pict>
    </w:r>
    <w:r>
      <w:rPr/>
      <w:pict>
        <v:shape style="position:absolute;margin-left:512.599976pt;margin-top:79.345612pt;width:105.6pt;height:11.5pt;mso-position-horizontal-relative:page;mso-position-vertical-relative:page;z-index:-686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6368" type="#_x0000_t75" stroked="false">
          <v:imagedata r:id="rId1" o:title=""/>
        </v:shape>
      </w:pict>
    </w:r>
    <w:r>
      <w:rPr/>
      <w:pict>
        <v:shape style="position:absolute;margin-left:389.359985pt;margin-top:79.345650pt;width:105.45pt;height:11.5pt;mso-position-horizontal-relative:page;mso-position-vertical-relative:page;z-index:-686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6248" type="#_x0000_t75" stroked="false">
          <v:imagedata r:id="rId1" o:title=""/>
        </v:shape>
      </w:pict>
    </w:r>
    <w:r>
      <w:rPr/>
      <w:pict>
        <v:shape style="position:absolute;margin-left:389.359985pt;margin-top:79.345650pt;width:105.45pt;height:11.5pt;mso-position-horizontal-relative:page;mso-position-vertical-relative:page;z-index:-686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6200" type="#_x0000_t75" stroked="false">
          <v:imagedata r:id="rId1" o:title=""/>
        </v:shape>
      </w:pict>
    </w:r>
    <w:r>
      <w:rPr/>
      <w:pict>
        <v:shape style="position:absolute;margin-left:389.359985pt;margin-top:79.345650pt;width:105.45pt;height:11.5pt;mso-position-horizontal-relative:page;mso-position-vertical-relative:page;z-index:-686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6008" type="#_x0000_t75" stroked="false">
          <v:imagedata r:id="rId1" o:title=""/>
        </v:shape>
      </w:pict>
    </w:r>
    <w:r>
      <w:rPr/>
      <w:pict>
        <v:shape style="position:absolute;margin-left:389.359985pt;margin-top:79.345650pt;width:105.45pt;height:11.5pt;mso-position-horizontal-relative:page;mso-position-vertical-relative:page;z-index:-685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5912" type="#_x0000_t75" stroked="false">
          <v:imagedata r:id="rId1" o:title=""/>
        </v:shape>
      </w:pict>
    </w:r>
    <w:r>
      <w:rPr/>
      <w:pict>
        <v:shape style="position:absolute;margin-left:389.359985pt;margin-top:79.345650pt;width:105.45pt;height:11.5pt;mso-position-horizontal-relative:page;mso-position-vertical-relative:page;z-index:-685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480003pt;margin-top:52.920025pt;width:31.44pt;height:35.28pt;mso-position-horizontal-relative:page;mso-position-vertical-relative:page;z-index:-685864" type="#_x0000_t75" stroked="false">
          <v:imagedata r:id="rId1" o:title=""/>
        </v:shape>
      </w:pict>
    </w:r>
    <w:r>
      <w:rPr/>
      <w:pict>
        <v:shape style="position:absolute;margin-left:389.359985pt;margin-top:79.345650pt;width:105.45pt;height:11.5pt;mso-position-horizontal-relative:page;mso-position-vertical-relative:page;z-index:-685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22"/>
    </w:pPr>
    <w:rPr>
      <w:rFonts w:ascii="宋体" w:hAnsi="宋体" w:eastAsia="宋体"/>
      <w:sz w:val="21"/>
      <w:szCs w:val="21"/>
    </w:rPr>
  </w:style>
  <w:style w:styleId="BodyText" w:type="paragraph">
    <w:name w:val="Body Text"/>
    <w:basedOn w:val="Normal"/>
    <w:uiPriority w:val="1"/>
    <w:qFormat/>
    <w:pPr>
      <w:ind w:left="12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44"/>
      <w:szCs w:val="44"/>
    </w:rPr>
  </w:style>
  <w:style w:styleId="Heading2" w:type="paragraph">
    <w:name w:val="Heading 2"/>
    <w:basedOn w:val="Normal"/>
    <w:uiPriority w:val="1"/>
    <w:qFormat/>
    <w:pPr>
      <w:outlineLvl w:val="2"/>
    </w:pPr>
    <w:rPr>
      <w:rFonts w:ascii="宋体" w:hAnsi="宋体" w:eastAsia="宋体"/>
      <w:sz w:val="32"/>
      <w:szCs w:val="32"/>
    </w:rPr>
  </w:style>
  <w:style w:styleId="Heading3" w:type="paragraph">
    <w:name w:val="Heading 3"/>
    <w:basedOn w:val="Normal"/>
    <w:uiPriority w:val="1"/>
    <w:qFormat/>
    <w:pPr>
      <w:ind w:left="1302"/>
      <w:outlineLvl w:val="3"/>
    </w:pPr>
    <w:rPr>
      <w:rFonts w:ascii="宋体" w:hAnsi="宋体" w:eastAsia="宋体"/>
      <w:sz w:val="24"/>
      <w:szCs w:val="24"/>
    </w:rPr>
  </w:style>
  <w:style w:styleId="Heading4" w:type="paragraph">
    <w:name w:val="Heading 4"/>
    <w:basedOn w:val="Normal"/>
    <w:uiPriority w:val="1"/>
    <w:qFormat/>
    <w:pPr>
      <w:ind w:left="128"/>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dingtaicn.com/" TargetMode="External"/><Relationship Id="rId9" Type="http://schemas.openxmlformats.org/officeDocument/2006/relationships/hyperlink" Target="mailto:dtxc@dingtaicn.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hyperlink" Target="http://www.cninfo.com.cn&#19978;/"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2.xml"/><Relationship Id="rId18" Type="http://schemas.openxmlformats.org/officeDocument/2006/relationships/footer" Target="footer7.xml"/><Relationship Id="rId19" Type="http://schemas.openxmlformats.org/officeDocument/2006/relationships/header" Target="header3.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image" Target="media/image1.jpeg"/><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马鞍山鼎泰稀土新材料股份有限公司</dc:title>
  <dcterms:created xsi:type="dcterms:W3CDTF">2020-04-29T02:38:09Z</dcterms:created>
  <dcterms:modified xsi:type="dcterms:W3CDTF">2020-04-29T02:38:09Z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WPS Office 个人版</vt:lpwstr>
  </property>
  <property fmtid="{D5CDD505-2E9C-101B-9397-08002B2CF9AE}" pid="4" name="LastSaved">
    <vt:filetime>2011-03-04T00:00:00Z</vt:filetime>
  </property>
</Properties>
</file>